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right="0"/>
        <w:jc w:val="center"/>
        <w:rPr>
          <w:rFonts w:hint="eastAsia" w:ascii="宋体" w:hAnsi="宋体" w:eastAsia="宋体" w:cs="宋体"/>
          <w:i w:val="0"/>
          <w:iCs w:val="0"/>
          <w:caps w:val="0"/>
          <w:color w:val="000000"/>
          <w:spacing w:val="0"/>
          <w:kern w:val="0"/>
          <w:sz w:val="36"/>
          <w:szCs w:val="36"/>
          <w:shd w:val="clear" w:fill="FFFFFF"/>
          <w:lang w:val="en-US" w:eastAsia="zh-CN" w:bidi="ar"/>
        </w:rPr>
      </w:pPr>
      <w:bookmarkStart w:id="0" w:name="_GoBack"/>
      <w:r>
        <w:rPr>
          <w:rFonts w:hint="eastAsia" w:ascii="宋体" w:hAnsi="宋体" w:eastAsia="宋体" w:cs="宋体"/>
          <w:i w:val="0"/>
          <w:iCs w:val="0"/>
          <w:caps w:val="0"/>
          <w:color w:val="000000"/>
          <w:spacing w:val="0"/>
          <w:kern w:val="0"/>
          <w:sz w:val="36"/>
          <w:szCs w:val="36"/>
          <w:shd w:val="clear" w:fill="FFFFFF"/>
          <w:lang w:val="en-US" w:eastAsia="zh-CN" w:bidi="ar"/>
        </w:rPr>
        <w:t>炉霍县医疗保障局2021年度政府信息公开年报</w:t>
      </w:r>
    </w:p>
    <w:bookmarkEnd w:id="0"/>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ascii="微软雅黑" w:hAnsi="微软雅黑" w:eastAsia="微软雅黑" w:cs="微软雅黑"/>
          <w:i w:val="0"/>
          <w:iCs w:val="0"/>
          <w:caps w:val="0"/>
          <w:color w:val="000000"/>
          <w:spacing w:val="0"/>
          <w:sz w:val="24"/>
          <w:szCs w:val="24"/>
        </w:rPr>
      </w:pPr>
      <w:r>
        <w:rPr>
          <w:rFonts w:ascii="仿宋_GB2312" w:hAnsi="微软雅黑" w:eastAsia="仿宋_GB2312" w:cs="仿宋_GB2312"/>
          <w:i w:val="0"/>
          <w:iCs w:val="0"/>
          <w:caps w:val="0"/>
          <w:color w:val="000000"/>
          <w:spacing w:val="0"/>
          <w:kern w:val="0"/>
          <w:sz w:val="32"/>
          <w:szCs w:val="32"/>
          <w:shd w:val="clear" w:fill="FFFFFF"/>
          <w:lang w:val="en-US" w:eastAsia="zh-CN" w:bidi="ar"/>
        </w:rPr>
        <w:t>按照《</w:t>
      </w:r>
      <w:r>
        <w:rPr>
          <w:rFonts w:hint="eastAsia" w:ascii="仿宋_GB2312" w:hAnsi="微软雅黑" w:eastAsia="仿宋_GB2312" w:cs="仿宋_GB2312"/>
          <w:i w:val="0"/>
          <w:iCs w:val="0"/>
          <w:caps w:val="0"/>
          <w:color w:val="000000"/>
          <w:spacing w:val="0"/>
          <w:kern w:val="0"/>
          <w:sz w:val="32"/>
          <w:szCs w:val="32"/>
          <w:shd w:val="clear" w:fill="FFFFFF"/>
          <w:lang w:val="en-US" w:eastAsia="zh-CN" w:bidi="ar"/>
        </w:rPr>
        <w:t>炉霍县人民政府办公室关于做好政府信息公开工作年度报告编制发布工作的通知》炉府办〔2022〕2号文件要求，现就我局2021年1月1日至12月31日</w:t>
      </w:r>
      <w:r>
        <w:rPr>
          <w:rFonts w:hint="eastAsia" w:ascii="仿宋_GB2312" w:hAnsi="微软雅黑" w:eastAsia="仿宋_GB2312" w:cs="仿宋_GB2312"/>
          <w:b w:val="0"/>
          <w:bCs w:val="0"/>
          <w:i w:val="0"/>
          <w:iCs w:val="0"/>
          <w:caps w:val="0"/>
          <w:color w:val="000000"/>
          <w:spacing w:val="0"/>
          <w:kern w:val="0"/>
          <w:sz w:val="32"/>
          <w:szCs w:val="32"/>
          <w:shd w:val="clear" w:fill="FFFFFF"/>
          <w:lang w:val="en-US" w:eastAsia="zh-CN" w:bidi="ar"/>
        </w:rPr>
        <w:t>主动公开政府信息情况、行政机关收到和处理政府信息公开申请情况、政府信息公开行政复议与行政诉讼情况、存在的主要问题及改进情况、其他需要报告的事项</w:t>
      </w:r>
      <w:r>
        <w:rPr>
          <w:rFonts w:hint="eastAsia" w:ascii="仿宋_GB2312" w:hAnsi="微软雅黑" w:eastAsia="仿宋_GB2312" w:cs="仿宋_GB2312"/>
          <w:i w:val="0"/>
          <w:iCs w:val="0"/>
          <w:caps w:val="0"/>
          <w:color w:val="000000"/>
          <w:spacing w:val="0"/>
          <w:kern w:val="0"/>
          <w:sz w:val="32"/>
          <w:szCs w:val="32"/>
          <w:shd w:val="clear" w:fill="FFFFFF"/>
          <w:lang w:val="en-US" w:eastAsia="zh-CN" w:bidi="ar"/>
        </w:rPr>
        <w:t>等工作概况报告如下：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000000"/>
          <w:spacing w:val="0"/>
          <w:sz w:val="24"/>
          <w:szCs w:val="24"/>
        </w:rPr>
      </w:pPr>
      <w:r>
        <w:rPr>
          <w:rFonts w:ascii="黑体" w:hAnsi="宋体" w:eastAsia="黑体" w:cs="黑体"/>
          <w:i w:val="0"/>
          <w:iCs w:val="0"/>
          <w:caps w:val="0"/>
          <w:color w:val="000000"/>
          <w:spacing w:val="0"/>
          <w:kern w:val="0"/>
          <w:sz w:val="32"/>
          <w:szCs w:val="32"/>
          <w:shd w:val="clear" w:fill="FFFFFF"/>
          <w:lang w:val="en-US" w:eastAsia="zh-CN" w:bidi="ar"/>
        </w:rPr>
        <w:t>一、总体情况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kern w:val="0"/>
          <w:sz w:val="32"/>
          <w:szCs w:val="32"/>
          <w:shd w:val="clear" w:fill="FFFFFF"/>
          <w:lang w:val="en-US" w:eastAsia="zh-CN" w:bidi="ar"/>
        </w:rPr>
        <w:t>我局高度重视局信息公开工作，成立信息公开工作领导小组。形成局长亲自抓、分管领导具体抓、各科室相互配合的工作机制，负责指导、协调和监督全局局信息公开工作的开展，同时明确专人负责政务公开的日常工作，制定了工作计划，做到信息发布及时，内容准确完整。</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000000"/>
          <w:spacing w:val="0"/>
          <w:sz w:val="24"/>
          <w:szCs w:val="24"/>
        </w:rPr>
      </w:pPr>
      <w:r>
        <w:rPr>
          <w:rFonts w:hint="eastAsia" w:ascii="黑体" w:hAnsi="宋体" w:eastAsia="黑体" w:cs="黑体"/>
          <w:i w:val="0"/>
          <w:iCs w:val="0"/>
          <w:caps w:val="0"/>
          <w:color w:val="000000"/>
          <w:spacing w:val="0"/>
          <w:kern w:val="0"/>
          <w:sz w:val="32"/>
          <w:szCs w:val="32"/>
          <w:shd w:val="clear" w:fill="FFFFFF"/>
          <w:lang w:val="en-US" w:eastAsia="zh-CN" w:bidi="ar"/>
        </w:rPr>
        <w:t>二、主动公开局信息情况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仿宋_GB2312" w:hAnsi="微软雅黑" w:eastAsia="仿宋_GB2312" w:cs="仿宋_GB2312"/>
          <w:i w:val="0"/>
          <w:iCs w:val="0"/>
          <w:caps w:val="0"/>
          <w:color w:val="000000"/>
          <w:spacing w:val="0"/>
          <w:kern w:val="0"/>
          <w:sz w:val="32"/>
          <w:szCs w:val="32"/>
          <w:shd w:val="clear" w:fill="FFFFFF"/>
          <w:lang w:val="en-US" w:eastAsia="zh-CN" w:bidi="ar"/>
        </w:rPr>
      </w:pPr>
      <w:r>
        <w:rPr>
          <w:rFonts w:hint="eastAsia" w:ascii="仿宋_GB2312" w:hAnsi="微软雅黑" w:eastAsia="仿宋_GB2312" w:cs="仿宋_GB2312"/>
          <w:i w:val="0"/>
          <w:iCs w:val="0"/>
          <w:caps w:val="0"/>
          <w:color w:val="000000"/>
          <w:spacing w:val="0"/>
          <w:kern w:val="0"/>
          <w:sz w:val="32"/>
          <w:szCs w:val="32"/>
          <w:shd w:val="clear" w:fill="FFFFFF"/>
          <w:lang w:val="en-US" w:eastAsia="zh-CN" w:bidi="ar"/>
        </w:rPr>
        <w:t>2021年，县医疗保障局全年主动公开政府信息288条。（其中：机构职能1条；领导简介及分工1条；内设、直属机构1条；政策文件1条；文件解读1条；规划计划1条、工作动态265条；数据统计2条；重要会议1条；公示公告1条；专项资金1条；人大建议10条；重大项目1条；政府信息公开年度报告1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仿宋_GB2312" w:hAnsi="微软雅黑" w:eastAsia="仿宋_GB2312" w:cs="仿宋_GB2312"/>
          <w:i w:val="0"/>
          <w:iCs w:val="0"/>
          <w:caps w:val="0"/>
          <w:color w:val="000000"/>
          <w:spacing w:val="0"/>
          <w:kern w:val="0"/>
          <w:sz w:val="32"/>
          <w:szCs w:val="32"/>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仿宋_GB2312" w:hAnsi="微软雅黑" w:eastAsia="仿宋_GB2312" w:cs="仿宋_GB2312"/>
          <w:i w:val="0"/>
          <w:iCs w:val="0"/>
          <w:caps w:val="0"/>
          <w:color w:val="000000"/>
          <w:spacing w:val="0"/>
          <w:kern w:val="0"/>
          <w:sz w:val="32"/>
          <w:szCs w:val="32"/>
          <w:shd w:val="clear" w:fill="FFFFFF"/>
          <w:lang w:val="en-US" w:eastAsia="zh-CN" w:bidi="ar"/>
        </w:rPr>
      </w:pPr>
    </w:p>
    <w:tbl>
      <w:tblPr>
        <w:tblStyle w:val="2"/>
        <w:tblW w:w="81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3113"/>
        <w:gridCol w:w="1875"/>
        <w:gridCol w:w="6"/>
        <w:gridCol w:w="1265"/>
        <w:gridCol w:w="18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95" w:hRule="atLeast"/>
          <w:jc w:val="center"/>
        </w:trPr>
        <w:tc>
          <w:tcPr>
            <w:tcW w:w="8140" w:type="dxa"/>
            <w:gridSpan w:val="5"/>
            <w:tcBorders>
              <w:top w:val="single" w:color="auto" w:sz="8" w:space="0"/>
              <w:left w:val="single" w:color="auto" w:sz="8" w:space="0"/>
              <w:bottom w:val="single" w:color="auto" w:sz="8" w:space="0"/>
              <w:right w:val="single" w:color="auto" w:sz="8" w:space="0"/>
            </w:tcBorders>
            <w:shd w:val="clear" w:color="auto" w:fill="C6D9F1"/>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ascii="方正仿宋简体" w:hAnsi="方正仿宋简体" w:eastAsia="方正仿宋简体" w:cs="方正仿宋简体"/>
                <w:b w:val="0"/>
                <w:bCs w:val="0"/>
                <w:color w:val="000000"/>
                <w:kern w:val="0"/>
                <w:sz w:val="20"/>
                <w:szCs w:val="20"/>
                <w:lang w:val="en-US" w:eastAsia="zh-CN" w:bidi="ar"/>
              </w:rPr>
              <w:t>第二十条第（一）项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82"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信息内容</w:t>
            </w:r>
          </w:p>
        </w:tc>
        <w:tc>
          <w:tcPr>
            <w:tcW w:w="1875" w:type="dxa"/>
            <w:tcBorders>
              <w:top w:val="single" w:color="auto" w:sz="8" w:space="0"/>
              <w:left w:val="nil"/>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本年新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制作数量</w:t>
            </w:r>
          </w:p>
        </w:tc>
        <w:tc>
          <w:tcPr>
            <w:tcW w:w="1271" w:type="dxa"/>
            <w:gridSpan w:val="2"/>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本年新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公开数量</w:t>
            </w:r>
          </w:p>
        </w:tc>
        <w:tc>
          <w:tcPr>
            <w:tcW w:w="1881" w:type="dxa"/>
            <w:tcBorders>
              <w:top w:val="nil"/>
              <w:left w:val="nil"/>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对外公开总数量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3"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规章</w:t>
            </w:r>
          </w:p>
        </w:tc>
        <w:tc>
          <w:tcPr>
            <w:tcW w:w="1875" w:type="dxa"/>
            <w:tcBorders>
              <w:top w:val="nil"/>
              <w:left w:val="nil"/>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　　0</w:t>
            </w:r>
          </w:p>
        </w:tc>
        <w:tc>
          <w:tcPr>
            <w:tcW w:w="1271" w:type="dxa"/>
            <w:gridSpan w:val="2"/>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 0</w:t>
            </w:r>
          </w:p>
        </w:tc>
        <w:tc>
          <w:tcPr>
            <w:tcW w:w="1881" w:type="dxa"/>
            <w:tcBorders>
              <w:top w:val="nil"/>
              <w:left w:val="nil"/>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71"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规范性文件</w:t>
            </w:r>
          </w:p>
        </w:tc>
        <w:tc>
          <w:tcPr>
            <w:tcW w:w="1875" w:type="dxa"/>
            <w:tcBorders>
              <w:top w:val="nil"/>
              <w:left w:val="nil"/>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　　0</w:t>
            </w:r>
          </w:p>
        </w:tc>
        <w:tc>
          <w:tcPr>
            <w:tcW w:w="1271" w:type="dxa"/>
            <w:gridSpan w:val="2"/>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0</w:t>
            </w:r>
          </w:p>
        </w:tc>
        <w:tc>
          <w:tcPr>
            <w:tcW w:w="1881" w:type="dxa"/>
            <w:tcBorders>
              <w:top w:val="nil"/>
              <w:left w:val="nil"/>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第二十条第（五）项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4"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信息内容</w:t>
            </w:r>
          </w:p>
        </w:tc>
        <w:tc>
          <w:tcPr>
            <w:tcW w:w="1875" w:type="dxa"/>
            <w:tcBorders>
              <w:top w:val="single" w:color="auto" w:sz="8" w:space="0"/>
              <w:left w:val="nil"/>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上一年项目数量</w:t>
            </w:r>
          </w:p>
        </w:tc>
        <w:tc>
          <w:tcPr>
            <w:tcW w:w="1271" w:type="dxa"/>
            <w:gridSpan w:val="2"/>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本年增/减</w:t>
            </w:r>
          </w:p>
        </w:tc>
        <w:tc>
          <w:tcPr>
            <w:tcW w:w="1881" w:type="dxa"/>
            <w:tcBorders>
              <w:top w:val="nil"/>
              <w:left w:val="nil"/>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8"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行政许可</w:t>
            </w:r>
          </w:p>
        </w:tc>
        <w:tc>
          <w:tcPr>
            <w:tcW w:w="1881" w:type="dxa"/>
            <w:gridSpan w:val="2"/>
            <w:tcBorders>
              <w:top w:val="nil"/>
              <w:left w:val="nil"/>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　0</w:t>
            </w:r>
          </w:p>
        </w:tc>
        <w:tc>
          <w:tcPr>
            <w:tcW w:w="1265" w:type="dxa"/>
            <w:tcBorders>
              <w:top w:val="nil"/>
              <w:left w:val="nil"/>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　0</w:t>
            </w:r>
          </w:p>
        </w:tc>
        <w:tc>
          <w:tcPr>
            <w:tcW w:w="1881" w:type="dxa"/>
            <w:tcBorders>
              <w:top w:val="nil"/>
              <w:left w:val="nil"/>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0"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其他对外管理服务事项</w:t>
            </w:r>
          </w:p>
        </w:tc>
        <w:tc>
          <w:tcPr>
            <w:tcW w:w="1881" w:type="dxa"/>
            <w:gridSpan w:val="2"/>
            <w:tcBorders>
              <w:top w:val="nil"/>
              <w:left w:val="nil"/>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　0</w:t>
            </w:r>
          </w:p>
        </w:tc>
        <w:tc>
          <w:tcPr>
            <w:tcW w:w="1265" w:type="dxa"/>
            <w:tcBorders>
              <w:top w:val="nil"/>
              <w:left w:val="nil"/>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　0</w:t>
            </w:r>
          </w:p>
        </w:tc>
        <w:tc>
          <w:tcPr>
            <w:tcW w:w="1881" w:type="dxa"/>
            <w:tcBorders>
              <w:top w:val="nil"/>
              <w:left w:val="nil"/>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6"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第二十条第（六）项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4"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信息内容</w:t>
            </w:r>
          </w:p>
        </w:tc>
        <w:tc>
          <w:tcPr>
            <w:tcW w:w="1875" w:type="dxa"/>
            <w:tcBorders>
              <w:top w:val="single" w:color="auto" w:sz="8" w:space="0"/>
              <w:left w:val="nil"/>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上一年项目数量</w:t>
            </w:r>
          </w:p>
        </w:tc>
        <w:tc>
          <w:tcPr>
            <w:tcW w:w="1271" w:type="dxa"/>
            <w:gridSpan w:val="2"/>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本年增/减</w:t>
            </w:r>
          </w:p>
        </w:tc>
        <w:tc>
          <w:tcPr>
            <w:tcW w:w="1881" w:type="dxa"/>
            <w:tcBorders>
              <w:top w:val="nil"/>
              <w:left w:val="nil"/>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0"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行政处罚</w:t>
            </w:r>
          </w:p>
        </w:tc>
        <w:tc>
          <w:tcPr>
            <w:tcW w:w="1881" w:type="dxa"/>
            <w:gridSpan w:val="2"/>
            <w:tcBorders>
              <w:top w:val="nil"/>
              <w:left w:val="nil"/>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　0</w:t>
            </w:r>
          </w:p>
        </w:tc>
        <w:tc>
          <w:tcPr>
            <w:tcW w:w="1265" w:type="dxa"/>
            <w:tcBorders>
              <w:top w:val="nil"/>
              <w:left w:val="nil"/>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　0</w:t>
            </w:r>
          </w:p>
        </w:tc>
        <w:tc>
          <w:tcPr>
            <w:tcW w:w="1881" w:type="dxa"/>
            <w:tcBorders>
              <w:top w:val="nil"/>
              <w:left w:val="nil"/>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9"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行政强制</w:t>
            </w:r>
          </w:p>
        </w:tc>
        <w:tc>
          <w:tcPr>
            <w:tcW w:w="1881" w:type="dxa"/>
            <w:gridSpan w:val="2"/>
            <w:tcBorders>
              <w:top w:val="nil"/>
              <w:left w:val="nil"/>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　0</w:t>
            </w:r>
          </w:p>
        </w:tc>
        <w:tc>
          <w:tcPr>
            <w:tcW w:w="1265" w:type="dxa"/>
            <w:tcBorders>
              <w:top w:val="nil"/>
              <w:left w:val="nil"/>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　0</w:t>
            </w:r>
          </w:p>
        </w:tc>
        <w:tc>
          <w:tcPr>
            <w:tcW w:w="1881" w:type="dxa"/>
            <w:tcBorders>
              <w:top w:val="nil"/>
              <w:left w:val="nil"/>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4"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第二十条第（八）项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信息内容</w:t>
            </w:r>
          </w:p>
        </w:tc>
        <w:tc>
          <w:tcPr>
            <w:tcW w:w="1881" w:type="dxa"/>
            <w:gridSpan w:val="2"/>
            <w:tcBorders>
              <w:top w:val="nil"/>
              <w:left w:val="nil"/>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上一年项目数量</w:t>
            </w:r>
          </w:p>
        </w:tc>
        <w:tc>
          <w:tcPr>
            <w:tcW w:w="3146" w:type="dxa"/>
            <w:gridSpan w:val="2"/>
            <w:tcBorders>
              <w:top w:val="single" w:color="auto" w:sz="8" w:space="0"/>
              <w:left w:val="nil"/>
              <w:bottom w:val="single" w:color="auto" w:sz="8" w:space="0"/>
              <w:right w:val="single" w:color="000000"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本年增/减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1"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行政事业性收费</w:t>
            </w:r>
          </w:p>
        </w:tc>
        <w:tc>
          <w:tcPr>
            <w:tcW w:w="1881" w:type="dxa"/>
            <w:gridSpan w:val="2"/>
            <w:tcBorders>
              <w:top w:val="nil"/>
              <w:left w:val="nil"/>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　0</w:t>
            </w:r>
          </w:p>
        </w:tc>
        <w:tc>
          <w:tcPr>
            <w:tcW w:w="3146" w:type="dxa"/>
            <w:gridSpan w:val="2"/>
            <w:tcBorders>
              <w:top w:val="nil"/>
              <w:left w:val="nil"/>
              <w:bottom w:val="single" w:color="auto" w:sz="8" w:space="0"/>
              <w:right w:val="single" w:color="000000"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6"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第二十条第（九）项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5"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信息内容</w:t>
            </w:r>
          </w:p>
        </w:tc>
        <w:tc>
          <w:tcPr>
            <w:tcW w:w="1881" w:type="dxa"/>
            <w:gridSpan w:val="2"/>
            <w:tcBorders>
              <w:top w:val="nil"/>
              <w:left w:val="nil"/>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采购项目数量</w:t>
            </w:r>
          </w:p>
        </w:tc>
        <w:tc>
          <w:tcPr>
            <w:tcW w:w="3146" w:type="dxa"/>
            <w:gridSpan w:val="2"/>
            <w:tcBorders>
              <w:top w:val="single" w:color="auto" w:sz="8" w:space="0"/>
              <w:left w:val="nil"/>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采购总金额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9"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局集中采购</w:t>
            </w:r>
          </w:p>
        </w:tc>
        <w:tc>
          <w:tcPr>
            <w:tcW w:w="1881" w:type="dxa"/>
            <w:gridSpan w:val="2"/>
            <w:tcBorders>
              <w:top w:val="nil"/>
              <w:left w:val="nil"/>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　0</w:t>
            </w:r>
          </w:p>
        </w:tc>
        <w:tc>
          <w:tcPr>
            <w:tcW w:w="3146" w:type="dxa"/>
            <w:gridSpan w:val="2"/>
            <w:tcBorders>
              <w:top w:val="nil"/>
              <w:left w:val="nil"/>
              <w:bottom w:val="single" w:color="auto" w:sz="8" w:space="0"/>
              <w:right w:val="single" w:color="auto" w:sz="8" w:space="0"/>
            </w:tcBorders>
            <w:shd w:val="clear" w:color="auto" w:fill="auto"/>
            <w:noWrap/>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24"/>
              </w:rPr>
            </w:pPr>
            <w:r>
              <w:rPr>
                <w:rFonts w:hint="default" w:ascii="方正仿宋简体" w:hAnsi="方正仿宋简体" w:eastAsia="方正仿宋简体" w:cs="方正仿宋简体"/>
                <w:b w:val="0"/>
                <w:bCs w:val="0"/>
                <w:kern w:val="0"/>
                <w:sz w:val="24"/>
                <w:szCs w:val="24"/>
                <w:lang w:val="en-US" w:eastAsia="zh-CN" w:bidi="ar"/>
              </w:rPr>
              <w:t>0</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000000"/>
          <w:spacing w:val="0"/>
          <w:sz w:val="24"/>
          <w:szCs w:val="24"/>
        </w:rPr>
      </w:pPr>
      <w:r>
        <w:rPr>
          <w:rFonts w:hint="eastAsia" w:ascii="黑体" w:hAnsi="宋体" w:eastAsia="黑体" w:cs="黑体"/>
          <w:i w:val="0"/>
          <w:iCs w:val="0"/>
          <w:caps w:val="0"/>
          <w:color w:val="000000"/>
          <w:spacing w:val="0"/>
          <w:kern w:val="0"/>
          <w:sz w:val="32"/>
          <w:szCs w:val="32"/>
          <w:shd w:val="clear" w:fill="FFFFFF"/>
          <w:lang w:val="en-US" w:eastAsia="zh-CN" w:bidi="ar"/>
        </w:rPr>
        <w:t>三、收到和处理局信息公开申请情况</w:t>
      </w:r>
    </w:p>
    <w:tbl>
      <w:tblPr>
        <w:tblStyle w:val="2"/>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616"/>
        <w:gridCol w:w="854"/>
        <w:gridCol w:w="1981"/>
        <w:gridCol w:w="918"/>
        <w:gridCol w:w="755"/>
        <w:gridCol w:w="755"/>
        <w:gridCol w:w="813"/>
        <w:gridCol w:w="973"/>
        <w:gridCol w:w="711"/>
        <w:gridCol w:w="6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3451" w:type="dxa"/>
            <w:gridSpan w:val="3"/>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（本列数据的勾稽关系为：第一项加第二项之和，等于第三项加第四项之和）</w:t>
            </w:r>
          </w:p>
        </w:tc>
        <w:tc>
          <w:tcPr>
            <w:tcW w:w="5620" w:type="dxa"/>
            <w:gridSpan w:val="7"/>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申请人情况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3451" w:type="dxa"/>
            <w:gridSpan w:val="3"/>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918" w:type="dxa"/>
            <w:vMerge w:val="restart"/>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自然人</w:t>
            </w:r>
          </w:p>
        </w:tc>
        <w:tc>
          <w:tcPr>
            <w:tcW w:w="4007"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法人或其他组织</w:t>
            </w:r>
          </w:p>
        </w:tc>
        <w:tc>
          <w:tcPr>
            <w:tcW w:w="695"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总计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3451" w:type="dxa"/>
            <w:gridSpan w:val="3"/>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918" w:type="dxa"/>
            <w:vMerge w:val="continue"/>
            <w:tcBorders>
              <w:top w:val="nil"/>
              <w:left w:val="nil"/>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商业企业</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科研机构</w:t>
            </w:r>
          </w:p>
        </w:tc>
        <w:tc>
          <w:tcPr>
            <w:tcW w:w="813" w:type="dxa"/>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社会公益组织</w:t>
            </w:r>
          </w:p>
        </w:tc>
        <w:tc>
          <w:tcPr>
            <w:tcW w:w="973" w:type="dxa"/>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法律服务机构</w:t>
            </w:r>
          </w:p>
        </w:tc>
        <w:tc>
          <w:tcPr>
            <w:tcW w:w="711" w:type="dxa"/>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其他</w:t>
            </w:r>
          </w:p>
        </w:tc>
        <w:tc>
          <w:tcPr>
            <w:tcW w:w="695"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3451"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kern w:val="0"/>
                <w:sz w:val="20"/>
                <w:szCs w:val="20"/>
                <w:lang w:val="en-US" w:eastAsia="zh-CN" w:bidi="ar"/>
              </w:rPr>
              <w:t>一、本年新收局信息公开申请数量</w:t>
            </w:r>
          </w:p>
        </w:tc>
        <w:tc>
          <w:tcPr>
            <w:tcW w:w="91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3451"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kern w:val="0"/>
                <w:sz w:val="20"/>
                <w:szCs w:val="20"/>
                <w:lang w:val="en-US" w:eastAsia="zh-CN" w:bidi="ar"/>
              </w:rPr>
              <w:t>二、上年结转局信息公开申请数量</w:t>
            </w:r>
          </w:p>
        </w:tc>
        <w:tc>
          <w:tcPr>
            <w:tcW w:w="91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616"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三、本年度办理结果</w:t>
            </w:r>
          </w:p>
        </w:tc>
        <w:tc>
          <w:tcPr>
            <w:tcW w:w="2835" w:type="dxa"/>
            <w:gridSpan w:val="2"/>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kern w:val="0"/>
                <w:sz w:val="20"/>
                <w:szCs w:val="20"/>
                <w:lang w:val="en-US" w:eastAsia="zh-CN" w:bidi="ar"/>
              </w:rPr>
              <w:t>（一）予以公开</w:t>
            </w:r>
          </w:p>
        </w:tc>
        <w:tc>
          <w:tcPr>
            <w:tcW w:w="91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c>
          <w:tcPr>
            <w:tcW w:w="695" w:type="dxa"/>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2835" w:type="dxa"/>
            <w:gridSpan w:val="2"/>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kern w:val="0"/>
                <w:sz w:val="20"/>
                <w:szCs w:val="20"/>
                <w:lang w:val="en-US" w:eastAsia="zh-CN" w:bidi="ar"/>
              </w:rPr>
              <w:t>（二）部分公开（区分处理的，只计这一情形，不计其他情形）</w:t>
            </w:r>
          </w:p>
        </w:tc>
        <w:tc>
          <w:tcPr>
            <w:tcW w:w="91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854" w:type="dxa"/>
            <w:vMerge w:val="restart"/>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kern w:val="0"/>
                <w:sz w:val="20"/>
                <w:szCs w:val="20"/>
                <w:lang w:val="en-US" w:eastAsia="zh-CN" w:bidi="ar"/>
              </w:rPr>
              <w:t>（三）不予公开</w:t>
            </w:r>
          </w:p>
        </w:tc>
        <w:tc>
          <w:tcPr>
            <w:tcW w:w="198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Times New Roman" w:hAnsi="Times New Roman" w:eastAsia="方正仿宋简体" w:cs="Times New Roman"/>
                <w:b w:val="0"/>
                <w:bCs w:val="0"/>
                <w:kern w:val="0"/>
                <w:sz w:val="20"/>
                <w:szCs w:val="20"/>
                <w:lang w:val="en-US" w:eastAsia="zh-CN" w:bidi="ar"/>
              </w:rPr>
              <w:t>1</w:t>
            </w:r>
            <w:r>
              <w:rPr>
                <w:rFonts w:hint="default" w:ascii="方正仿宋简体" w:hAnsi="方正仿宋简体" w:eastAsia="方正仿宋简体" w:cs="方正仿宋简体"/>
                <w:b w:val="0"/>
                <w:bCs w:val="0"/>
                <w:kern w:val="0"/>
                <w:sz w:val="20"/>
                <w:szCs w:val="20"/>
                <w:lang w:val="en-US" w:eastAsia="zh-CN" w:bidi="ar"/>
              </w:rPr>
              <w:t>.属于国家秘密</w:t>
            </w:r>
          </w:p>
        </w:tc>
        <w:tc>
          <w:tcPr>
            <w:tcW w:w="91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c>
          <w:tcPr>
            <w:tcW w:w="695" w:type="dxa"/>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198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Times New Roman" w:hAnsi="Times New Roman" w:eastAsia="方正仿宋简体" w:cs="Times New Roman"/>
                <w:b w:val="0"/>
                <w:bCs w:val="0"/>
                <w:kern w:val="0"/>
                <w:sz w:val="20"/>
                <w:szCs w:val="20"/>
                <w:lang w:val="en-US" w:eastAsia="zh-CN" w:bidi="ar"/>
              </w:rPr>
              <w:t>2</w:t>
            </w:r>
            <w:r>
              <w:rPr>
                <w:rFonts w:hint="default" w:ascii="方正仿宋简体" w:hAnsi="方正仿宋简体" w:eastAsia="方正仿宋简体" w:cs="方正仿宋简体"/>
                <w:b w:val="0"/>
                <w:bCs w:val="0"/>
                <w:kern w:val="0"/>
                <w:sz w:val="20"/>
                <w:szCs w:val="20"/>
                <w:lang w:val="en-US" w:eastAsia="zh-CN" w:bidi="ar"/>
              </w:rPr>
              <w:t>.其他法律行政法规禁止公开</w:t>
            </w:r>
          </w:p>
        </w:tc>
        <w:tc>
          <w:tcPr>
            <w:tcW w:w="91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198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Times New Roman" w:hAnsi="Times New Roman" w:eastAsia="方正仿宋简体" w:cs="Times New Roman"/>
                <w:b w:val="0"/>
                <w:bCs w:val="0"/>
                <w:kern w:val="0"/>
                <w:sz w:val="20"/>
                <w:szCs w:val="20"/>
                <w:lang w:val="en-US" w:eastAsia="zh-CN" w:bidi="ar"/>
              </w:rPr>
              <w:t>3</w:t>
            </w:r>
            <w:r>
              <w:rPr>
                <w:rFonts w:hint="default" w:ascii="方正仿宋简体" w:hAnsi="方正仿宋简体" w:eastAsia="方正仿宋简体" w:cs="方正仿宋简体"/>
                <w:b w:val="0"/>
                <w:bCs w:val="0"/>
                <w:kern w:val="0"/>
                <w:sz w:val="20"/>
                <w:szCs w:val="20"/>
                <w:lang w:val="en-US" w:eastAsia="zh-CN" w:bidi="ar"/>
              </w:rPr>
              <w:t>.危及“三安全一稳定”</w:t>
            </w:r>
          </w:p>
        </w:tc>
        <w:tc>
          <w:tcPr>
            <w:tcW w:w="91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198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Times New Roman" w:hAnsi="Times New Roman" w:eastAsia="方正仿宋简体" w:cs="Times New Roman"/>
                <w:b w:val="0"/>
                <w:bCs w:val="0"/>
                <w:kern w:val="0"/>
                <w:sz w:val="20"/>
                <w:szCs w:val="20"/>
                <w:lang w:val="en-US" w:eastAsia="zh-CN" w:bidi="ar"/>
              </w:rPr>
              <w:t>4</w:t>
            </w:r>
            <w:r>
              <w:rPr>
                <w:rFonts w:hint="default" w:ascii="方正仿宋简体" w:hAnsi="方正仿宋简体" w:eastAsia="方正仿宋简体" w:cs="方正仿宋简体"/>
                <w:b w:val="0"/>
                <w:bCs w:val="0"/>
                <w:kern w:val="0"/>
                <w:sz w:val="20"/>
                <w:szCs w:val="20"/>
                <w:lang w:val="en-US" w:eastAsia="zh-CN" w:bidi="ar"/>
              </w:rPr>
              <w:t>.保护第三方合法权益</w:t>
            </w:r>
          </w:p>
        </w:tc>
        <w:tc>
          <w:tcPr>
            <w:tcW w:w="91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198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Times New Roman" w:hAnsi="Times New Roman" w:eastAsia="方正仿宋简体" w:cs="Times New Roman"/>
                <w:b w:val="0"/>
                <w:bCs w:val="0"/>
                <w:kern w:val="0"/>
                <w:sz w:val="20"/>
                <w:szCs w:val="20"/>
                <w:lang w:val="en-US" w:eastAsia="zh-CN" w:bidi="ar"/>
              </w:rPr>
              <w:t>5</w:t>
            </w:r>
            <w:r>
              <w:rPr>
                <w:rFonts w:hint="default" w:ascii="方正仿宋简体" w:hAnsi="方正仿宋简体" w:eastAsia="方正仿宋简体" w:cs="方正仿宋简体"/>
                <w:b w:val="0"/>
                <w:bCs w:val="0"/>
                <w:kern w:val="0"/>
                <w:sz w:val="20"/>
                <w:szCs w:val="20"/>
                <w:lang w:val="en-US" w:eastAsia="zh-CN" w:bidi="ar"/>
              </w:rPr>
              <w:t>.属于三类内部事务信息</w:t>
            </w:r>
          </w:p>
        </w:tc>
        <w:tc>
          <w:tcPr>
            <w:tcW w:w="91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198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Times New Roman" w:hAnsi="Times New Roman" w:eastAsia="方正仿宋简体" w:cs="Times New Roman"/>
                <w:b w:val="0"/>
                <w:bCs w:val="0"/>
                <w:kern w:val="0"/>
                <w:sz w:val="20"/>
                <w:szCs w:val="20"/>
                <w:lang w:val="en-US" w:eastAsia="zh-CN" w:bidi="ar"/>
              </w:rPr>
              <w:t>6</w:t>
            </w:r>
            <w:r>
              <w:rPr>
                <w:rFonts w:hint="default" w:ascii="方正仿宋简体" w:hAnsi="方正仿宋简体" w:eastAsia="方正仿宋简体" w:cs="方正仿宋简体"/>
                <w:b w:val="0"/>
                <w:bCs w:val="0"/>
                <w:kern w:val="0"/>
                <w:sz w:val="20"/>
                <w:szCs w:val="20"/>
                <w:lang w:val="en-US" w:eastAsia="zh-CN" w:bidi="ar"/>
              </w:rPr>
              <w:t>.属于四类过程性信息</w:t>
            </w:r>
          </w:p>
        </w:tc>
        <w:tc>
          <w:tcPr>
            <w:tcW w:w="91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198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Times New Roman" w:hAnsi="Times New Roman" w:eastAsia="方正仿宋简体" w:cs="Times New Roman"/>
                <w:b w:val="0"/>
                <w:bCs w:val="0"/>
                <w:kern w:val="0"/>
                <w:sz w:val="20"/>
                <w:szCs w:val="20"/>
                <w:lang w:val="en-US" w:eastAsia="zh-CN" w:bidi="ar"/>
              </w:rPr>
              <w:t>7</w:t>
            </w:r>
            <w:r>
              <w:rPr>
                <w:rFonts w:hint="default" w:ascii="方正仿宋简体" w:hAnsi="方正仿宋简体" w:eastAsia="方正仿宋简体" w:cs="方正仿宋简体"/>
                <w:b w:val="0"/>
                <w:bCs w:val="0"/>
                <w:kern w:val="0"/>
                <w:sz w:val="20"/>
                <w:szCs w:val="20"/>
                <w:lang w:val="en-US" w:eastAsia="zh-CN" w:bidi="ar"/>
              </w:rPr>
              <w:t>.属于行政执法案卷</w:t>
            </w:r>
          </w:p>
        </w:tc>
        <w:tc>
          <w:tcPr>
            <w:tcW w:w="91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198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Times New Roman" w:hAnsi="Times New Roman" w:eastAsia="方正仿宋简体" w:cs="Times New Roman"/>
                <w:b w:val="0"/>
                <w:bCs w:val="0"/>
                <w:kern w:val="0"/>
                <w:sz w:val="20"/>
                <w:szCs w:val="20"/>
                <w:lang w:val="en-US" w:eastAsia="zh-CN" w:bidi="ar"/>
              </w:rPr>
              <w:t>8</w:t>
            </w:r>
            <w:r>
              <w:rPr>
                <w:rFonts w:hint="default" w:ascii="方正仿宋简体" w:hAnsi="方正仿宋简体" w:eastAsia="方正仿宋简体" w:cs="方正仿宋简体"/>
                <w:b w:val="0"/>
                <w:bCs w:val="0"/>
                <w:kern w:val="0"/>
                <w:sz w:val="20"/>
                <w:szCs w:val="20"/>
                <w:lang w:val="en-US" w:eastAsia="zh-CN" w:bidi="ar"/>
              </w:rPr>
              <w:t>.属于行政查询事项</w:t>
            </w:r>
          </w:p>
        </w:tc>
        <w:tc>
          <w:tcPr>
            <w:tcW w:w="91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854" w:type="dxa"/>
            <w:vMerge w:val="restart"/>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kern w:val="0"/>
                <w:sz w:val="20"/>
                <w:szCs w:val="20"/>
                <w:lang w:val="en-US" w:eastAsia="zh-CN" w:bidi="ar"/>
              </w:rPr>
              <w:t>（四）无法提供</w:t>
            </w:r>
          </w:p>
        </w:tc>
        <w:tc>
          <w:tcPr>
            <w:tcW w:w="198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Times New Roman" w:hAnsi="Times New Roman" w:eastAsia="方正仿宋简体" w:cs="Times New Roman"/>
                <w:b w:val="0"/>
                <w:bCs w:val="0"/>
                <w:kern w:val="0"/>
                <w:sz w:val="20"/>
                <w:szCs w:val="20"/>
                <w:lang w:val="en-US" w:eastAsia="zh-CN" w:bidi="ar"/>
              </w:rPr>
              <w:t>1</w:t>
            </w:r>
            <w:r>
              <w:rPr>
                <w:rFonts w:hint="default" w:ascii="方正仿宋简体" w:hAnsi="方正仿宋简体" w:eastAsia="方正仿宋简体" w:cs="方正仿宋简体"/>
                <w:b w:val="0"/>
                <w:bCs w:val="0"/>
                <w:kern w:val="0"/>
                <w:sz w:val="20"/>
                <w:szCs w:val="20"/>
                <w:lang w:val="en-US" w:eastAsia="zh-CN" w:bidi="ar"/>
              </w:rPr>
              <w:t>.本机关不掌握相关局信息</w:t>
            </w:r>
          </w:p>
        </w:tc>
        <w:tc>
          <w:tcPr>
            <w:tcW w:w="91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198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Times New Roman" w:hAnsi="Times New Roman" w:eastAsia="方正仿宋简体" w:cs="Times New Roman"/>
                <w:b w:val="0"/>
                <w:bCs w:val="0"/>
                <w:kern w:val="0"/>
                <w:sz w:val="20"/>
                <w:szCs w:val="20"/>
                <w:lang w:val="en-US" w:eastAsia="zh-CN" w:bidi="ar"/>
              </w:rPr>
              <w:t>2</w:t>
            </w:r>
            <w:r>
              <w:rPr>
                <w:rFonts w:hint="default" w:ascii="方正仿宋简体" w:hAnsi="方正仿宋简体" w:eastAsia="方正仿宋简体" w:cs="方正仿宋简体"/>
                <w:b w:val="0"/>
                <w:bCs w:val="0"/>
                <w:kern w:val="0"/>
                <w:sz w:val="20"/>
                <w:szCs w:val="20"/>
                <w:lang w:val="en-US" w:eastAsia="zh-CN" w:bidi="ar"/>
              </w:rPr>
              <w:t>.没有现成信息需要另行制作</w:t>
            </w:r>
          </w:p>
        </w:tc>
        <w:tc>
          <w:tcPr>
            <w:tcW w:w="91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198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Times New Roman" w:hAnsi="Times New Roman" w:eastAsia="方正仿宋简体" w:cs="Times New Roman"/>
                <w:b w:val="0"/>
                <w:bCs w:val="0"/>
                <w:kern w:val="0"/>
                <w:sz w:val="20"/>
                <w:szCs w:val="20"/>
                <w:lang w:val="en-US" w:eastAsia="zh-CN" w:bidi="ar"/>
              </w:rPr>
              <w:t>3</w:t>
            </w:r>
            <w:r>
              <w:rPr>
                <w:rFonts w:hint="default" w:ascii="方正仿宋简体" w:hAnsi="方正仿宋简体" w:eastAsia="方正仿宋简体" w:cs="方正仿宋简体"/>
                <w:b w:val="0"/>
                <w:bCs w:val="0"/>
                <w:kern w:val="0"/>
                <w:sz w:val="20"/>
                <w:szCs w:val="20"/>
                <w:lang w:val="en-US" w:eastAsia="zh-CN" w:bidi="ar"/>
              </w:rPr>
              <w:t>.补正后申请内容仍不明确</w:t>
            </w:r>
          </w:p>
        </w:tc>
        <w:tc>
          <w:tcPr>
            <w:tcW w:w="91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854" w:type="dxa"/>
            <w:vMerge w:val="restart"/>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kern w:val="0"/>
                <w:sz w:val="20"/>
                <w:szCs w:val="20"/>
                <w:lang w:val="en-US" w:eastAsia="zh-CN" w:bidi="ar"/>
              </w:rPr>
              <w:t>（五）不予处理</w:t>
            </w:r>
          </w:p>
        </w:tc>
        <w:tc>
          <w:tcPr>
            <w:tcW w:w="198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Times New Roman" w:hAnsi="Times New Roman" w:eastAsia="方正仿宋简体" w:cs="Times New Roman"/>
                <w:b w:val="0"/>
                <w:bCs w:val="0"/>
                <w:kern w:val="0"/>
                <w:sz w:val="20"/>
                <w:szCs w:val="20"/>
                <w:lang w:val="en-US" w:eastAsia="zh-CN" w:bidi="ar"/>
              </w:rPr>
              <w:t>1</w:t>
            </w:r>
            <w:r>
              <w:rPr>
                <w:rFonts w:hint="default" w:ascii="方正仿宋简体" w:hAnsi="方正仿宋简体" w:eastAsia="方正仿宋简体" w:cs="方正仿宋简体"/>
                <w:b w:val="0"/>
                <w:bCs w:val="0"/>
                <w:kern w:val="0"/>
                <w:sz w:val="20"/>
                <w:szCs w:val="20"/>
                <w:lang w:val="en-US" w:eastAsia="zh-CN" w:bidi="ar"/>
              </w:rPr>
              <w:t>.信访举报投诉类申请</w:t>
            </w:r>
          </w:p>
        </w:tc>
        <w:tc>
          <w:tcPr>
            <w:tcW w:w="91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198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Times New Roman" w:hAnsi="Times New Roman" w:eastAsia="方正仿宋简体" w:cs="Times New Roman"/>
                <w:b w:val="0"/>
                <w:bCs w:val="0"/>
                <w:kern w:val="0"/>
                <w:sz w:val="20"/>
                <w:szCs w:val="20"/>
                <w:lang w:val="en-US" w:eastAsia="zh-CN" w:bidi="ar"/>
              </w:rPr>
              <w:t>2</w:t>
            </w:r>
            <w:r>
              <w:rPr>
                <w:rFonts w:hint="default" w:ascii="方正仿宋简体" w:hAnsi="方正仿宋简体" w:eastAsia="方正仿宋简体" w:cs="方正仿宋简体"/>
                <w:b w:val="0"/>
                <w:bCs w:val="0"/>
                <w:kern w:val="0"/>
                <w:sz w:val="20"/>
                <w:szCs w:val="20"/>
                <w:lang w:val="en-US" w:eastAsia="zh-CN" w:bidi="ar"/>
              </w:rPr>
              <w:t>.重复申请</w:t>
            </w:r>
          </w:p>
        </w:tc>
        <w:tc>
          <w:tcPr>
            <w:tcW w:w="91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198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Times New Roman" w:hAnsi="Times New Roman" w:eastAsia="方正仿宋简体" w:cs="Times New Roman"/>
                <w:b w:val="0"/>
                <w:bCs w:val="0"/>
                <w:kern w:val="0"/>
                <w:sz w:val="20"/>
                <w:szCs w:val="20"/>
                <w:lang w:val="en-US" w:eastAsia="zh-CN" w:bidi="ar"/>
              </w:rPr>
              <w:t>3</w:t>
            </w:r>
            <w:r>
              <w:rPr>
                <w:rFonts w:hint="default" w:ascii="方正仿宋简体" w:hAnsi="方正仿宋简体" w:eastAsia="方正仿宋简体" w:cs="方正仿宋简体"/>
                <w:b w:val="0"/>
                <w:bCs w:val="0"/>
                <w:kern w:val="0"/>
                <w:sz w:val="20"/>
                <w:szCs w:val="20"/>
                <w:lang w:val="en-US" w:eastAsia="zh-CN" w:bidi="ar"/>
              </w:rPr>
              <w:t>.要求提供公开出版物</w:t>
            </w:r>
          </w:p>
        </w:tc>
        <w:tc>
          <w:tcPr>
            <w:tcW w:w="91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198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Times New Roman" w:hAnsi="Times New Roman" w:eastAsia="方正仿宋简体" w:cs="Times New Roman"/>
                <w:b w:val="0"/>
                <w:bCs w:val="0"/>
                <w:kern w:val="0"/>
                <w:sz w:val="20"/>
                <w:szCs w:val="20"/>
                <w:lang w:val="en-US" w:eastAsia="zh-CN" w:bidi="ar"/>
              </w:rPr>
              <w:t>4</w:t>
            </w:r>
            <w:r>
              <w:rPr>
                <w:rFonts w:hint="default" w:ascii="方正仿宋简体" w:hAnsi="方正仿宋简体" w:eastAsia="方正仿宋简体" w:cs="方正仿宋简体"/>
                <w:b w:val="0"/>
                <w:bCs w:val="0"/>
                <w:kern w:val="0"/>
                <w:sz w:val="20"/>
                <w:szCs w:val="20"/>
                <w:lang w:val="en-US" w:eastAsia="zh-CN" w:bidi="ar"/>
              </w:rPr>
              <w:t>.无正当理由大量反复申请</w:t>
            </w:r>
          </w:p>
        </w:tc>
        <w:tc>
          <w:tcPr>
            <w:tcW w:w="91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198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Times New Roman" w:hAnsi="Times New Roman" w:eastAsia="方正仿宋简体" w:cs="Times New Roman"/>
                <w:b w:val="0"/>
                <w:bCs w:val="0"/>
                <w:kern w:val="0"/>
                <w:sz w:val="20"/>
                <w:szCs w:val="20"/>
                <w:lang w:val="en-US" w:eastAsia="zh-CN" w:bidi="ar"/>
              </w:rPr>
              <w:t>5</w:t>
            </w:r>
            <w:r>
              <w:rPr>
                <w:rFonts w:hint="default" w:ascii="方正仿宋简体" w:hAnsi="方正仿宋简体" w:eastAsia="方正仿宋简体" w:cs="方正仿宋简体"/>
                <w:b w:val="0"/>
                <w:bCs w:val="0"/>
                <w:kern w:val="0"/>
                <w:sz w:val="20"/>
                <w:szCs w:val="20"/>
                <w:lang w:val="en-US" w:eastAsia="zh-CN" w:bidi="ar"/>
              </w:rPr>
              <w:t>.要求行政机关确认或重新出具已获取信息</w:t>
            </w:r>
          </w:p>
        </w:tc>
        <w:tc>
          <w:tcPr>
            <w:tcW w:w="91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2835" w:type="dxa"/>
            <w:gridSpan w:val="2"/>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kern w:val="0"/>
                <w:sz w:val="20"/>
                <w:szCs w:val="20"/>
                <w:lang w:val="en-US" w:eastAsia="zh-CN" w:bidi="ar"/>
              </w:rPr>
              <w:t>（六）其他处理</w:t>
            </w:r>
          </w:p>
        </w:tc>
        <w:tc>
          <w:tcPr>
            <w:tcW w:w="91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2835" w:type="dxa"/>
            <w:gridSpan w:val="2"/>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kern w:val="0"/>
                <w:sz w:val="20"/>
                <w:szCs w:val="20"/>
                <w:lang w:val="en-US" w:eastAsia="zh-CN" w:bidi="ar"/>
              </w:rPr>
              <w:t>（七）总计</w:t>
            </w:r>
          </w:p>
        </w:tc>
        <w:tc>
          <w:tcPr>
            <w:tcW w:w="91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451"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sz w:val="24"/>
                <w:szCs w:val="24"/>
              </w:rPr>
            </w:pPr>
            <w:r>
              <w:rPr>
                <w:rFonts w:hint="default" w:ascii="方正仿宋简体" w:hAnsi="方正仿宋简体" w:eastAsia="方正仿宋简体" w:cs="方正仿宋简体"/>
                <w:b w:val="0"/>
                <w:bCs w:val="0"/>
                <w:kern w:val="0"/>
                <w:sz w:val="20"/>
                <w:szCs w:val="20"/>
                <w:lang w:val="en-US" w:eastAsia="zh-CN" w:bidi="ar"/>
              </w:rPr>
              <w:t>四、结转下年度继续办理</w:t>
            </w:r>
          </w:p>
        </w:tc>
        <w:tc>
          <w:tcPr>
            <w:tcW w:w="91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 0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0"/>
        <w:jc w:val="left"/>
        <w:rPr>
          <w:rFonts w:hint="eastAsia" w:ascii="微软雅黑" w:hAnsi="微软雅黑" w:eastAsia="微软雅黑" w:cs="微软雅黑"/>
          <w:i w:val="0"/>
          <w:iCs w:val="0"/>
          <w:caps w:val="0"/>
          <w:color w:val="000000"/>
          <w:spacing w:val="0"/>
          <w:sz w:val="24"/>
          <w:szCs w:val="24"/>
        </w:rPr>
      </w:pPr>
      <w:r>
        <w:rPr>
          <w:rFonts w:hint="eastAsia" w:ascii="黑体" w:hAnsi="宋体" w:eastAsia="黑体" w:cs="黑体"/>
          <w:i w:val="0"/>
          <w:iCs w:val="0"/>
          <w:caps w:val="0"/>
          <w:color w:val="000000"/>
          <w:spacing w:val="0"/>
          <w:kern w:val="0"/>
          <w:sz w:val="32"/>
          <w:szCs w:val="32"/>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000000"/>
          <w:spacing w:val="0"/>
          <w:sz w:val="24"/>
          <w:szCs w:val="24"/>
        </w:rPr>
      </w:pPr>
      <w:r>
        <w:rPr>
          <w:rFonts w:hint="eastAsia" w:ascii="黑体" w:hAnsi="宋体" w:eastAsia="黑体" w:cs="黑体"/>
          <w:i w:val="0"/>
          <w:iCs w:val="0"/>
          <w:caps w:val="0"/>
          <w:color w:val="000000"/>
          <w:spacing w:val="0"/>
          <w:kern w:val="0"/>
          <w:sz w:val="32"/>
          <w:szCs w:val="32"/>
          <w:shd w:val="clear" w:fill="FFFFFF"/>
          <w:lang w:val="en-US" w:eastAsia="zh-CN" w:bidi="ar"/>
        </w:rPr>
        <w:t>四、局信息公开行政复议、行政诉讼情况</w:t>
      </w:r>
    </w:p>
    <w:tbl>
      <w:tblPr>
        <w:tblStyle w:val="2"/>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jc w:val="center"/>
        </w:trPr>
        <w:tc>
          <w:tcPr>
            <w:tcW w:w="3074"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行政复议</w:t>
            </w:r>
          </w:p>
        </w:tc>
        <w:tc>
          <w:tcPr>
            <w:tcW w:w="5997" w:type="dxa"/>
            <w:gridSpan w:val="10"/>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行政诉讼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604"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结果维持</w:t>
            </w:r>
          </w:p>
        </w:tc>
        <w:tc>
          <w:tcPr>
            <w:tcW w:w="604" w:type="dxa"/>
            <w:vMerge w:val="restart"/>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结果纠正</w:t>
            </w:r>
          </w:p>
        </w:tc>
        <w:tc>
          <w:tcPr>
            <w:tcW w:w="604"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其他结果</w:t>
            </w:r>
          </w:p>
        </w:tc>
        <w:tc>
          <w:tcPr>
            <w:tcW w:w="604"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尚未审结</w:t>
            </w:r>
          </w:p>
        </w:tc>
        <w:tc>
          <w:tcPr>
            <w:tcW w:w="658"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总计</w:t>
            </w:r>
          </w:p>
        </w:tc>
        <w:tc>
          <w:tcPr>
            <w:tcW w:w="2970"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未经复议直接起诉</w:t>
            </w:r>
          </w:p>
        </w:tc>
        <w:tc>
          <w:tcPr>
            <w:tcW w:w="3027"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复议后起诉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88" w:hRule="atLeast"/>
          <w:jc w:val="center"/>
        </w:trPr>
        <w:tc>
          <w:tcPr>
            <w:tcW w:w="60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604" w:type="dxa"/>
            <w:vMerge w:val="continue"/>
            <w:tcBorders>
              <w:top w:val="nil"/>
              <w:left w:val="nil"/>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604"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604"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658"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jc w:val="left"/>
              <w:rPr>
                <w:rFonts w:hint="eastAsia" w:ascii="宋体"/>
                <w:b w:val="0"/>
                <w:bCs w:val="0"/>
                <w:sz w:val="24"/>
                <w:szCs w:val="24"/>
              </w:rPr>
            </w:pPr>
          </w:p>
        </w:tc>
        <w:tc>
          <w:tcPr>
            <w:tcW w:w="55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结果维持</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结果纠正</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其他结果</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尚未审结</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总计</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结果维持</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结果纠正</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其他结果</w:t>
            </w:r>
          </w:p>
        </w:tc>
        <w:tc>
          <w:tcPr>
            <w:tcW w:w="606" w:type="dxa"/>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尚未审结</w:t>
            </w:r>
          </w:p>
        </w:tc>
        <w:tc>
          <w:tcPr>
            <w:tcW w:w="606" w:type="dxa"/>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color w:val="000000"/>
                <w:kern w:val="0"/>
                <w:sz w:val="20"/>
                <w:szCs w:val="20"/>
                <w:lang w:val="en-US" w:eastAsia="zh-CN" w:bidi="ar"/>
              </w:rPr>
              <w:t>总计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604"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c>
          <w:tcPr>
            <w:tcW w:w="604"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c>
          <w:tcPr>
            <w:tcW w:w="604"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c>
          <w:tcPr>
            <w:tcW w:w="604"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c>
          <w:tcPr>
            <w:tcW w:w="65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c>
          <w:tcPr>
            <w:tcW w:w="55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c>
          <w:tcPr>
            <w:tcW w:w="606"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c>
          <w:tcPr>
            <w:tcW w:w="606"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24"/>
              </w:rPr>
            </w:pPr>
            <w:r>
              <w:rPr>
                <w:rFonts w:hint="default" w:ascii="方正仿宋简体" w:hAnsi="方正仿宋简体" w:eastAsia="方正仿宋简体" w:cs="方正仿宋简体"/>
                <w:b w:val="0"/>
                <w:bCs w:val="0"/>
                <w:kern w:val="0"/>
                <w:sz w:val="20"/>
                <w:szCs w:val="20"/>
                <w:lang w:val="en-US" w:eastAsia="zh-CN" w:bidi="ar"/>
              </w:rPr>
              <w:t>0 </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000000"/>
          <w:spacing w:val="0"/>
          <w:sz w:val="24"/>
          <w:szCs w:val="24"/>
        </w:rPr>
      </w:pPr>
      <w:r>
        <w:rPr>
          <w:rFonts w:hint="eastAsia" w:ascii="黑体" w:hAnsi="宋体" w:eastAsia="黑体" w:cs="黑体"/>
          <w:i w:val="0"/>
          <w:iCs w:val="0"/>
          <w:caps w:val="0"/>
          <w:color w:val="000000"/>
          <w:spacing w:val="0"/>
          <w:kern w:val="0"/>
          <w:sz w:val="32"/>
          <w:szCs w:val="32"/>
          <w:shd w:val="clear" w:fill="FFFFFF"/>
          <w:lang w:val="en-US" w:eastAsia="zh-CN" w:bidi="ar"/>
        </w:rPr>
        <w:t>五、存在的主要问题及改进情况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000000"/>
          <w:spacing w:val="0"/>
          <w:sz w:val="24"/>
          <w:szCs w:val="24"/>
        </w:rPr>
      </w:pPr>
      <w:r>
        <w:rPr>
          <w:rFonts w:ascii="楷体" w:hAnsi="楷体" w:eastAsia="楷体" w:cs="楷体"/>
          <w:b/>
          <w:bCs/>
          <w:i w:val="0"/>
          <w:iCs w:val="0"/>
          <w:caps w:val="0"/>
          <w:color w:val="000000"/>
          <w:spacing w:val="0"/>
          <w:kern w:val="0"/>
          <w:sz w:val="32"/>
          <w:szCs w:val="32"/>
          <w:shd w:val="clear" w:fill="FFFFFF"/>
          <w:lang w:val="en-US" w:eastAsia="zh-CN" w:bidi="ar"/>
        </w:rPr>
        <w:t>存在</w:t>
      </w:r>
      <w:r>
        <w:rPr>
          <w:rFonts w:hint="eastAsia" w:ascii="楷体" w:hAnsi="楷体" w:eastAsia="楷体" w:cs="楷体"/>
          <w:b/>
          <w:bCs/>
          <w:i w:val="0"/>
          <w:iCs w:val="0"/>
          <w:caps w:val="0"/>
          <w:color w:val="000000"/>
          <w:spacing w:val="0"/>
          <w:kern w:val="0"/>
          <w:sz w:val="32"/>
          <w:szCs w:val="32"/>
          <w:shd w:val="clear" w:fill="FFFFFF"/>
          <w:lang w:val="en-US" w:eastAsia="zh-CN" w:bidi="ar"/>
        </w:rPr>
        <w:t>的主要问题：</w:t>
      </w:r>
      <w:r>
        <w:rPr>
          <w:rFonts w:hint="eastAsia" w:ascii="仿宋_GB2312" w:hAnsi="微软雅黑" w:eastAsia="仿宋_GB2312" w:cs="仿宋_GB2312"/>
          <w:i w:val="0"/>
          <w:iCs w:val="0"/>
          <w:caps w:val="0"/>
          <w:color w:val="000000"/>
          <w:spacing w:val="0"/>
          <w:kern w:val="0"/>
          <w:sz w:val="32"/>
          <w:szCs w:val="32"/>
          <w:shd w:val="clear" w:fill="FFFFFF"/>
          <w:lang w:val="en-US" w:eastAsia="zh-CN" w:bidi="ar"/>
        </w:rPr>
        <w:t>一是局信息主动公开的意识还需要进一步提高。二是局信息公开工作的配套制度和工作机制还需要进一步完善。三是局信息网上办事功能需进一步提高。</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left"/>
        <w:rPr>
          <w:rFonts w:hint="eastAsia" w:ascii="微软雅黑" w:hAnsi="微软雅黑" w:eastAsia="微软雅黑" w:cs="微软雅黑"/>
          <w:i w:val="0"/>
          <w:iCs w:val="0"/>
          <w:caps w:val="0"/>
          <w:color w:val="000000"/>
          <w:spacing w:val="0"/>
          <w:sz w:val="24"/>
          <w:szCs w:val="24"/>
        </w:rPr>
      </w:pPr>
      <w:r>
        <w:rPr>
          <w:rFonts w:hint="eastAsia" w:ascii="楷体" w:hAnsi="楷体" w:eastAsia="楷体" w:cs="楷体"/>
          <w:b/>
          <w:bCs/>
          <w:i w:val="0"/>
          <w:iCs w:val="0"/>
          <w:caps w:val="0"/>
          <w:color w:val="000000"/>
          <w:spacing w:val="0"/>
          <w:kern w:val="0"/>
          <w:sz w:val="32"/>
          <w:szCs w:val="32"/>
          <w:shd w:val="clear" w:fill="FFFFFF"/>
          <w:lang w:val="en-US" w:eastAsia="zh-CN" w:bidi="ar"/>
        </w:rPr>
        <w:t>改进方向：</w:t>
      </w:r>
      <w:r>
        <w:rPr>
          <w:rFonts w:hint="eastAsia" w:ascii="仿宋_GB2312" w:hAnsi="微软雅黑" w:eastAsia="仿宋_GB2312" w:cs="仿宋_GB2312"/>
          <w:b/>
          <w:bCs/>
          <w:i w:val="0"/>
          <w:iCs w:val="0"/>
          <w:caps w:val="0"/>
          <w:color w:val="000000"/>
          <w:spacing w:val="0"/>
          <w:kern w:val="0"/>
          <w:sz w:val="32"/>
          <w:szCs w:val="32"/>
          <w:shd w:val="clear" w:fill="FFFFFF"/>
          <w:lang w:val="en-US" w:eastAsia="zh-CN" w:bidi="ar"/>
        </w:rPr>
        <w:t>一是进一步提高思想认识。</w:t>
      </w:r>
      <w:r>
        <w:rPr>
          <w:rFonts w:hint="eastAsia" w:ascii="仿宋_GB2312" w:hAnsi="微软雅黑" w:eastAsia="仿宋_GB2312" w:cs="仿宋_GB2312"/>
          <w:i w:val="0"/>
          <w:iCs w:val="0"/>
          <w:caps w:val="0"/>
          <w:color w:val="000000"/>
          <w:spacing w:val="0"/>
          <w:kern w:val="0"/>
          <w:sz w:val="32"/>
          <w:szCs w:val="32"/>
          <w:shd w:val="clear" w:fill="FFFFFF"/>
          <w:lang w:val="en-US" w:eastAsia="zh-CN" w:bidi="ar"/>
        </w:rPr>
        <w:t>组织学习《中华人民共和国政府信息公开条例》，对照条例，认真理清我局政务公开事项，查漏补缺，充分领会和落实局信息公开要求；</w:t>
      </w:r>
      <w:r>
        <w:rPr>
          <w:rFonts w:hint="eastAsia" w:ascii="仿宋_GB2312" w:hAnsi="微软雅黑" w:eastAsia="仿宋_GB2312" w:cs="仿宋_GB2312"/>
          <w:b/>
          <w:bCs/>
          <w:i w:val="0"/>
          <w:iCs w:val="0"/>
          <w:caps w:val="0"/>
          <w:color w:val="000000"/>
          <w:spacing w:val="0"/>
          <w:kern w:val="0"/>
          <w:sz w:val="32"/>
          <w:szCs w:val="32"/>
          <w:shd w:val="clear" w:fill="FFFFFF"/>
          <w:lang w:val="en-US" w:eastAsia="zh-CN" w:bidi="ar"/>
        </w:rPr>
        <w:t>二是进一步健全和落实政务公开制度。</w:t>
      </w:r>
      <w:r>
        <w:rPr>
          <w:rFonts w:hint="eastAsia" w:ascii="仿宋_GB2312" w:hAnsi="微软雅黑" w:eastAsia="仿宋_GB2312" w:cs="仿宋_GB2312"/>
          <w:i w:val="0"/>
          <w:iCs w:val="0"/>
          <w:caps w:val="0"/>
          <w:color w:val="000000"/>
          <w:spacing w:val="0"/>
          <w:kern w:val="0"/>
          <w:sz w:val="32"/>
          <w:szCs w:val="32"/>
          <w:shd w:val="clear" w:fill="FFFFFF"/>
          <w:lang w:val="en-US" w:eastAsia="zh-CN" w:bidi="ar"/>
        </w:rPr>
        <w:t>进一步整合信息资源，不断拓展公开内容，提高公开质量。更广更多更快地公开信息；</w:t>
      </w:r>
      <w:r>
        <w:rPr>
          <w:rFonts w:hint="eastAsia" w:ascii="仿宋_GB2312" w:hAnsi="微软雅黑" w:eastAsia="仿宋_GB2312" w:cs="仿宋_GB2312"/>
          <w:b/>
          <w:bCs/>
          <w:i w:val="0"/>
          <w:iCs w:val="0"/>
          <w:caps w:val="0"/>
          <w:color w:val="000000"/>
          <w:spacing w:val="0"/>
          <w:kern w:val="0"/>
          <w:sz w:val="32"/>
          <w:szCs w:val="32"/>
          <w:shd w:val="clear" w:fill="FFFFFF"/>
          <w:lang w:val="en-US" w:eastAsia="zh-CN" w:bidi="ar"/>
        </w:rPr>
        <w:t>三是进一步强化日常管理。</w:t>
      </w:r>
      <w:r>
        <w:rPr>
          <w:rFonts w:hint="eastAsia" w:ascii="仿宋_GB2312" w:hAnsi="微软雅黑" w:eastAsia="仿宋_GB2312" w:cs="仿宋_GB2312"/>
          <w:i w:val="0"/>
          <w:iCs w:val="0"/>
          <w:caps w:val="0"/>
          <w:color w:val="000000"/>
          <w:spacing w:val="0"/>
          <w:kern w:val="0"/>
          <w:sz w:val="32"/>
          <w:szCs w:val="32"/>
          <w:shd w:val="clear" w:fill="FFFFFF"/>
          <w:lang w:val="en-US" w:eastAsia="zh-CN" w:bidi="ar"/>
        </w:rPr>
        <w:t>将局信息公开工作和日常业务工作紧密结合，进一步强化主动公开的局信息相关文件资料和汇总表的报送工作，增强信息互动，创新公开形式，强化公开监督。</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left"/>
        <w:rPr>
          <w:rFonts w:hint="eastAsia" w:ascii="微软雅黑" w:hAnsi="微软雅黑" w:eastAsia="微软雅黑" w:cs="微软雅黑"/>
          <w:i w:val="0"/>
          <w:iCs w:val="0"/>
          <w:caps w:val="0"/>
          <w:color w:val="000000"/>
          <w:spacing w:val="0"/>
          <w:sz w:val="24"/>
          <w:szCs w:val="24"/>
        </w:rPr>
      </w:pPr>
      <w:r>
        <w:rPr>
          <w:rFonts w:hint="eastAsia" w:ascii="黑体" w:hAnsi="宋体" w:eastAsia="黑体" w:cs="黑体"/>
          <w:i w:val="0"/>
          <w:iCs w:val="0"/>
          <w:caps w:val="0"/>
          <w:color w:val="000000"/>
          <w:spacing w:val="0"/>
          <w:kern w:val="0"/>
          <w:sz w:val="32"/>
          <w:szCs w:val="32"/>
          <w:shd w:val="clear" w:fill="FFFFFF"/>
          <w:lang w:val="en-US" w:eastAsia="zh-CN" w:bidi="ar"/>
        </w:rPr>
        <w:t>六、其他需要报告的事项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left"/>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kern w:val="0"/>
          <w:sz w:val="32"/>
          <w:szCs w:val="32"/>
          <w:shd w:val="clear" w:fill="FFFFFF"/>
          <w:lang w:val="en-US" w:eastAsia="zh-CN" w:bidi="ar"/>
        </w:rPr>
        <w:t>无其他需要报告事项。</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仿宋简体">
    <w:altName w:val="微软雅黑"/>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zMDkzNzdhMTU4YTI1Yjg0YjM5MjNkOTYzYzgxNDQifQ=="/>
  </w:docVars>
  <w:rsids>
    <w:rsidRoot w:val="00000000"/>
    <w:rsid w:val="4E9D16A1"/>
    <w:rsid w:val="5C9709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1604</Words>
  <Characters>1787</Characters>
  <Lines>0</Lines>
  <Paragraphs>0</Paragraphs>
  <TotalTime>6</TotalTime>
  <ScaleCrop>false</ScaleCrop>
  <LinksUpToDate>false</LinksUpToDate>
  <CharactersWithSpaces>1807</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2023-01-31T08:59:00Z</dcterms:created>
  <dc:creator>Administrator</dc:creator>
  <cp:lastModifiedBy>Administrator</cp:lastModifiedBy>
  <dcterms:modified xsi:type="dcterms:W3CDTF">2023-01-31T09:06:54Z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7998CC2C91604E8494146A24B13C8539</vt:lpwstr>
  </property>
</Properties>
</file>