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仿宋_GB2312" w:hAnsi="仿宋_GB2312" w:eastAsia="仿宋_GB2312" w:cs="仿宋_GB2312"/>
          <w:sz w:val="32"/>
          <w:szCs w:val="32"/>
        </w:rPr>
      </w:pPr>
    </w:p>
    <w:p>
      <w:pPr>
        <w:ind w:firstLine="320" w:firstLineChars="100"/>
        <w:rPr>
          <w:rFonts w:hint="eastAsia" w:ascii="仿宋_GB2312" w:hAnsi="仿宋_GB2312" w:eastAsia="仿宋_GB2312" w:cs="仿宋_GB2312"/>
          <w:sz w:val="32"/>
          <w:szCs w:val="32"/>
        </w:rPr>
      </w:pPr>
    </w:p>
    <w:p>
      <w:pPr>
        <w:ind w:firstLine="320" w:firstLineChars="100"/>
        <w:rPr>
          <w:rFonts w:hint="eastAsia" w:ascii="仿宋_GB2312" w:hAnsi="仿宋_GB2312" w:eastAsia="仿宋_GB2312" w:cs="仿宋_GB2312"/>
          <w:sz w:val="32"/>
          <w:szCs w:val="32"/>
        </w:rPr>
      </w:pPr>
    </w:p>
    <w:p>
      <w:pPr>
        <w:ind w:firstLine="320" w:firstLineChars="100"/>
        <w:rPr>
          <w:rFonts w:hint="eastAsia" w:ascii="仿宋_GB2312" w:hAnsi="仿宋_GB2312" w:eastAsia="仿宋_GB2312" w:cs="仿宋_GB2312"/>
          <w:sz w:val="32"/>
          <w:szCs w:val="32"/>
        </w:rPr>
      </w:pPr>
    </w:p>
    <w:p>
      <w:pPr>
        <w:ind w:firstLine="320" w:firstLineChars="100"/>
        <w:rPr>
          <w:rFonts w:hint="eastAsia" w:ascii="仿宋_GB2312" w:hAnsi="仿宋_GB2312" w:eastAsia="仿宋_GB2312" w:cs="仿宋_GB2312"/>
          <w:sz w:val="32"/>
          <w:szCs w:val="32"/>
        </w:rPr>
      </w:pPr>
    </w:p>
    <w:p>
      <w:pPr>
        <w:ind w:firstLine="320" w:firstLineChars="100"/>
        <w:rPr>
          <w:rFonts w:hint="eastAsia" w:ascii="仿宋_GB2312" w:hAnsi="仿宋_GB2312" w:eastAsia="仿宋_GB2312" w:cs="仿宋_GB2312"/>
          <w:sz w:val="32"/>
          <w:szCs w:val="32"/>
        </w:rPr>
      </w:pPr>
    </w:p>
    <w:p>
      <w:pPr>
        <w:ind w:firstLine="320" w:firstLineChars="100"/>
        <w:rPr>
          <w:rFonts w:hint="eastAsia" w:ascii="仿宋_GB2312" w:hAnsi="仿宋_GB2312" w:eastAsia="仿宋_GB2312" w:cs="仿宋_GB2312"/>
          <w:sz w:val="32"/>
          <w:szCs w:val="32"/>
        </w:rPr>
      </w:pPr>
    </w:p>
    <w:p>
      <w:pPr>
        <w:ind w:firstLine="320" w:firstLineChars="100"/>
        <w:rPr>
          <w:rFonts w:hint="eastAsia" w:ascii="仿宋_GB2312" w:hAnsi="仿宋_GB2312" w:eastAsia="仿宋_GB2312" w:cs="仿宋_GB2312"/>
          <w:sz w:val="32"/>
          <w:szCs w:val="32"/>
        </w:rPr>
      </w:pPr>
    </w:p>
    <w:p>
      <w:pPr>
        <w:ind w:firstLine="320" w:firstLineChars="1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炉</w:t>
      </w:r>
      <w:r>
        <w:rPr>
          <w:rFonts w:hint="eastAsia" w:ascii="仿宋_GB2312" w:hAnsi="仿宋_GB2312" w:eastAsia="仿宋_GB2312" w:cs="仿宋_GB2312"/>
          <w:sz w:val="32"/>
          <w:szCs w:val="32"/>
          <w:lang w:eastAsia="zh-CN"/>
        </w:rPr>
        <w:t>乡振</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号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签发人：</w:t>
      </w:r>
      <w:r>
        <w:rPr>
          <w:rFonts w:hint="eastAsia" w:ascii="仿宋_GB2312" w:hAnsi="仿宋_GB2312" w:eastAsia="仿宋_GB2312" w:cs="仿宋_GB2312"/>
          <w:sz w:val="32"/>
          <w:szCs w:val="32"/>
          <w:lang w:eastAsia="zh-CN"/>
        </w:rPr>
        <w:t>郭礼峰</w:t>
      </w:r>
    </w:p>
    <w:p>
      <w:pPr>
        <w:ind w:left="210" w:leftChars="100" w:firstLine="440" w:firstLineChars="100"/>
        <w:rPr>
          <w:rFonts w:hint="eastAsia" w:ascii="黑体" w:eastAsia="黑体"/>
          <w:sz w:val="44"/>
          <w:szCs w:val="44"/>
        </w:rPr>
      </w:pPr>
    </w:p>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jc w:val="center"/>
        <w:textAlignment w:val="auto"/>
        <w:rPr>
          <w:rFonts w:hint="eastAsia" w:ascii="方正小标宋简体" w:hAnsi="宋体" w:eastAsia="方正小标宋简体" w:cs="宋体"/>
          <w:b/>
          <w:bCs/>
          <w:color w:val="333333"/>
          <w:kern w:val="0"/>
          <w:sz w:val="44"/>
          <w:szCs w:val="44"/>
          <w:shd w:val="clear" w:color="auto" w:fill="FFFFFF"/>
        </w:rPr>
      </w:pPr>
      <w:r>
        <w:rPr>
          <w:rFonts w:hint="eastAsia" w:ascii="方正小标宋简体" w:hAnsi="宋体" w:eastAsia="方正小标宋简体" w:cs="宋体"/>
          <w:b/>
          <w:bCs/>
          <w:color w:val="333333"/>
          <w:kern w:val="0"/>
          <w:sz w:val="44"/>
          <w:szCs w:val="44"/>
          <w:shd w:val="clear" w:color="auto" w:fill="FFFFFF"/>
          <w:lang w:eastAsia="zh-CN"/>
        </w:rPr>
        <w:t>炉霍</w:t>
      </w:r>
      <w:r>
        <w:rPr>
          <w:rFonts w:hint="eastAsia" w:ascii="方正小标宋简体" w:hAnsi="宋体" w:eastAsia="方正小标宋简体" w:cs="宋体"/>
          <w:b/>
          <w:bCs/>
          <w:color w:val="333333"/>
          <w:kern w:val="0"/>
          <w:sz w:val="44"/>
          <w:szCs w:val="44"/>
          <w:shd w:val="clear" w:color="auto" w:fill="FFFFFF"/>
        </w:rPr>
        <w:t>县</w:t>
      </w:r>
      <w:r>
        <w:rPr>
          <w:rFonts w:hint="eastAsia" w:ascii="方正小标宋简体" w:hAnsi="宋体" w:eastAsia="方正小标宋简体" w:cs="宋体"/>
          <w:b/>
          <w:bCs/>
          <w:color w:val="333333"/>
          <w:kern w:val="0"/>
          <w:sz w:val="44"/>
          <w:szCs w:val="44"/>
          <w:shd w:val="clear" w:color="auto" w:fill="FFFFFF"/>
          <w:lang w:eastAsia="zh-CN"/>
        </w:rPr>
        <w:t>乡村振兴</w:t>
      </w:r>
      <w:r>
        <w:rPr>
          <w:rFonts w:hint="eastAsia" w:ascii="方正小标宋简体" w:hAnsi="宋体" w:eastAsia="方正小标宋简体" w:cs="宋体"/>
          <w:b/>
          <w:bCs/>
          <w:color w:val="333333"/>
          <w:kern w:val="0"/>
          <w:sz w:val="44"/>
          <w:szCs w:val="44"/>
          <w:shd w:val="clear" w:color="auto" w:fill="FFFFFF"/>
        </w:rPr>
        <w:t>局</w:t>
      </w:r>
    </w:p>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jc w:val="center"/>
        <w:textAlignment w:val="auto"/>
        <w:rPr>
          <w:rFonts w:ascii="å®‹ä½“" w:hAnsi="宋体" w:eastAsia="å®‹ä½“" w:cs="宋体"/>
          <w:b/>
          <w:bCs/>
          <w:color w:val="333333"/>
          <w:kern w:val="0"/>
          <w:sz w:val="44"/>
          <w:szCs w:val="44"/>
        </w:rPr>
      </w:pPr>
      <w:r>
        <w:rPr>
          <w:rFonts w:hint="eastAsia" w:ascii="方正小标宋简体" w:hAnsi="宋体" w:eastAsia="方正小标宋简体" w:cs="宋体"/>
          <w:b/>
          <w:bCs/>
          <w:color w:val="333333"/>
          <w:kern w:val="0"/>
          <w:sz w:val="44"/>
          <w:szCs w:val="44"/>
          <w:shd w:val="clear" w:color="auto" w:fill="FFFFFF"/>
        </w:rPr>
        <w:t>202</w:t>
      </w:r>
      <w:r>
        <w:rPr>
          <w:rFonts w:hint="eastAsia" w:ascii="方正小标宋简体" w:hAnsi="宋体" w:eastAsia="方正小标宋简体" w:cs="宋体"/>
          <w:b/>
          <w:bCs/>
          <w:color w:val="333333"/>
          <w:kern w:val="0"/>
          <w:sz w:val="44"/>
          <w:szCs w:val="44"/>
          <w:shd w:val="clear" w:color="auto" w:fill="FFFFFF"/>
          <w:lang w:val="en-US" w:eastAsia="zh-CN"/>
        </w:rPr>
        <w:t>2</w:t>
      </w:r>
      <w:r>
        <w:rPr>
          <w:rFonts w:hint="eastAsia" w:ascii="方正小标宋简体" w:hAnsi="宋体" w:eastAsia="方正小标宋简体" w:cs="宋体"/>
          <w:b/>
          <w:bCs/>
          <w:color w:val="333333"/>
          <w:kern w:val="0"/>
          <w:sz w:val="44"/>
          <w:szCs w:val="44"/>
          <w:shd w:val="clear" w:color="auto" w:fill="FFFFFF"/>
        </w:rPr>
        <w:t>年政府信息公开工作年度报告</w:t>
      </w:r>
    </w:p>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ind w:firstLine="480"/>
        <w:textAlignment w:val="auto"/>
        <w:rPr>
          <w:rFonts w:hint="eastAsia" w:ascii="å®‹ä½“" w:hAnsi="宋体" w:eastAsia="å®‹ä½“" w:cs="宋体"/>
          <w:color w:val="333333"/>
          <w:kern w:val="0"/>
          <w:sz w:val="24"/>
          <w:szCs w:val="24"/>
        </w:rPr>
      </w:pPr>
      <w:r>
        <w:rPr>
          <w:rFonts w:hint="eastAsia" w:ascii="MS Mincho" w:hAnsi="MS Mincho" w:eastAsia="MS Mincho" w:cs="MS Mincho"/>
          <w:color w:val="333333"/>
          <w:kern w:val="0"/>
          <w:sz w:val="24"/>
          <w:szCs w:val="24"/>
        </w:rPr>
        <w:t> </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w:t>
      </w:r>
      <w:r>
        <w:rPr>
          <w:rFonts w:hint="eastAsia" w:ascii="仿宋_GB2312" w:hAnsi="宋体" w:eastAsia="仿宋_GB2312" w:cs="宋体"/>
          <w:color w:val="auto"/>
          <w:kern w:val="0"/>
          <w:sz w:val="32"/>
          <w:szCs w:val="32"/>
          <w:lang w:val="en-US" w:eastAsia="zh-CN"/>
        </w:rPr>
        <w:t>年度</w:t>
      </w:r>
      <w:r>
        <w:rPr>
          <w:rFonts w:hint="eastAsia" w:ascii="仿宋_GB2312" w:hAnsi="宋体" w:eastAsia="仿宋_GB2312" w:cs="宋体"/>
          <w:color w:val="auto"/>
          <w:kern w:val="0"/>
          <w:sz w:val="32"/>
          <w:szCs w:val="32"/>
        </w:rPr>
        <w:t>报告依据《中华人民共和国政府信息公开条例》(国令第711号)、《国务院办公厅政府信息与政务公开办公室关于印发〈中华人民共和国政府信息公开工作年度报告格式〉的通知》(国办公开办函〔2021〕30号)</w:t>
      </w:r>
      <w:r>
        <w:rPr>
          <w:rFonts w:hint="eastAsia" w:ascii="仿宋_GB2312" w:hAnsi="宋体" w:eastAsia="仿宋_GB2312" w:cs="宋体"/>
          <w:color w:val="auto"/>
          <w:kern w:val="0"/>
          <w:sz w:val="32"/>
          <w:szCs w:val="32"/>
          <w:lang w:val="en-US" w:eastAsia="zh-CN"/>
        </w:rPr>
        <w:t>等文件</w:t>
      </w:r>
      <w:r>
        <w:rPr>
          <w:rFonts w:hint="eastAsia" w:ascii="仿宋_GB2312" w:hAnsi="宋体" w:eastAsia="仿宋_GB2312" w:cs="宋体"/>
          <w:color w:val="auto"/>
          <w:kern w:val="0"/>
          <w:sz w:val="32"/>
          <w:szCs w:val="32"/>
        </w:rPr>
        <w:t>要求，</w:t>
      </w:r>
      <w:r>
        <w:rPr>
          <w:rFonts w:hint="eastAsia" w:ascii="仿宋_GB2312" w:hAnsi="宋体" w:eastAsia="仿宋_GB2312" w:cs="宋体"/>
          <w:color w:val="auto"/>
          <w:kern w:val="0"/>
          <w:sz w:val="32"/>
          <w:szCs w:val="32"/>
          <w:lang w:val="en-US" w:eastAsia="zh-CN"/>
        </w:rPr>
        <w:t>由炉霍县乡村振兴局编制</w:t>
      </w:r>
      <w:r>
        <w:rPr>
          <w:rFonts w:hint="eastAsia" w:ascii="仿宋_GB2312" w:hAnsi="宋体" w:eastAsia="仿宋_GB2312" w:cs="宋体"/>
          <w:color w:val="auto"/>
          <w:kern w:val="0"/>
          <w:sz w:val="32"/>
          <w:szCs w:val="32"/>
        </w:rPr>
        <w:t>。全文内容包括我局202</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年度政府信息公开总体情况、主动公开政府信息情况、收到和处理政府信息公开申请情况、政府信息公开行政复议和行政诉讼情况，存在的主要问题及改进情况，以及其他需报告的事项。本年度报告中所列数据统计期限从202</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年1月1日至12月31日止。</w:t>
      </w:r>
    </w:p>
    <w:p>
      <w:pPr>
        <w:keepNext w:val="0"/>
        <w:keepLines w:val="0"/>
        <w:pageBreakBefore w:val="0"/>
        <w:widowControl/>
        <w:kinsoku/>
        <w:wordWrap/>
        <w:overflowPunct/>
        <w:topLinePunct w:val="0"/>
        <w:autoSpaceDE/>
        <w:autoSpaceDN/>
        <w:bidi w:val="0"/>
        <w:adjustRightInd w:val="0"/>
        <w:snapToGrid w:val="0"/>
        <w:spacing w:line="576" w:lineRule="exact"/>
        <w:ind w:firstLine="640"/>
        <w:jc w:val="both"/>
        <w:textAlignment w:val="auto"/>
        <w:rPr>
          <w:rFonts w:hint="eastAsia" w:ascii="å®‹ä½“" w:hAnsi="宋体" w:eastAsia="å®‹ä½“" w:cs="宋体"/>
          <w:b/>
          <w:bCs/>
          <w:color w:val="333333"/>
          <w:kern w:val="0"/>
          <w:sz w:val="32"/>
          <w:szCs w:val="32"/>
        </w:rPr>
      </w:pPr>
      <w:r>
        <w:rPr>
          <w:rFonts w:hint="eastAsia" w:ascii="黑体" w:hAnsi="黑体" w:eastAsia="黑体" w:cs="宋体"/>
          <w:b/>
          <w:bCs/>
          <w:color w:val="333333"/>
          <w:kern w:val="0"/>
          <w:sz w:val="32"/>
          <w:szCs w:val="32"/>
        </w:rPr>
        <w:t>一、总体情况</w:t>
      </w:r>
    </w:p>
    <w:p>
      <w:pPr>
        <w:keepNext w:val="0"/>
        <w:keepLines w:val="0"/>
        <w:pageBreakBefore w:val="0"/>
        <w:widowControl/>
        <w:kinsoku/>
        <w:wordWrap/>
        <w:overflowPunct/>
        <w:topLinePunct w:val="0"/>
        <w:autoSpaceDE/>
        <w:autoSpaceDN/>
        <w:bidi w:val="0"/>
        <w:adjustRightInd w:val="0"/>
        <w:snapToGrid w:val="0"/>
        <w:spacing w:line="576" w:lineRule="exact"/>
        <w:ind w:firstLine="64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炉霍县乡村振兴</w:t>
      </w:r>
      <w:r>
        <w:rPr>
          <w:rFonts w:hint="eastAsia" w:ascii="仿宋_GB2312" w:hAnsi="仿宋_GB2312" w:eastAsia="仿宋_GB2312" w:cs="仿宋_GB2312"/>
          <w:color w:val="333333"/>
          <w:kern w:val="0"/>
          <w:sz w:val="32"/>
          <w:szCs w:val="32"/>
        </w:rPr>
        <w:t>局坚决贯彻党的二十大和习近平总书记来川视察重要指示精神，认真落实省委十二届二次全会和</w:t>
      </w:r>
      <w:r>
        <w:rPr>
          <w:rFonts w:hint="eastAsia" w:ascii="仿宋_GB2312" w:hAnsi="仿宋_GB2312" w:eastAsia="仿宋_GB2312" w:cs="仿宋_GB2312"/>
          <w:color w:val="333333"/>
          <w:kern w:val="0"/>
          <w:sz w:val="32"/>
          <w:szCs w:val="32"/>
          <w:lang w:val="en-US" w:eastAsia="zh-CN"/>
        </w:rPr>
        <w:t>州</w:t>
      </w:r>
      <w:r>
        <w:rPr>
          <w:rFonts w:hint="eastAsia" w:ascii="仿宋_GB2312" w:hAnsi="仿宋_GB2312" w:eastAsia="仿宋_GB2312" w:cs="仿宋_GB2312"/>
          <w:color w:val="333333"/>
          <w:kern w:val="0"/>
          <w:sz w:val="32"/>
          <w:szCs w:val="32"/>
        </w:rPr>
        <w:t>委</w:t>
      </w:r>
      <w:r>
        <w:rPr>
          <w:rFonts w:hint="eastAsia" w:ascii="仿宋_GB2312" w:hAnsi="仿宋_GB2312" w:eastAsia="仿宋_GB2312" w:cs="仿宋_GB2312"/>
          <w:color w:val="333333"/>
          <w:kern w:val="0"/>
          <w:sz w:val="32"/>
          <w:szCs w:val="32"/>
          <w:lang w:val="en-US" w:eastAsia="zh-CN"/>
        </w:rPr>
        <w:t>州</w:t>
      </w:r>
      <w:r>
        <w:rPr>
          <w:rFonts w:hint="eastAsia" w:ascii="仿宋_GB2312" w:hAnsi="仿宋_GB2312" w:eastAsia="仿宋_GB2312" w:cs="仿宋_GB2312"/>
          <w:color w:val="333333"/>
          <w:kern w:val="0"/>
          <w:sz w:val="32"/>
          <w:szCs w:val="32"/>
        </w:rPr>
        <w:t>政府决策部署，严格按照《中华人民共和国政府信息公开条例》有关要求，通过</w:t>
      </w:r>
      <w:r>
        <w:rPr>
          <w:rFonts w:hint="eastAsia" w:ascii="仿宋_GB2312" w:hAnsi="仿宋_GB2312" w:eastAsia="仿宋_GB2312" w:cs="仿宋_GB2312"/>
          <w:color w:val="333333"/>
          <w:kern w:val="0"/>
          <w:sz w:val="32"/>
          <w:szCs w:val="32"/>
          <w:lang w:val="en-US" w:eastAsia="zh-CN"/>
        </w:rPr>
        <w:t>炉霍县</w:t>
      </w:r>
      <w:r>
        <w:rPr>
          <w:rFonts w:hint="eastAsia" w:ascii="仿宋_GB2312" w:hAnsi="仿宋_GB2312" w:eastAsia="仿宋_GB2312" w:cs="仿宋_GB2312"/>
          <w:color w:val="333333"/>
          <w:kern w:val="0"/>
          <w:sz w:val="32"/>
          <w:szCs w:val="32"/>
        </w:rPr>
        <w:t>人民政府网站依法公开信息。</w:t>
      </w:r>
    </w:p>
    <w:p>
      <w:pPr>
        <w:keepNext w:val="0"/>
        <w:keepLines w:val="0"/>
        <w:pageBreakBefore w:val="0"/>
        <w:widowControl/>
        <w:kinsoku/>
        <w:wordWrap/>
        <w:overflowPunct/>
        <w:topLinePunct w:val="0"/>
        <w:autoSpaceDE/>
        <w:autoSpaceDN/>
        <w:bidi w:val="0"/>
        <w:adjustRightInd w:val="0"/>
        <w:snapToGrid w:val="0"/>
        <w:spacing w:line="576" w:lineRule="exact"/>
        <w:ind w:firstLine="640"/>
        <w:jc w:val="both"/>
        <w:textAlignment w:val="auto"/>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（一）主动公开政府信息情况</w:t>
      </w:r>
    </w:p>
    <w:p>
      <w:pPr>
        <w:keepNext w:val="0"/>
        <w:keepLines w:val="0"/>
        <w:pageBreakBefore w:val="0"/>
        <w:widowControl/>
        <w:kinsoku/>
        <w:wordWrap/>
        <w:overflowPunct/>
        <w:topLinePunct w:val="0"/>
        <w:autoSpaceDE/>
        <w:autoSpaceDN/>
        <w:bidi w:val="0"/>
        <w:adjustRightInd w:val="0"/>
        <w:snapToGrid w:val="0"/>
        <w:spacing w:line="576" w:lineRule="exact"/>
        <w:ind w:firstLine="64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坚持“以公开为常态、不公开为例外”原则，树立“多主动公开，少申请公开”工作思路，主动公开政府信息</w:t>
      </w:r>
      <w:r>
        <w:rPr>
          <w:rFonts w:hint="eastAsia" w:ascii="仿宋_GB2312" w:hAnsi="仿宋_GB2312" w:eastAsia="仿宋_GB2312" w:cs="仿宋_GB2312"/>
          <w:color w:val="333333"/>
          <w:kern w:val="0"/>
          <w:sz w:val="32"/>
          <w:szCs w:val="32"/>
          <w:lang w:val="en-US" w:eastAsia="zh-CN"/>
        </w:rPr>
        <w:t>15</w:t>
      </w:r>
      <w:r>
        <w:rPr>
          <w:rFonts w:hint="eastAsia" w:ascii="仿宋_GB2312" w:hAnsi="仿宋_GB2312" w:eastAsia="仿宋_GB2312" w:cs="仿宋_GB2312"/>
          <w:color w:val="333333"/>
          <w:kern w:val="0"/>
          <w:sz w:val="32"/>
          <w:szCs w:val="32"/>
        </w:rPr>
        <w:t>件。</w:t>
      </w:r>
    </w:p>
    <w:p>
      <w:pPr>
        <w:keepNext w:val="0"/>
        <w:keepLines w:val="0"/>
        <w:pageBreakBefore w:val="0"/>
        <w:widowControl/>
        <w:kinsoku/>
        <w:wordWrap/>
        <w:overflowPunct/>
        <w:topLinePunct w:val="0"/>
        <w:autoSpaceDE/>
        <w:autoSpaceDN/>
        <w:bidi w:val="0"/>
        <w:adjustRightInd w:val="0"/>
        <w:snapToGrid w:val="0"/>
        <w:spacing w:line="576" w:lineRule="exact"/>
        <w:ind w:firstLine="640"/>
        <w:jc w:val="both"/>
        <w:textAlignment w:val="auto"/>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（二）依申请公开情况</w:t>
      </w:r>
    </w:p>
    <w:p>
      <w:pPr>
        <w:keepNext w:val="0"/>
        <w:keepLines w:val="0"/>
        <w:pageBreakBefore w:val="0"/>
        <w:widowControl/>
        <w:kinsoku/>
        <w:wordWrap/>
        <w:overflowPunct/>
        <w:topLinePunct w:val="0"/>
        <w:autoSpaceDE/>
        <w:autoSpaceDN/>
        <w:bidi w:val="0"/>
        <w:adjustRightInd w:val="0"/>
        <w:snapToGrid w:val="0"/>
        <w:spacing w:line="576" w:lineRule="exact"/>
        <w:ind w:firstLine="64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年，我局按照政府信息公开相关工作规程，加强对依申请公开受理、登记、会商、复核、答复、归档等环节管理，做到严格按时依法答复、程序实体合法合规。同时将处理信息、行政复议、行政诉讼情况进行台账管理，实现办理工作全过程记录。充分发挥行政复议制度优势，统一案件审理标准，加大监督力度。认真贯彻执行国家政府信息公开处理费管理办法和四川省具体收缴规定。聘请常年法律顾问，妥善应对由政府信息公开申请引发的行政复议、行政诉讼。</w:t>
      </w:r>
    </w:p>
    <w:p>
      <w:pPr>
        <w:keepNext w:val="0"/>
        <w:keepLines w:val="0"/>
        <w:pageBreakBefore w:val="0"/>
        <w:widowControl/>
        <w:kinsoku/>
        <w:wordWrap/>
        <w:overflowPunct/>
        <w:topLinePunct w:val="0"/>
        <w:autoSpaceDE/>
        <w:autoSpaceDN/>
        <w:bidi w:val="0"/>
        <w:adjustRightInd w:val="0"/>
        <w:snapToGrid w:val="0"/>
        <w:spacing w:line="576" w:lineRule="exact"/>
        <w:ind w:firstLine="640"/>
        <w:jc w:val="both"/>
        <w:textAlignment w:val="auto"/>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（三）政府信息管理情况</w:t>
      </w:r>
    </w:p>
    <w:p>
      <w:pPr>
        <w:keepNext w:val="0"/>
        <w:keepLines w:val="0"/>
        <w:pageBreakBefore w:val="0"/>
        <w:widowControl/>
        <w:kinsoku/>
        <w:wordWrap/>
        <w:overflowPunct/>
        <w:topLinePunct w:val="0"/>
        <w:autoSpaceDE/>
        <w:autoSpaceDN/>
        <w:bidi w:val="0"/>
        <w:adjustRightInd w:val="0"/>
        <w:snapToGrid w:val="0"/>
        <w:spacing w:line="576" w:lineRule="exact"/>
        <w:ind w:firstLine="64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强化信息内容发布审核，严格发布程序，确保发布的信息内容的真实、完整、准确和安全。修订完善《</w:t>
      </w:r>
      <w:r>
        <w:rPr>
          <w:rFonts w:hint="eastAsia" w:ascii="仿宋_GB2312" w:hAnsi="仿宋_GB2312" w:eastAsia="仿宋_GB2312" w:cs="仿宋_GB2312"/>
          <w:color w:val="333333"/>
          <w:kern w:val="0"/>
          <w:sz w:val="32"/>
          <w:szCs w:val="32"/>
          <w:lang w:val="en-US" w:eastAsia="zh-CN"/>
        </w:rPr>
        <w:t>炉霍县乡村振兴</w:t>
      </w:r>
      <w:r>
        <w:rPr>
          <w:rFonts w:hint="eastAsia" w:ascii="仿宋_GB2312" w:hAnsi="仿宋_GB2312" w:eastAsia="仿宋_GB2312" w:cs="仿宋_GB2312"/>
          <w:color w:val="333333"/>
          <w:kern w:val="0"/>
          <w:sz w:val="32"/>
          <w:szCs w:val="32"/>
        </w:rPr>
        <w:t>局政府信息公开制度》，进一步明确信息发布、审核审查、互动回应等工作程序，严格履行政府信息源头属性认定和保密审查程序。及时更新政府信息公开指南，适时检查已发布信息内容，确保政府信息公开工作及时，内容准确。</w:t>
      </w:r>
    </w:p>
    <w:p>
      <w:pPr>
        <w:keepNext w:val="0"/>
        <w:keepLines w:val="0"/>
        <w:pageBreakBefore w:val="0"/>
        <w:widowControl/>
        <w:kinsoku/>
        <w:wordWrap/>
        <w:overflowPunct/>
        <w:topLinePunct w:val="0"/>
        <w:autoSpaceDE/>
        <w:autoSpaceDN/>
        <w:bidi w:val="0"/>
        <w:adjustRightInd w:val="0"/>
        <w:snapToGrid w:val="0"/>
        <w:spacing w:line="576" w:lineRule="exact"/>
        <w:ind w:firstLine="640"/>
        <w:jc w:val="both"/>
        <w:textAlignment w:val="auto"/>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w:t>
      </w:r>
      <w:r>
        <w:rPr>
          <w:rFonts w:hint="eastAsia" w:ascii="楷体" w:hAnsi="楷体" w:eastAsia="楷体" w:cs="楷体"/>
          <w:color w:val="333333"/>
          <w:kern w:val="0"/>
          <w:sz w:val="32"/>
          <w:szCs w:val="32"/>
          <w:lang w:eastAsia="zh-CN"/>
        </w:rPr>
        <w:t>四</w:t>
      </w:r>
      <w:r>
        <w:rPr>
          <w:rFonts w:hint="eastAsia" w:ascii="楷体" w:hAnsi="楷体" w:eastAsia="楷体" w:cs="楷体"/>
          <w:color w:val="333333"/>
          <w:kern w:val="0"/>
          <w:sz w:val="32"/>
          <w:szCs w:val="32"/>
        </w:rPr>
        <w:t>）监督保障情况</w:t>
      </w:r>
    </w:p>
    <w:p>
      <w:pPr>
        <w:keepNext w:val="0"/>
        <w:keepLines w:val="0"/>
        <w:pageBreakBefore w:val="0"/>
        <w:widowControl/>
        <w:kinsoku/>
        <w:wordWrap/>
        <w:overflowPunct/>
        <w:topLinePunct w:val="0"/>
        <w:autoSpaceDE/>
        <w:autoSpaceDN/>
        <w:bidi w:val="0"/>
        <w:adjustRightInd w:val="0"/>
        <w:snapToGrid w:val="0"/>
        <w:spacing w:line="576" w:lineRule="exact"/>
        <w:ind w:firstLine="64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持续落实政府信息公开领导小组工作机制，明确分工，落实责任，统筹安排，依法及时公开相关内容。坚持</w:t>
      </w:r>
      <w:r>
        <w:rPr>
          <w:rFonts w:hint="eastAsia" w:ascii="仿宋_GB2312" w:hAnsi="仿宋_GB2312" w:eastAsia="仿宋_GB2312" w:cs="仿宋_GB2312"/>
          <w:color w:val="333333"/>
          <w:kern w:val="0"/>
          <w:sz w:val="32"/>
          <w:szCs w:val="32"/>
          <w:lang w:val="en-US"/>
        </w:rPr>
        <w:t>“</w:t>
      </w:r>
      <w:r>
        <w:rPr>
          <w:rFonts w:hint="eastAsia" w:ascii="仿宋_GB2312" w:hAnsi="仿宋_GB2312" w:eastAsia="仿宋_GB2312" w:cs="仿宋_GB2312"/>
          <w:color w:val="333333"/>
          <w:kern w:val="0"/>
          <w:sz w:val="32"/>
          <w:szCs w:val="32"/>
        </w:rPr>
        <w:t>公开为原则、不公开为例外</w:t>
      </w:r>
      <w:r>
        <w:rPr>
          <w:rFonts w:hint="eastAsia" w:ascii="仿宋_GB2312" w:hAnsi="仿宋_GB2312" w:eastAsia="仿宋_GB2312" w:cs="仿宋_GB2312"/>
          <w:color w:val="333333"/>
          <w:kern w:val="0"/>
          <w:sz w:val="32"/>
          <w:szCs w:val="32"/>
          <w:lang w:val="en-US"/>
        </w:rPr>
        <w:t>”</w:t>
      </w:r>
      <w:r>
        <w:rPr>
          <w:rFonts w:hint="eastAsia" w:ascii="仿宋_GB2312" w:hAnsi="仿宋_GB2312" w:eastAsia="仿宋_GB2312" w:cs="仿宋_GB2312"/>
          <w:color w:val="333333"/>
          <w:kern w:val="0"/>
          <w:sz w:val="32"/>
          <w:szCs w:val="32"/>
        </w:rPr>
        <w:t>和</w:t>
      </w:r>
      <w:r>
        <w:rPr>
          <w:rFonts w:hint="eastAsia" w:ascii="仿宋_GB2312" w:hAnsi="仿宋_GB2312" w:eastAsia="仿宋_GB2312" w:cs="仿宋_GB2312"/>
          <w:color w:val="333333"/>
          <w:kern w:val="0"/>
          <w:sz w:val="32"/>
          <w:szCs w:val="32"/>
          <w:lang w:val="en-US"/>
        </w:rPr>
        <w:t>“</w:t>
      </w:r>
      <w:r>
        <w:rPr>
          <w:rFonts w:hint="eastAsia" w:ascii="仿宋_GB2312" w:hAnsi="仿宋_GB2312" w:eastAsia="仿宋_GB2312" w:cs="仿宋_GB2312"/>
          <w:color w:val="333333"/>
          <w:kern w:val="0"/>
          <w:sz w:val="32"/>
          <w:szCs w:val="32"/>
        </w:rPr>
        <w:t>谁公开、谁负责</w:t>
      </w:r>
      <w:r>
        <w:rPr>
          <w:rFonts w:hint="eastAsia" w:ascii="仿宋_GB2312" w:hAnsi="仿宋_GB2312" w:eastAsia="仿宋_GB2312" w:cs="仿宋_GB2312"/>
          <w:color w:val="333333"/>
          <w:kern w:val="0"/>
          <w:sz w:val="32"/>
          <w:szCs w:val="32"/>
          <w:lang w:val="en-US"/>
        </w:rPr>
        <w:t>”</w:t>
      </w:r>
      <w:r>
        <w:rPr>
          <w:rFonts w:hint="eastAsia" w:ascii="仿宋_GB2312" w:hAnsi="仿宋_GB2312" w:eastAsia="仿宋_GB2312" w:cs="仿宋_GB2312"/>
          <w:color w:val="333333"/>
          <w:kern w:val="0"/>
          <w:sz w:val="32"/>
          <w:szCs w:val="32"/>
        </w:rPr>
        <w:t>的原则，对公开内容进行发布审查，造成泄密事件严格追究相关责任。要求信息公开工作人员按</w:t>
      </w:r>
      <w:r>
        <w:rPr>
          <w:rFonts w:hint="eastAsia" w:ascii="仿宋_GB2312" w:hAnsi="仿宋_GB2312" w:eastAsia="仿宋_GB2312" w:cs="仿宋_GB2312"/>
          <w:color w:val="333333"/>
          <w:kern w:val="0"/>
          <w:sz w:val="32"/>
          <w:szCs w:val="32"/>
          <w:lang w:val="en-US" w:eastAsia="zh-CN"/>
        </w:rPr>
        <w:t>工作</w:t>
      </w:r>
      <w:r>
        <w:rPr>
          <w:rFonts w:hint="eastAsia" w:ascii="仿宋_GB2312" w:hAnsi="仿宋_GB2312" w:eastAsia="仿宋_GB2312" w:cs="仿宋_GB2312"/>
          <w:color w:val="333333"/>
          <w:kern w:val="0"/>
          <w:sz w:val="32"/>
          <w:szCs w:val="32"/>
        </w:rPr>
        <w:t>要求，在信息发布之前</w:t>
      </w:r>
      <w:r>
        <w:rPr>
          <w:rFonts w:hint="eastAsia" w:ascii="仿宋_GB2312" w:hAnsi="仿宋_GB2312" w:eastAsia="仿宋_GB2312" w:cs="仿宋_GB2312"/>
          <w:color w:val="333333"/>
          <w:kern w:val="0"/>
          <w:sz w:val="32"/>
          <w:szCs w:val="32"/>
          <w:lang w:val="en-US" w:eastAsia="zh-CN"/>
        </w:rPr>
        <w:t>交</w:t>
      </w:r>
      <w:r>
        <w:rPr>
          <w:rFonts w:hint="eastAsia" w:ascii="仿宋_GB2312" w:hAnsi="仿宋_GB2312" w:eastAsia="仿宋_GB2312" w:cs="仿宋_GB2312"/>
          <w:color w:val="333333"/>
          <w:kern w:val="0"/>
          <w:sz w:val="32"/>
          <w:szCs w:val="32"/>
        </w:rPr>
        <w:t>局办公室核稿，分管领导审批确定后再发布。</w:t>
      </w:r>
    </w:p>
    <w:p>
      <w:pPr>
        <w:keepNext w:val="0"/>
        <w:keepLines w:val="0"/>
        <w:pageBreakBefore w:val="0"/>
        <w:widowControl/>
        <w:kinsoku/>
        <w:wordWrap/>
        <w:overflowPunct/>
        <w:topLinePunct w:val="0"/>
        <w:autoSpaceDE/>
        <w:autoSpaceDN/>
        <w:bidi w:val="0"/>
        <w:adjustRightInd w:val="0"/>
        <w:snapToGrid w:val="0"/>
        <w:spacing w:line="576" w:lineRule="exact"/>
        <w:ind w:firstLine="640"/>
        <w:jc w:val="left"/>
        <w:textAlignment w:val="auto"/>
        <w:rPr>
          <w:rFonts w:hint="eastAsia" w:ascii="å®‹ä½“" w:hAnsi="宋体" w:eastAsia="å®‹ä½“" w:cs="宋体"/>
          <w:color w:val="333333"/>
          <w:kern w:val="0"/>
          <w:sz w:val="24"/>
          <w:szCs w:val="24"/>
        </w:rPr>
      </w:pPr>
      <w:r>
        <w:rPr>
          <w:rFonts w:hint="eastAsia" w:ascii="黑体" w:hAnsi="黑体" w:eastAsia="黑体" w:cs="宋体"/>
          <w:color w:val="333333"/>
          <w:kern w:val="0"/>
          <w:sz w:val="32"/>
          <w:szCs w:val="32"/>
        </w:rPr>
        <w:t>二、主动公开政府信息情况</w:t>
      </w:r>
    </w:p>
    <w:tbl>
      <w:tblPr>
        <w:tblStyle w:val="5"/>
        <w:tblW w:w="8140" w:type="dxa"/>
        <w:jc w:val="center"/>
        <w:tblLayout w:type="autofit"/>
        <w:tblCellMar>
          <w:top w:w="15" w:type="dxa"/>
          <w:left w:w="15" w:type="dxa"/>
          <w:bottom w:w="15" w:type="dxa"/>
          <w:right w:w="15" w:type="dxa"/>
        </w:tblCellMar>
      </w:tblPr>
      <w:tblGrid>
        <w:gridCol w:w="3113"/>
        <w:gridCol w:w="1875"/>
        <w:gridCol w:w="6"/>
        <w:gridCol w:w="1265"/>
        <w:gridCol w:w="1881"/>
      </w:tblGrid>
      <w:tr>
        <w:tblPrEx>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第二十条第（一）项</w:t>
            </w:r>
          </w:p>
        </w:tc>
      </w:tr>
      <w:tr>
        <w:tblPrEx>
          <w:tblCellMar>
            <w:top w:w="15" w:type="dxa"/>
            <w:left w:w="15" w:type="dxa"/>
            <w:bottom w:w="15" w:type="dxa"/>
            <w:right w:w="15" w:type="dxa"/>
          </w:tblCellMar>
        </w:tblPrEx>
        <w:trPr>
          <w:trHeight w:val="114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本年新</w:t>
            </w:r>
            <w:r>
              <w:rPr>
                <w:rFonts w:hint="eastAsia" w:ascii="方正仿宋简体" w:hAnsi="宋体" w:eastAsia="方正仿宋简体" w:cs="宋体"/>
                <w:color w:val="000000"/>
                <w:kern w:val="0"/>
                <w:sz w:val="20"/>
                <w:szCs w:val="20"/>
              </w:rPr>
              <w:br w:type="textWrapping"/>
            </w:r>
            <w:r>
              <w:rPr>
                <w:rFonts w:hint="eastAsia" w:ascii="方正仿宋简体" w:hAnsi="宋体" w:eastAsia="方正仿宋简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本年新</w:t>
            </w:r>
            <w:r>
              <w:rPr>
                <w:rFonts w:hint="eastAsia" w:ascii="方正仿宋简体" w:hAnsi="宋体" w:eastAsia="方正仿宋简体" w:cs="宋体"/>
                <w:color w:val="000000"/>
                <w:kern w:val="0"/>
                <w:sz w:val="20"/>
                <w:szCs w:val="20"/>
              </w:rPr>
              <w:br w:type="textWrapping"/>
            </w:r>
            <w:r>
              <w:rPr>
                <w:rFonts w:hint="eastAsia" w:ascii="方正仿宋简体" w:hAnsi="宋体" w:eastAsia="方正仿宋简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对外公开总数量</w:t>
            </w:r>
          </w:p>
        </w:tc>
      </w:tr>
      <w:tr>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MS Mincho" w:hAnsi="MS Mincho" w:eastAsia="MS Mincho" w:cs="MS Mincho"/>
                <w:color w:val="000000"/>
                <w:kern w:val="0"/>
                <w:sz w:val="20"/>
                <w:szCs w:val="20"/>
              </w:rPr>
              <w:t> </w:t>
            </w:r>
            <w:r>
              <w:rPr>
                <w:rFonts w:hint="eastAsia" w:ascii="MS Mincho" w:hAnsi="MS Mincho" w:eastAsia="宋体" w:cs="MS Mincho"/>
                <w:color w:val="000000"/>
                <w:kern w:val="0"/>
                <w:sz w:val="20"/>
                <w:szCs w:val="20"/>
                <w:lang w:val="en-US" w:eastAsia="zh-CN"/>
              </w:rPr>
              <w:t xml:space="preserve"> </w:t>
            </w:r>
            <w:r>
              <w:rPr>
                <w:rFonts w:hint="eastAsia" w:ascii="方正仿宋简体" w:hAnsi="宋体" w:eastAsia="方正仿宋简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0</w:t>
            </w:r>
          </w:p>
        </w:tc>
      </w:tr>
      <w:tr>
        <w:tblPrEx>
          <w:tblCellMar>
            <w:top w:w="15" w:type="dxa"/>
            <w:left w:w="15" w:type="dxa"/>
            <w:bottom w:w="15" w:type="dxa"/>
            <w:right w:w="15" w:type="dxa"/>
          </w:tblCellMar>
        </w:tblPrEx>
        <w:trPr>
          <w:trHeight w:val="4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hint="eastAsia" w:ascii="宋体" w:hAnsi="宋体" w:eastAsia="方正仿宋简体" w:cs="宋体"/>
                <w:kern w:val="0"/>
                <w:sz w:val="24"/>
                <w:szCs w:val="24"/>
                <w:lang w:eastAsia="zh-CN"/>
              </w:rPr>
            </w:pPr>
            <w:r>
              <w:rPr>
                <w:rFonts w:hint="eastAsia" w:ascii="方正仿宋简体" w:hAnsi="宋体" w:eastAsia="方正仿宋简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ind w:firstLine="200" w:firstLineChars="100"/>
              <w:jc w:val="center"/>
              <w:textAlignment w:val="auto"/>
              <w:rPr>
                <w:rFonts w:hint="eastAsia" w:ascii="宋体" w:hAnsi="宋体" w:eastAsia="宋体" w:cs="宋体"/>
                <w:kern w:val="0"/>
                <w:sz w:val="24"/>
                <w:szCs w:val="24"/>
                <w:lang w:eastAsia="zh-CN"/>
              </w:rPr>
            </w:pPr>
            <w:r>
              <w:rPr>
                <w:rFonts w:hint="eastAsia" w:ascii="MS Mincho" w:hAnsi="MS Mincho" w:eastAsia="宋体" w:cs="MS Mincho"/>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ind w:firstLine="200" w:firstLineChars="100"/>
              <w:jc w:val="center"/>
              <w:textAlignment w:val="auto"/>
              <w:rPr>
                <w:rFonts w:hint="eastAsia" w:ascii="宋体" w:hAnsi="宋体" w:eastAsia="宋体" w:cs="宋体"/>
                <w:kern w:val="0"/>
                <w:sz w:val="24"/>
                <w:szCs w:val="24"/>
                <w:lang w:eastAsia="zh-CN"/>
              </w:rPr>
            </w:pPr>
            <w:r>
              <w:rPr>
                <w:rFonts w:hint="eastAsia" w:ascii="方正仿宋简体" w:hAnsi="宋体" w:eastAsia="方正仿宋简体" w:cs="宋体"/>
                <w:color w:val="000000"/>
                <w:kern w:val="0"/>
                <w:sz w:val="20"/>
                <w:szCs w:val="20"/>
                <w:lang w:val="en-US" w:eastAsia="zh-CN"/>
              </w:rPr>
              <w:t>0</w:t>
            </w:r>
          </w:p>
        </w:tc>
      </w:tr>
      <w:tr>
        <w:trPr>
          <w:trHeight w:val="461"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第二十条第（五）项</w:t>
            </w:r>
          </w:p>
        </w:tc>
      </w:tr>
      <w:tr>
        <w:trPr>
          <w:trHeight w:val="61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hint="eastAsia" w:ascii="宋体" w:hAnsi="宋体" w:eastAsia="宋体" w:cs="宋体"/>
                <w:kern w:val="0"/>
                <w:sz w:val="24"/>
                <w:szCs w:val="24"/>
                <w:lang w:eastAsia="zh-CN"/>
              </w:rPr>
            </w:pPr>
            <w:r>
              <w:rPr>
                <w:rFonts w:hint="eastAsia" w:ascii="方正仿宋简体" w:hAnsi="宋体" w:eastAsia="方正仿宋简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hint="default" w:ascii="宋体" w:hAnsi="宋体" w:eastAsia="宋体" w:cs="宋体"/>
                <w:kern w:val="0"/>
                <w:sz w:val="24"/>
                <w:szCs w:val="24"/>
                <w:lang w:val="en-US" w:eastAsia="zh-CN"/>
              </w:rPr>
            </w:pPr>
            <w:r>
              <w:rPr>
                <w:rFonts w:hint="eastAsia" w:ascii="方正仿宋简体" w:hAnsi="宋体" w:eastAsia="方正仿宋简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hint="eastAsia" w:ascii="宋体" w:hAnsi="宋体" w:eastAsia="方正仿宋简体" w:cs="宋体"/>
                <w:kern w:val="0"/>
                <w:sz w:val="24"/>
                <w:szCs w:val="24"/>
                <w:lang w:eastAsia="zh-CN"/>
              </w:rPr>
            </w:pPr>
            <w:r>
              <w:rPr>
                <w:rFonts w:hint="eastAsia" w:ascii="方正仿宋简体" w:hAnsi="宋体" w:eastAsia="方正仿宋简体" w:cs="宋体"/>
                <w:color w:val="000000"/>
                <w:kern w:val="0"/>
                <w:sz w:val="20"/>
                <w:szCs w:val="20"/>
                <w:lang w:val="en-US" w:eastAsia="zh-CN"/>
              </w:rPr>
              <w:t>0</w:t>
            </w:r>
          </w:p>
        </w:tc>
      </w:tr>
      <w:tr>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0</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处理决定数量</w:t>
            </w:r>
          </w:p>
        </w:tc>
      </w:tr>
      <w:tr>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hint="eastAsia" w:ascii="宋体" w:hAnsi="宋体" w:eastAsia="宋体" w:cs="宋体"/>
                <w:kern w:val="0"/>
                <w:sz w:val="24"/>
                <w:szCs w:val="24"/>
                <w:lang w:eastAsia="zh-CN"/>
              </w:rPr>
            </w:pPr>
            <w:r>
              <w:rPr>
                <w:rFonts w:hint="eastAsia" w:ascii="方正仿宋简体" w:hAnsi="宋体" w:eastAsia="方正仿宋简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hint="default" w:ascii="宋体" w:hAnsi="宋体" w:eastAsia="宋体" w:cs="宋体"/>
                <w:kern w:val="0"/>
                <w:sz w:val="24"/>
                <w:szCs w:val="24"/>
                <w:lang w:val="en-US" w:eastAsia="zh-CN"/>
              </w:rPr>
            </w:pPr>
            <w:r>
              <w:rPr>
                <w:rFonts w:hint="eastAsia" w:ascii="方正仿宋简体" w:hAnsi="方正仿宋简体" w:eastAsia="方正仿宋简体" w:cs="方正仿宋简体"/>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0</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hint="eastAsia" w:ascii="宋体" w:hAnsi="宋体" w:eastAsia="宋体" w:cs="宋体"/>
                <w:kern w:val="0"/>
                <w:sz w:val="24"/>
                <w:szCs w:val="24"/>
                <w:lang w:eastAsia="zh-CN"/>
              </w:rPr>
            </w:pPr>
            <w:r>
              <w:rPr>
                <w:rFonts w:hint="eastAsia" w:ascii="方正仿宋简体" w:hAnsi="宋体" w:eastAsia="方正仿宋简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0</w:t>
            </w:r>
          </w:p>
        </w:tc>
      </w:tr>
      <w:tr>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第二十条第（八）项</w:t>
            </w:r>
          </w:p>
        </w:tc>
      </w:tr>
      <w:tr>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本年增/减</w:t>
            </w:r>
          </w:p>
        </w:tc>
      </w:tr>
      <w:tr>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hint="default" w:ascii="宋体" w:hAnsi="宋体" w:eastAsia="宋体" w:cs="宋体"/>
                <w:kern w:val="0"/>
                <w:sz w:val="24"/>
                <w:szCs w:val="24"/>
                <w:lang w:val="en-US" w:eastAsia="zh-CN"/>
              </w:rPr>
            </w:pPr>
            <w:r>
              <w:rPr>
                <w:rFonts w:hint="eastAsia" w:ascii="方正仿宋简体" w:hAnsi="宋体" w:eastAsia="方正仿宋简体" w:cs="宋体"/>
                <w:kern w:val="0"/>
                <w:szCs w:val="21"/>
                <w:lang w:val="en-US" w:eastAsia="zh-CN"/>
              </w:rPr>
              <w:t>0</w:t>
            </w:r>
          </w:p>
        </w:tc>
        <w:tc>
          <w:tcPr>
            <w:tcW w:w="3146"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hint="default" w:ascii="宋体" w:hAnsi="宋体" w:eastAsia="宋体" w:cs="宋体"/>
                <w:kern w:val="0"/>
                <w:sz w:val="24"/>
                <w:szCs w:val="24"/>
                <w:lang w:val="en-US" w:eastAsia="zh-CN"/>
              </w:rPr>
            </w:pPr>
            <w:r>
              <w:rPr>
                <w:rFonts w:hint="eastAsia" w:ascii="方正仿宋简体" w:hAnsi="宋体" w:eastAsia="方正仿宋简体" w:cs="宋体"/>
                <w:color w:val="000000"/>
                <w:kern w:val="0"/>
                <w:sz w:val="20"/>
                <w:szCs w:val="20"/>
                <w:lang w:val="en-US" w:eastAsia="zh-CN"/>
              </w:rPr>
              <w:t>0</w:t>
            </w:r>
          </w:p>
        </w:tc>
      </w:tr>
      <w:tr>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第二十条第（九）项</w:t>
            </w:r>
          </w:p>
        </w:tc>
      </w:tr>
      <w:tr>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采购总金额</w:t>
            </w:r>
          </w:p>
        </w:tc>
      </w:tr>
      <w:tr>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hint="eastAsia" w:ascii="宋体" w:hAnsi="宋体" w:eastAsia="宋体" w:cs="宋体"/>
                <w:kern w:val="0"/>
                <w:sz w:val="24"/>
                <w:szCs w:val="24"/>
                <w:lang w:eastAsia="zh-CN"/>
              </w:rPr>
            </w:pPr>
            <w:r>
              <w:rPr>
                <w:rFonts w:hint="eastAsia" w:ascii="方正仿宋简体" w:hAnsi="宋体" w:eastAsia="方正仿宋简体" w:cs="宋体"/>
                <w:color w:val="000000"/>
                <w:kern w:val="0"/>
                <w:sz w:val="20"/>
                <w:szCs w:val="20"/>
                <w:lang w:val="en-US" w:eastAsia="zh-CN"/>
              </w:rPr>
              <w:t>0</w:t>
            </w:r>
          </w:p>
        </w:tc>
        <w:tc>
          <w:tcPr>
            <w:tcW w:w="3146"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hint="default" w:ascii="宋体" w:hAnsi="宋体" w:eastAsia="宋体" w:cs="宋体"/>
                <w:kern w:val="0"/>
                <w:sz w:val="24"/>
                <w:szCs w:val="24"/>
                <w:lang w:val="en-US" w:eastAsia="zh-CN"/>
              </w:rPr>
            </w:pPr>
            <w:r>
              <w:rPr>
                <w:rFonts w:hint="eastAsia" w:ascii="方正仿宋简体" w:hAnsi="宋体" w:eastAsia="方正仿宋简体" w:cs="宋体"/>
                <w:kern w:val="0"/>
                <w:sz w:val="20"/>
                <w:szCs w:val="20"/>
                <w:lang w:val="en-US" w:eastAsia="zh-CN"/>
              </w:rPr>
              <w:t>0</w:t>
            </w:r>
          </w:p>
        </w:tc>
      </w:tr>
    </w:tbl>
    <w:p>
      <w:pPr>
        <w:widowControl/>
        <w:shd w:val="clear" w:color="auto" w:fill="FFFFFF"/>
        <w:spacing w:before="100" w:beforeAutospacing="1" w:after="100" w:afterAutospacing="1" w:line="560" w:lineRule="exact"/>
        <w:ind w:firstLine="640"/>
        <w:contextualSpacing/>
        <w:rPr>
          <w:rFonts w:ascii="黑体" w:hAnsi="黑体" w:eastAsia="黑体" w:cs="宋体"/>
          <w:kern w:val="0"/>
          <w:sz w:val="32"/>
          <w:szCs w:val="32"/>
          <w:lang w:eastAsia="zh-Hans"/>
        </w:rPr>
      </w:pPr>
      <w:r>
        <w:rPr>
          <w:rFonts w:hint="eastAsia" w:ascii="黑体" w:hAnsi="黑体" w:eastAsia="黑体" w:cs="宋体"/>
          <w:kern w:val="0"/>
          <w:sz w:val="32"/>
          <w:szCs w:val="32"/>
        </w:rPr>
        <w:t>三、</w:t>
      </w:r>
      <w:r>
        <w:rPr>
          <w:rFonts w:ascii="黑体" w:hAnsi="黑体" w:eastAsia="黑体" w:cs="宋体"/>
          <w:kern w:val="0"/>
          <w:sz w:val="32"/>
          <w:szCs w:val="32"/>
          <w:lang w:eastAsia="zh-Hans"/>
        </w:rPr>
        <w:t>行政机关收到和处理政府信息公开申请情况</w:t>
      </w:r>
    </w:p>
    <w:p>
      <w:pPr>
        <w:widowControl/>
        <w:shd w:val="clear" w:color="auto" w:fill="FFFFFF"/>
        <w:spacing w:before="100" w:beforeAutospacing="1" w:after="100" w:afterAutospacing="1" w:line="560" w:lineRule="exact"/>
        <w:ind w:firstLine="640"/>
        <w:contextualSpacing/>
        <w:rPr>
          <w:rFonts w:hint="eastAsia" w:ascii="仿宋" w:hAnsi="仿宋" w:eastAsia="仿宋" w:cs="宋体"/>
          <w:kern w:val="0"/>
          <w:sz w:val="32"/>
          <w:szCs w:val="32"/>
        </w:rPr>
      </w:pPr>
      <w:r>
        <w:rPr>
          <w:rFonts w:hint="eastAsia" w:ascii="仿宋" w:hAnsi="仿宋" w:eastAsia="仿宋" w:cs="宋体"/>
          <w:kern w:val="0"/>
          <w:sz w:val="32"/>
          <w:szCs w:val="32"/>
          <w:lang w:eastAsia="zh-Hans"/>
        </w:rPr>
        <w:t>严格按照提出申请、申请受理、申请处理的流程做好依申请公开工作。202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lang w:eastAsia="zh-Hans"/>
        </w:rPr>
        <w:t>年，</w:t>
      </w:r>
      <w:r>
        <w:rPr>
          <w:rFonts w:hint="eastAsia" w:ascii="仿宋" w:hAnsi="仿宋" w:eastAsia="仿宋" w:cs="宋体"/>
          <w:kern w:val="0"/>
          <w:sz w:val="32"/>
          <w:szCs w:val="32"/>
          <w:lang w:val="en-US" w:eastAsia="zh-CN"/>
        </w:rPr>
        <w:t>炉霍县乡村振兴</w:t>
      </w:r>
      <w:r>
        <w:rPr>
          <w:rFonts w:hint="eastAsia" w:ascii="仿宋" w:hAnsi="仿宋" w:eastAsia="仿宋" w:cs="宋体"/>
          <w:kern w:val="0"/>
          <w:sz w:val="32"/>
          <w:szCs w:val="32"/>
          <w:lang w:eastAsia="zh-Hans"/>
        </w:rPr>
        <w:t>局</w:t>
      </w:r>
      <w:r>
        <w:rPr>
          <w:rFonts w:hint="eastAsia" w:ascii="仿宋" w:hAnsi="仿宋" w:eastAsia="仿宋" w:cs="宋体"/>
          <w:kern w:val="0"/>
          <w:sz w:val="32"/>
          <w:szCs w:val="32"/>
        </w:rPr>
        <w:t>未</w:t>
      </w:r>
      <w:r>
        <w:rPr>
          <w:rFonts w:hint="eastAsia" w:ascii="仿宋" w:hAnsi="仿宋" w:eastAsia="仿宋" w:cs="宋体"/>
          <w:kern w:val="0"/>
          <w:sz w:val="32"/>
          <w:szCs w:val="32"/>
          <w:lang w:eastAsia="zh-Hans"/>
        </w:rPr>
        <w:t xml:space="preserve">收到政府信息公开申请。 </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1981"/>
        <w:gridCol w:w="918"/>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451"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（本列数据的勾稽关系为：第一项加第二项之和，等于第三项加第四项之和）</w:t>
            </w:r>
          </w:p>
        </w:tc>
        <w:tc>
          <w:tcPr>
            <w:tcW w:w="5620"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451"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918"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451"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918" w:type="dxa"/>
            <w:vMerge w:val="continue"/>
            <w:tcBorders>
              <w:top w:val="nil"/>
              <w:left w:val="nil"/>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451"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一、本年新收政府信息公开申请数量</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451"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二、上年结转政府信息公开申请数量</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restart"/>
            <w:tcBorders>
              <w:top w:val="nil"/>
              <w:left w:val="single" w:color="auto" w:sz="4" w:space="0"/>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三、本年度办理结果</w:t>
            </w:r>
          </w:p>
        </w:tc>
        <w:tc>
          <w:tcPr>
            <w:tcW w:w="2835"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（一）予以公开</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2835"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（二）部分公开（区分处理的，只计这一情形，不计其他情形）</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（三）不予公开</w:t>
            </w:r>
          </w:p>
        </w:tc>
        <w:tc>
          <w:tcPr>
            <w:tcW w:w="198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1</w:t>
            </w:r>
            <w:r>
              <w:rPr>
                <w:rFonts w:hint="eastAsia" w:ascii="方正仿宋简体" w:hAnsi="方正仿宋简体" w:eastAsia="方正仿宋简体" w:cs="方正仿宋简体"/>
                <w:kern w:val="0"/>
                <w:sz w:val="20"/>
                <w:szCs w:val="20"/>
                <w:lang w:bidi="ar"/>
              </w:rPr>
              <w:t>.属于国家秘密</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198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2</w:t>
            </w:r>
            <w:r>
              <w:rPr>
                <w:rFonts w:hint="eastAsia" w:ascii="方正仿宋简体" w:hAnsi="方正仿宋简体" w:eastAsia="方正仿宋简体" w:cs="方正仿宋简体"/>
                <w:kern w:val="0"/>
                <w:sz w:val="20"/>
                <w:szCs w:val="20"/>
                <w:lang w:bidi="ar"/>
              </w:rPr>
              <w:t>.其他法律行政法规禁止公开</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198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3</w:t>
            </w:r>
            <w:r>
              <w:rPr>
                <w:rFonts w:hint="eastAsia" w:ascii="方正仿宋简体" w:hAnsi="方正仿宋简体" w:eastAsia="方正仿宋简体" w:cs="方正仿宋简体"/>
                <w:kern w:val="0"/>
                <w:sz w:val="20"/>
                <w:szCs w:val="20"/>
                <w:lang w:bidi="ar"/>
              </w:rPr>
              <w:t>.危及“三安全一稳定”</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198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4</w:t>
            </w:r>
            <w:r>
              <w:rPr>
                <w:rFonts w:hint="eastAsia" w:ascii="方正仿宋简体" w:hAnsi="方正仿宋简体" w:eastAsia="方正仿宋简体" w:cs="方正仿宋简体"/>
                <w:kern w:val="0"/>
                <w:sz w:val="20"/>
                <w:szCs w:val="20"/>
                <w:lang w:bidi="ar"/>
              </w:rPr>
              <w:t>.保护第三方合法权益</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198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5</w:t>
            </w:r>
            <w:r>
              <w:rPr>
                <w:rFonts w:hint="eastAsia" w:ascii="方正仿宋简体" w:hAnsi="方正仿宋简体" w:eastAsia="方正仿宋简体" w:cs="方正仿宋简体"/>
                <w:kern w:val="0"/>
                <w:sz w:val="20"/>
                <w:szCs w:val="20"/>
                <w:lang w:bidi="ar"/>
              </w:rPr>
              <w:t>.属于三类内部事务信息</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198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6</w:t>
            </w:r>
            <w:r>
              <w:rPr>
                <w:rFonts w:hint="eastAsia" w:ascii="方正仿宋简体" w:hAnsi="方正仿宋简体" w:eastAsia="方正仿宋简体" w:cs="方正仿宋简体"/>
                <w:kern w:val="0"/>
                <w:sz w:val="20"/>
                <w:szCs w:val="20"/>
                <w:lang w:bidi="ar"/>
              </w:rPr>
              <w:t>.属于四类过程性信息</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198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7</w:t>
            </w:r>
            <w:r>
              <w:rPr>
                <w:rFonts w:hint="eastAsia" w:ascii="方正仿宋简体" w:hAnsi="方正仿宋简体" w:eastAsia="方正仿宋简体" w:cs="方正仿宋简体"/>
                <w:kern w:val="0"/>
                <w:sz w:val="20"/>
                <w:szCs w:val="20"/>
                <w:lang w:bidi="ar"/>
              </w:rPr>
              <w:t>.属于行政执法案卷</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4"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continue"/>
            <w:tcBorders>
              <w:top w:val="nil"/>
              <w:left w:val="nil"/>
              <w:bottom w:val="single" w:color="auto" w:sz="4"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1981"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8</w:t>
            </w:r>
            <w:r>
              <w:rPr>
                <w:rFonts w:hint="eastAsia" w:ascii="方正仿宋简体" w:hAnsi="方正仿宋简体" w:eastAsia="方正仿宋简体" w:cs="方正仿宋简体"/>
                <w:kern w:val="0"/>
                <w:sz w:val="20"/>
                <w:szCs w:val="20"/>
                <w:lang w:bidi="ar"/>
              </w:rPr>
              <w:t>.属于行政查询事项</w:t>
            </w:r>
          </w:p>
        </w:tc>
        <w:tc>
          <w:tcPr>
            <w:tcW w:w="918"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single" w:color="auto" w:sz="4" w:space="0"/>
              <w:left w:val="single" w:color="auto" w:sz="4" w:space="0"/>
              <w:bottom w:val="single" w:color="auto" w:sz="8" w:space="0"/>
              <w:right w:val="single" w:color="auto" w:sz="4"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restart"/>
            <w:tcBorders>
              <w:top w:val="single" w:color="auto" w:sz="4" w:space="0"/>
              <w:left w:val="single" w:color="auto" w:sz="4" w:space="0"/>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（四）无法提供</w:t>
            </w:r>
          </w:p>
        </w:tc>
        <w:tc>
          <w:tcPr>
            <w:tcW w:w="1981"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1</w:t>
            </w:r>
            <w:r>
              <w:rPr>
                <w:rFonts w:hint="eastAsia" w:ascii="方正仿宋简体" w:hAnsi="方正仿宋简体" w:eastAsia="方正仿宋简体" w:cs="方正仿宋简体"/>
                <w:kern w:val="0"/>
                <w:sz w:val="20"/>
                <w:szCs w:val="20"/>
                <w:lang w:bidi="ar"/>
              </w:rPr>
              <w:t>.本机关不掌握相关政府信息</w:t>
            </w:r>
          </w:p>
        </w:tc>
        <w:tc>
          <w:tcPr>
            <w:tcW w:w="918"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single" w:color="auto" w:sz="4" w:space="0"/>
              <w:left w:val="nil"/>
              <w:bottom w:val="single" w:color="auto" w:sz="8" w:space="0"/>
              <w:right w:val="single" w:color="auto" w:sz="4"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4" w:space="0"/>
              <w:right w:val="single" w:color="auto" w:sz="4"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continue"/>
            <w:tcBorders>
              <w:top w:val="nil"/>
              <w:left w:val="single" w:color="auto" w:sz="4" w:space="0"/>
              <w:bottom w:val="single" w:color="auto" w:sz="4"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1981"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2</w:t>
            </w:r>
            <w:r>
              <w:rPr>
                <w:rFonts w:hint="eastAsia" w:ascii="方正仿宋简体" w:hAnsi="方正仿宋简体" w:eastAsia="方正仿宋简体" w:cs="方正仿宋简体"/>
                <w:kern w:val="0"/>
                <w:sz w:val="20"/>
                <w:szCs w:val="20"/>
                <w:lang w:bidi="ar"/>
              </w:rPr>
              <w:t>.没有现成信息需要另行制作</w:t>
            </w:r>
          </w:p>
        </w:tc>
        <w:tc>
          <w:tcPr>
            <w:tcW w:w="918"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4"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4" w:space="0"/>
              <w:right w:val="single" w:color="auto" w:sz="4"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single" w:color="auto" w:sz="4" w:space="0"/>
              <w:left w:val="single" w:color="auto" w:sz="4" w:space="0"/>
              <w:bottom w:val="single" w:color="auto" w:sz="8" w:space="0"/>
              <w:right w:val="single" w:color="auto" w:sz="4"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continue"/>
            <w:tcBorders>
              <w:top w:val="single" w:color="auto" w:sz="4" w:space="0"/>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1981"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3</w:t>
            </w:r>
            <w:r>
              <w:rPr>
                <w:rFonts w:hint="eastAsia" w:ascii="方正仿宋简体" w:hAnsi="方正仿宋简体" w:eastAsia="方正仿宋简体" w:cs="方正仿宋简体"/>
                <w:kern w:val="0"/>
                <w:sz w:val="20"/>
                <w:szCs w:val="20"/>
                <w:lang w:bidi="ar"/>
              </w:rPr>
              <w:t>.补正后申请内容仍不明确</w:t>
            </w:r>
          </w:p>
        </w:tc>
        <w:tc>
          <w:tcPr>
            <w:tcW w:w="918"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（五）不予处理</w:t>
            </w:r>
          </w:p>
        </w:tc>
        <w:tc>
          <w:tcPr>
            <w:tcW w:w="198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1</w:t>
            </w:r>
            <w:r>
              <w:rPr>
                <w:rFonts w:hint="eastAsia" w:ascii="方正仿宋简体" w:hAnsi="方正仿宋简体" w:eastAsia="方正仿宋简体" w:cs="方正仿宋简体"/>
                <w:kern w:val="0"/>
                <w:sz w:val="20"/>
                <w:szCs w:val="20"/>
                <w:lang w:bidi="ar"/>
              </w:rPr>
              <w:t>.信访举报投诉类申请</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198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2</w:t>
            </w:r>
            <w:r>
              <w:rPr>
                <w:rFonts w:hint="eastAsia" w:ascii="方正仿宋简体" w:hAnsi="方正仿宋简体" w:eastAsia="方正仿宋简体" w:cs="方正仿宋简体"/>
                <w:kern w:val="0"/>
                <w:sz w:val="20"/>
                <w:szCs w:val="20"/>
                <w:lang w:bidi="ar"/>
              </w:rPr>
              <w:t>.重复申请</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198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3</w:t>
            </w:r>
            <w:r>
              <w:rPr>
                <w:rFonts w:hint="eastAsia" w:ascii="方正仿宋简体" w:hAnsi="方正仿宋简体" w:eastAsia="方正仿宋简体" w:cs="方正仿宋简体"/>
                <w:kern w:val="0"/>
                <w:sz w:val="20"/>
                <w:szCs w:val="20"/>
                <w:lang w:bidi="ar"/>
              </w:rPr>
              <w:t>.要求提供公开出版物</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198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4</w:t>
            </w:r>
            <w:r>
              <w:rPr>
                <w:rFonts w:hint="eastAsia" w:ascii="方正仿宋简体" w:hAnsi="方正仿宋简体" w:eastAsia="方正仿宋简体" w:cs="方正仿宋简体"/>
                <w:kern w:val="0"/>
                <w:sz w:val="20"/>
                <w:szCs w:val="20"/>
                <w:lang w:bidi="ar"/>
              </w:rPr>
              <w:t>.无正当理由大量反复申请</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198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Times New Roman" w:hAnsi="Times New Roman" w:eastAsia="方正仿宋简体" w:cs="方正仿宋简体"/>
                <w:kern w:val="0"/>
                <w:sz w:val="20"/>
                <w:szCs w:val="20"/>
                <w:lang w:bidi="ar"/>
              </w:rPr>
              <w:t>5</w:t>
            </w:r>
            <w:r>
              <w:rPr>
                <w:rFonts w:hint="eastAsia" w:ascii="方正仿宋简体" w:hAnsi="方正仿宋简体" w:eastAsia="方正仿宋简体" w:cs="方正仿宋简体"/>
                <w:kern w:val="0"/>
                <w:sz w:val="20"/>
                <w:szCs w:val="20"/>
                <w:lang w:bidi="ar"/>
              </w:rPr>
              <w:t>.要求行政机关确认或重新出具已获取信息</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2835"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（六）其他处理</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16" w:type="dxa"/>
            <w:vMerge w:val="continue"/>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576" w:lineRule="exact"/>
              <w:rPr>
                <w:rFonts w:hint="eastAsia" w:ascii="方正仿宋简体" w:hAnsi="方正仿宋简体" w:eastAsia="方正仿宋简体" w:cs="方正仿宋简体"/>
                <w:sz w:val="24"/>
                <w:szCs w:val="24"/>
              </w:rPr>
            </w:pPr>
          </w:p>
        </w:tc>
        <w:tc>
          <w:tcPr>
            <w:tcW w:w="2835"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（七）总计</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451"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6" w:lineRule="exact"/>
              <w:jc w:val="left"/>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四、结转下年度继续办理</w:t>
            </w:r>
          </w:p>
        </w:tc>
        <w:tc>
          <w:tcPr>
            <w:tcW w:w="918"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line="576"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kern w:val="0"/>
                <w:sz w:val="20"/>
                <w:szCs w:val="20"/>
                <w:lang w:bidi="ar"/>
              </w:rPr>
              <w:t>0</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textAlignment w:val="auto"/>
        <w:rPr>
          <w:rFonts w:hint="eastAsia" w:ascii="å®‹ä½“" w:hAnsi="宋体" w:eastAsia="å®‹ä½“" w:cs="宋体"/>
          <w:color w:val="333333"/>
          <w:kern w:val="0"/>
          <w:sz w:val="24"/>
          <w:szCs w:val="24"/>
        </w:rPr>
      </w:pPr>
      <w:r>
        <w:rPr>
          <w:rFonts w:hint="eastAsia" w:ascii="MS Mincho" w:hAnsi="MS Mincho" w:eastAsia="MS Mincho" w:cs="MS Mincho"/>
          <w:color w:val="333333"/>
          <w:kern w:val="0"/>
          <w:sz w:val="24"/>
          <w:szCs w:val="24"/>
        </w:rPr>
        <w:t> </w:t>
      </w:r>
      <w:r>
        <w:rPr>
          <w:rFonts w:hint="eastAsia" w:ascii="黑体" w:hAnsi="黑体" w:eastAsia="黑体" w:cs="宋体"/>
          <w:color w:val="333333"/>
          <w:kern w:val="0"/>
          <w:sz w:val="32"/>
          <w:szCs w:val="32"/>
        </w:rPr>
        <w:t>四、政府信息公开行政复议、行政诉讼情况</w:t>
      </w:r>
    </w:p>
    <w:tbl>
      <w:tblPr>
        <w:tblStyle w:val="5"/>
        <w:tblW w:w="907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行政诉讼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复议后起诉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78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auto"/>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auto"/>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auto"/>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auto"/>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color w:val="000000"/>
                <w:kern w:val="0"/>
                <w:sz w:val="20"/>
                <w:szCs w:val="20"/>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0</w:t>
            </w:r>
            <w:r>
              <w:rPr>
                <w:rFonts w:hint="eastAsia" w:ascii="MS Mincho" w:hAnsi="MS Mincho" w:eastAsia="MS Mincho" w:cs="MS Mincho"/>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MS Mincho" w:hAnsi="MS Mincho" w:eastAsia="MS Mincho" w:cs="MS Mincho"/>
                <w:kern w:val="0"/>
                <w:sz w:val="20"/>
                <w:szCs w:val="20"/>
              </w:rPr>
              <w:t> </w:t>
            </w:r>
            <w:r>
              <w:rPr>
                <w:rFonts w:hint="eastAsia" w:ascii="方正仿宋简体" w:hAnsi="宋体" w:eastAsia="方正仿宋简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0</w:t>
            </w:r>
            <w:r>
              <w:rPr>
                <w:rFonts w:hint="eastAsia" w:ascii="MS Mincho" w:hAnsi="MS Mincho" w:eastAsia="MS Mincho" w:cs="MS Mincho"/>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0</w:t>
            </w:r>
            <w:r>
              <w:rPr>
                <w:rFonts w:hint="eastAsia" w:ascii="MS Mincho" w:hAnsi="MS Mincho" w:eastAsia="MS Mincho" w:cs="MS Mincho"/>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0</w:t>
            </w:r>
            <w:r>
              <w:rPr>
                <w:rFonts w:hint="eastAsia" w:ascii="MS Mincho" w:hAnsi="MS Mincho" w:eastAsia="MS Mincho" w:cs="MS Mincho"/>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MS Mincho" w:hAnsi="MS Mincho" w:eastAsia="MS Mincho" w:cs="MS Mincho"/>
                <w:kern w:val="0"/>
                <w:sz w:val="20"/>
                <w:szCs w:val="20"/>
              </w:rPr>
              <w:t> </w:t>
            </w:r>
            <w:r>
              <w:rPr>
                <w:rFonts w:hint="eastAsia" w:ascii="方正仿宋简体" w:hAnsi="宋体" w:eastAsia="方正仿宋简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MS Mincho" w:hAnsi="MS Mincho" w:eastAsia="MS Mincho" w:cs="MS Mincho"/>
                <w:kern w:val="0"/>
                <w:sz w:val="20"/>
                <w:szCs w:val="20"/>
              </w:rPr>
              <w:t> </w:t>
            </w:r>
            <w:r>
              <w:rPr>
                <w:rFonts w:hint="eastAsia" w:ascii="方正仿宋简体" w:hAnsi="宋体" w:eastAsia="方正仿宋简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MS Mincho" w:hAnsi="MS Mincho" w:eastAsia="MS Mincho" w:cs="MS Mincho"/>
                <w:kern w:val="0"/>
                <w:sz w:val="20"/>
                <w:szCs w:val="20"/>
              </w:rPr>
              <w:t> </w:t>
            </w:r>
            <w:r>
              <w:rPr>
                <w:rFonts w:hint="eastAsia" w:ascii="方正仿宋简体" w:hAnsi="宋体" w:eastAsia="方正仿宋简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0</w:t>
            </w:r>
            <w:r>
              <w:rPr>
                <w:rFonts w:hint="eastAsia" w:ascii="MS Mincho" w:hAnsi="MS Mincho" w:eastAsia="MS Mincho" w:cs="MS Mincho"/>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MS Mincho" w:hAnsi="MS Mincho" w:eastAsia="MS Mincho" w:cs="MS Mincho"/>
                <w:color w:val="000000"/>
                <w:kern w:val="0"/>
                <w:sz w:val="20"/>
                <w:szCs w:val="20"/>
              </w:rPr>
              <w:t> </w:t>
            </w:r>
            <w:r>
              <w:rPr>
                <w:rFonts w:hint="eastAsia" w:ascii="方正仿宋简体" w:hAnsi="宋体" w:eastAsia="方正仿宋简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0</w:t>
            </w:r>
            <w:r>
              <w:rPr>
                <w:rFonts w:hint="eastAsia" w:ascii="MS Mincho" w:hAnsi="MS Mincho" w:eastAsia="MS Mincho" w:cs="MS Mincho"/>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0</w:t>
            </w:r>
            <w:r>
              <w:rPr>
                <w:rFonts w:hint="eastAsia" w:ascii="MS Mincho" w:hAnsi="MS Mincho" w:eastAsia="MS Mincho" w:cs="MS Mincho"/>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MS Mincho" w:hAnsi="MS Mincho" w:eastAsia="MS Mincho" w:cs="MS Mincho"/>
                <w:color w:val="000000"/>
                <w:kern w:val="0"/>
                <w:sz w:val="20"/>
                <w:szCs w:val="20"/>
              </w:rPr>
              <w:t> </w:t>
            </w:r>
            <w:r>
              <w:rPr>
                <w:rFonts w:hint="eastAsia" w:ascii="方正仿宋简体" w:hAnsi="宋体" w:eastAsia="方正仿宋简体" w:cs="宋体"/>
                <w:color w:val="000000"/>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center"/>
              <w:textAlignment w:val="auto"/>
              <w:rPr>
                <w:rFonts w:ascii="宋体" w:hAnsi="宋体" w:eastAsia="宋体" w:cs="宋体"/>
                <w:kern w:val="0"/>
                <w:sz w:val="24"/>
                <w:szCs w:val="24"/>
              </w:rPr>
            </w:pPr>
            <w:r>
              <w:rPr>
                <w:rFonts w:hint="eastAsia" w:ascii="方正仿宋简体" w:hAnsi="宋体" w:eastAsia="方正仿宋简体" w:cs="宋体"/>
                <w:kern w:val="0"/>
                <w:sz w:val="20"/>
                <w:szCs w:val="20"/>
              </w:rPr>
              <w:t>0</w:t>
            </w:r>
            <w:r>
              <w:rPr>
                <w:rFonts w:hint="eastAsia" w:ascii="MS Mincho" w:hAnsi="MS Mincho" w:eastAsia="MS Mincho" w:cs="MS Mincho"/>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auto"/>
              <w:rPr>
                <w:rFonts w:ascii="宋体" w:hAnsi="宋体" w:eastAsia="宋体" w:cs="宋体"/>
                <w:kern w:val="0"/>
                <w:sz w:val="24"/>
                <w:szCs w:val="24"/>
              </w:rPr>
            </w:pPr>
            <w:r>
              <w:rPr>
                <w:rFonts w:hint="eastAsia" w:ascii="方正仿宋简体" w:hAnsi="宋体" w:eastAsia="方正仿宋简体" w:cs="宋体"/>
                <w:kern w:val="0"/>
                <w:sz w:val="24"/>
                <w:szCs w:val="24"/>
              </w:rPr>
              <w:t>0</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ind w:firstLine="640" w:firstLineChars="200"/>
        <w:jc w:val="both"/>
        <w:textAlignment w:val="auto"/>
        <w:rPr>
          <w:rFonts w:hint="eastAsia" w:ascii="å®‹ä½“" w:hAnsi="宋体" w:eastAsia="å®‹ä½“" w:cs="宋体"/>
          <w:color w:val="333333"/>
          <w:kern w:val="0"/>
          <w:sz w:val="24"/>
          <w:szCs w:val="24"/>
        </w:rPr>
      </w:pPr>
      <w:r>
        <w:rPr>
          <w:rFonts w:hint="eastAsia" w:ascii="黑体" w:hAnsi="黑体" w:eastAsia="黑体" w:cs="宋体"/>
          <w:color w:val="333333"/>
          <w:kern w:val="0"/>
          <w:sz w:val="32"/>
          <w:szCs w:val="32"/>
        </w:rPr>
        <w:t>五、存在的主要问题及改进情况</w:t>
      </w:r>
    </w:p>
    <w:p>
      <w:pPr>
        <w:keepNext w:val="0"/>
        <w:keepLines w:val="0"/>
        <w:pageBreakBefore w:val="0"/>
        <w:widowControl/>
        <w:kinsoku/>
        <w:wordWrap/>
        <w:overflowPunct/>
        <w:topLinePunct w:val="0"/>
        <w:autoSpaceDE/>
        <w:autoSpaceDN/>
        <w:bidi w:val="0"/>
        <w:adjustRightInd w:val="0"/>
        <w:snapToGrid w:val="0"/>
        <w:spacing w:line="576" w:lineRule="exact"/>
        <w:jc w:val="both"/>
        <w:textAlignment w:val="auto"/>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（一）</w:t>
      </w:r>
      <w:r>
        <w:rPr>
          <w:rFonts w:hint="eastAsia" w:ascii="仿宋_GB2312" w:hAnsi="宋体" w:eastAsia="仿宋_GB2312" w:cs="宋体"/>
          <w:b/>
          <w:bCs/>
          <w:color w:val="333333"/>
          <w:kern w:val="0"/>
          <w:sz w:val="32"/>
          <w:szCs w:val="32"/>
        </w:rPr>
        <w:t>工作中存在的主要问题和困难：</w:t>
      </w:r>
      <w:r>
        <w:rPr>
          <w:rFonts w:hint="eastAsia" w:ascii="仿宋_GB2312" w:hAnsi="宋体" w:eastAsia="仿宋_GB2312" w:cs="宋体"/>
          <w:b w:val="0"/>
          <w:bCs w:val="0"/>
          <w:color w:val="333333"/>
          <w:kern w:val="0"/>
          <w:sz w:val="32"/>
          <w:szCs w:val="32"/>
        </w:rPr>
        <w:t>总体上看，我局政府信息公开工作有序推进，通过政府信息公开，保障了社会公众对</w:t>
      </w:r>
      <w:r>
        <w:rPr>
          <w:rFonts w:hint="eastAsia" w:ascii="仿宋_GB2312" w:hAnsi="宋体" w:eastAsia="仿宋_GB2312" w:cs="宋体"/>
          <w:b w:val="0"/>
          <w:bCs w:val="0"/>
          <w:color w:val="333333"/>
          <w:kern w:val="0"/>
          <w:sz w:val="32"/>
          <w:szCs w:val="32"/>
          <w:lang w:eastAsia="zh-CN"/>
        </w:rPr>
        <w:t>乡村振兴</w:t>
      </w:r>
      <w:r>
        <w:rPr>
          <w:rFonts w:hint="eastAsia" w:ascii="仿宋_GB2312" w:hAnsi="宋体" w:eastAsia="仿宋_GB2312" w:cs="宋体"/>
          <w:b w:val="0"/>
          <w:bCs w:val="0"/>
          <w:color w:val="333333"/>
          <w:kern w:val="0"/>
          <w:sz w:val="32"/>
          <w:szCs w:val="32"/>
        </w:rPr>
        <w:t>工作的知情权、参与权和监督权，促进了依法行权、依法行政，发挥了政府信息的服务作用。但在工作中也存在一些薄弱环节。一是在政府信息公开工作中存在动态类信息时效性不高、形式较单一；二是公开政府信息渠道还有待进一步扩宽</w:t>
      </w:r>
      <w:r>
        <w:rPr>
          <w:rFonts w:hint="eastAsia" w:ascii="仿宋_GB2312" w:hAnsi="宋体" w:eastAsia="仿宋_GB2312" w:cs="宋体"/>
          <w:color w:val="333333"/>
          <w:kern w:val="0"/>
          <w:sz w:val="32"/>
          <w:szCs w:val="32"/>
        </w:rPr>
        <w:t>。</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jc w:val="both"/>
        <w:textAlignment w:val="auto"/>
        <w:rPr>
          <w:rFonts w:hint="eastAsia" w:ascii="黑体" w:hAnsi="黑体" w:eastAsia="黑体" w:cs="宋体"/>
          <w:color w:val="333333"/>
          <w:kern w:val="0"/>
          <w:sz w:val="32"/>
          <w:szCs w:val="32"/>
        </w:rPr>
      </w:pPr>
      <w:r>
        <w:rPr>
          <w:rFonts w:hint="eastAsia" w:ascii="仿宋_GB2312" w:hAnsi="宋体" w:eastAsia="仿宋_GB2312" w:cs="宋体"/>
          <w:b/>
          <w:bCs/>
          <w:color w:val="333333"/>
          <w:kern w:val="0"/>
          <w:sz w:val="32"/>
          <w:szCs w:val="32"/>
        </w:rPr>
        <w:t>（二）具体解决办法和改进措施：</w:t>
      </w:r>
      <w:r>
        <w:rPr>
          <w:rFonts w:hint="eastAsia" w:ascii="仿宋_GB2312" w:hAnsi="宋体" w:eastAsia="仿宋_GB2312" w:cs="宋体"/>
          <w:color w:val="333333"/>
          <w:kern w:val="0"/>
          <w:sz w:val="32"/>
          <w:szCs w:val="32"/>
        </w:rPr>
        <w:t>一是</w:t>
      </w:r>
      <w:r>
        <w:rPr>
          <w:rFonts w:hint="eastAsia" w:ascii="仿宋_GB2312" w:hAnsi="宋体" w:eastAsia="仿宋_GB2312" w:cs="宋体"/>
          <w:b w:val="0"/>
          <w:bCs w:val="0"/>
          <w:color w:val="333333"/>
          <w:kern w:val="0"/>
          <w:sz w:val="32"/>
          <w:szCs w:val="32"/>
        </w:rPr>
        <w:t>针对政府信息进行系统深入</w:t>
      </w:r>
      <w:r>
        <w:rPr>
          <w:rFonts w:hint="eastAsia" w:ascii="仿宋_GB2312" w:hAnsi="宋体" w:eastAsia="仿宋_GB2312" w:cs="宋体"/>
          <w:b w:val="0"/>
          <w:bCs w:val="0"/>
          <w:color w:val="333333"/>
          <w:kern w:val="0"/>
          <w:sz w:val="32"/>
          <w:szCs w:val="32"/>
          <w:lang w:eastAsia="zh-CN"/>
        </w:rPr>
        <w:t>的</w:t>
      </w:r>
      <w:r>
        <w:rPr>
          <w:rFonts w:hint="eastAsia" w:ascii="仿宋_GB2312" w:hAnsi="宋体" w:eastAsia="仿宋_GB2312" w:cs="宋体"/>
          <w:b w:val="0"/>
          <w:bCs w:val="0"/>
          <w:color w:val="333333"/>
          <w:kern w:val="0"/>
          <w:sz w:val="32"/>
          <w:szCs w:val="32"/>
        </w:rPr>
        <w:t>梳理和分类，加快信息更新速度，拓宽公开渠道、创新公开方法、丰富公开形式，为群众提供更加方便快捷的信息公开服务。</w:t>
      </w:r>
      <w:r>
        <w:rPr>
          <w:rFonts w:hint="eastAsia" w:ascii="仿宋_GB2312" w:hAnsi="宋体" w:eastAsia="仿宋_GB2312" w:cs="宋体"/>
          <w:color w:val="333333"/>
          <w:kern w:val="0"/>
          <w:sz w:val="32"/>
          <w:szCs w:val="32"/>
        </w:rPr>
        <w:t>二是</w:t>
      </w:r>
      <w:r>
        <w:rPr>
          <w:rFonts w:hint="eastAsia" w:ascii="仿宋_GB2312" w:hAnsi="宋体" w:eastAsia="仿宋_GB2312" w:cs="宋体"/>
          <w:b w:val="0"/>
          <w:bCs w:val="0"/>
          <w:color w:val="333333"/>
          <w:kern w:val="0"/>
          <w:sz w:val="32"/>
          <w:szCs w:val="32"/>
        </w:rPr>
        <w:t>建立更加完善通畅的信息收集、审核、报送、公开运行流程，以及考核、评议、监督等长效管理办法，提高工作效率和积极性。</w:t>
      </w:r>
      <w:r>
        <w:rPr>
          <w:rFonts w:hint="eastAsia" w:ascii="黑体" w:hAnsi="黑体" w:eastAsia="黑体" w:cs="宋体"/>
          <w:color w:val="333333"/>
          <w:kern w:val="0"/>
          <w:sz w:val="32"/>
          <w:szCs w:val="32"/>
        </w:rPr>
        <w:t>　</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jc w:val="left"/>
        <w:textAlignment w:val="auto"/>
        <w:rPr>
          <w:rFonts w:hint="eastAsia" w:ascii="å®‹ä½“" w:hAnsi="宋体" w:eastAsia="å®‹ä½“" w:cs="宋体"/>
          <w:color w:val="333333"/>
          <w:kern w:val="0"/>
          <w:sz w:val="24"/>
          <w:szCs w:val="24"/>
        </w:rPr>
      </w:pPr>
      <w:r>
        <w:rPr>
          <w:rFonts w:hint="eastAsia" w:ascii="黑体" w:hAnsi="黑体" w:eastAsia="黑体" w:cs="宋体"/>
          <w:color w:val="333333"/>
          <w:kern w:val="0"/>
          <w:sz w:val="32"/>
          <w:szCs w:val="32"/>
        </w:rPr>
        <w:t>六、其他需要报告的事项</w:t>
      </w:r>
    </w:p>
    <w:p>
      <w:pPr>
        <w:keepNext w:val="0"/>
        <w:keepLines w:val="0"/>
        <w:pageBreakBefore w:val="0"/>
        <w:widowControl/>
        <w:kinsoku/>
        <w:wordWrap/>
        <w:overflowPunct/>
        <w:topLinePunct w:val="0"/>
        <w:autoSpaceDE/>
        <w:autoSpaceDN/>
        <w:bidi w:val="0"/>
        <w:adjustRightInd w:val="0"/>
        <w:snapToGrid w:val="0"/>
        <w:spacing w:line="576" w:lineRule="exact"/>
        <w:ind w:firstLine="645"/>
        <w:jc w:val="left"/>
        <w:textAlignment w:val="auto"/>
        <w:rPr>
          <w:rFonts w:hint="eastAsia" w:ascii="å®‹ä½“" w:hAnsi="宋体" w:eastAsia="å®‹ä½“" w:cs="宋体"/>
          <w:color w:val="333333"/>
          <w:kern w:val="0"/>
          <w:sz w:val="24"/>
          <w:szCs w:val="24"/>
        </w:rPr>
      </w:pPr>
      <w:r>
        <w:rPr>
          <w:rFonts w:hint="eastAsia" w:ascii="仿宋_GB2312" w:hAnsi="宋体" w:eastAsia="仿宋_GB2312" w:cs="宋体"/>
          <w:color w:val="333333"/>
          <w:kern w:val="0"/>
          <w:sz w:val="32"/>
          <w:szCs w:val="32"/>
        </w:rPr>
        <w:t>无</w:t>
      </w:r>
    </w:p>
    <w:p>
      <w:pPr>
        <w:keepNext w:val="0"/>
        <w:keepLines w:val="0"/>
        <w:pageBreakBefore w:val="0"/>
        <w:kinsoku/>
        <w:wordWrap/>
        <w:overflowPunct/>
        <w:topLinePunct w:val="0"/>
        <w:autoSpaceDE/>
        <w:autoSpaceDN/>
        <w:bidi w:val="0"/>
        <w:adjustRightInd w:val="0"/>
        <w:snapToGrid w:val="0"/>
        <w:spacing w:line="576" w:lineRule="exact"/>
        <w:textAlignment w:val="auto"/>
        <w:rPr>
          <w:rFonts w:hint="eastAsia" w:ascii="仿宋_GB2312" w:hAnsi="仿宋_GB2312" w:eastAsia="仿宋_GB2312" w:cs="仿宋_GB2312"/>
          <w:b w:val="0"/>
          <w:i w:val="0"/>
          <w:caps w:val="0"/>
          <w:spacing w:val="0"/>
          <w:w w:val="100"/>
          <w:sz w:val="32"/>
          <w:szCs w:val="32"/>
          <w:lang w:val="en-US" w:eastAsia="zh-CN"/>
        </w:rPr>
      </w:pPr>
      <w:r>
        <w:rPr>
          <w:rFonts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1"/>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炉霍县乡村振兴局</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1"/>
        <w:jc w:val="right"/>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2023年1月12日</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jc w:val="both"/>
        <w:textAlignment w:val="baseline"/>
        <w:rPr>
          <w:rFonts w:hint="default" w:ascii="仿宋_GB2312" w:hAnsi="仿宋_GB2312" w:eastAsia="仿宋_GB2312" w:cs="仿宋_GB2312"/>
          <w:b w:val="0"/>
          <w:i w:val="0"/>
          <w:caps w:val="0"/>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jc w:val="both"/>
        <w:textAlignment w:val="baseline"/>
        <w:rPr>
          <w:rFonts w:hint="default" w:ascii="仿宋_GB2312" w:hAnsi="仿宋_GB2312" w:eastAsia="仿宋_GB2312" w:cs="仿宋_GB2312"/>
          <w:b w:val="0"/>
          <w:i w:val="0"/>
          <w:caps w:val="0"/>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jc w:val="both"/>
        <w:textAlignment w:val="baseline"/>
        <w:rPr>
          <w:rFonts w:hint="eastAsia" w:ascii="仿宋_GB2312" w:hAnsi="仿宋_GB2312" w:eastAsia="仿宋_GB2312" w:cs="仿宋_GB2312"/>
          <w:b w:val="0"/>
          <w:i w:val="0"/>
          <w:caps w:val="0"/>
          <w:spacing w:val="0"/>
          <w:w w:val="100"/>
          <w:sz w:val="32"/>
          <w:szCs w:val="32"/>
          <w:u w:val="single"/>
          <w:lang w:val="en-US" w:eastAsia="zh-CN"/>
        </w:rPr>
      </w:pPr>
      <w:r>
        <w:rPr>
          <w:rFonts w:hint="eastAsia" w:ascii="仿宋_GB2312" w:hAnsi="仿宋_GB2312" w:eastAsia="仿宋_GB2312" w:cs="仿宋_GB2312"/>
          <w:b w:val="0"/>
          <w:i w:val="0"/>
          <w:caps w:val="0"/>
          <w:spacing w:val="0"/>
          <w:w w:val="1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spacing w:val="0"/>
          <w:w w:val="100"/>
          <w:sz w:val="32"/>
          <w:szCs w:val="32"/>
          <w:u w:val="single"/>
          <w:lang w:val="en-US" w:eastAsia="zh-CN"/>
        </w:rPr>
        <w:t xml:space="preserve">炉霍县乡村振兴局                   </w:t>
      </w:r>
      <w:bookmarkStart w:id="0" w:name="_GoBack"/>
      <w:bookmarkEnd w:id="0"/>
      <w:r>
        <w:rPr>
          <w:rFonts w:hint="eastAsia" w:ascii="仿宋_GB2312" w:hAnsi="仿宋_GB2312" w:eastAsia="仿宋_GB2312" w:cs="仿宋_GB2312"/>
          <w:b w:val="0"/>
          <w:i w:val="0"/>
          <w:caps w:val="0"/>
          <w:spacing w:val="0"/>
          <w:w w:val="100"/>
          <w:sz w:val="32"/>
          <w:szCs w:val="32"/>
          <w:u w:val="single"/>
          <w:lang w:val="en-US" w:eastAsia="zh-CN"/>
        </w:rPr>
        <w:t xml:space="preserve">2023年1月12日印发          </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å®‹ä½“">
    <w:altName w:val="宋体"/>
    <w:panose1 w:val="00000000000000000000"/>
    <w:charset w:val="86"/>
    <w:family w:val="roman"/>
    <w:pitch w:val="default"/>
    <w:sig w:usb0="00000000" w:usb1="00000000" w:usb2="00000010" w:usb3="00000000" w:csb0="00040000" w:csb1="00000000"/>
  </w:font>
  <w:font w:name="MS Mincho">
    <w:altName w:val="宋体"/>
    <w:panose1 w:val="02020609040205080304"/>
    <w:charset w:val="80"/>
    <w:family w:val="modern"/>
    <w:pitch w:val="default"/>
    <w:sig w:usb0="00000000" w:usb1="00000000" w:usb2="00000010" w:usb3="00000000" w:csb0="4002009F" w:csb1="DFD70000"/>
  </w:font>
  <w:font w:name="楷体">
    <w:panose1 w:val="02010609060101010101"/>
    <w:charset w:val="86"/>
    <w:family w:val="auto"/>
    <w:pitch w:val="default"/>
    <w:sig w:usb0="800002BF" w:usb1="38CF7CFA" w:usb2="00000016" w:usb3="00000000" w:csb0="00040001" w:csb1="00000000"/>
  </w:font>
  <w:font w:name="方正仿宋简体">
    <w:panose1 w:val="02000000000000000000"/>
    <w:charset w:val="86"/>
    <w:family w:val="roman"/>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ZmE4Yjk0MWEyZjNkOTFhNzYxMGExMWI0MGRkODgifQ=="/>
  </w:docVars>
  <w:rsids>
    <w:rsidRoot w:val="00105B80"/>
    <w:rsid w:val="00105B80"/>
    <w:rsid w:val="009153C0"/>
    <w:rsid w:val="00D374F7"/>
    <w:rsid w:val="064A73D7"/>
    <w:rsid w:val="09016473"/>
    <w:rsid w:val="0EF12944"/>
    <w:rsid w:val="11942A2C"/>
    <w:rsid w:val="15282FD9"/>
    <w:rsid w:val="191F46F3"/>
    <w:rsid w:val="195C63B5"/>
    <w:rsid w:val="1F676026"/>
    <w:rsid w:val="20567290"/>
    <w:rsid w:val="20A43D93"/>
    <w:rsid w:val="21425423"/>
    <w:rsid w:val="2A445D1A"/>
    <w:rsid w:val="2C1D50EF"/>
    <w:rsid w:val="2FE2078C"/>
    <w:rsid w:val="31CE288E"/>
    <w:rsid w:val="336F02F9"/>
    <w:rsid w:val="34515C51"/>
    <w:rsid w:val="37D156BF"/>
    <w:rsid w:val="3A6E68D9"/>
    <w:rsid w:val="41495D5E"/>
    <w:rsid w:val="45E16709"/>
    <w:rsid w:val="4A8354A2"/>
    <w:rsid w:val="4C8524E4"/>
    <w:rsid w:val="515C2E14"/>
    <w:rsid w:val="582F1556"/>
    <w:rsid w:val="5A514698"/>
    <w:rsid w:val="5DAD189A"/>
    <w:rsid w:val="5FFF5CB2"/>
    <w:rsid w:val="602666C4"/>
    <w:rsid w:val="62722F15"/>
    <w:rsid w:val="62FB4E56"/>
    <w:rsid w:val="657B402C"/>
    <w:rsid w:val="6A9E4A45"/>
    <w:rsid w:val="6D9A2CAC"/>
    <w:rsid w:val="71590E64"/>
    <w:rsid w:val="7527729E"/>
    <w:rsid w:val="75B01AD0"/>
    <w:rsid w:val="75B55338"/>
    <w:rsid w:val="79984D55"/>
    <w:rsid w:val="79D12015"/>
    <w:rsid w:val="79F91C98"/>
    <w:rsid w:val="7ABD1DAF"/>
    <w:rsid w:val="7B6B0973"/>
    <w:rsid w:val="DDF03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semiHidden/>
    <w:unhideWhenUsed/>
    <w:qFormat/>
    <w:uiPriority w:val="99"/>
    <w:rPr>
      <w:color w:val="333333"/>
      <w:u w:val="none"/>
    </w:rPr>
  </w:style>
  <w:style w:type="character" w:styleId="9">
    <w:name w:val="Emphasis"/>
    <w:basedOn w:val="6"/>
    <w:qFormat/>
    <w:uiPriority w:val="20"/>
    <w:rPr>
      <w:i/>
    </w:rPr>
  </w:style>
  <w:style w:type="character" w:styleId="10">
    <w:name w:val="HTML Definition"/>
    <w:basedOn w:val="6"/>
    <w:semiHidden/>
    <w:unhideWhenUsed/>
    <w:qFormat/>
    <w:uiPriority w:val="99"/>
  </w:style>
  <w:style w:type="character" w:styleId="11">
    <w:name w:val="HTML Acronym"/>
    <w:basedOn w:val="6"/>
    <w:semiHidden/>
    <w:unhideWhenUsed/>
    <w:qFormat/>
    <w:uiPriority w:val="99"/>
  </w:style>
  <w:style w:type="character" w:styleId="12">
    <w:name w:val="HTML Variable"/>
    <w:basedOn w:val="6"/>
    <w:semiHidden/>
    <w:unhideWhenUsed/>
    <w:qFormat/>
    <w:uiPriority w:val="99"/>
  </w:style>
  <w:style w:type="character" w:styleId="13">
    <w:name w:val="Hyperlink"/>
    <w:basedOn w:val="6"/>
    <w:semiHidden/>
    <w:unhideWhenUsed/>
    <w:qFormat/>
    <w:uiPriority w:val="99"/>
    <w:rPr>
      <w:color w:val="333333"/>
      <w:u w:val="none"/>
    </w:rPr>
  </w:style>
  <w:style w:type="character" w:styleId="14">
    <w:name w:val="HTML Code"/>
    <w:basedOn w:val="6"/>
    <w:semiHidden/>
    <w:unhideWhenUsed/>
    <w:qFormat/>
    <w:uiPriority w:val="99"/>
    <w:rPr>
      <w:rFonts w:ascii="Courier New" w:hAnsi="Courier New"/>
      <w:sz w:val="20"/>
    </w:rPr>
  </w:style>
  <w:style w:type="character" w:styleId="15">
    <w:name w:val="HTML Cite"/>
    <w:basedOn w:val="6"/>
    <w:semiHidden/>
    <w:unhideWhenUsed/>
    <w:qFormat/>
    <w:uiPriority w:val="99"/>
  </w:style>
  <w:style w:type="character" w:customStyle="1" w:styleId="16">
    <w:name w:val="tit"/>
    <w:basedOn w:val="6"/>
    <w:qFormat/>
    <w:uiPriority w:val="0"/>
  </w:style>
  <w:style w:type="character" w:customStyle="1" w:styleId="17">
    <w:name w:val="tit1"/>
    <w:basedOn w:val="6"/>
    <w:qFormat/>
    <w:uiPriority w:val="0"/>
    <w:rPr>
      <w:b/>
      <w:bCs/>
      <w:color w:val="333333"/>
      <w:sz w:val="30"/>
      <w:szCs w:val="30"/>
    </w:rPr>
  </w:style>
  <w:style w:type="character" w:customStyle="1" w:styleId="18">
    <w:name w:val="wj"/>
    <w:basedOn w:val="6"/>
    <w:qFormat/>
    <w:uiPriority w:val="0"/>
    <w:rPr>
      <w:color w:val="666666"/>
      <w:sz w:val="19"/>
      <w:szCs w:val="19"/>
      <w:bdr w:val="single" w:color="D2D2D2" w:sz="6" w:space="0"/>
    </w:rPr>
  </w:style>
  <w:style w:type="character" w:customStyle="1" w:styleId="19">
    <w:name w:val="sel"/>
    <w:basedOn w:val="6"/>
    <w:qFormat/>
    <w:uiPriority w:val="0"/>
  </w:style>
  <w:style w:type="character" w:customStyle="1" w:styleId="20">
    <w:name w:val="re"/>
    <w:basedOn w:val="6"/>
    <w:qFormat/>
    <w:uiPriority w:val="0"/>
    <w:rPr>
      <w:color w:val="666666"/>
      <w:sz w:val="19"/>
      <w:szCs w:val="19"/>
    </w:rPr>
  </w:style>
  <w:style w:type="character" w:customStyle="1" w:styleId="21">
    <w:name w:val="tip"/>
    <w:basedOn w:val="6"/>
    <w:qFormat/>
    <w:uiPriority w:val="0"/>
    <w:rPr>
      <w:color w:val="FF2C2C"/>
      <w:sz w:val="19"/>
      <w:szCs w:val="19"/>
    </w:rPr>
  </w:style>
  <w:style w:type="character" w:customStyle="1" w:styleId="22">
    <w:name w:val="tit10"/>
    <w:basedOn w:val="6"/>
    <w:qFormat/>
    <w:uiPriority w:val="0"/>
  </w:style>
  <w:style w:type="character" w:customStyle="1" w:styleId="23">
    <w:name w:val="tit11"/>
    <w:basedOn w:val="6"/>
    <w:qFormat/>
    <w:uiPriority w:val="0"/>
    <w:rPr>
      <w:b/>
      <w:bCs/>
      <w:color w:val="333333"/>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2506</Words>
  <Characters>2556</Characters>
  <Lines>5</Lines>
  <Paragraphs>1</Paragraphs>
  <TotalTime>49</TotalTime>
  <ScaleCrop>false</ScaleCrop>
  <LinksUpToDate>false</LinksUpToDate>
  <CharactersWithSpaces>2736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2020-02-24T15:18:00Z</dcterms:created>
  <dc:creator>User</dc:creator>
  <cp:lastModifiedBy>汕持</cp:lastModifiedBy>
  <cp:lastPrinted>2021-01-28T11:22:00Z</cp:lastPrinted>
  <dcterms:modified xsi:type="dcterms:W3CDTF">2023-01-13T15:53:42Z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9E6F241DB84E4E0CBEB44EE08F100038</vt:lpwstr>
  </property>
</Properties>
</file>