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default" w:ascii="方正小标宋_GBK" w:hAnsi="方正小标宋_GBK" w:eastAsia="方正小标宋_GBK" w:cs="方正小标宋_GBK"/>
          <w:b/>
          <w:bCs/>
          <w:color w:val="auto"/>
          <w:sz w:val="52"/>
          <w:szCs w:val="52"/>
          <w:highlight w:val="none"/>
          <w:lang w:val="en-US" w:eastAsia="zh-CN"/>
        </w:rPr>
      </w:pPr>
      <w:bookmarkStart w:id="187" w:name="_GoBack"/>
      <w:bookmarkEnd w:id="187"/>
    </w:p>
    <w:p>
      <w:pPr>
        <w:jc w:val="center"/>
        <w:rPr>
          <w:rFonts w:ascii="Times New Roman" w:hAnsi="Times New Roman" w:eastAsia="方正小标宋简体"/>
          <w:b/>
          <w:bCs/>
          <w:color w:val="auto"/>
          <w:sz w:val="52"/>
          <w:szCs w:val="52"/>
          <w:highlight w:val="none"/>
        </w:rPr>
      </w:pPr>
    </w:p>
    <w:p>
      <w:pPr>
        <w:jc w:val="center"/>
        <w:rPr>
          <w:rFonts w:ascii="黑体" w:hAnsi="黑体" w:eastAsia="黑体" w:cs="黑体"/>
          <w:color w:val="auto"/>
          <w:sz w:val="52"/>
          <w:szCs w:val="52"/>
          <w:highlight w:val="none"/>
        </w:rPr>
      </w:pPr>
      <w:r>
        <w:rPr>
          <w:rFonts w:hint="eastAsia" w:ascii="黑体" w:hAnsi="黑体" w:eastAsia="黑体" w:cs="黑体"/>
          <w:color w:val="auto"/>
          <w:sz w:val="52"/>
          <w:szCs w:val="52"/>
          <w:highlight w:val="none"/>
        </w:rPr>
        <w:t>甘孜州巩固拓展脱贫攻坚成果</w:t>
      </w:r>
    </w:p>
    <w:p>
      <w:pPr>
        <w:jc w:val="center"/>
        <w:rPr>
          <w:rFonts w:ascii="黑体" w:hAnsi="黑体" w:eastAsia="黑体" w:cs="黑体"/>
          <w:color w:val="auto"/>
          <w:sz w:val="52"/>
          <w:szCs w:val="52"/>
          <w:highlight w:val="none"/>
        </w:rPr>
      </w:pPr>
      <w:r>
        <w:rPr>
          <w:rFonts w:hint="eastAsia" w:ascii="黑体" w:hAnsi="黑体" w:eastAsia="黑体" w:cs="黑体"/>
          <w:color w:val="auto"/>
          <w:sz w:val="52"/>
          <w:szCs w:val="52"/>
          <w:highlight w:val="none"/>
        </w:rPr>
        <w:t>同乡村振兴有效衔接规划</w:t>
      </w:r>
    </w:p>
    <w:p>
      <w:pPr>
        <w:jc w:val="center"/>
        <w:rPr>
          <w:rFonts w:ascii="黑体" w:hAnsi="黑体" w:eastAsia="黑体" w:cs="黑体"/>
          <w:color w:val="auto"/>
          <w:sz w:val="52"/>
          <w:szCs w:val="52"/>
          <w:highlight w:val="none"/>
        </w:rPr>
      </w:pPr>
      <w:r>
        <w:rPr>
          <w:rFonts w:hint="eastAsia" w:ascii="黑体" w:hAnsi="黑体" w:eastAsia="黑体" w:cs="黑体"/>
          <w:color w:val="auto"/>
          <w:sz w:val="52"/>
          <w:szCs w:val="52"/>
          <w:highlight w:val="none"/>
        </w:rPr>
        <w:t>（</w:t>
      </w:r>
      <w:r>
        <w:rPr>
          <w:rFonts w:ascii="黑体" w:hAnsi="黑体" w:eastAsia="黑体" w:cs="黑体"/>
          <w:color w:val="auto"/>
          <w:sz w:val="52"/>
          <w:szCs w:val="52"/>
          <w:highlight w:val="none"/>
        </w:rPr>
        <w:t>2021</w:t>
      </w:r>
      <w:r>
        <w:rPr>
          <w:rFonts w:hint="eastAsia" w:ascii="黑体" w:hAnsi="黑体" w:eastAsia="黑体" w:cs="黑体"/>
          <w:color w:val="auto"/>
          <w:sz w:val="52"/>
          <w:szCs w:val="52"/>
          <w:highlight w:val="none"/>
        </w:rPr>
        <w:t>-</w:t>
      </w:r>
      <w:r>
        <w:rPr>
          <w:rFonts w:ascii="黑体" w:hAnsi="黑体" w:eastAsia="黑体" w:cs="黑体"/>
          <w:color w:val="auto"/>
          <w:sz w:val="52"/>
          <w:szCs w:val="52"/>
          <w:highlight w:val="none"/>
        </w:rPr>
        <w:t>2025</w:t>
      </w:r>
      <w:r>
        <w:rPr>
          <w:rFonts w:hint="eastAsia" w:ascii="黑体" w:hAnsi="黑体" w:eastAsia="黑体" w:cs="黑体"/>
          <w:color w:val="auto"/>
          <w:sz w:val="52"/>
          <w:szCs w:val="52"/>
          <w:highlight w:val="none"/>
        </w:rPr>
        <w:t>年）</w:t>
      </w:r>
    </w:p>
    <w:p>
      <w:pPr>
        <w:jc w:val="center"/>
        <w:rPr>
          <w:rFonts w:hint="eastAsia" w:ascii="Times New Roman" w:hAnsi="Times New Roman" w:eastAsia="楷体"/>
          <w:color w:val="auto"/>
          <w:sz w:val="52"/>
          <w:szCs w:val="52"/>
          <w:highlight w:val="none"/>
          <w:lang w:eastAsia="zh-CN"/>
        </w:rPr>
      </w:pPr>
    </w:p>
    <w:p>
      <w:pPr>
        <w:widowControl/>
        <w:jc w:val="center"/>
        <w:rPr>
          <w:rFonts w:ascii="Times New Roman" w:hAnsi="Times New Roman" w:eastAsia="黑体"/>
          <w:color w:val="auto"/>
          <w:kern w:val="0"/>
          <w:sz w:val="28"/>
          <w:szCs w:val="28"/>
          <w:highlight w:val="none"/>
          <w:lang w:bidi="ar"/>
        </w:rPr>
      </w:pPr>
    </w:p>
    <w:p>
      <w:pPr>
        <w:widowControl/>
        <w:jc w:val="center"/>
        <w:rPr>
          <w:rFonts w:ascii="Times New Roman" w:hAnsi="Times New Roman" w:eastAsia="黑体"/>
          <w:color w:val="auto"/>
          <w:kern w:val="0"/>
          <w:sz w:val="28"/>
          <w:szCs w:val="28"/>
          <w:highlight w:val="none"/>
          <w:lang w:bidi="ar"/>
        </w:rPr>
      </w:pPr>
    </w:p>
    <w:p>
      <w:pPr>
        <w:widowControl/>
        <w:jc w:val="left"/>
        <w:rPr>
          <w:rFonts w:ascii="Times New Roman" w:hAnsi="Times New Roman" w:eastAsia="黑体"/>
          <w:color w:val="auto"/>
          <w:kern w:val="0"/>
          <w:sz w:val="28"/>
          <w:szCs w:val="28"/>
          <w:highlight w:val="none"/>
          <w:lang w:bidi="ar"/>
        </w:rPr>
      </w:pPr>
    </w:p>
    <w:p>
      <w:pPr>
        <w:rPr>
          <w:rFonts w:ascii="Times New Roman" w:hAnsi="Times New Roman" w:eastAsia="黑体"/>
          <w:color w:val="auto"/>
          <w:kern w:val="0"/>
          <w:sz w:val="28"/>
          <w:szCs w:val="28"/>
          <w:highlight w:val="none"/>
          <w:lang w:bidi="ar"/>
        </w:rPr>
      </w:pPr>
    </w:p>
    <w:p>
      <w:pPr>
        <w:rPr>
          <w:rFonts w:ascii="Times New Roman" w:hAnsi="Times New Roman" w:eastAsia="黑体"/>
          <w:color w:val="auto"/>
          <w:kern w:val="0"/>
          <w:sz w:val="28"/>
          <w:szCs w:val="28"/>
          <w:highlight w:val="none"/>
          <w:lang w:bidi="ar"/>
        </w:rPr>
      </w:pPr>
    </w:p>
    <w:p>
      <w:pPr>
        <w:rPr>
          <w:rFonts w:ascii="Times New Roman" w:hAnsi="Times New Roman" w:eastAsia="黑体"/>
          <w:color w:val="auto"/>
          <w:kern w:val="0"/>
          <w:sz w:val="28"/>
          <w:szCs w:val="28"/>
          <w:highlight w:val="none"/>
          <w:lang w:bidi="ar"/>
        </w:rPr>
      </w:pPr>
    </w:p>
    <w:p>
      <w:pPr>
        <w:rPr>
          <w:rFonts w:ascii="Times New Roman" w:hAnsi="Times New Roman" w:eastAsia="黑体"/>
          <w:color w:val="auto"/>
          <w:kern w:val="0"/>
          <w:sz w:val="28"/>
          <w:szCs w:val="28"/>
          <w:highlight w:val="none"/>
          <w:lang w:bidi="ar"/>
        </w:rPr>
      </w:pPr>
    </w:p>
    <w:p>
      <w:pPr>
        <w:widowControl/>
        <w:jc w:val="center"/>
        <w:rPr>
          <w:rFonts w:ascii="Times New Roman" w:hAnsi="Times New Roman" w:eastAsia="黑体"/>
          <w:color w:val="auto"/>
          <w:kern w:val="0"/>
          <w:sz w:val="28"/>
          <w:szCs w:val="28"/>
          <w:highlight w:val="none"/>
          <w:lang w:bidi="ar"/>
        </w:rPr>
      </w:pPr>
    </w:p>
    <w:p>
      <w:pPr>
        <w:widowControl/>
        <w:jc w:val="center"/>
        <w:rPr>
          <w:rFonts w:ascii="Times New Roman" w:hAnsi="Times New Roman" w:eastAsia="黑体"/>
          <w:color w:val="auto"/>
          <w:kern w:val="0"/>
          <w:sz w:val="28"/>
          <w:szCs w:val="28"/>
          <w:highlight w:val="none"/>
          <w:lang w:bidi="ar"/>
        </w:rPr>
      </w:pPr>
    </w:p>
    <w:p>
      <w:pPr>
        <w:pStyle w:val="10"/>
        <w:ind w:left="640" w:firstLine="640"/>
        <w:rPr>
          <w:color w:val="auto"/>
          <w:highlight w:val="none"/>
        </w:rPr>
      </w:pPr>
    </w:p>
    <w:p>
      <w:pPr>
        <w:widowControl/>
        <w:jc w:val="center"/>
        <w:rPr>
          <w:rFonts w:ascii="Times New Roman" w:hAnsi="Times New Roman" w:eastAsia="黑体"/>
          <w:color w:val="auto"/>
          <w:kern w:val="0"/>
          <w:sz w:val="28"/>
          <w:szCs w:val="28"/>
          <w:highlight w:val="none"/>
          <w:lang w:bidi="ar"/>
        </w:rPr>
      </w:pPr>
    </w:p>
    <w:p>
      <w:pPr>
        <w:widowControl/>
        <w:spacing w:line="500" w:lineRule="exact"/>
        <w:jc w:val="center"/>
        <w:rPr>
          <w:rFonts w:ascii="Times New Roman" w:hAnsi="Times New Roman" w:eastAsia="黑体"/>
          <w:color w:val="auto"/>
          <w:kern w:val="0"/>
          <w:sz w:val="36"/>
          <w:szCs w:val="36"/>
          <w:highlight w:val="none"/>
          <w:lang w:bidi="ar"/>
        </w:rPr>
      </w:pPr>
      <w:r>
        <w:rPr>
          <w:rFonts w:hint="eastAsia" w:ascii="Times New Roman" w:hAnsi="Times New Roman" w:eastAsia="黑体"/>
          <w:color w:val="auto"/>
          <w:kern w:val="0"/>
          <w:sz w:val="36"/>
          <w:szCs w:val="36"/>
          <w:highlight w:val="none"/>
          <w:lang w:bidi="ar"/>
        </w:rPr>
        <w:t>甘孜州乡村振兴</w:t>
      </w:r>
      <w:r>
        <w:rPr>
          <w:rFonts w:ascii="Times New Roman" w:hAnsi="Times New Roman" w:eastAsia="黑体"/>
          <w:color w:val="auto"/>
          <w:kern w:val="0"/>
          <w:sz w:val="36"/>
          <w:szCs w:val="36"/>
          <w:highlight w:val="none"/>
          <w:lang w:bidi="ar"/>
        </w:rPr>
        <w:t>局</w:t>
      </w:r>
    </w:p>
    <w:p>
      <w:pPr>
        <w:widowControl/>
        <w:spacing w:line="500" w:lineRule="exact"/>
        <w:jc w:val="center"/>
        <w:rPr>
          <w:rFonts w:ascii="Times New Roman" w:hAnsi="Times New Roman" w:eastAsia="黑体"/>
          <w:color w:val="auto"/>
          <w:kern w:val="0"/>
          <w:sz w:val="36"/>
          <w:szCs w:val="36"/>
          <w:highlight w:val="none"/>
          <w:lang w:bidi="ar"/>
        </w:rPr>
      </w:pPr>
      <w:r>
        <w:rPr>
          <w:rFonts w:hint="eastAsia" w:ascii="Times New Roman" w:hAnsi="Times New Roman" w:eastAsia="黑体"/>
          <w:color w:val="auto"/>
          <w:kern w:val="0"/>
          <w:sz w:val="36"/>
          <w:szCs w:val="36"/>
          <w:highlight w:val="none"/>
          <w:lang w:bidi="ar"/>
        </w:rPr>
        <w:t>202</w:t>
      </w:r>
      <w:r>
        <w:rPr>
          <w:rFonts w:hint="eastAsia" w:ascii="Times New Roman" w:hAnsi="Times New Roman" w:eastAsia="黑体"/>
          <w:color w:val="auto"/>
          <w:kern w:val="0"/>
          <w:sz w:val="36"/>
          <w:szCs w:val="36"/>
          <w:highlight w:val="none"/>
          <w:lang w:val="en-US" w:eastAsia="zh-CN" w:bidi="ar"/>
        </w:rPr>
        <w:t>2</w:t>
      </w:r>
      <w:r>
        <w:rPr>
          <w:rFonts w:ascii="Times New Roman" w:hAnsi="Times New Roman" w:eastAsia="黑体"/>
          <w:color w:val="auto"/>
          <w:kern w:val="0"/>
          <w:sz w:val="36"/>
          <w:szCs w:val="36"/>
          <w:highlight w:val="none"/>
          <w:lang w:bidi="ar"/>
        </w:rPr>
        <w:t>年</w:t>
      </w:r>
      <w:r>
        <w:rPr>
          <w:rFonts w:hint="eastAsia" w:ascii="Times New Roman" w:hAnsi="Times New Roman" w:eastAsia="黑体"/>
          <w:color w:val="auto"/>
          <w:kern w:val="0"/>
          <w:sz w:val="36"/>
          <w:szCs w:val="36"/>
          <w:highlight w:val="none"/>
          <w:lang w:val="en-US" w:eastAsia="zh-CN" w:bidi="ar"/>
        </w:rPr>
        <w:t>12</w:t>
      </w:r>
      <w:r>
        <w:rPr>
          <w:rFonts w:ascii="Times New Roman" w:hAnsi="Times New Roman" w:eastAsia="黑体"/>
          <w:color w:val="auto"/>
          <w:kern w:val="0"/>
          <w:sz w:val="36"/>
          <w:szCs w:val="36"/>
          <w:highlight w:val="none"/>
          <w:lang w:bidi="ar"/>
        </w:rPr>
        <w:t>月</w:t>
      </w:r>
    </w:p>
    <w:p>
      <w:pPr>
        <w:spacing w:line="240" w:lineRule="auto"/>
        <w:jc w:val="center"/>
        <w:rPr>
          <w:rFonts w:ascii="Times New Roman" w:hAnsi="Times New Roman" w:eastAsia="方正小标宋简体"/>
          <w:b/>
          <w:bCs/>
          <w:color w:val="auto"/>
          <w:sz w:val="36"/>
          <w:szCs w:val="36"/>
          <w:highlight w:val="none"/>
        </w:rPr>
      </w:pPr>
    </w:p>
    <w:p>
      <w:pPr>
        <w:spacing w:line="240" w:lineRule="auto"/>
        <w:jc w:val="center"/>
        <w:rPr>
          <w:rFonts w:ascii="Times New Roman" w:hAnsi="Times New Roman" w:eastAsia="方正小标宋简体"/>
          <w:b/>
          <w:bCs/>
          <w:color w:val="auto"/>
          <w:sz w:val="36"/>
          <w:szCs w:val="36"/>
          <w:highlight w:val="none"/>
        </w:rPr>
        <w:sectPr>
          <w:headerReference r:id="rId5" w:type="first"/>
          <w:pgSz w:w="11906" w:h="16838"/>
          <w:pgMar w:top="1440" w:right="1800" w:bottom="1440" w:left="1800" w:header="851" w:footer="992" w:gutter="0"/>
          <w:cols w:space="425" w:num="1"/>
          <w:docGrid w:type="lines" w:linePitch="312" w:charSpace="0"/>
        </w:sectPr>
      </w:pPr>
    </w:p>
    <w:p>
      <w:pPr>
        <w:spacing w:line="336" w:lineRule="auto"/>
        <w:jc w:val="center"/>
        <w:rPr>
          <w:rFonts w:ascii="黑体" w:hAnsi="黑体" w:eastAsia="黑体" w:cs="黑体"/>
          <w:color w:val="auto"/>
          <w:szCs w:val="48"/>
          <w:highlight w:val="none"/>
        </w:rPr>
      </w:pPr>
      <w:r>
        <w:rPr>
          <w:rFonts w:hint="eastAsia" w:ascii="黑体" w:hAnsi="黑体" w:eastAsia="黑体" w:cs="黑体"/>
          <w:color w:val="auto"/>
          <w:szCs w:val="48"/>
          <w:highlight w:val="none"/>
        </w:rPr>
        <w:t>前  言</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ascii="仿宋" w:hAnsi="仿宋"/>
          <w:color w:val="auto"/>
          <w:szCs w:val="40"/>
          <w:highlight w:val="none"/>
        </w:rPr>
      </w:pPr>
      <w:r>
        <w:rPr>
          <w:rFonts w:hint="eastAsia" w:ascii="仿宋" w:hAnsi="仿宋"/>
          <w:color w:val="auto"/>
          <w:szCs w:val="40"/>
          <w:highlight w:val="none"/>
        </w:rPr>
        <w:t>“十四五”时期是甘孜全面建成小康社会、实现</w:t>
      </w:r>
      <w:r>
        <w:rPr>
          <w:rFonts w:hint="eastAsia" w:ascii="仿宋" w:hAnsi="仿宋"/>
          <w:color w:val="auto"/>
          <w:szCs w:val="40"/>
          <w:highlight w:val="none"/>
          <w:lang w:eastAsia="zh-CN"/>
        </w:rPr>
        <w:t>第二个百年</w:t>
      </w:r>
      <w:r>
        <w:rPr>
          <w:rFonts w:hint="eastAsia" w:ascii="仿宋" w:hAnsi="仿宋"/>
          <w:color w:val="auto"/>
          <w:szCs w:val="40"/>
          <w:highlight w:val="none"/>
        </w:rPr>
        <w:t>奋斗目标的重要时期，也是甘孜州巩固拓展脱贫攻坚成果全面推进乡村振兴关键的五年。为全面贯彻习近平总书记关于“三农”工作的重要论述和来川视察系列重要指示精神，按照省第十二次党代会精神和省委关于“讲政治、抓发展、惠民生、保安全”的工作总</w:t>
      </w:r>
      <w:r>
        <w:rPr>
          <w:rFonts w:hint="eastAsia" w:ascii="仿宋" w:hAnsi="仿宋"/>
          <w:color w:val="auto"/>
          <w:szCs w:val="40"/>
          <w:highlight w:val="none"/>
          <w:lang w:val="en-US" w:eastAsia="zh-CN"/>
        </w:rPr>
        <w:t>体</w:t>
      </w:r>
      <w:r>
        <w:rPr>
          <w:rFonts w:hint="eastAsia" w:ascii="仿宋" w:hAnsi="仿宋"/>
          <w:color w:val="auto"/>
          <w:szCs w:val="40"/>
          <w:highlight w:val="none"/>
        </w:rPr>
        <w:t>思路，认真落实中央、省相关工作要求，根据</w:t>
      </w:r>
      <w:r>
        <w:rPr>
          <w:rFonts w:hint="default" w:ascii="仿宋" w:hAnsi="仿宋"/>
          <w:color w:val="auto"/>
          <w:szCs w:val="40"/>
          <w:highlight w:val="none"/>
        </w:rPr>
        <w:t>《四川省“十四五”巩固拓展脱贫攻坚成果同乡村振兴有效衔接规划》</w:t>
      </w:r>
      <w:r>
        <w:rPr>
          <w:rFonts w:hint="eastAsia" w:ascii="仿宋" w:hAnsi="仿宋"/>
          <w:color w:val="auto"/>
          <w:szCs w:val="40"/>
          <w:highlight w:val="none"/>
        </w:rPr>
        <w:t>《甘孜藏族自治州国民经济和社会发展第十四个五年规划和二〇三五年远景目标纲要》</w:t>
      </w:r>
      <w:r>
        <w:rPr>
          <w:rFonts w:hint="eastAsia" w:ascii="仿宋" w:hAnsi="仿宋"/>
          <w:color w:val="auto"/>
          <w:szCs w:val="40"/>
          <w:highlight w:val="none"/>
          <w:lang w:eastAsia="zh-CN"/>
        </w:rPr>
        <w:t>《甘孜藏族自治州“十四五”现代农业产业发展规划》</w:t>
      </w:r>
      <w:r>
        <w:rPr>
          <w:rFonts w:hint="eastAsia" w:ascii="仿宋" w:hAnsi="仿宋"/>
          <w:color w:val="auto"/>
          <w:szCs w:val="40"/>
          <w:highlight w:val="none"/>
          <w:lang w:val="en-US" w:eastAsia="zh-CN"/>
        </w:rPr>
        <w:t>等</w:t>
      </w:r>
      <w:r>
        <w:rPr>
          <w:rFonts w:hint="eastAsia" w:ascii="仿宋" w:hAnsi="仿宋"/>
          <w:color w:val="auto"/>
          <w:szCs w:val="40"/>
          <w:highlight w:val="none"/>
        </w:rPr>
        <w:t>，特编制</w:t>
      </w:r>
      <w:r>
        <w:rPr>
          <w:rFonts w:hint="eastAsia" w:ascii="仿宋" w:hAnsi="仿宋"/>
          <w:color w:val="auto"/>
          <w:szCs w:val="40"/>
          <w:highlight w:val="none"/>
          <w:lang w:val="en-US" w:eastAsia="zh-CN"/>
        </w:rPr>
        <w:t>本规划</w:t>
      </w:r>
      <w:r>
        <w:rPr>
          <w:rFonts w:hint="eastAsia" w:ascii="仿宋" w:hAnsi="仿宋"/>
          <w:color w:val="auto"/>
          <w:szCs w:val="40"/>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ascii="仿宋" w:hAnsi="仿宋"/>
          <w:color w:val="auto"/>
          <w:szCs w:val="40"/>
          <w:highlight w:val="none"/>
        </w:rPr>
      </w:pPr>
      <w:r>
        <w:rPr>
          <w:rFonts w:hint="eastAsia" w:ascii="仿宋" w:hAnsi="仿宋"/>
          <w:color w:val="auto"/>
          <w:szCs w:val="40"/>
          <w:highlight w:val="none"/>
        </w:rPr>
        <w:t>规划立足甘孜州情实际，以铸牢中华民族共同体意识为主线</w:t>
      </w:r>
      <w:r>
        <w:rPr>
          <w:rFonts w:hint="eastAsia" w:ascii="仿宋" w:hAnsi="仿宋"/>
          <w:color w:val="auto"/>
          <w:szCs w:val="40"/>
          <w:highlight w:val="none"/>
          <w:lang w:eastAsia="zh-CN"/>
        </w:rPr>
        <w:t>，</w:t>
      </w:r>
      <w:r>
        <w:rPr>
          <w:rFonts w:hint="eastAsia" w:ascii="仿宋" w:hAnsi="仿宋"/>
          <w:color w:val="auto"/>
          <w:szCs w:val="40"/>
          <w:highlight w:val="none"/>
        </w:rPr>
        <w:t>牢牢守住不发生规模性返贫</w:t>
      </w:r>
      <w:r>
        <w:rPr>
          <w:rFonts w:hint="eastAsia" w:ascii="仿宋" w:hAnsi="仿宋"/>
          <w:color w:val="auto"/>
          <w:szCs w:val="40"/>
          <w:highlight w:val="none"/>
          <w:lang w:val="en-US" w:eastAsia="zh-CN"/>
        </w:rPr>
        <w:t>的</w:t>
      </w:r>
      <w:r>
        <w:rPr>
          <w:rFonts w:hint="eastAsia" w:ascii="仿宋" w:hAnsi="仿宋"/>
          <w:color w:val="auto"/>
          <w:szCs w:val="40"/>
          <w:highlight w:val="none"/>
        </w:rPr>
        <w:t>底线，坚持把巩固拓展脱贫攻坚成果放在突出位置，</w:t>
      </w:r>
      <w:r>
        <w:rPr>
          <w:rFonts w:hint="eastAsia" w:ascii="仿宋" w:hAnsi="仿宋"/>
          <w:color w:val="auto"/>
          <w:szCs w:val="40"/>
          <w:highlight w:val="none"/>
          <w:lang w:val="en-US" w:eastAsia="zh-CN"/>
        </w:rPr>
        <w:t>在健全防止返贫动态监测与帮扶机制、</w:t>
      </w:r>
      <w:r>
        <w:rPr>
          <w:rFonts w:hint="eastAsia" w:ascii="仿宋" w:hAnsi="仿宋"/>
          <w:color w:val="auto"/>
          <w:szCs w:val="40"/>
          <w:highlight w:val="none"/>
        </w:rPr>
        <w:t>强化易地扶贫搬迁后续扶持</w:t>
      </w:r>
      <w:r>
        <w:rPr>
          <w:rFonts w:hint="eastAsia" w:ascii="仿宋" w:hAnsi="仿宋"/>
          <w:color w:val="auto"/>
          <w:szCs w:val="40"/>
          <w:highlight w:val="none"/>
          <w:lang w:eastAsia="zh-CN"/>
        </w:rPr>
        <w:t>、</w:t>
      </w:r>
      <w:r>
        <w:rPr>
          <w:rFonts w:hint="eastAsia" w:ascii="仿宋" w:hAnsi="仿宋"/>
          <w:color w:val="auto"/>
          <w:szCs w:val="40"/>
          <w:highlight w:val="none"/>
        </w:rPr>
        <w:t>提升富民特色产业</w:t>
      </w:r>
      <w:r>
        <w:rPr>
          <w:rFonts w:hint="eastAsia" w:ascii="仿宋" w:hAnsi="仿宋"/>
          <w:color w:val="auto"/>
          <w:szCs w:val="40"/>
          <w:highlight w:val="none"/>
          <w:lang w:eastAsia="zh-CN"/>
        </w:rPr>
        <w:t>、推进宜居乡村建设、做好乡村振兴重点帮扶</w:t>
      </w:r>
      <w:r>
        <w:rPr>
          <w:rFonts w:hint="eastAsia" w:ascii="仿宋" w:hAnsi="仿宋"/>
          <w:color w:val="auto"/>
          <w:szCs w:val="40"/>
          <w:highlight w:val="none"/>
          <w:lang w:val="en-US" w:eastAsia="zh-CN"/>
        </w:rPr>
        <w:t>等方面</w:t>
      </w:r>
      <w:r>
        <w:rPr>
          <w:rFonts w:hint="eastAsia" w:ascii="仿宋" w:hAnsi="仿宋"/>
          <w:color w:val="auto"/>
          <w:szCs w:val="40"/>
          <w:highlight w:val="none"/>
        </w:rPr>
        <w:t>提出深化要求，明确了总体要求、主要目标、重点任务和政策措施，为甘孜“十四五”巩固拓展脱贫攻坚成果同乡村振兴有效衔接工作提供实施依据，同时为各县（市）工作提供指导依据。</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center"/>
        <w:textAlignment w:val="auto"/>
        <w:rPr>
          <w:rFonts w:ascii="黑体" w:hAnsi="黑体" w:eastAsia="黑体" w:cs="方正黑体_GBK"/>
          <w:color w:val="auto"/>
          <w:kern w:val="44"/>
          <w:highlight w:val="none"/>
        </w:rPr>
        <w:sectPr>
          <w:headerReference r:id="rId8" w:type="first"/>
          <w:footerReference r:id="rId11" w:type="first"/>
          <w:headerReference r:id="rId6" w:type="default"/>
          <w:footerReference r:id="rId9" w:type="default"/>
          <w:headerReference r:id="rId7" w:type="even"/>
          <w:footerReference r:id="rId10" w:type="even"/>
          <w:pgSz w:w="11906" w:h="16838"/>
          <w:pgMar w:top="1440" w:right="1800" w:bottom="1440" w:left="1800" w:header="851" w:footer="992" w:gutter="0"/>
          <w:pgNumType w:fmt="upperRoman" w:start="1"/>
          <w:cols w:space="425" w:num="1"/>
          <w:docGrid w:type="lines" w:linePitch="435" w:charSpace="0"/>
        </w:sectPr>
      </w:pPr>
      <w:bookmarkStart w:id="0" w:name="_Toc90907039"/>
      <w:bookmarkStart w:id="1" w:name="_Toc90918279"/>
      <w:bookmarkStart w:id="2" w:name="_Toc90920385"/>
      <w:bookmarkStart w:id="3" w:name="_Toc90909022"/>
      <w:bookmarkStart w:id="4" w:name="_Toc90919276"/>
    </w:p>
    <w:p>
      <w:pPr>
        <w:keepNext w:val="0"/>
        <w:keepLines w:val="0"/>
        <w:pageBreakBefore w:val="0"/>
        <w:widowControl w:val="0"/>
        <w:tabs>
          <w:tab w:val="left" w:pos="0"/>
        </w:tabs>
        <w:kinsoku/>
        <w:wordWrap/>
        <w:overflowPunct/>
        <w:topLinePunct w:val="0"/>
        <w:autoSpaceDE/>
        <w:autoSpaceDN/>
        <w:bidi w:val="0"/>
        <w:adjustRightInd/>
        <w:snapToGrid/>
        <w:spacing w:line="500" w:lineRule="exact"/>
        <w:ind w:left="0" w:leftChars="0"/>
        <w:jc w:val="center"/>
        <w:textAlignment w:val="auto"/>
        <w:rPr>
          <w:rFonts w:hint="eastAsia" w:ascii="黑体" w:hAnsi="黑体" w:eastAsia="黑体" w:cs="方正黑体_GBK"/>
          <w:color w:val="auto"/>
          <w:kern w:val="44"/>
          <w:sz w:val="44"/>
          <w:szCs w:val="44"/>
          <w:highlight w:val="none"/>
        </w:rPr>
      </w:pPr>
      <w:r>
        <w:rPr>
          <w:rFonts w:hint="eastAsia" w:ascii="黑体" w:hAnsi="黑体" w:eastAsia="黑体" w:cs="方正黑体_GBK"/>
          <w:color w:val="auto"/>
          <w:kern w:val="44"/>
          <w:sz w:val="44"/>
          <w:szCs w:val="44"/>
          <w:highlight w:val="none"/>
        </w:rPr>
        <w:t>目</w:t>
      </w:r>
      <w:r>
        <w:rPr>
          <w:rFonts w:hint="eastAsia" w:ascii="黑体" w:hAnsi="黑体" w:eastAsia="黑体" w:cs="方正黑体_GBK"/>
          <w:color w:val="auto"/>
          <w:kern w:val="44"/>
          <w:sz w:val="44"/>
          <w:szCs w:val="44"/>
          <w:highlight w:val="none"/>
          <w:lang w:val="en-US" w:eastAsia="zh-CN"/>
        </w:rPr>
        <w:t xml:space="preserve"> </w:t>
      </w:r>
      <w:r>
        <w:rPr>
          <w:rFonts w:hint="eastAsia" w:ascii="黑体" w:hAnsi="黑体" w:eastAsia="黑体" w:cs="方正黑体_GBK"/>
          <w:color w:val="auto"/>
          <w:kern w:val="44"/>
          <w:sz w:val="44"/>
          <w:szCs w:val="44"/>
          <w:highlight w:val="none"/>
        </w:rPr>
        <w:t>录</w:t>
      </w:r>
      <w:bookmarkEnd w:id="0"/>
      <w:bookmarkEnd w:id="1"/>
      <w:bookmarkEnd w:id="2"/>
      <w:bookmarkEnd w:id="3"/>
      <w:bookmarkEnd w:id="4"/>
    </w:p>
    <w:p>
      <w:pPr>
        <w:pStyle w:val="17"/>
        <w:keepNext w:val="0"/>
        <w:keepLines w:val="0"/>
        <w:pageBreakBefore w:val="0"/>
        <w:tabs>
          <w:tab w:val="right" w:leader="dot" w:pos="8306"/>
          <w:tab w:val="clear" w:pos="8296"/>
        </w:tabs>
        <w:kinsoku/>
        <w:wordWrap/>
        <w:overflowPunct/>
        <w:topLinePunct w:val="0"/>
        <w:autoSpaceDE/>
        <w:autoSpaceDN/>
        <w:bidi w:val="0"/>
        <w:adjustRightInd/>
        <w:snapToGrid/>
        <w:spacing w:line="460" w:lineRule="exact"/>
        <w:ind w:left="0"/>
        <w:textAlignment w:val="auto"/>
        <w:rPr>
          <w:rFonts w:hint="eastAsia" w:ascii="仿宋" w:hAnsi="仿宋" w:eastAsia="仿宋" w:cs="仿宋"/>
          <w:b/>
          <w:bCs/>
          <w:color w:val="auto"/>
          <w:sz w:val="28"/>
          <w:szCs w:val="28"/>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TOC \o "1-2" \h \u </w:instrText>
      </w:r>
      <w:r>
        <w:rPr>
          <w:rFonts w:hint="eastAsia" w:ascii="仿宋" w:hAnsi="仿宋" w:eastAsia="仿宋" w:cs="仿宋"/>
          <w:color w:val="auto"/>
          <w:sz w:val="28"/>
          <w:szCs w:val="28"/>
        </w:rPr>
        <w:fldChar w:fldCharType="separate"/>
      </w:r>
      <w:r>
        <w:rPr>
          <w:rFonts w:hint="eastAsia" w:ascii="仿宋" w:hAnsi="仿宋" w:eastAsia="仿宋" w:cs="仿宋"/>
          <w:b/>
          <w:bCs/>
          <w:color w:val="auto"/>
          <w:sz w:val="28"/>
          <w:szCs w:val="28"/>
        </w:rPr>
        <w:fldChar w:fldCharType="begin"/>
      </w:r>
      <w:r>
        <w:rPr>
          <w:rFonts w:hint="eastAsia" w:ascii="仿宋" w:hAnsi="仿宋" w:eastAsia="仿宋" w:cs="仿宋"/>
          <w:b/>
          <w:bCs/>
          <w:color w:val="auto"/>
          <w:sz w:val="28"/>
          <w:szCs w:val="28"/>
        </w:rPr>
        <w:instrText xml:space="preserve"> HYPERLINK \l _Toc28032 </w:instrText>
      </w:r>
      <w:r>
        <w:rPr>
          <w:rFonts w:hint="eastAsia" w:ascii="仿宋" w:hAnsi="仿宋" w:eastAsia="仿宋" w:cs="仿宋"/>
          <w:b/>
          <w:bCs/>
          <w:color w:val="auto"/>
          <w:sz w:val="28"/>
          <w:szCs w:val="28"/>
        </w:rPr>
        <w:fldChar w:fldCharType="separate"/>
      </w:r>
      <w:r>
        <w:rPr>
          <w:rFonts w:hint="eastAsia" w:ascii="仿宋" w:hAnsi="仿宋" w:eastAsia="仿宋" w:cs="仿宋"/>
          <w:b/>
          <w:bCs/>
          <w:color w:val="auto"/>
          <w:kern w:val="2"/>
          <w:sz w:val="28"/>
          <w:szCs w:val="28"/>
          <w:highlight w:val="none"/>
        </w:rPr>
        <w:t>第一章  规划背景</w:t>
      </w:r>
      <w:r>
        <w:rPr>
          <w:rFonts w:hint="eastAsia" w:ascii="仿宋" w:hAnsi="仿宋" w:eastAsia="仿宋" w:cs="仿宋"/>
          <w:b/>
          <w:bCs/>
          <w:color w:val="auto"/>
          <w:sz w:val="28"/>
          <w:szCs w:val="28"/>
        </w:rPr>
        <w:tab/>
      </w:r>
      <w:r>
        <w:rPr>
          <w:rFonts w:hint="eastAsia" w:ascii="仿宋" w:hAnsi="仿宋" w:eastAsia="仿宋" w:cs="仿宋"/>
          <w:b/>
          <w:bCs/>
          <w:color w:val="auto"/>
          <w:sz w:val="28"/>
          <w:szCs w:val="28"/>
        </w:rPr>
        <w:fldChar w:fldCharType="begin"/>
      </w:r>
      <w:r>
        <w:rPr>
          <w:rFonts w:hint="eastAsia" w:ascii="仿宋" w:hAnsi="仿宋" w:eastAsia="仿宋" w:cs="仿宋"/>
          <w:b/>
          <w:bCs/>
          <w:color w:val="auto"/>
          <w:sz w:val="28"/>
          <w:szCs w:val="28"/>
        </w:rPr>
        <w:instrText xml:space="preserve"> PAGEREF _Toc28032 \h </w:instrText>
      </w:r>
      <w:r>
        <w:rPr>
          <w:rFonts w:hint="eastAsia" w:ascii="仿宋" w:hAnsi="仿宋" w:eastAsia="仿宋" w:cs="仿宋"/>
          <w:b/>
          <w:bCs/>
          <w:color w:val="auto"/>
          <w:sz w:val="28"/>
          <w:szCs w:val="28"/>
        </w:rPr>
        <w:fldChar w:fldCharType="separate"/>
      </w:r>
      <w:r>
        <w:rPr>
          <w:rFonts w:hint="eastAsia" w:ascii="仿宋" w:hAnsi="仿宋" w:eastAsia="仿宋" w:cs="仿宋"/>
          <w:b/>
          <w:bCs/>
          <w:color w:val="auto"/>
          <w:sz w:val="28"/>
          <w:szCs w:val="28"/>
        </w:rPr>
        <w:t>1</w:t>
      </w:r>
      <w:r>
        <w:rPr>
          <w:rFonts w:hint="eastAsia" w:ascii="仿宋" w:hAnsi="仿宋" w:eastAsia="仿宋" w:cs="仿宋"/>
          <w:b/>
          <w:bCs/>
          <w:color w:val="auto"/>
          <w:sz w:val="28"/>
          <w:szCs w:val="28"/>
        </w:rPr>
        <w:fldChar w:fldCharType="end"/>
      </w:r>
      <w:r>
        <w:rPr>
          <w:rFonts w:hint="eastAsia" w:ascii="仿宋" w:hAnsi="仿宋" w:eastAsia="仿宋" w:cs="仿宋"/>
          <w:b/>
          <w:bCs/>
          <w:color w:val="auto"/>
          <w:sz w:val="28"/>
          <w:szCs w:val="28"/>
        </w:rPr>
        <w:fldChar w:fldCharType="end"/>
      </w:r>
    </w:p>
    <w:p>
      <w:pPr>
        <w:pStyle w:val="22"/>
        <w:keepNext w:val="0"/>
        <w:keepLines w:val="0"/>
        <w:pageBreakBefore w:val="0"/>
        <w:tabs>
          <w:tab w:val="right" w:leader="dot" w:pos="8306"/>
        </w:tabs>
        <w:kinsoku/>
        <w:wordWrap/>
        <w:overflowPunct/>
        <w:topLinePunct w:val="0"/>
        <w:autoSpaceDE/>
        <w:autoSpaceDN/>
        <w:bidi w:val="0"/>
        <w:adjustRightInd/>
        <w:snapToGrid/>
        <w:spacing w:after="0" w:line="460" w:lineRule="exact"/>
        <w:ind w:left="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HYPERLINK \l _Toc16724 </w:instrText>
      </w:r>
      <w:r>
        <w:rPr>
          <w:rFonts w:hint="eastAsia" w:ascii="仿宋" w:hAnsi="仿宋" w:eastAsia="仿宋" w:cs="仿宋"/>
          <w:color w:val="auto"/>
          <w:sz w:val="28"/>
          <w:szCs w:val="28"/>
        </w:rPr>
        <w:fldChar w:fldCharType="separate"/>
      </w:r>
      <w:r>
        <w:rPr>
          <w:rFonts w:hint="eastAsia" w:ascii="仿宋" w:hAnsi="仿宋" w:eastAsia="仿宋" w:cs="仿宋"/>
          <w:bCs w:val="0"/>
          <w:color w:val="auto"/>
          <w:kern w:val="0"/>
          <w:sz w:val="28"/>
          <w:szCs w:val="28"/>
          <w:highlight w:val="none"/>
        </w:rPr>
        <w:t>一、“十三五”发展成就</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_Toc16724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1</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fldChar w:fldCharType="end"/>
      </w:r>
    </w:p>
    <w:p>
      <w:pPr>
        <w:pStyle w:val="22"/>
        <w:keepNext w:val="0"/>
        <w:keepLines w:val="0"/>
        <w:pageBreakBefore w:val="0"/>
        <w:tabs>
          <w:tab w:val="right" w:leader="dot" w:pos="8306"/>
        </w:tabs>
        <w:kinsoku/>
        <w:wordWrap/>
        <w:overflowPunct/>
        <w:topLinePunct w:val="0"/>
        <w:autoSpaceDE/>
        <w:autoSpaceDN/>
        <w:bidi w:val="0"/>
        <w:adjustRightInd/>
        <w:snapToGrid/>
        <w:spacing w:after="0" w:line="460" w:lineRule="exact"/>
        <w:ind w:left="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HYPERLINK \l _Toc12762 </w:instrText>
      </w:r>
      <w:r>
        <w:rPr>
          <w:rFonts w:hint="eastAsia" w:ascii="仿宋" w:hAnsi="仿宋" w:eastAsia="仿宋" w:cs="仿宋"/>
          <w:color w:val="auto"/>
          <w:sz w:val="28"/>
          <w:szCs w:val="28"/>
        </w:rPr>
        <w:fldChar w:fldCharType="separate"/>
      </w:r>
      <w:r>
        <w:rPr>
          <w:rFonts w:hint="eastAsia" w:ascii="仿宋" w:hAnsi="仿宋" w:eastAsia="仿宋" w:cs="仿宋"/>
          <w:bCs w:val="0"/>
          <w:color w:val="auto"/>
          <w:kern w:val="0"/>
          <w:sz w:val="28"/>
          <w:szCs w:val="28"/>
          <w:highlight w:val="none"/>
        </w:rPr>
        <w:t>二、“十四五”面临形势</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_Toc12762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3</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fldChar w:fldCharType="end"/>
      </w:r>
    </w:p>
    <w:p>
      <w:pPr>
        <w:pStyle w:val="17"/>
        <w:keepNext w:val="0"/>
        <w:keepLines w:val="0"/>
        <w:pageBreakBefore w:val="0"/>
        <w:tabs>
          <w:tab w:val="right" w:leader="dot" w:pos="8306"/>
          <w:tab w:val="clear" w:pos="8296"/>
        </w:tabs>
        <w:kinsoku/>
        <w:wordWrap/>
        <w:overflowPunct/>
        <w:topLinePunct w:val="0"/>
        <w:autoSpaceDE/>
        <w:autoSpaceDN/>
        <w:bidi w:val="0"/>
        <w:adjustRightInd/>
        <w:snapToGrid/>
        <w:spacing w:line="460" w:lineRule="exact"/>
        <w:ind w:left="0"/>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rPr>
        <w:fldChar w:fldCharType="begin"/>
      </w:r>
      <w:r>
        <w:rPr>
          <w:rFonts w:hint="eastAsia" w:ascii="仿宋" w:hAnsi="仿宋" w:eastAsia="仿宋" w:cs="仿宋"/>
          <w:b/>
          <w:bCs/>
          <w:color w:val="auto"/>
          <w:sz w:val="28"/>
          <w:szCs w:val="28"/>
        </w:rPr>
        <w:instrText xml:space="preserve"> HYPERLINK \l _Toc30003 </w:instrText>
      </w:r>
      <w:r>
        <w:rPr>
          <w:rFonts w:hint="eastAsia" w:ascii="仿宋" w:hAnsi="仿宋" w:eastAsia="仿宋" w:cs="仿宋"/>
          <w:b/>
          <w:bCs/>
          <w:color w:val="auto"/>
          <w:sz w:val="28"/>
          <w:szCs w:val="28"/>
        </w:rPr>
        <w:fldChar w:fldCharType="separate"/>
      </w:r>
      <w:r>
        <w:rPr>
          <w:rFonts w:hint="eastAsia" w:ascii="仿宋" w:hAnsi="仿宋" w:eastAsia="仿宋" w:cs="仿宋"/>
          <w:b/>
          <w:bCs/>
          <w:color w:val="auto"/>
          <w:kern w:val="2"/>
          <w:sz w:val="28"/>
          <w:szCs w:val="28"/>
          <w:highlight w:val="none"/>
        </w:rPr>
        <w:t>第</w:t>
      </w:r>
      <w:r>
        <w:rPr>
          <w:rFonts w:hint="eastAsia" w:ascii="仿宋" w:hAnsi="仿宋" w:eastAsia="仿宋" w:cs="仿宋"/>
          <w:b/>
          <w:bCs/>
          <w:color w:val="auto"/>
          <w:kern w:val="2"/>
          <w:sz w:val="28"/>
          <w:szCs w:val="28"/>
          <w:highlight w:val="none"/>
          <w:lang w:val="en-US" w:eastAsia="zh-CN"/>
        </w:rPr>
        <w:t>二</w:t>
      </w:r>
      <w:r>
        <w:rPr>
          <w:rFonts w:hint="eastAsia" w:ascii="仿宋" w:hAnsi="仿宋" w:eastAsia="仿宋" w:cs="仿宋"/>
          <w:b/>
          <w:bCs/>
          <w:color w:val="auto"/>
          <w:kern w:val="2"/>
          <w:sz w:val="28"/>
          <w:szCs w:val="28"/>
          <w:highlight w:val="none"/>
        </w:rPr>
        <w:t>章 总体要求</w:t>
      </w:r>
      <w:r>
        <w:rPr>
          <w:rFonts w:hint="eastAsia" w:ascii="仿宋" w:hAnsi="仿宋" w:eastAsia="仿宋" w:cs="仿宋"/>
          <w:b/>
          <w:bCs/>
          <w:color w:val="auto"/>
          <w:sz w:val="28"/>
          <w:szCs w:val="28"/>
        </w:rPr>
        <w:tab/>
      </w:r>
      <w:r>
        <w:rPr>
          <w:rFonts w:hint="eastAsia" w:ascii="仿宋" w:hAnsi="仿宋" w:eastAsia="仿宋" w:cs="仿宋"/>
          <w:b/>
          <w:bCs/>
          <w:color w:val="auto"/>
          <w:sz w:val="28"/>
          <w:szCs w:val="28"/>
        </w:rPr>
        <w:fldChar w:fldCharType="begin"/>
      </w:r>
      <w:r>
        <w:rPr>
          <w:rFonts w:hint="eastAsia" w:ascii="仿宋" w:hAnsi="仿宋" w:eastAsia="仿宋" w:cs="仿宋"/>
          <w:b/>
          <w:bCs/>
          <w:color w:val="auto"/>
          <w:sz w:val="28"/>
          <w:szCs w:val="28"/>
        </w:rPr>
        <w:instrText xml:space="preserve"> PAGEREF _Toc30003 \h </w:instrText>
      </w:r>
      <w:r>
        <w:rPr>
          <w:rFonts w:hint="eastAsia" w:ascii="仿宋" w:hAnsi="仿宋" w:eastAsia="仿宋" w:cs="仿宋"/>
          <w:b/>
          <w:bCs/>
          <w:color w:val="auto"/>
          <w:sz w:val="28"/>
          <w:szCs w:val="28"/>
        </w:rPr>
        <w:fldChar w:fldCharType="separate"/>
      </w:r>
      <w:r>
        <w:rPr>
          <w:rFonts w:hint="eastAsia" w:ascii="仿宋" w:hAnsi="仿宋" w:eastAsia="仿宋" w:cs="仿宋"/>
          <w:b/>
          <w:bCs/>
          <w:color w:val="auto"/>
          <w:sz w:val="28"/>
          <w:szCs w:val="28"/>
        </w:rPr>
        <w:t>10</w:t>
      </w:r>
      <w:r>
        <w:rPr>
          <w:rFonts w:hint="eastAsia" w:ascii="仿宋" w:hAnsi="仿宋" w:eastAsia="仿宋" w:cs="仿宋"/>
          <w:b/>
          <w:bCs/>
          <w:color w:val="auto"/>
          <w:sz w:val="28"/>
          <w:szCs w:val="28"/>
        </w:rPr>
        <w:fldChar w:fldCharType="end"/>
      </w:r>
      <w:r>
        <w:rPr>
          <w:rFonts w:hint="eastAsia" w:ascii="仿宋" w:hAnsi="仿宋" w:eastAsia="仿宋" w:cs="仿宋"/>
          <w:b/>
          <w:bCs/>
          <w:color w:val="auto"/>
          <w:sz w:val="28"/>
          <w:szCs w:val="28"/>
        </w:rPr>
        <w:fldChar w:fldCharType="end"/>
      </w:r>
    </w:p>
    <w:p>
      <w:pPr>
        <w:pStyle w:val="22"/>
        <w:keepNext w:val="0"/>
        <w:keepLines w:val="0"/>
        <w:pageBreakBefore w:val="0"/>
        <w:tabs>
          <w:tab w:val="right" w:leader="dot" w:pos="8306"/>
        </w:tabs>
        <w:kinsoku/>
        <w:wordWrap/>
        <w:overflowPunct/>
        <w:topLinePunct w:val="0"/>
        <w:autoSpaceDE/>
        <w:autoSpaceDN/>
        <w:bidi w:val="0"/>
        <w:adjustRightInd/>
        <w:snapToGrid/>
        <w:spacing w:after="0" w:line="460" w:lineRule="exact"/>
        <w:ind w:left="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HYPERLINK \l _Toc8599 </w:instrText>
      </w:r>
      <w:r>
        <w:rPr>
          <w:rFonts w:hint="eastAsia" w:ascii="仿宋" w:hAnsi="仿宋" w:eastAsia="仿宋" w:cs="仿宋"/>
          <w:color w:val="auto"/>
          <w:sz w:val="28"/>
          <w:szCs w:val="28"/>
        </w:rPr>
        <w:fldChar w:fldCharType="separate"/>
      </w:r>
      <w:r>
        <w:rPr>
          <w:rFonts w:hint="eastAsia" w:ascii="仿宋" w:hAnsi="仿宋" w:eastAsia="仿宋" w:cs="仿宋"/>
          <w:bCs w:val="0"/>
          <w:color w:val="auto"/>
          <w:kern w:val="0"/>
          <w:sz w:val="28"/>
          <w:szCs w:val="28"/>
          <w:highlight w:val="none"/>
        </w:rPr>
        <w:t>一、指导思想</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_Toc8599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10</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fldChar w:fldCharType="end"/>
      </w:r>
    </w:p>
    <w:p>
      <w:pPr>
        <w:pStyle w:val="22"/>
        <w:keepNext w:val="0"/>
        <w:keepLines w:val="0"/>
        <w:pageBreakBefore w:val="0"/>
        <w:tabs>
          <w:tab w:val="right" w:leader="dot" w:pos="8306"/>
        </w:tabs>
        <w:kinsoku/>
        <w:wordWrap/>
        <w:overflowPunct/>
        <w:topLinePunct w:val="0"/>
        <w:autoSpaceDE/>
        <w:autoSpaceDN/>
        <w:bidi w:val="0"/>
        <w:adjustRightInd/>
        <w:snapToGrid/>
        <w:spacing w:after="0" w:line="460" w:lineRule="exact"/>
        <w:ind w:left="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HYPERLINK \l _Toc22932 </w:instrText>
      </w:r>
      <w:r>
        <w:rPr>
          <w:rFonts w:hint="eastAsia" w:ascii="仿宋" w:hAnsi="仿宋" w:eastAsia="仿宋" w:cs="仿宋"/>
          <w:color w:val="auto"/>
          <w:sz w:val="28"/>
          <w:szCs w:val="28"/>
        </w:rPr>
        <w:fldChar w:fldCharType="separate"/>
      </w:r>
      <w:r>
        <w:rPr>
          <w:rFonts w:hint="eastAsia" w:ascii="仿宋" w:hAnsi="仿宋" w:eastAsia="仿宋" w:cs="仿宋"/>
          <w:bCs w:val="0"/>
          <w:color w:val="auto"/>
          <w:kern w:val="0"/>
          <w:sz w:val="28"/>
          <w:szCs w:val="28"/>
          <w:highlight w:val="none"/>
        </w:rPr>
        <w:t>二、基本原则</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_Toc22932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10</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fldChar w:fldCharType="end"/>
      </w:r>
    </w:p>
    <w:p>
      <w:pPr>
        <w:pStyle w:val="22"/>
        <w:keepNext w:val="0"/>
        <w:keepLines w:val="0"/>
        <w:pageBreakBefore w:val="0"/>
        <w:tabs>
          <w:tab w:val="right" w:leader="dot" w:pos="8306"/>
        </w:tabs>
        <w:kinsoku/>
        <w:wordWrap/>
        <w:overflowPunct/>
        <w:topLinePunct w:val="0"/>
        <w:autoSpaceDE/>
        <w:autoSpaceDN/>
        <w:bidi w:val="0"/>
        <w:adjustRightInd/>
        <w:snapToGrid/>
        <w:spacing w:after="0" w:line="460" w:lineRule="exact"/>
        <w:ind w:left="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HYPERLINK \l _Toc22740 </w:instrText>
      </w:r>
      <w:r>
        <w:rPr>
          <w:rFonts w:hint="eastAsia" w:ascii="仿宋" w:hAnsi="仿宋" w:eastAsia="仿宋" w:cs="仿宋"/>
          <w:color w:val="auto"/>
          <w:sz w:val="28"/>
          <w:szCs w:val="28"/>
        </w:rPr>
        <w:fldChar w:fldCharType="separate"/>
      </w:r>
      <w:r>
        <w:rPr>
          <w:rFonts w:hint="eastAsia" w:ascii="仿宋" w:hAnsi="仿宋" w:eastAsia="仿宋" w:cs="仿宋"/>
          <w:bCs w:val="0"/>
          <w:color w:val="auto"/>
          <w:kern w:val="0"/>
          <w:sz w:val="28"/>
          <w:szCs w:val="28"/>
          <w:highlight w:val="none"/>
        </w:rPr>
        <w:t>三、发展目标</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_Toc22740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12</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fldChar w:fldCharType="end"/>
      </w:r>
    </w:p>
    <w:p>
      <w:pPr>
        <w:pStyle w:val="17"/>
        <w:keepNext w:val="0"/>
        <w:keepLines w:val="0"/>
        <w:pageBreakBefore w:val="0"/>
        <w:tabs>
          <w:tab w:val="right" w:leader="dot" w:pos="8306"/>
          <w:tab w:val="clear" w:pos="8296"/>
        </w:tabs>
        <w:kinsoku/>
        <w:wordWrap/>
        <w:overflowPunct/>
        <w:topLinePunct w:val="0"/>
        <w:autoSpaceDE/>
        <w:autoSpaceDN/>
        <w:bidi w:val="0"/>
        <w:adjustRightInd/>
        <w:snapToGrid/>
        <w:spacing w:line="460" w:lineRule="exact"/>
        <w:ind w:left="0"/>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rPr>
        <w:fldChar w:fldCharType="begin"/>
      </w:r>
      <w:r>
        <w:rPr>
          <w:rFonts w:hint="eastAsia" w:ascii="仿宋" w:hAnsi="仿宋" w:eastAsia="仿宋" w:cs="仿宋"/>
          <w:b/>
          <w:bCs/>
          <w:color w:val="auto"/>
          <w:sz w:val="28"/>
          <w:szCs w:val="28"/>
        </w:rPr>
        <w:instrText xml:space="preserve"> HYPERLINK \l _Toc2397 </w:instrText>
      </w:r>
      <w:r>
        <w:rPr>
          <w:rFonts w:hint="eastAsia" w:ascii="仿宋" w:hAnsi="仿宋" w:eastAsia="仿宋" w:cs="仿宋"/>
          <w:b/>
          <w:bCs/>
          <w:color w:val="auto"/>
          <w:sz w:val="28"/>
          <w:szCs w:val="28"/>
        </w:rPr>
        <w:fldChar w:fldCharType="separate"/>
      </w:r>
      <w:r>
        <w:rPr>
          <w:rFonts w:hint="eastAsia" w:ascii="仿宋" w:hAnsi="仿宋" w:eastAsia="仿宋" w:cs="仿宋"/>
          <w:b/>
          <w:bCs/>
          <w:color w:val="auto"/>
          <w:kern w:val="2"/>
          <w:sz w:val="28"/>
          <w:szCs w:val="28"/>
          <w:highlight w:val="none"/>
        </w:rPr>
        <w:t>第</w:t>
      </w:r>
      <w:r>
        <w:rPr>
          <w:rFonts w:hint="eastAsia" w:ascii="仿宋" w:hAnsi="仿宋" w:eastAsia="仿宋" w:cs="仿宋"/>
          <w:b/>
          <w:bCs/>
          <w:color w:val="auto"/>
          <w:kern w:val="2"/>
          <w:sz w:val="28"/>
          <w:szCs w:val="28"/>
          <w:highlight w:val="none"/>
          <w:lang w:val="en-US" w:eastAsia="zh-CN"/>
        </w:rPr>
        <w:t>三</w:t>
      </w:r>
      <w:r>
        <w:rPr>
          <w:rFonts w:hint="eastAsia" w:ascii="仿宋" w:hAnsi="仿宋" w:eastAsia="仿宋" w:cs="仿宋"/>
          <w:b/>
          <w:bCs/>
          <w:color w:val="auto"/>
          <w:kern w:val="2"/>
          <w:sz w:val="28"/>
          <w:szCs w:val="28"/>
          <w:highlight w:val="none"/>
        </w:rPr>
        <w:t>章  健全防止返贫动态监测与帮扶机制</w:t>
      </w:r>
      <w:r>
        <w:rPr>
          <w:rFonts w:hint="eastAsia" w:ascii="仿宋" w:hAnsi="仿宋" w:eastAsia="仿宋" w:cs="仿宋"/>
          <w:b/>
          <w:bCs/>
          <w:color w:val="auto"/>
          <w:sz w:val="28"/>
          <w:szCs w:val="28"/>
        </w:rPr>
        <w:tab/>
      </w:r>
      <w:r>
        <w:rPr>
          <w:rFonts w:hint="eastAsia" w:ascii="仿宋" w:hAnsi="仿宋" w:eastAsia="仿宋" w:cs="仿宋"/>
          <w:b/>
          <w:bCs/>
          <w:color w:val="auto"/>
          <w:sz w:val="28"/>
          <w:szCs w:val="28"/>
        </w:rPr>
        <w:fldChar w:fldCharType="begin"/>
      </w:r>
      <w:r>
        <w:rPr>
          <w:rFonts w:hint="eastAsia" w:ascii="仿宋" w:hAnsi="仿宋" w:eastAsia="仿宋" w:cs="仿宋"/>
          <w:b/>
          <w:bCs/>
          <w:color w:val="auto"/>
          <w:sz w:val="28"/>
          <w:szCs w:val="28"/>
        </w:rPr>
        <w:instrText xml:space="preserve"> PAGEREF _Toc2397 \h </w:instrText>
      </w:r>
      <w:r>
        <w:rPr>
          <w:rFonts w:hint="eastAsia" w:ascii="仿宋" w:hAnsi="仿宋" w:eastAsia="仿宋" w:cs="仿宋"/>
          <w:b/>
          <w:bCs/>
          <w:color w:val="auto"/>
          <w:sz w:val="28"/>
          <w:szCs w:val="28"/>
        </w:rPr>
        <w:fldChar w:fldCharType="separate"/>
      </w:r>
      <w:r>
        <w:rPr>
          <w:rFonts w:hint="eastAsia" w:ascii="仿宋" w:hAnsi="仿宋" w:eastAsia="仿宋" w:cs="仿宋"/>
          <w:b/>
          <w:bCs/>
          <w:color w:val="auto"/>
          <w:sz w:val="28"/>
          <w:szCs w:val="28"/>
        </w:rPr>
        <w:t>14</w:t>
      </w:r>
      <w:r>
        <w:rPr>
          <w:rFonts w:hint="eastAsia" w:ascii="仿宋" w:hAnsi="仿宋" w:eastAsia="仿宋" w:cs="仿宋"/>
          <w:b/>
          <w:bCs/>
          <w:color w:val="auto"/>
          <w:sz w:val="28"/>
          <w:szCs w:val="28"/>
        </w:rPr>
        <w:fldChar w:fldCharType="end"/>
      </w:r>
      <w:r>
        <w:rPr>
          <w:rFonts w:hint="eastAsia" w:ascii="仿宋" w:hAnsi="仿宋" w:eastAsia="仿宋" w:cs="仿宋"/>
          <w:b/>
          <w:bCs/>
          <w:color w:val="auto"/>
          <w:sz w:val="28"/>
          <w:szCs w:val="28"/>
        </w:rPr>
        <w:fldChar w:fldCharType="end"/>
      </w:r>
    </w:p>
    <w:p>
      <w:pPr>
        <w:pStyle w:val="22"/>
        <w:keepNext w:val="0"/>
        <w:keepLines w:val="0"/>
        <w:pageBreakBefore w:val="0"/>
        <w:tabs>
          <w:tab w:val="right" w:leader="dot" w:pos="8306"/>
        </w:tabs>
        <w:kinsoku/>
        <w:wordWrap/>
        <w:overflowPunct/>
        <w:topLinePunct w:val="0"/>
        <w:autoSpaceDE/>
        <w:autoSpaceDN/>
        <w:bidi w:val="0"/>
        <w:adjustRightInd/>
        <w:snapToGrid/>
        <w:spacing w:after="0" w:line="460" w:lineRule="exact"/>
        <w:ind w:left="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HYPERLINK \l _Toc16668 </w:instrText>
      </w:r>
      <w:r>
        <w:rPr>
          <w:rFonts w:hint="eastAsia" w:ascii="仿宋" w:hAnsi="仿宋" w:eastAsia="仿宋" w:cs="仿宋"/>
          <w:color w:val="auto"/>
          <w:sz w:val="28"/>
          <w:szCs w:val="28"/>
        </w:rPr>
        <w:fldChar w:fldCharType="separate"/>
      </w:r>
      <w:r>
        <w:rPr>
          <w:rFonts w:hint="eastAsia" w:ascii="仿宋" w:hAnsi="仿宋" w:eastAsia="仿宋" w:cs="仿宋"/>
          <w:bCs w:val="0"/>
          <w:color w:val="auto"/>
          <w:kern w:val="0"/>
          <w:sz w:val="28"/>
          <w:szCs w:val="28"/>
          <w:highlight w:val="none"/>
        </w:rPr>
        <w:t>一、加强防止返贫动态监测</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_Toc16668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14</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fldChar w:fldCharType="end"/>
      </w:r>
    </w:p>
    <w:p>
      <w:pPr>
        <w:pStyle w:val="22"/>
        <w:keepNext w:val="0"/>
        <w:keepLines w:val="0"/>
        <w:pageBreakBefore w:val="0"/>
        <w:tabs>
          <w:tab w:val="right" w:leader="dot" w:pos="8306"/>
        </w:tabs>
        <w:kinsoku/>
        <w:wordWrap/>
        <w:overflowPunct/>
        <w:topLinePunct w:val="0"/>
        <w:autoSpaceDE/>
        <w:autoSpaceDN/>
        <w:bidi w:val="0"/>
        <w:adjustRightInd/>
        <w:snapToGrid/>
        <w:spacing w:after="0" w:line="460" w:lineRule="exact"/>
        <w:ind w:left="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HYPERLINK \l _Toc320 </w:instrText>
      </w:r>
      <w:r>
        <w:rPr>
          <w:rFonts w:hint="eastAsia" w:ascii="仿宋" w:hAnsi="仿宋" w:eastAsia="仿宋" w:cs="仿宋"/>
          <w:color w:val="auto"/>
          <w:sz w:val="28"/>
          <w:szCs w:val="28"/>
        </w:rPr>
        <w:fldChar w:fldCharType="separate"/>
      </w:r>
      <w:r>
        <w:rPr>
          <w:rFonts w:hint="eastAsia" w:ascii="仿宋" w:hAnsi="仿宋" w:eastAsia="仿宋" w:cs="仿宋"/>
          <w:bCs w:val="0"/>
          <w:color w:val="auto"/>
          <w:kern w:val="0"/>
          <w:sz w:val="28"/>
          <w:szCs w:val="28"/>
          <w:highlight w:val="none"/>
          <w:lang w:val="en-US" w:eastAsia="zh-CN"/>
        </w:rPr>
        <w:t>二</w:t>
      </w:r>
      <w:r>
        <w:rPr>
          <w:rFonts w:hint="eastAsia" w:ascii="仿宋" w:hAnsi="仿宋" w:eastAsia="仿宋" w:cs="仿宋"/>
          <w:bCs w:val="0"/>
          <w:color w:val="auto"/>
          <w:kern w:val="0"/>
          <w:sz w:val="28"/>
          <w:szCs w:val="28"/>
          <w:highlight w:val="none"/>
        </w:rPr>
        <w:t>、</w:t>
      </w:r>
      <w:r>
        <w:rPr>
          <w:rFonts w:hint="eastAsia" w:ascii="仿宋" w:hAnsi="仿宋" w:eastAsia="仿宋" w:cs="仿宋"/>
          <w:bCs w:val="0"/>
          <w:color w:val="auto"/>
          <w:kern w:val="0"/>
          <w:sz w:val="28"/>
          <w:szCs w:val="28"/>
          <w:highlight w:val="none"/>
          <w:lang w:val="en-US" w:eastAsia="zh-CN"/>
        </w:rPr>
        <w:t>完善帮扶支持措施</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_Toc320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16</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fldChar w:fldCharType="end"/>
      </w:r>
    </w:p>
    <w:p>
      <w:pPr>
        <w:pStyle w:val="17"/>
        <w:keepNext w:val="0"/>
        <w:keepLines w:val="0"/>
        <w:pageBreakBefore w:val="0"/>
        <w:tabs>
          <w:tab w:val="right" w:leader="dot" w:pos="8306"/>
          <w:tab w:val="clear" w:pos="8296"/>
        </w:tabs>
        <w:kinsoku/>
        <w:wordWrap/>
        <w:overflowPunct/>
        <w:topLinePunct w:val="0"/>
        <w:autoSpaceDE/>
        <w:autoSpaceDN/>
        <w:bidi w:val="0"/>
        <w:adjustRightInd/>
        <w:snapToGrid/>
        <w:spacing w:line="460" w:lineRule="exact"/>
        <w:ind w:left="0"/>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rPr>
        <w:fldChar w:fldCharType="begin"/>
      </w:r>
      <w:r>
        <w:rPr>
          <w:rFonts w:hint="eastAsia" w:ascii="仿宋" w:hAnsi="仿宋" w:eastAsia="仿宋" w:cs="仿宋"/>
          <w:b/>
          <w:bCs/>
          <w:color w:val="auto"/>
          <w:sz w:val="28"/>
          <w:szCs w:val="28"/>
        </w:rPr>
        <w:instrText xml:space="preserve"> HYPERLINK \l _Toc95 </w:instrText>
      </w:r>
      <w:r>
        <w:rPr>
          <w:rFonts w:hint="eastAsia" w:ascii="仿宋" w:hAnsi="仿宋" w:eastAsia="仿宋" w:cs="仿宋"/>
          <w:b/>
          <w:bCs/>
          <w:color w:val="auto"/>
          <w:sz w:val="28"/>
          <w:szCs w:val="28"/>
        </w:rPr>
        <w:fldChar w:fldCharType="separate"/>
      </w:r>
      <w:r>
        <w:rPr>
          <w:rFonts w:hint="eastAsia" w:ascii="仿宋" w:hAnsi="仿宋" w:eastAsia="仿宋" w:cs="仿宋"/>
          <w:b/>
          <w:bCs/>
          <w:color w:val="auto"/>
          <w:kern w:val="2"/>
          <w:sz w:val="28"/>
          <w:szCs w:val="28"/>
          <w:highlight w:val="none"/>
        </w:rPr>
        <w:t>第</w:t>
      </w:r>
      <w:r>
        <w:rPr>
          <w:rFonts w:hint="eastAsia" w:ascii="仿宋" w:hAnsi="仿宋" w:eastAsia="仿宋" w:cs="仿宋"/>
          <w:b/>
          <w:bCs/>
          <w:color w:val="auto"/>
          <w:kern w:val="2"/>
          <w:sz w:val="28"/>
          <w:szCs w:val="28"/>
          <w:highlight w:val="none"/>
          <w:lang w:val="en-US" w:eastAsia="zh-CN"/>
        </w:rPr>
        <w:t>四</w:t>
      </w:r>
      <w:r>
        <w:rPr>
          <w:rFonts w:hint="eastAsia" w:ascii="仿宋" w:hAnsi="仿宋" w:eastAsia="仿宋" w:cs="仿宋"/>
          <w:b/>
          <w:bCs/>
          <w:color w:val="auto"/>
          <w:kern w:val="2"/>
          <w:sz w:val="28"/>
          <w:szCs w:val="28"/>
          <w:highlight w:val="none"/>
        </w:rPr>
        <w:t>章  巩固拓展“三保障”和饮水安全</w:t>
      </w:r>
      <w:r>
        <w:rPr>
          <w:rFonts w:hint="eastAsia" w:ascii="仿宋" w:hAnsi="仿宋" w:eastAsia="仿宋" w:cs="仿宋"/>
          <w:b/>
          <w:bCs/>
          <w:color w:val="auto"/>
          <w:kern w:val="2"/>
          <w:sz w:val="28"/>
          <w:szCs w:val="28"/>
          <w:highlight w:val="none"/>
          <w:lang w:val="en-US" w:eastAsia="zh-CN"/>
        </w:rPr>
        <w:t>成果</w:t>
      </w:r>
      <w:r>
        <w:rPr>
          <w:rFonts w:hint="eastAsia" w:ascii="仿宋" w:hAnsi="仿宋" w:eastAsia="仿宋" w:cs="仿宋"/>
          <w:b/>
          <w:bCs/>
          <w:color w:val="auto"/>
          <w:sz w:val="28"/>
          <w:szCs w:val="28"/>
        </w:rPr>
        <w:tab/>
      </w:r>
      <w:r>
        <w:rPr>
          <w:rFonts w:hint="eastAsia" w:ascii="仿宋" w:hAnsi="仿宋" w:eastAsia="仿宋" w:cs="仿宋"/>
          <w:b/>
          <w:bCs/>
          <w:color w:val="auto"/>
          <w:sz w:val="28"/>
          <w:szCs w:val="28"/>
        </w:rPr>
        <w:fldChar w:fldCharType="begin"/>
      </w:r>
      <w:r>
        <w:rPr>
          <w:rFonts w:hint="eastAsia" w:ascii="仿宋" w:hAnsi="仿宋" w:eastAsia="仿宋" w:cs="仿宋"/>
          <w:b/>
          <w:bCs/>
          <w:color w:val="auto"/>
          <w:sz w:val="28"/>
          <w:szCs w:val="28"/>
        </w:rPr>
        <w:instrText xml:space="preserve"> PAGEREF _Toc95 \h </w:instrText>
      </w:r>
      <w:r>
        <w:rPr>
          <w:rFonts w:hint="eastAsia" w:ascii="仿宋" w:hAnsi="仿宋" w:eastAsia="仿宋" w:cs="仿宋"/>
          <w:b/>
          <w:bCs/>
          <w:color w:val="auto"/>
          <w:sz w:val="28"/>
          <w:szCs w:val="28"/>
        </w:rPr>
        <w:fldChar w:fldCharType="separate"/>
      </w:r>
      <w:r>
        <w:rPr>
          <w:rFonts w:hint="eastAsia" w:ascii="仿宋" w:hAnsi="仿宋" w:eastAsia="仿宋" w:cs="仿宋"/>
          <w:b/>
          <w:bCs/>
          <w:color w:val="auto"/>
          <w:sz w:val="28"/>
          <w:szCs w:val="28"/>
        </w:rPr>
        <w:t>20</w:t>
      </w:r>
      <w:r>
        <w:rPr>
          <w:rFonts w:hint="eastAsia" w:ascii="仿宋" w:hAnsi="仿宋" w:eastAsia="仿宋" w:cs="仿宋"/>
          <w:b/>
          <w:bCs/>
          <w:color w:val="auto"/>
          <w:sz w:val="28"/>
          <w:szCs w:val="28"/>
        </w:rPr>
        <w:fldChar w:fldCharType="end"/>
      </w:r>
      <w:r>
        <w:rPr>
          <w:rFonts w:hint="eastAsia" w:ascii="仿宋" w:hAnsi="仿宋" w:eastAsia="仿宋" w:cs="仿宋"/>
          <w:b/>
          <w:bCs/>
          <w:color w:val="auto"/>
          <w:sz w:val="28"/>
          <w:szCs w:val="28"/>
        </w:rPr>
        <w:fldChar w:fldCharType="end"/>
      </w:r>
    </w:p>
    <w:p>
      <w:pPr>
        <w:pStyle w:val="22"/>
        <w:keepNext w:val="0"/>
        <w:keepLines w:val="0"/>
        <w:pageBreakBefore w:val="0"/>
        <w:tabs>
          <w:tab w:val="right" w:leader="dot" w:pos="8306"/>
        </w:tabs>
        <w:kinsoku/>
        <w:wordWrap/>
        <w:overflowPunct/>
        <w:topLinePunct w:val="0"/>
        <w:autoSpaceDE/>
        <w:autoSpaceDN/>
        <w:bidi w:val="0"/>
        <w:adjustRightInd/>
        <w:snapToGrid/>
        <w:spacing w:after="0" w:line="460" w:lineRule="exact"/>
        <w:ind w:left="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HYPERLINK \l _Toc9041 </w:instrText>
      </w:r>
      <w:r>
        <w:rPr>
          <w:rFonts w:hint="eastAsia" w:ascii="仿宋" w:hAnsi="仿宋" w:eastAsia="仿宋" w:cs="仿宋"/>
          <w:color w:val="auto"/>
          <w:sz w:val="28"/>
          <w:szCs w:val="28"/>
        </w:rPr>
        <w:fldChar w:fldCharType="separate"/>
      </w:r>
      <w:r>
        <w:rPr>
          <w:rFonts w:hint="eastAsia" w:ascii="仿宋" w:hAnsi="仿宋" w:eastAsia="仿宋" w:cs="仿宋"/>
          <w:bCs w:val="0"/>
          <w:color w:val="auto"/>
          <w:kern w:val="0"/>
          <w:sz w:val="28"/>
          <w:szCs w:val="28"/>
          <w:highlight w:val="none"/>
        </w:rPr>
        <w:t>一、巩固拓展教育</w:t>
      </w:r>
      <w:r>
        <w:rPr>
          <w:rFonts w:hint="eastAsia" w:ascii="仿宋" w:hAnsi="仿宋" w:eastAsia="仿宋" w:cs="仿宋"/>
          <w:bCs w:val="0"/>
          <w:color w:val="auto"/>
          <w:kern w:val="0"/>
          <w:sz w:val="28"/>
          <w:szCs w:val="28"/>
          <w:highlight w:val="none"/>
          <w:lang w:val="en-US" w:eastAsia="zh-CN"/>
        </w:rPr>
        <w:t>脱贫</w:t>
      </w:r>
      <w:r>
        <w:rPr>
          <w:rFonts w:hint="eastAsia" w:ascii="仿宋" w:hAnsi="仿宋" w:eastAsia="仿宋" w:cs="仿宋"/>
          <w:bCs w:val="0"/>
          <w:color w:val="auto"/>
          <w:kern w:val="0"/>
          <w:sz w:val="28"/>
          <w:szCs w:val="28"/>
          <w:highlight w:val="none"/>
        </w:rPr>
        <w:t>成果</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_Toc9041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20</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fldChar w:fldCharType="end"/>
      </w:r>
    </w:p>
    <w:p>
      <w:pPr>
        <w:pStyle w:val="22"/>
        <w:keepNext w:val="0"/>
        <w:keepLines w:val="0"/>
        <w:pageBreakBefore w:val="0"/>
        <w:tabs>
          <w:tab w:val="right" w:leader="dot" w:pos="8306"/>
        </w:tabs>
        <w:kinsoku/>
        <w:wordWrap/>
        <w:overflowPunct/>
        <w:topLinePunct w:val="0"/>
        <w:autoSpaceDE/>
        <w:autoSpaceDN/>
        <w:bidi w:val="0"/>
        <w:adjustRightInd/>
        <w:snapToGrid/>
        <w:spacing w:after="0" w:line="460" w:lineRule="exact"/>
        <w:ind w:left="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HYPERLINK \l _Toc31932 </w:instrText>
      </w:r>
      <w:r>
        <w:rPr>
          <w:rFonts w:hint="eastAsia" w:ascii="仿宋" w:hAnsi="仿宋" w:eastAsia="仿宋" w:cs="仿宋"/>
          <w:color w:val="auto"/>
          <w:sz w:val="28"/>
          <w:szCs w:val="28"/>
        </w:rPr>
        <w:fldChar w:fldCharType="separate"/>
      </w:r>
      <w:r>
        <w:rPr>
          <w:rFonts w:hint="eastAsia" w:ascii="仿宋" w:hAnsi="仿宋" w:eastAsia="仿宋" w:cs="仿宋"/>
          <w:bCs w:val="0"/>
          <w:color w:val="auto"/>
          <w:kern w:val="0"/>
          <w:sz w:val="28"/>
          <w:szCs w:val="28"/>
          <w:highlight w:val="none"/>
        </w:rPr>
        <w:t>二、巩固拓展基本医疗成果</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_Toc31932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21</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fldChar w:fldCharType="end"/>
      </w:r>
    </w:p>
    <w:p>
      <w:pPr>
        <w:pStyle w:val="22"/>
        <w:keepNext w:val="0"/>
        <w:keepLines w:val="0"/>
        <w:pageBreakBefore w:val="0"/>
        <w:tabs>
          <w:tab w:val="right" w:leader="dot" w:pos="8306"/>
        </w:tabs>
        <w:kinsoku/>
        <w:wordWrap/>
        <w:overflowPunct/>
        <w:topLinePunct w:val="0"/>
        <w:autoSpaceDE/>
        <w:autoSpaceDN/>
        <w:bidi w:val="0"/>
        <w:adjustRightInd/>
        <w:snapToGrid/>
        <w:spacing w:after="0" w:line="460" w:lineRule="exact"/>
        <w:ind w:left="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HYPERLINK \l _Toc35 </w:instrText>
      </w:r>
      <w:r>
        <w:rPr>
          <w:rFonts w:hint="eastAsia" w:ascii="仿宋" w:hAnsi="仿宋" w:eastAsia="仿宋" w:cs="仿宋"/>
          <w:color w:val="auto"/>
          <w:sz w:val="28"/>
          <w:szCs w:val="28"/>
        </w:rPr>
        <w:fldChar w:fldCharType="separate"/>
      </w:r>
      <w:r>
        <w:rPr>
          <w:rFonts w:hint="eastAsia" w:ascii="仿宋" w:hAnsi="仿宋" w:eastAsia="仿宋" w:cs="仿宋"/>
          <w:bCs w:val="0"/>
          <w:color w:val="auto"/>
          <w:kern w:val="0"/>
          <w:sz w:val="28"/>
          <w:szCs w:val="28"/>
          <w:highlight w:val="none"/>
        </w:rPr>
        <w:t>三、巩固拓展住房安全成果</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_Toc35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23</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fldChar w:fldCharType="end"/>
      </w:r>
    </w:p>
    <w:p>
      <w:pPr>
        <w:pStyle w:val="22"/>
        <w:keepNext w:val="0"/>
        <w:keepLines w:val="0"/>
        <w:pageBreakBefore w:val="0"/>
        <w:tabs>
          <w:tab w:val="right" w:leader="dot" w:pos="8306"/>
        </w:tabs>
        <w:kinsoku/>
        <w:wordWrap/>
        <w:overflowPunct/>
        <w:topLinePunct w:val="0"/>
        <w:autoSpaceDE/>
        <w:autoSpaceDN/>
        <w:bidi w:val="0"/>
        <w:adjustRightInd/>
        <w:snapToGrid/>
        <w:spacing w:after="0" w:line="460" w:lineRule="exact"/>
        <w:ind w:left="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HYPERLINK \l _Toc937 </w:instrText>
      </w:r>
      <w:r>
        <w:rPr>
          <w:rFonts w:hint="eastAsia" w:ascii="仿宋" w:hAnsi="仿宋" w:eastAsia="仿宋" w:cs="仿宋"/>
          <w:color w:val="auto"/>
          <w:sz w:val="28"/>
          <w:szCs w:val="28"/>
        </w:rPr>
        <w:fldChar w:fldCharType="separate"/>
      </w:r>
      <w:r>
        <w:rPr>
          <w:rFonts w:hint="eastAsia" w:ascii="仿宋" w:hAnsi="仿宋" w:eastAsia="仿宋" w:cs="仿宋"/>
          <w:bCs w:val="0"/>
          <w:color w:val="auto"/>
          <w:kern w:val="0"/>
          <w:sz w:val="28"/>
          <w:szCs w:val="28"/>
          <w:highlight w:val="none"/>
        </w:rPr>
        <w:t>四、巩固拓展饮水安全成果</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_Toc937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24</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fldChar w:fldCharType="end"/>
      </w:r>
    </w:p>
    <w:p>
      <w:pPr>
        <w:pStyle w:val="17"/>
        <w:keepNext w:val="0"/>
        <w:keepLines w:val="0"/>
        <w:pageBreakBefore w:val="0"/>
        <w:tabs>
          <w:tab w:val="right" w:leader="dot" w:pos="8306"/>
          <w:tab w:val="clear" w:pos="8296"/>
        </w:tabs>
        <w:kinsoku/>
        <w:wordWrap/>
        <w:overflowPunct/>
        <w:topLinePunct w:val="0"/>
        <w:autoSpaceDE/>
        <w:autoSpaceDN/>
        <w:bidi w:val="0"/>
        <w:adjustRightInd/>
        <w:snapToGrid/>
        <w:spacing w:line="460" w:lineRule="exact"/>
        <w:ind w:left="0"/>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rPr>
        <w:fldChar w:fldCharType="begin"/>
      </w:r>
      <w:r>
        <w:rPr>
          <w:rFonts w:hint="eastAsia" w:ascii="仿宋" w:hAnsi="仿宋" w:eastAsia="仿宋" w:cs="仿宋"/>
          <w:b/>
          <w:bCs/>
          <w:color w:val="auto"/>
          <w:sz w:val="28"/>
          <w:szCs w:val="28"/>
        </w:rPr>
        <w:instrText xml:space="preserve"> HYPERLINK \l _Toc23000 </w:instrText>
      </w:r>
      <w:r>
        <w:rPr>
          <w:rFonts w:hint="eastAsia" w:ascii="仿宋" w:hAnsi="仿宋" w:eastAsia="仿宋" w:cs="仿宋"/>
          <w:b/>
          <w:bCs/>
          <w:color w:val="auto"/>
          <w:sz w:val="28"/>
          <w:szCs w:val="28"/>
        </w:rPr>
        <w:fldChar w:fldCharType="separate"/>
      </w:r>
      <w:r>
        <w:rPr>
          <w:rFonts w:hint="eastAsia" w:ascii="仿宋" w:hAnsi="仿宋" w:eastAsia="仿宋" w:cs="仿宋"/>
          <w:b/>
          <w:bCs/>
          <w:color w:val="auto"/>
          <w:kern w:val="2"/>
          <w:sz w:val="28"/>
          <w:szCs w:val="28"/>
          <w:highlight w:val="none"/>
        </w:rPr>
        <w:t>第五章  强化易地扶贫搬迁后续扶持</w:t>
      </w:r>
      <w:r>
        <w:rPr>
          <w:rFonts w:hint="eastAsia" w:ascii="仿宋" w:hAnsi="仿宋" w:eastAsia="仿宋" w:cs="仿宋"/>
          <w:b/>
          <w:bCs/>
          <w:color w:val="auto"/>
          <w:sz w:val="28"/>
          <w:szCs w:val="28"/>
        </w:rPr>
        <w:tab/>
      </w:r>
      <w:r>
        <w:rPr>
          <w:rFonts w:hint="eastAsia" w:ascii="仿宋" w:hAnsi="仿宋" w:eastAsia="仿宋" w:cs="仿宋"/>
          <w:b/>
          <w:bCs/>
          <w:color w:val="auto"/>
          <w:sz w:val="28"/>
          <w:szCs w:val="28"/>
        </w:rPr>
        <w:fldChar w:fldCharType="begin"/>
      </w:r>
      <w:r>
        <w:rPr>
          <w:rFonts w:hint="eastAsia" w:ascii="仿宋" w:hAnsi="仿宋" w:eastAsia="仿宋" w:cs="仿宋"/>
          <w:b/>
          <w:bCs/>
          <w:color w:val="auto"/>
          <w:sz w:val="28"/>
          <w:szCs w:val="28"/>
        </w:rPr>
        <w:instrText xml:space="preserve"> PAGEREF _Toc23000 \h </w:instrText>
      </w:r>
      <w:r>
        <w:rPr>
          <w:rFonts w:hint="eastAsia" w:ascii="仿宋" w:hAnsi="仿宋" w:eastAsia="仿宋" w:cs="仿宋"/>
          <w:b/>
          <w:bCs/>
          <w:color w:val="auto"/>
          <w:sz w:val="28"/>
          <w:szCs w:val="28"/>
        </w:rPr>
        <w:fldChar w:fldCharType="separate"/>
      </w:r>
      <w:r>
        <w:rPr>
          <w:rFonts w:hint="eastAsia" w:ascii="仿宋" w:hAnsi="仿宋" w:eastAsia="仿宋" w:cs="仿宋"/>
          <w:b/>
          <w:bCs/>
          <w:color w:val="auto"/>
          <w:sz w:val="28"/>
          <w:szCs w:val="28"/>
        </w:rPr>
        <w:t>27</w:t>
      </w:r>
      <w:r>
        <w:rPr>
          <w:rFonts w:hint="eastAsia" w:ascii="仿宋" w:hAnsi="仿宋" w:eastAsia="仿宋" w:cs="仿宋"/>
          <w:b/>
          <w:bCs/>
          <w:color w:val="auto"/>
          <w:sz w:val="28"/>
          <w:szCs w:val="28"/>
        </w:rPr>
        <w:fldChar w:fldCharType="end"/>
      </w:r>
      <w:r>
        <w:rPr>
          <w:rFonts w:hint="eastAsia" w:ascii="仿宋" w:hAnsi="仿宋" w:eastAsia="仿宋" w:cs="仿宋"/>
          <w:b/>
          <w:bCs/>
          <w:color w:val="auto"/>
          <w:sz w:val="28"/>
          <w:szCs w:val="28"/>
        </w:rPr>
        <w:fldChar w:fldCharType="end"/>
      </w:r>
    </w:p>
    <w:p>
      <w:pPr>
        <w:pStyle w:val="22"/>
        <w:keepNext w:val="0"/>
        <w:keepLines w:val="0"/>
        <w:pageBreakBefore w:val="0"/>
        <w:tabs>
          <w:tab w:val="right" w:leader="dot" w:pos="8306"/>
        </w:tabs>
        <w:kinsoku/>
        <w:wordWrap/>
        <w:overflowPunct/>
        <w:topLinePunct w:val="0"/>
        <w:autoSpaceDE/>
        <w:autoSpaceDN/>
        <w:bidi w:val="0"/>
        <w:adjustRightInd/>
        <w:snapToGrid/>
        <w:spacing w:after="0" w:line="460" w:lineRule="exact"/>
        <w:ind w:left="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HYPERLINK \l _Toc22325 </w:instrText>
      </w:r>
      <w:r>
        <w:rPr>
          <w:rFonts w:hint="eastAsia" w:ascii="仿宋" w:hAnsi="仿宋" w:eastAsia="仿宋" w:cs="仿宋"/>
          <w:color w:val="auto"/>
          <w:sz w:val="28"/>
          <w:szCs w:val="28"/>
        </w:rPr>
        <w:fldChar w:fldCharType="separate"/>
      </w:r>
      <w:r>
        <w:rPr>
          <w:rFonts w:hint="eastAsia" w:ascii="仿宋" w:hAnsi="仿宋" w:eastAsia="仿宋" w:cs="仿宋"/>
          <w:bCs w:val="0"/>
          <w:color w:val="auto"/>
          <w:kern w:val="0"/>
          <w:sz w:val="28"/>
          <w:szCs w:val="28"/>
          <w:highlight w:val="none"/>
          <w:lang w:val="en-US" w:eastAsia="zh-CN"/>
        </w:rPr>
        <w:t>一、加强易地扶贫搬迁群众就业帮扶</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_Toc22325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27</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fldChar w:fldCharType="end"/>
      </w:r>
    </w:p>
    <w:p>
      <w:pPr>
        <w:pStyle w:val="22"/>
        <w:keepNext w:val="0"/>
        <w:keepLines w:val="0"/>
        <w:pageBreakBefore w:val="0"/>
        <w:tabs>
          <w:tab w:val="right" w:leader="dot" w:pos="8306"/>
        </w:tabs>
        <w:kinsoku/>
        <w:wordWrap/>
        <w:overflowPunct/>
        <w:topLinePunct w:val="0"/>
        <w:autoSpaceDE/>
        <w:autoSpaceDN/>
        <w:bidi w:val="0"/>
        <w:adjustRightInd/>
        <w:snapToGrid/>
        <w:spacing w:after="0" w:line="460" w:lineRule="exact"/>
        <w:ind w:left="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HYPERLINK \l _Toc14551 </w:instrText>
      </w:r>
      <w:r>
        <w:rPr>
          <w:rFonts w:hint="eastAsia" w:ascii="仿宋" w:hAnsi="仿宋" w:eastAsia="仿宋" w:cs="仿宋"/>
          <w:color w:val="auto"/>
          <w:sz w:val="28"/>
          <w:szCs w:val="28"/>
        </w:rPr>
        <w:fldChar w:fldCharType="separate"/>
      </w:r>
      <w:r>
        <w:rPr>
          <w:rFonts w:hint="eastAsia" w:ascii="仿宋" w:hAnsi="仿宋" w:eastAsia="仿宋" w:cs="仿宋"/>
          <w:bCs w:val="0"/>
          <w:color w:val="auto"/>
          <w:kern w:val="0"/>
          <w:sz w:val="28"/>
          <w:szCs w:val="28"/>
          <w:highlight w:val="none"/>
          <w:lang w:val="en-US" w:eastAsia="zh-CN"/>
        </w:rPr>
        <w:t>二、突出抓好安置点产业发展</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_Toc14551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28</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fldChar w:fldCharType="end"/>
      </w:r>
    </w:p>
    <w:p>
      <w:pPr>
        <w:pStyle w:val="22"/>
        <w:keepNext w:val="0"/>
        <w:keepLines w:val="0"/>
        <w:pageBreakBefore w:val="0"/>
        <w:tabs>
          <w:tab w:val="right" w:leader="dot" w:pos="8306"/>
        </w:tabs>
        <w:kinsoku/>
        <w:wordWrap/>
        <w:overflowPunct/>
        <w:topLinePunct w:val="0"/>
        <w:autoSpaceDE/>
        <w:autoSpaceDN/>
        <w:bidi w:val="0"/>
        <w:adjustRightInd/>
        <w:snapToGrid/>
        <w:spacing w:after="0" w:line="460" w:lineRule="exact"/>
        <w:ind w:left="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HYPERLINK \l _Toc14964 </w:instrText>
      </w:r>
      <w:r>
        <w:rPr>
          <w:rFonts w:hint="eastAsia" w:ascii="仿宋" w:hAnsi="仿宋" w:eastAsia="仿宋" w:cs="仿宋"/>
          <w:color w:val="auto"/>
          <w:sz w:val="28"/>
          <w:szCs w:val="28"/>
        </w:rPr>
        <w:fldChar w:fldCharType="separate"/>
      </w:r>
      <w:r>
        <w:rPr>
          <w:rFonts w:hint="eastAsia" w:ascii="仿宋" w:hAnsi="仿宋" w:eastAsia="仿宋" w:cs="仿宋"/>
          <w:bCs w:val="0"/>
          <w:color w:val="auto"/>
          <w:kern w:val="0"/>
          <w:sz w:val="28"/>
          <w:szCs w:val="28"/>
          <w:highlight w:val="none"/>
          <w:lang w:val="en-US" w:eastAsia="zh-CN"/>
        </w:rPr>
        <w:t>三、</w:t>
      </w:r>
      <w:r>
        <w:rPr>
          <w:rFonts w:hint="eastAsia" w:ascii="仿宋" w:hAnsi="仿宋" w:eastAsia="仿宋" w:cs="仿宋"/>
          <w:bCs w:val="0"/>
          <w:color w:val="auto"/>
          <w:kern w:val="0"/>
          <w:sz w:val="28"/>
          <w:szCs w:val="28"/>
          <w:highlight w:val="none"/>
        </w:rPr>
        <w:t>完善提升</w:t>
      </w:r>
      <w:r>
        <w:rPr>
          <w:rFonts w:hint="eastAsia" w:ascii="仿宋" w:hAnsi="仿宋" w:eastAsia="仿宋" w:cs="仿宋"/>
          <w:bCs w:val="0"/>
          <w:color w:val="auto"/>
          <w:kern w:val="0"/>
          <w:sz w:val="28"/>
          <w:szCs w:val="28"/>
          <w:highlight w:val="none"/>
          <w:lang w:eastAsia="zh-CN"/>
        </w:rPr>
        <w:t>安置点</w:t>
      </w:r>
      <w:r>
        <w:rPr>
          <w:rFonts w:hint="eastAsia" w:ascii="仿宋" w:hAnsi="仿宋" w:eastAsia="仿宋" w:cs="仿宋"/>
          <w:bCs w:val="0"/>
          <w:color w:val="auto"/>
          <w:kern w:val="0"/>
          <w:sz w:val="28"/>
          <w:szCs w:val="28"/>
          <w:highlight w:val="none"/>
        </w:rPr>
        <w:t>配套基础设施和公共服务设施</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_Toc14964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29</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fldChar w:fldCharType="end"/>
      </w:r>
    </w:p>
    <w:p>
      <w:pPr>
        <w:pStyle w:val="22"/>
        <w:keepNext w:val="0"/>
        <w:keepLines w:val="0"/>
        <w:pageBreakBefore w:val="0"/>
        <w:tabs>
          <w:tab w:val="right" w:leader="dot" w:pos="8306"/>
        </w:tabs>
        <w:kinsoku/>
        <w:wordWrap/>
        <w:overflowPunct/>
        <w:topLinePunct w:val="0"/>
        <w:autoSpaceDE/>
        <w:autoSpaceDN/>
        <w:bidi w:val="0"/>
        <w:adjustRightInd/>
        <w:snapToGrid/>
        <w:spacing w:after="0" w:line="460" w:lineRule="exact"/>
        <w:ind w:left="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HYPERLINK \l _Toc26368 </w:instrText>
      </w:r>
      <w:r>
        <w:rPr>
          <w:rFonts w:hint="eastAsia" w:ascii="仿宋" w:hAnsi="仿宋" w:eastAsia="仿宋" w:cs="仿宋"/>
          <w:color w:val="auto"/>
          <w:sz w:val="28"/>
          <w:szCs w:val="28"/>
        </w:rPr>
        <w:fldChar w:fldCharType="separate"/>
      </w:r>
      <w:r>
        <w:rPr>
          <w:rFonts w:hint="eastAsia" w:ascii="仿宋" w:hAnsi="仿宋" w:eastAsia="仿宋" w:cs="仿宋"/>
          <w:bCs w:val="0"/>
          <w:color w:val="auto"/>
          <w:kern w:val="0"/>
          <w:sz w:val="28"/>
          <w:szCs w:val="28"/>
          <w:highlight w:val="none"/>
          <w:lang w:val="en-US" w:eastAsia="zh-CN"/>
        </w:rPr>
        <w:t>四、全面推进社会融入</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_Toc26368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30</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fldChar w:fldCharType="end"/>
      </w:r>
    </w:p>
    <w:p>
      <w:pPr>
        <w:pStyle w:val="17"/>
        <w:keepNext w:val="0"/>
        <w:keepLines w:val="0"/>
        <w:pageBreakBefore w:val="0"/>
        <w:tabs>
          <w:tab w:val="right" w:leader="dot" w:pos="8306"/>
          <w:tab w:val="clear" w:pos="8296"/>
        </w:tabs>
        <w:kinsoku/>
        <w:wordWrap/>
        <w:overflowPunct/>
        <w:topLinePunct w:val="0"/>
        <w:autoSpaceDE/>
        <w:autoSpaceDN/>
        <w:bidi w:val="0"/>
        <w:adjustRightInd/>
        <w:snapToGrid/>
        <w:spacing w:line="460" w:lineRule="exact"/>
        <w:ind w:left="0"/>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rPr>
        <w:fldChar w:fldCharType="begin"/>
      </w:r>
      <w:r>
        <w:rPr>
          <w:rFonts w:hint="eastAsia" w:ascii="仿宋" w:hAnsi="仿宋" w:eastAsia="仿宋" w:cs="仿宋"/>
          <w:b/>
          <w:bCs/>
          <w:color w:val="auto"/>
          <w:sz w:val="28"/>
          <w:szCs w:val="28"/>
        </w:rPr>
        <w:instrText xml:space="preserve"> HYPERLINK \l _Toc7781 </w:instrText>
      </w:r>
      <w:r>
        <w:rPr>
          <w:rFonts w:hint="eastAsia" w:ascii="仿宋" w:hAnsi="仿宋" w:eastAsia="仿宋" w:cs="仿宋"/>
          <w:b/>
          <w:bCs/>
          <w:color w:val="auto"/>
          <w:sz w:val="28"/>
          <w:szCs w:val="28"/>
        </w:rPr>
        <w:fldChar w:fldCharType="separate"/>
      </w:r>
      <w:r>
        <w:rPr>
          <w:rFonts w:hint="eastAsia" w:ascii="仿宋" w:hAnsi="仿宋" w:eastAsia="仿宋" w:cs="仿宋"/>
          <w:b/>
          <w:bCs/>
          <w:color w:val="auto"/>
          <w:kern w:val="2"/>
          <w:sz w:val="28"/>
          <w:szCs w:val="28"/>
          <w:highlight w:val="none"/>
        </w:rPr>
        <w:t>第</w:t>
      </w:r>
      <w:r>
        <w:rPr>
          <w:rFonts w:hint="eastAsia" w:ascii="仿宋" w:hAnsi="仿宋" w:eastAsia="仿宋" w:cs="仿宋"/>
          <w:b/>
          <w:bCs/>
          <w:color w:val="auto"/>
          <w:kern w:val="2"/>
          <w:sz w:val="28"/>
          <w:szCs w:val="28"/>
          <w:highlight w:val="none"/>
          <w:lang w:val="en-US" w:eastAsia="zh-CN"/>
        </w:rPr>
        <w:t>六</w:t>
      </w:r>
      <w:r>
        <w:rPr>
          <w:rFonts w:hint="eastAsia" w:ascii="仿宋" w:hAnsi="仿宋" w:eastAsia="仿宋" w:cs="仿宋"/>
          <w:b/>
          <w:bCs/>
          <w:color w:val="auto"/>
          <w:kern w:val="2"/>
          <w:sz w:val="28"/>
          <w:szCs w:val="28"/>
          <w:highlight w:val="none"/>
        </w:rPr>
        <w:t>章  提升</w:t>
      </w:r>
      <w:r>
        <w:rPr>
          <w:rFonts w:hint="eastAsia" w:ascii="仿宋" w:hAnsi="仿宋" w:eastAsia="仿宋" w:cs="仿宋"/>
          <w:b/>
          <w:bCs/>
          <w:color w:val="auto"/>
          <w:kern w:val="2"/>
          <w:sz w:val="28"/>
          <w:szCs w:val="28"/>
          <w:highlight w:val="none"/>
          <w:lang w:val="en-US" w:eastAsia="zh-CN"/>
        </w:rPr>
        <w:t>乡村</w:t>
      </w:r>
      <w:r>
        <w:rPr>
          <w:rFonts w:hint="eastAsia" w:ascii="仿宋" w:hAnsi="仿宋" w:eastAsia="仿宋" w:cs="仿宋"/>
          <w:b/>
          <w:bCs/>
          <w:color w:val="auto"/>
          <w:kern w:val="2"/>
          <w:sz w:val="28"/>
          <w:szCs w:val="28"/>
          <w:highlight w:val="none"/>
        </w:rPr>
        <w:t>富民特色产业</w:t>
      </w:r>
      <w:r>
        <w:rPr>
          <w:rFonts w:hint="eastAsia" w:ascii="仿宋" w:hAnsi="仿宋" w:eastAsia="仿宋" w:cs="仿宋"/>
          <w:b/>
          <w:bCs/>
          <w:color w:val="auto"/>
          <w:kern w:val="2"/>
          <w:sz w:val="28"/>
          <w:szCs w:val="28"/>
          <w:highlight w:val="none"/>
          <w:lang w:eastAsia="zh-CN"/>
        </w:rPr>
        <w:t>，</w:t>
      </w:r>
      <w:r>
        <w:rPr>
          <w:rFonts w:hint="eastAsia" w:ascii="仿宋" w:hAnsi="仿宋" w:eastAsia="仿宋" w:cs="仿宋"/>
          <w:b/>
          <w:bCs/>
          <w:color w:val="auto"/>
          <w:kern w:val="2"/>
          <w:sz w:val="28"/>
          <w:szCs w:val="28"/>
          <w:highlight w:val="none"/>
          <w:lang w:val="en-US" w:eastAsia="zh-CN"/>
        </w:rPr>
        <w:t>推进脱贫人口稳岗就业</w:t>
      </w:r>
      <w:r>
        <w:rPr>
          <w:rFonts w:hint="eastAsia" w:ascii="仿宋" w:hAnsi="仿宋" w:eastAsia="仿宋" w:cs="仿宋"/>
          <w:b/>
          <w:bCs/>
          <w:color w:val="auto"/>
          <w:sz w:val="28"/>
          <w:szCs w:val="28"/>
        </w:rPr>
        <w:tab/>
      </w:r>
      <w:r>
        <w:rPr>
          <w:rFonts w:hint="eastAsia" w:ascii="仿宋" w:hAnsi="仿宋" w:eastAsia="仿宋" w:cs="仿宋"/>
          <w:b/>
          <w:bCs/>
          <w:color w:val="auto"/>
          <w:sz w:val="28"/>
          <w:szCs w:val="28"/>
        </w:rPr>
        <w:fldChar w:fldCharType="begin"/>
      </w:r>
      <w:r>
        <w:rPr>
          <w:rFonts w:hint="eastAsia" w:ascii="仿宋" w:hAnsi="仿宋" w:eastAsia="仿宋" w:cs="仿宋"/>
          <w:b/>
          <w:bCs/>
          <w:color w:val="auto"/>
          <w:sz w:val="28"/>
          <w:szCs w:val="28"/>
        </w:rPr>
        <w:instrText xml:space="preserve"> PAGEREF _Toc7781 \h </w:instrText>
      </w:r>
      <w:r>
        <w:rPr>
          <w:rFonts w:hint="eastAsia" w:ascii="仿宋" w:hAnsi="仿宋" w:eastAsia="仿宋" w:cs="仿宋"/>
          <w:b/>
          <w:bCs/>
          <w:color w:val="auto"/>
          <w:sz w:val="28"/>
          <w:szCs w:val="28"/>
        </w:rPr>
        <w:fldChar w:fldCharType="separate"/>
      </w:r>
      <w:r>
        <w:rPr>
          <w:rFonts w:hint="eastAsia" w:ascii="仿宋" w:hAnsi="仿宋" w:eastAsia="仿宋" w:cs="仿宋"/>
          <w:b/>
          <w:bCs/>
          <w:color w:val="auto"/>
          <w:sz w:val="28"/>
          <w:szCs w:val="28"/>
        </w:rPr>
        <w:t>33</w:t>
      </w:r>
      <w:r>
        <w:rPr>
          <w:rFonts w:hint="eastAsia" w:ascii="仿宋" w:hAnsi="仿宋" w:eastAsia="仿宋" w:cs="仿宋"/>
          <w:b/>
          <w:bCs/>
          <w:color w:val="auto"/>
          <w:sz w:val="28"/>
          <w:szCs w:val="28"/>
        </w:rPr>
        <w:fldChar w:fldCharType="end"/>
      </w:r>
      <w:r>
        <w:rPr>
          <w:rFonts w:hint="eastAsia" w:ascii="仿宋" w:hAnsi="仿宋" w:eastAsia="仿宋" w:cs="仿宋"/>
          <w:b/>
          <w:bCs/>
          <w:color w:val="auto"/>
          <w:sz w:val="28"/>
          <w:szCs w:val="28"/>
        </w:rPr>
        <w:fldChar w:fldCharType="end"/>
      </w:r>
    </w:p>
    <w:p>
      <w:pPr>
        <w:pStyle w:val="22"/>
        <w:keepNext w:val="0"/>
        <w:keepLines w:val="0"/>
        <w:pageBreakBefore w:val="0"/>
        <w:tabs>
          <w:tab w:val="right" w:leader="dot" w:pos="8306"/>
        </w:tabs>
        <w:kinsoku/>
        <w:wordWrap/>
        <w:overflowPunct/>
        <w:topLinePunct w:val="0"/>
        <w:autoSpaceDE/>
        <w:autoSpaceDN/>
        <w:bidi w:val="0"/>
        <w:adjustRightInd/>
        <w:snapToGrid/>
        <w:spacing w:after="0" w:line="460" w:lineRule="exact"/>
        <w:ind w:left="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HYPERLINK \l _Toc3467 </w:instrText>
      </w:r>
      <w:r>
        <w:rPr>
          <w:rFonts w:hint="eastAsia" w:ascii="仿宋" w:hAnsi="仿宋" w:eastAsia="仿宋" w:cs="仿宋"/>
          <w:color w:val="auto"/>
          <w:sz w:val="28"/>
          <w:szCs w:val="28"/>
        </w:rPr>
        <w:fldChar w:fldCharType="separate"/>
      </w:r>
      <w:r>
        <w:rPr>
          <w:rFonts w:hint="eastAsia" w:ascii="仿宋" w:hAnsi="仿宋" w:eastAsia="仿宋" w:cs="仿宋"/>
          <w:bCs w:val="0"/>
          <w:color w:val="auto"/>
          <w:kern w:val="0"/>
          <w:sz w:val="28"/>
          <w:szCs w:val="28"/>
          <w:highlight w:val="none"/>
        </w:rPr>
        <w:t>一、持续培育</w:t>
      </w:r>
      <w:r>
        <w:rPr>
          <w:rFonts w:hint="eastAsia" w:ascii="仿宋" w:hAnsi="仿宋" w:eastAsia="仿宋" w:cs="仿宋"/>
          <w:bCs w:val="0"/>
          <w:color w:val="auto"/>
          <w:kern w:val="0"/>
          <w:sz w:val="28"/>
          <w:szCs w:val="28"/>
          <w:highlight w:val="none"/>
          <w:lang w:val="en-US" w:eastAsia="zh-CN"/>
        </w:rPr>
        <w:t>壮大</w:t>
      </w:r>
      <w:r>
        <w:rPr>
          <w:rFonts w:hint="eastAsia" w:ascii="仿宋" w:hAnsi="仿宋" w:eastAsia="仿宋" w:cs="仿宋"/>
          <w:bCs w:val="0"/>
          <w:color w:val="auto"/>
          <w:kern w:val="0"/>
          <w:sz w:val="28"/>
          <w:szCs w:val="28"/>
          <w:highlight w:val="none"/>
        </w:rPr>
        <w:t>高原特色</w:t>
      </w:r>
      <w:r>
        <w:rPr>
          <w:rFonts w:hint="eastAsia" w:ascii="仿宋" w:hAnsi="仿宋" w:eastAsia="仿宋" w:cs="仿宋"/>
          <w:bCs w:val="0"/>
          <w:color w:val="auto"/>
          <w:kern w:val="0"/>
          <w:sz w:val="28"/>
          <w:szCs w:val="28"/>
          <w:highlight w:val="none"/>
          <w:lang w:val="en-US" w:eastAsia="zh-CN"/>
        </w:rPr>
        <w:t>农牧</w:t>
      </w:r>
      <w:r>
        <w:rPr>
          <w:rFonts w:hint="eastAsia" w:ascii="仿宋" w:hAnsi="仿宋" w:eastAsia="仿宋" w:cs="仿宋"/>
          <w:bCs w:val="0"/>
          <w:color w:val="auto"/>
          <w:kern w:val="0"/>
          <w:sz w:val="28"/>
          <w:szCs w:val="28"/>
          <w:highlight w:val="none"/>
        </w:rPr>
        <w:t>业</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_Toc3467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33</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fldChar w:fldCharType="end"/>
      </w:r>
    </w:p>
    <w:p>
      <w:pPr>
        <w:pStyle w:val="22"/>
        <w:keepNext w:val="0"/>
        <w:keepLines w:val="0"/>
        <w:pageBreakBefore w:val="0"/>
        <w:tabs>
          <w:tab w:val="right" w:leader="dot" w:pos="8306"/>
        </w:tabs>
        <w:kinsoku/>
        <w:wordWrap/>
        <w:overflowPunct/>
        <w:topLinePunct w:val="0"/>
        <w:autoSpaceDE/>
        <w:autoSpaceDN/>
        <w:bidi w:val="0"/>
        <w:adjustRightInd/>
        <w:snapToGrid/>
        <w:spacing w:after="0" w:line="460" w:lineRule="exact"/>
        <w:ind w:left="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HYPERLINK \l _Toc23237 </w:instrText>
      </w:r>
      <w:r>
        <w:rPr>
          <w:rFonts w:hint="eastAsia" w:ascii="仿宋" w:hAnsi="仿宋" w:eastAsia="仿宋" w:cs="仿宋"/>
          <w:color w:val="auto"/>
          <w:sz w:val="28"/>
          <w:szCs w:val="28"/>
        </w:rPr>
        <w:fldChar w:fldCharType="separate"/>
      </w:r>
      <w:r>
        <w:rPr>
          <w:rFonts w:hint="eastAsia" w:ascii="仿宋" w:hAnsi="仿宋" w:eastAsia="仿宋" w:cs="仿宋"/>
          <w:bCs w:val="0"/>
          <w:color w:val="auto"/>
          <w:kern w:val="0"/>
          <w:sz w:val="28"/>
          <w:szCs w:val="28"/>
          <w:highlight w:val="none"/>
          <w:lang w:val="en-US" w:eastAsia="zh-CN"/>
        </w:rPr>
        <w:t>二</w:t>
      </w:r>
      <w:r>
        <w:rPr>
          <w:rFonts w:hint="eastAsia" w:ascii="仿宋" w:hAnsi="仿宋" w:eastAsia="仿宋" w:cs="仿宋"/>
          <w:bCs w:val="0"/>
          <w:color w:val="auto"/>
          <w:kern w:val="0"/>
          <w:sz w:val="28"/>
          <w:szCs w:val="28"/>
          <w:highlight w:val="none"/>
        </w:rPr>
        <w:t>、强化产业服务支撑与利益联结</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_Toc23237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36</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fldChar w:fldCharType="end"/>
      </w:r>
    </w:p>
    <w:p>
      <w:pPr>
        <w:pStyle w:val="22"/>
        <w:keepNext w:val="0"/>
        <w:keepLines w:val="0"/>
        <w:pageBreakBefore w:val="0"/>
        <w:tabs>
          <w:tab w:val="right" w:leader="dot" w:pos="8306"/>
        </w:tabs>
        <w:kinsoku/>
        <w:wordWrap/>
        <w:overflowPunct/>
        <w:topLinePunct w:val="0"/>
        <w:autoSpaceDE/>
        <w:autoSpaceDN/>
        <w:bidi w:val="0"/>
        <w:adjustRightInd/>
        <w:snapToGrid/>
        <w:spacing w:after="0" w:line="460" w:lineRule="exact"/>
        <w:ind w:left="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HYPERLINK \l _Toc21254 </w:instrText>
      </w:r>
      <w:r>
        <w:rPr>
          <w:rFonts w:hint="eastAsia" w:ascii="仿宋" w:hAnsi="仿宋" w:eastAsia="仿宋" w:cs="仿宋"/>
          <w:color w:val="auto"/>
          <w:sz w:val="28"/>
          <w:szCs w:val="28"/>
        </w:rPr>
        <w:fldChar w:fldCharType="separate"/>
      </w:r>
      <w:r>
        <w:rPr>
          <w:rFonts w:hint="eastAsia" w:ascii="仿宋" w:hAnsi="仿宋" w:eastAsia="仿宋" w:cs="仿宋"/>
          <w:bCs w:val="0"/>
          <w:color w:val="auto"/>
          <w:kern w:val="0"/>
          <w:sz w:val="28"/>
          <w:szCs w:val="28"/>
          <w:highlight w:val="none"/>
          <w:lang w:val="en-US" w:eastAsia="zh-CN"/>
        </w:rPr>
        <w:t>三</w:t>
      </w:r>
      <w:r>
        <w:rPr>
          <w:rFonts w:hint="eastAsia" w:ascii="仿宋" w:hAnsi="仿宋" w:eastAsia="仿宋" w:cs="仿宋"/>
          <w:bCs w:val="0"/>
          <w:color w:val="auto"/>
          <w:kern w:val="0"/>
          <w:sz w:val="28"/>
          <w:szCs w:val="28"/>
          <w:highlight w:val="none"/>
        </w:rPr>
        <w:t>、持续推进脱贫人口稳岗就业</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_Toc21254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39</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fldChar w:fldCharType="end"/>
      </w:r>
    </w:p>
    <w:p>
      <w:pPr>
        <w:pStyle w:val="17"/>
        <w:keepNext w:val="0"/>
        <w:keepLines w:val="0"/>
        <w:pageBreakBefore w:val="0"/>
        <w:tabs>
          <w:tab w:val="right" w:leader="dot" w:pos="8306"/>
          <w:tab w:val="clear" w:pos="8296"/>
        </w:tabs>
        <w:kinsoku/>
        <w:wordWrap/>
        <w:overflowPunct/>
        <w:topLinePunct w:val="0"/>
        <w:autoSpaceDE/>
        <w:autoSpaceDN/>
        <w:bidi w:val="0"/>
        <w:adjustRightInd/>
        <w:snapToGrid/>
        <w:spacing w:line="460" w:lineRule="exact"/>
        <w:ind w:left="0"/>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rPr>
        <w:fldChar w:fldCharType="begin"/>
      </w:r>
      <w:r>
        <w:rPr>
          <w:rFonts w:hint="eastAsia" w:ascii="仿宋" w:hAnsi="仿宋" w:eastAsia="仿宋" w:cs="仿宋"/>
          <w:b/>
          <w:bCs/>
          <w:color w:val="auto"/>
          <w:sz w:val="28"/>
          <w:szCs w:val="28"/>
        </w:rPr>
        <w:instrText xml:space="preserve"> HYPERLINK \l _Toc31399 </w:instrText>
      </w:r>
      <w:r>
        <w:rPr>
          <w:rFonts w:hint="eastAsia" w:ascii="仿宋" w:hAnsi="仿宋" w:eastAsia="仿宋" w:cs="仿宋"/>
          <w:b/>
          <w:bCs/>
          <w:color w:val="auto"/>
          <w:sz w:val="28"/>
          <w:szCs w:val="28"/>
        </w:rPr>
        <w:fldChar w:fldCharType="separate"/>
      </w:r>
      <w:r>
        <w:rPr>
          <w:rFonts w:hint="eastAsia" w:ascii="仿宋" w:hAnsi="仿宋" w:eastAsia="仿宋" w:cs="仿宋"/>
          <w:b/>
          <w:bCs/>
          <w:color w:val="auto"/>
          <w:kern w:val="2"/>
          <w:sz w:val="28"/>
          <w:szCs w:val="28"/>
          <w:highlight w:val="none"/>
        </w:rPr>
        <w:t>第</w:t>
      </w:r>
      <w:r>
        <w:rPr>
          <w:rFonts w:hint="eastAsia" w:ascii="仿宋" w:hAnsi="仿宋" w:eastAsia="仿宋" w:cs="仿宋"/>
          <w:b/>
          <w:bCs/>
          <w:color w:val="auto"/>
          <w:kern w:val="2"/>
          <w:sz w:val="28"/>
          <w:szCs w:val="28"/>
          <w:highlight w:val="none"/>
          <w:lang w:val="en-US" w:eastAsia="zh-CN"/>
        </w:rPr>
        <w:t>七</w:t>
      </w:r>
      <w:r>
        <w:rPr>
          <w:rFonts w:hint="eastAsia" w:ascii="仿宋" w:hAnsi="仿宋" w:eastAsia="仿宋" w:cs="仿宋"/>
          <w:b/>
          <w:bCs/>
          <w:color w:val="auto"/>
          <w:kern w:val="2"/>
          <w:sz w:val="28"/>
          <w:szCs w:val="28"/>
          <w:highlight w:val="none"/>
        </w:rPr>
        <w:t>章  开展“圣洁甘孜</w:t>
      </w:r>
      <w:r>
        <w:rPr>
          <w:rFonts w:hint="eastAsia" w:ascii="仿宋" w:hAnsi="仿宋" w:eastAsia="仿宋" w:cs="仿宋"/>
          <w:b/>
          <w:bCs/>
          <w:color w:val="auto"/>
          <w:kern w:val="2"/>
          <w:sz w:val="28"/>
          <w:szCs w:val="28"/>
          <w:highlight w:val="none"/>
          <w:lang w:val="en-US" w:eastAsia="zh-CN"/>
        </w:rPr>
        <w:t>·</w:t>
      </w:r>
      <w:r>
        <w:rPr>
          <w:rFonts w:hint="eastAsia" w:ascii="仿宋" w:hAnsi="仿宋" w:eastAsia="仿宋" w:cs="仿宋"/>
          <w:b/>
          <w:bCs/>
          <w:color w:val="auto"/>
          <w:kern w:val="2"/>
          <w:sz w:val="28"/>
          <w:szCs w:val="28"/>
          <w:highlight w:val="none"/>
        </w:rPr>
        <w:t>美丽乡村”行动，推进宜居</w:t>
      </w:r>
      <w:r>
        <w:rPr>
          <w:rFonts w:hint="eastAsia" w:ascii="仿宋" w:hAnsi="仿宋" w:eastAsia="仿宋" w:cs="仿宋"/>
          <w:b/>
          <w:bCs/>
          <w:color w:val="auto"/>
          <w:kern w:val="2"/>
          <w:sz w:val="28"/>
          <w:szCs w:val="28"/>
          <w:highlight w:val="none"/>
          <w:lang w:val="en-US" w:eastAsia="zh-CN"/>
        </w:rPr>
        <w:t>宜美和美</w:t>
      </w:r>
      <w:r>
        <w:rPr>
          <w:rFonts w:hint="eastAsia" w:ascii="仿宋" w:hAnsi="仿宋" w:eastAsia="仿宋" w:cs="仿宋"/>
          <w:b/>
          <w:bCs/>
          <w:color w:val="auto"/>
          <w:kern w:val="2"/>
          <w:sz w:val="28"/>
          <w:szCs w:val="28"/>
          <w:highlight w:val="none"/>
        </w:rPr>
        <w:t>乡村建设</w:t>
      </w:r>
      <w:r>
        <w:rPr>
          <w:rFonts w:hint="eastAsia" w:ascii="仿宋" w:hAnsi="仿宋" w:eastAsia="仿宋" w:cs="仿宋"/>
          <w:b/>
          <w:bCs/>
          <w:color w:val="auto"/>
          <w:sz w:val="28"/>
          <w:szCs w:val="28"/>
        </w:rPr>
        <w:tab/>
      </w:r>
      <w:r>
        <w:rPr>
          <w:rFonts w:hint="eastAsia" w:ascii="仿宋" w:hAnsi="仿宋" w:eastAsia="仿宋" w:cs="仿宋"/>
          <w:b/>
          <w:bCs/>
          <w:color w:val="auto"/>
          <w:sz w:val="28"/>
          <w:szCs w:val="28"/>
        </w:rPr>
        <w:fldChar w:fldCharType="begin"/>
      </w:r>
      <w:r>
        <w:rPr>
          <w:rFonts w:hint="eastAsia" w:ascii="仿宋" w:hAnsi="仿宋" w:eastAsia="仿宋" w:cs="仿宋"/>
          <w:b/>
          <w:bCs/>
          <w:color w:val="auto"/>
          <w:sz w:val="28"/>
          <w:szCs w:val="28"/>
        </w:rPr>
        <w:instrText xml:space="preserve"> PAGEREF _Toc31399 \h </w:instrText>
      </w:r>
      <w:r>
        <w:rPr>
          <w:rFonts w:hint="eastAsia" w:ascii="仿宋" w:hAnsi="仿宋" w:eastAsia="仿宋" w:cs="仿宋"/>
          <w:b/>
          <w:bCs/>
          <w:color w:val="auto"/>
          <w:sz w:val="28"/>
          <w:szCs w:val="28"/>
        </w:rPr>
        <w:fldChar w:fldCharType="separate"/>
      </w:r>
      <w:r>
        <w:rPr>
          <w:rFonts w:hint="eastAsia" w:ascii="仿宋" w:hAnsi="仿宋" w:eastAsia="仿宋" w:cs="仿宋"/>
          <w:b/>
          <w:bCs/>
          <w:color w:val="auto"/>
          <w:sz w:val="28"/>
          <w:szCs w:val="28"/>
        </w:rPr>
        <w:t>44</w:t>
      </w:r>
      <w:r>
        <w:rPr>
          <w:rFonts w:hint="eastAsia" w:ascii="仿宋" w:hAnsi="仿宋" w:eastAsia="仿宋" w:cs="仿宋"/>
          <w:b/>
          <w:bCs/>
          <w:color w:val="auto"/>
          <w:sz w:val="28"/>
          <w:szCs w:val="28"/>
        </w:rPr>
        <w:fldChar w:fldCharType="end"/>
      </w:r>
      <w:r>
        <w:rPr>
          <w:rFonts w:hint="eastAsia" w:ascii="仿宋" w:hAnsi="仿宋" w:eastAsia="仿宋" w:cs="仿宋"/>
          <w:b/>
          <w:bCs/>
          <w:color w:val="auto"/>
          <w:sz w:val="28"/>
          <w:szCs w:val="28"/>
        </w:rPr>
        <w:fldChar w:fldCharType="end"/>
      </w:r>
    </w:p>
    <w:p>
      <w:pPr>
        <w:pStyle w:val="22"/>
        <w:keepNext w:val="0"/>
        <w:keepLines w:val="0"/>
        <w:pageBreakBefore w:val="0"/>
        <w:tabs>
          <w:tab w:val="right" w:leader="dot" w:pos="8306"/>
        </w:tabs>
        <w:kinsoku/>
        <w:wordWrap/>
        <w:overflowPunct/>
        <w:topLinePunct w:val="0"/>
        <w:autoSpaceDE/>
        <w:autoSpaceDN/>
        <w:bidi w:val="0"/>
        <w:adjustRightInd/>
        <w:snapToGrid/>
        <w:spacing w:after="0" w:line="460" w:lineRule="exact"/>
        <w:ind w:left="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HYPERLINK \l _Toc516 </w:instrText>
      </w:r>
      <w:r>
        <w:rPr>
          <w:rFonts w:hint="eastAsia" w:ascii="仿宋" w:hAnsi="仿宋" w:eastAsia="仿宋" w:cs="仿宋"/>
          <w:color w:val="auto"/>
          <w:sz w:val="28"/>
          <w:szCs w:val="28"/>
        </w:rPr>
        <w:fldChar w:fldCharType="separate"/>
      </w:r>
      <w:r>
        <w:rPr>
          <w:rFonts w:hint="eastAsia" w:ascii="仿宋" w:hAnsi="仿宋" w:eastAsia="仿宋" w:cs="仿宋"/>
          <w:bCs w:val="0"/>
          <w:color w:val="auto"/>
          <w:kern w:val="0"/>
          <w:sz w:val="28"/>
          <w:szCs w:val="28"/>
          <w:highlight w:val="none"/>
        </w:rPr>
        <w:t>一、加强乡村基础设施建设</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_Toc516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44</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fldChar w:fldCharType="end"/>
      </w:r>
    </w:p>
    <w:p>
      <w:pPr>
        <w:pStyle w:val="22"/>
        <w:keepNext w:val="0"/>
        <w:keepLines w:val="0"/>
        <w:pageBreakBefore w:val="0"/>
        <w:tabs>
          <w:tab w:val="right" w:leader="dot" w:pos="8306"/>
        </w:tabs>
        <w:kinsoku/>
        <w:wordWrap/>
        <w:overflowPunct/>
        <w:topLinePunct w:val="0"/>
        <w:autoSpaceDE/>
        <w:autoSpaceDN/>
        <w:bidi w:val="0"/>
        <w:adjustRightInd/>
        <w:snapToGrid/>
        <w:spacing w:after="0" w:line="460" w:lineRule="exact"/>
        <w:ind w:left="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HYPERLINK \l _Toc8924 </w:instrText>
      </w:r>
      <w:r>
        <w:rPr>
          <w:rFonts w:hint="eastAsia" w:ascii="仿宋" w:hAnsi="仿宋" w:eastAsia="仿宋" w:cs="仿宋"/>
          <w:color w:val="auto"/>
          <w:sz w:val="28"/>
          <w:szCs w:val="28"/>
        </w:rPr>
        <w:fldChar w:fldCharType="separate"/>
      </w:r>
      <w:r>
        <w:rPr>
          <w:rFonts w:hint="eastAsia" w:ascii="仿宋" w:hAnsi="仿宋" w:eastAsia="仿宋" w:cs="仿宋"/>
          <w:bCs w:val="0"/>
          <w:color w:val="auto"/>
          <w:kern w:val="0"/>
          <w:sz w:val="28"/>
          <w:szCs w:val="28"/>
          <w:highlight w:val="none"/>
          <w:lang w:val="en-US" w:eastAsia="zh-CN"/>
        </w:rPr>
        <w:t>二</w:t>
      </w:r>
      <w:r>
        <w:rPr>
          <w:rFonts w:hint="eastAsia" w:ascii="仿宋" w:hAnsi="仿宋" w:eastAsia="仿宋" w:cs="仿宋"/>
          <w:bCs w:val="0"/>
          <w:color w:val="auto"/>
          <w:kern w:val="0"/>
          <w:sz w:val="28"/>
          <w:szCs w:val="28"/>
          <w:highlight w:val="none"/>
        </w:rPr>
        <w:t>、</w:t>
      </w:r>
      <w:r>
        <w:rPr>
          <w:rFonts w:hint="eastAsia" w:ascii="仿宋" w:hAnsi="仿宋" w:eastAsia="仿宋" w:cs="仿宋"/>
          <w:bCs w:val="0"/>
          <w:color w:val="auto"/>
          <w:kern w:val="0"/>
          <w:sz w:val="28"/>
          <w:szCs w:val="28"/>
          <w:highlight w:val="none"/>
          <w:lang w:val="en-US" w:eastAsia="zh-CN"/>
        </w:rPr>
        <w:t>持续改善农村人居环境</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_Toc8924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46</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fldChar w:fldCharType="end"/>
      </w:r>
    </w:p>
    <w:p>
      <w:pPr>
        <w:pStyle w:val="22"/>
        <w:keepNext w:val="0"/>
        <w:keepLines w:val="0"/>
        <w:pageBreakBefore w:val="0"/>
        <w:tabs>
          <w:tab w:val="right" w:leader="dot" w:pos="8306"/>
        </w:tabs>
        <w:kinsoku/>
        <w:wordWrap/>
        <w:overflowPunct/>
        <w:topLinePunct w:val="0"/>
        <w:autoSpaceDE/>
        <w:autoSpaceDN/>
        <w:bidi w:val="0"/>
        <w:adjustRightInd/>
        <w:snapToGrid/>
        <w:spacing w:after="0" w:line="460" w:lineRule="exact"/>
        <w:ind w:left="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HYPERLINK \l _Toc18041 </w:instrText>
      </w:r>
      <w:r>
        <w:rPr>
          <w:rFonts w:hint="eastAsia" w:ascii="仿宋" w:hAnsi="仿宋" w:eastAsia="仿宋" w:cs="仿宋"/>
          <w:color w:val="auto"/>
          <w:sz w:val="28"/>
          <w:szCs w:val="28"/>
        </w:rPr>
        <w:fldChar w:fldCharType="separate"/>
      </w:r>
      <w:r>
        <w:rPr>
          <w:rFonts w:hint="eastAsia" w:ascii="仿宋" w:hAnsi="仿宋" w:eastAsia="仿宋" w:cs="仿宋"/>
          <w:bCs w:val="0"/>
          <w:color w:val="auto"/>
          <w:kern w:val="0"/>
          <w:sz w:val="28"/>
          <w:szCs w:val="28"/>
          <w:highlight w:val="none"/>
          <w:lang w:val="en-US" w:eastAsia="zh-CN"/>
        </w:rPr>
        <w:t>三</w:t>
      </w:r>
      <w:r>
        <w:rPr>
          <w:rFonts w:hint="eastAsia" w:ascii="仿宋" w:hAnsi="仿宋" w:eastAsia="仿宋" w:cs="仿宋"/>
          <w:bCs w:val="0"/>
          <w:color w:val="auto"/>
          <w:kern w:val="0"/>
          <w:sz w:val="28"/>
          <w:szCs w:val="28"/>
          <w:highlight w:val="none"/>
        </w:rPr>
        <w:t>、推动</w:t>
      </w:r>
      <w:r>
        <w:rPr>
          <w:rFonts w:hint="eastAsia" w:ascii="仿宋" w:hAnsi="仿宋" w:eastAsia="仿宋" w:cs="仿宋"/>
          <w:bCs w:val="0"/>
          <w:color w:val="auto"/>
          <w:kern w:val="0"/>
          <w:sz w:val="28"/>
          <w:szCs w:val="28"/>
          <w:highlight w:val="none"/>
          <w:lang w:val="en-US" w:eastAsia="zh-CN"/>
        </w:rPr>
        <w:t>乡村</w:t>
      </w:r>
      <w:r>
        <w:rPr>
          <w:rFonts w:hint="eastAsia" w:ascii="仿宋" w:hAnsi="仿宋" w:eastAsia="仿宋" w:cs="仿宋"/>
          <w:bCs w:val="0"/>
          <w:color w:val="auto"/>
          <w:kern w:val="0"/>
          <w:sz w:val="28"/>
          <w:szCs w:val="28"/>
          <w:highlight w:val="none"/>
        </w:rPr>
        <w:t>生态建设</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_Toc18041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49</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fldChar w:fldCharType="end"/>
      </w:r>
    </w:p>
    <w:p>
      <w:pPr>
        <w:pStyle w:val="22"/>
        <w:keepNext w:val="0"/>
        <w:keepLines w:val="0"/>
        <w:pageBreakBefore w:val="0"/>
        <w:tabs>
          <w:tab w:val="right" w:leader="dot" w:pos="8306"/>
        </w:tabs>
        <w:kinsoku/>
        <w:wordWrap/>
        <w:overflowPunct/>
        <w:topLinePunct w:val="0"/>
        <w:autoSpaceDE/>
        <w:autoSpaceDN/>
        <w:bidi w:val="0"/>
        <w:adjustRightInd/>
        <w:snapToGrid/>
        <w:spacing w:after="0" w:line="460" w:lineRule="exact"/>
        <w:ind w:left="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HYPERLINK \l _Toc2144 </w:instrText>
      </w:r>
      <w:r>
        <w:rPr>
          <w:rFonts w:hint="eastAsia" w:ascii="仿宋" w:hAnsi="仿宋" w:eastAsia="仿宋" w:cs="仿宋"/>
          <w:color w:val="auto"/>
          <w:sz w:val="28"/>
          <w:szCs w:val="28"/>
        </w:rPr>
        <w:fldChar w:fldCharType="separate"/>
      </w:r>
      <w:r>
        <w:rPr>
          <w:rFonts w:hint="eastAsia" w:ascii="仿宋" w:hAnsi="仿宋" w:eastAsia="仿宋" w:cs="仿宋"/>
          <w:bCs w:val="0"/>
          <w:color w:val="auto"/>
          <w:kern w:val="0"/>
          <w:sz w:val="28"/>
          <w:szCs w:val="28"/>
          <w:highlight w:val="none"/>
          <w:lang w:val="en-US" w:eastAsia="zh-CN"/>
        </w:rPr>
        <w:t>四</w:t>
      </w:r>
      <w:r>
        <w:rPr>
          <w:rFonts w:hint="eastAsia" w:ascii="仿宋" w:hAnsi="仿宋" w:eastAsia="仿宋" w:cs="仿宋"/>
          <w:bCs w:val="0"/>
          <w:color w:val="auto"/>
          <w:kern w:val="0"/>
          <w:sz w:val="28"/>
          <w:szCs w:val="28"/>
          <w:highlight w:val="none"/>
        </w:rPr>
        <w:t>、加强公共文化服务体系建设</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_Toc2144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52</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fldChar w:fldCharType="end"/>
      </w:r>
    </w:p>
    <w:p>
      <w:pPr>
        <w:pStyle w:val="22"/>
        <w:keepNext w:val="0"/>
        <w:keepLines w:val="0"/>
        <w:pageBreakBefore w:val="0"/>
        <w:tabs>
          <w:tab w:val="right" w:leader="dot" w:pos="8306"/>
        </w:tabs>
        <w:kinsoku/>
        <w:wordWrap/>
        <w:overflowPunct/>
        <w:topLinePunct w:val="0"/>
        <w:autoSpaceDE/>
        <w:autoSpaceDN/>
        <w:bidi w:val="0"/>
        <w:adjustRightInd/>
        <w:snapToGrid/>
        <w:spacing w:after="0" w:line="460" w:lineRule="exact"/>
        <w:ind w:left="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HYPERLINK \l _Toc16098 </w:instrText>
      </w:r>
      <w:r>
        <w:rPr>
          <w:rFonts w:hint="eastAsia" w:ascii="仿宋" w:hAnsi="仿宋" w:eastAsia="仿宋" w:cs="仿宋"/>
          <w:color w:val="auto"/>
          <w:sz w:val="28"/>
          <w:szCs w:val="28"/>
        </w:rPr>
        <w:fldChar w:fldCharType="separate"/>
      </w:r>
      <w:r>
        <w:rPr>
          <w:rFonts w:hint="eastAsia" w:ascii="仿宋" w:hAnsi="仿宋" w:eastAsia="仿宋" w:cs="仿宋"/>
          <w:bCs w:val="0"/>
          <w:color w:val="auto"/>
          <w:kern w:val="0"/>
          <w:sz w:val="28"/>
          <w:szCs w:val="28"/>
          <w:highlight w:val="none"/>
          <w:lang w:val="en-US" w:eastAsia="zh-CN"/>
        </w:rPr>
        <w:t>五</w:t>
      </w:r>
      <w:r>
        <w:rPr>
          <w:rFonts w:hint="eastAsia" w:ascii="仿宋" w:hAnsi="仿宋" w:eastAsia="仿宋" w:cs="仿宋"/>
          <w:bCs w:val="0"/>
          <w:color w:val="auto"/>
          <w:kern w:val="0"/>
          <w:sz w:val="28"/>
          <w:szCs w:val="28"/>
          <w:highlight w:val="none"/>
        </w:rPr>
        <w:t>、提升乡村治理水平</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_Toc16098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53</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fldChar w:fldCharType="end"/>
      </w:r>
    </w:p>
    <w:p>
      <w:pPr>
        <w:pStyle w:val="17"/>
        <w:keepNext w:val="0"/>
        <w:keepLines w:val="0"/>
        <w:pageBreakBefore w:val="0"/>
        <w:tabs>
          <w:tab w:val="right" w:leader="dot" w:pos="8306"/>
          <w:tab w:val="clear" w:pos="8296"/>
        </w:tabs>
        <w:kinsoku/>
        <w:wordWrap/>
        <w:overflowPunct/>
        <w:topLinePunct w:val="0"/>
        <w:autoSpaceDE/>
        <w:autoSpaceDN/>
        <w:bidi w:val="0"/>
        <w:adjustRightInd/>
        <w:snapToGrid/>
        <w:spacing w:line="460" w:lineRule="exact"/>
        <w:ind w:left="0"/>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rPr>
        <w:fldChar w:fldCharType="begin"/>
      </w:r>
      <w:r>
        <w:rPr>
          <w:rFonts w:hint="eastAsia" w:ascii="仿宋" w:hAnsi="仿宋" w:eastAsia="仿宋" w:cs="仿宋"/>
          <w:b/>
          <w:bCs/>
          <w:color w:val="auto"/>
          <w:sz w:val="28"/>
          <w:szCs w:val="28"/>
        </w:rPr>
        <w:instrText xml:space="preserve"> HYPERLINK \l _Toc24425 </w:instrText>
      </w:r>
      <w:r>
        <w:rPr>
          <w:rFonts w:hint="eastAsia" w:ascii="仿宋" w:hAnsi="仿宋" w:eastAsia="仿宋" w:cs="仿宋"/>
          <w:b/>
          <w:bCs/>
          <w:color w:val="auto"/>
          <w:sz w:val="28"/>
          <w:szCs w:val="28"/>
        </w:rPr>
        <w:fldChar w:fldCharType="separate"/>
      </w:r>
      <w:r>
        <w:rPr>
          <w:rFonts w:hint="eastAsia" w:ascii="仿宋" w:hAnsi="仿宋" w:eastAsia="仿宋" w:cs="仿宋"/>
          <w:b/>
          <w:bCs/>
          <w:color w:val="auto"/>
          <w:kern w:val="2"/>
          <w:sz w:val="28"/>
          <w:szCs w:val="28"/>
          <w:highlight w:val="none"/>
          <w:lang w:val="en-US" w:eastAsia="zh-CN"/>
        </w:rPr>
        <w:t>第八章  整合多方力量，做好乡村振兴重点帮扶</w:t>
      </w:r>
      <w:r>
        <w:rPr>
          <w:rFonts w:hint="eastAsia" w:ascii="仿宋" w:hAnsi="仿宋" w:eastAsia="仿宋" w:cs="仿宋"/>
          <w:b/>
          <w:bCs/>
          <w:color w:val="auto"/>
          <w:sz w:val="28"/>
          <w:szCs w:val="28"/>
        </w:rPr>
        <w:tab/>
      </w:r>
      <w:r>
        <w:rPr>
          <w:rFonts w:hint="eastAsia" w:ascii="仿宋" w:hAnsi="仿宋" w:eastAsia="仿宋" w:cs="仿宋"/>
          <w:b/>
          <w:bCs/>
          <w:color w:val="auto"/>
          <w:sz w:val="28"/>
          <w:szCs w:val="28"/>
        </w:rPr>
        <w:fldChar w:fldCharType="begin"/>
      </w:r>
      <w:r>
        <w:rPr>
          <w:rFonts w:hint="eastAsia" w:ascii="仿宋" w:hAnsi="仿宋" w:eastAsia="仿宋" w:cs="仿宋"/>
          <w:b/>
          <w:bCs/>
          <w:color w:val="auto"/>
          <w:sz w:val="28"/>
          <w:szCs w:val="28"/>
        </w:rPr>
        <w:instrText xml:space="preserve"> PAGEREF _Toc24425 \h </w:instrText>
      </w:r>
      <w:r>
        <w:rPr>
          <w:rFonts w:hint="eastAsia" w:ascii="仿宋" w:hAnsi="仿宋" w:eastAsia="仿宋" w:cs="仿宋"/>
          <w:b/>
          <w:bCs/>
          <w:color w:val="auto"/>
          <w:sz w:val="28"/>
          <w:szCs w:val="28"/>
        </w:rPr>
        <w:fldChar w:fldCharType="separate"/>
      </w:r>
      <w:r>
        <w:rPr>
          <w:rFonts w:hint="eastAsia" w:ascii="仿宋" w:hAnsi="仿宋" w:eastAsia="仿宋" w:cs="仿宋"/>
          <w:b/>
          <w:bCs/>
          <w:color w:val="auto"/>
          <w:sz w:val="28"/>
          <w:szCs w:val="28"/>
        </w:rPr>
        <w:t>58</w:t>
      </w:r>
      <w:r>
        <w:rPr>
          <w:rFonts w:hint="eastAsia" w:ascii="仿宋" w:hAnsi="仿宋" w:eastAsia="仿宋" w:cs="仿宋"/>
          <w:b/>
          <w:bCs/>
          <w:color w:val="auto"/>
          <w:sz w:val="28"/>
          <w:szCs w:val="28"/>
        </w:rPr>
        <w:fldChar w:fldCharType="end"/>
      </w:r>
      <w:r>
        <w:rPr>
          <w:rFonts w:hint="eastAsia" w:ascii="仿宋" w:hAnsi="仿宋" w:eastAsia="仿宋" w:cs="仿宋"/>
          <w:b/>
          <w:bCs/>
          <w:color w:val="auto"/>
          <w:sz w:val="28"/>
          <w:szCs w:val="28"/>
        </w:rPr>
        <w:fldChar w:fldCharType="end"/>
      </w:r>
    </w:p>
    <w:p>
      <w:pPr>
        <w:pStyle w:val="22"/>
        <w:keepNext w:val="0"/>
        <w:keepLines w:val="0"/>
        <w:pageBreakBefore w:val="0"/>
        <w:tabs>
          <w:tab w:val="right" w:leader="dot" w:pos="8306"/>
        </w:tabs>
        <w:kinsoku/>
        <w:wordWrap/>
        <w:overflowPunct/>
        <w:topLinePunct w:val="0"/>
        <w:autoSpaceDE/>
        <w:autoSpaceDN/>
        <w:bidi w:val="0"/>
        <w:adjustRightInd/>
        <w:snapToGrid/>
        <w:spacing w:after="0" w:line="460" w:lineRule="exact"/>
        <w:ind w:left="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HYPERLINK \l _Toc18333 </w:instrText>
      </w:r>
      <w:r>
        <w:rPr>
          <w:rFonts w:hint="eastAsia" w:ascii="仿宋" w:hAnsi="仿宋" w:eastAsia="仿宋" w:cs="仿宋"/>
          <w:color w:val="auto"/>
          <w:sz w:val="28"/>
          <w:szCs w:val="28"/>
        </w:rPr>
        <w:fldChar w:fldCharType="separate"/>
      </w:r>
      <w:r>
        <w:rPr>
          <w:rFonts w:hint="eastAsia" w:ascii="仿宋" w:hAnsi="仿宋" w:eastAsia="仿宋" w:cs="仿宋"/>
          <w:bCs w:val="0"/>
          <w:color w:val="auto"/>
          <w:kern w:val="0"/>
          <w:sz w:val="28"/>
          <w:szCs w:val="28"/>
          <w:highlight w:val="none"/>
          <w:lang w:val="en-US" w:eastAsia="zh-CN"/>
        </w:rPr>
        <w:t>一、</w:t>
      </w:r>
      <w:r>
        <w:rPr>
          <w:rFonts w:hint="eastAsia" w:ascii="仿宋" w:hAnsi="仿宋" w:eastAsia="仿宋" w:cs="仿宋"/>
          <w:bCs w:val="0"/>
          <w:color w:val="auto"/>
          <w:kern w:val="0"/>
          <w:sz w:val="28"/>
          <w:szCs w:val="28"/>
          <w:highlight w:val="none"/>
          <w:lang w:val="en-US" w:eastAsia="zh-Hans"/>
        </w:rPr>
        <w:t>深化</w:t>
      </w:r>
      <w:r>
        <w:rPr>
          <w:rFonts w:hint="eastAsia" w:ascii="仿宋" w:hAnsi="仿宋" w:eastAsia="仿宋" w:cs="仿宋"/>
          <w:bCs w:val="0"/>
          <w:color w:val="auto"/>
          <w:kern w:val="0"/>
          <w:sz w:val="28"/>
          <w:szCs w:val="28"/>
          <w:highlight w:val="none"/>
          <w:lang w:val="en-US" w:eastAsia="zh-CN"/>
        </w:rPr>
        <w:t>东西部协作和对口支援</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_Toc18333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58</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fldChar w:fldCharType="end"/>
      </w:r>
    </w:p>
    <w:p>
      <w:pPr>
        <w:pStyle w:val="22"/>
        <w:keepNext w:val="0"/>
        <w:keepLines w:val="0"/>
        <w:pageBreakBefore w:val="0"/>
        <w:tabs>
          <w:tab w:val="right" w:leader="dot" w:pos="8306"/>
        </w:tabs>
        <w:kinsoku/>
        <w:wordWrap/>
        <w:overflowPunct/>
        <w:topLinePunct w:val="0"/>
        <w:autoSpaceDE/>
        <w:autoSpaceDN/>
        <w:bidi w:val="0"/>
        <w:adjustRightInd/>
        <w:snapToGrid/>
        <w:spacing w:after="0" w:line="460" w:lineRule="exact"/>
        <w:ind w:left="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HYPERLINK \l _Toc12245 </w:instrText>
      </w:r>
      <w:r>
        <w:rPr>
          <w:rFonts w:hint="eastAsia" w:ascii="仿宋" w:hAnsi="仿宋" w:eastAsia="仿宋" w:cs="仿宋"/>
          <w:color w:val="auto"/>
          <w:sz w:val="28"/>
          <w:szCs w:val="28"/>
        </w:rPr>
        <w:fldChar w:fldCharType="separate"/>
      </w:r>
      <w:r>
        <w:rPr>
          <w:rFonts w:hint="eastAsia" w:ascii="仿宋" w:hAnsi="仿宋" w:eastAsia="仿宋" w:cs="仿宋"/>
          <w:bCs w:val="0"/>
          <w:color w:val="auto"/>
          <w:kern w:val="0"/>
          <w:sz w:val="28"/>
          <w:szCs w:val="28"/>
          <w:highlight w:val="none"/>
          <w:lang w:val="en-US" w:eastAsia="zh-CN"/>
        </w:rPr>
        <w:t>二、做实国省定点帮扶和省内对口帮扶</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_Toc12245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59</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fldChar w:fldCharType="end"/>
      </w:r>
    </w:p>
    <w:p>
      <w:pPr>
        <w:pStyle w:val="22"/>
        <w:keepNext w:val="0"/>
        <w:keepLines w:val="0"/>
        <w:pageBreakBefore w:val="0"/>
        <w:tabs>
          <w:tab w:val="right" w:leader="dot" w:pos="8306"/>
        </w:tabs>
        <w:kinsoku/>
        <w:wordWrap/>
        <w:overflowPunct/>
        <w:topLinePunct w:val="0"/>
        <w:autoSpaceDE/>
        <w:autoSpaceDN/>
        <w:bidi w:val="0"/>
        <w:adjustRightInd/>
        <w:snapToGrid/>
        <w:spacing w:after="0" w:line="460" w:lineRule="exact"/>
        <w:ind w:left="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HYPERLINK \l _Toc23077 </w:instrText>
      </w:r>
      <w:r>
        <w:rPr>
          <w:rFonts w:hint="eastAsia" w:ascii="仿宋" w:hAnsi="仿宋" w:eastAsia="仿宋" w:cs="仿宋"/>
          <w:color w:val="auto"/>
          <w:sz w:val="28"/>
          <w:szCs w:val="28"/>
        </w:rPr>
        <w:fldChar w:fldCharType="separate"/>
      </w:r>
      <w:r>
        <w:rPr>
          <w:rFonts w:hint="eastAsia" w:ascii="仿宋" w:hAnsi="仿宋" w:eastAsia="仿宋" w:cs="仿宋"/>
          <w:bCs w:val="0"/>
          <w:color w:val="auto"/>
          <w:kern w:val="0"/>
          <w:sz w:val="28"/>
          <w:szCs w:val="28"/>
          <w:highlight w:val="none"/>
          <w:lang w:val="en-US" w:eastAsia="zh-CN"/>
        </w:rPr>
        <w:t>三、完善社会力量参与帮扶机制</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_Toc23077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59</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fldChar w:fldCharType="end"/>
      </w:r>
    </w:p>
    <w:p>
      <w:pPr>
        <w:pStyle w:val="22"/>
        <w:keepNext w:val="0"/>
        <w:keepLines w:val="0"/>
        <w:pageBreakBefore w:val="0"/>
        <w:tabs>
          <w:tab w:val="right" w:leader="dot" w:pos="8306"/>
        </w:tabs>
        <w:kinsoku/>
        <w:wordWrap/>
        <w:overflowPunct/>
        <w:topLinePunct w:val="0"/>
        <w:autoSpaceDE/>
        <w:autoSpaceDN/>
        <w:bidi w:val="0"/>
        <w:adjustRightInd/>
        <w:snapToGrid/>
        <w:spacing w:after="0" w:line="460" w:lineRule="exact"/>
        <w:ind w:left="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HYPERLINK \l _Toc8701 </w:instrText>
      </w:r>
      <w:r>
        <w:rPr>
          <w:rFonts w:hint="eastAsia" w:ascii="仿宋" w:hAnsi="仿宋" w:eastAsia="仿宋" w:cs="仿宋"/>
          <w:color w:val="auto"/>
          <w:sz w:val="28"/>
          <w:szCs w:val="28"/>
        </w:rPr>
        <w:fldChar w:fldCharType="separate"/>
      </w:r>
      <w:r>
        <w:rPr>
          <w:rFonts w:hint="eastAsia" w:ascii="仿宋" w:hAnsi="仿宋" w:eastAsia="仿宋" w:cs="仿宋"/>
          <w:bCs w:val="0"/>
          <w:color w:val="auto"/>
          <w:kern w:val="0"/>
          <w:sz w:val="28"/>
          <w:szCs w:val="28"/>
          <w:highlight w:val="none"/>
          <w:lang w:val="en-US" w:eastAsia="zh-CN"/>
        </w:rPr>
        <w:t>四、强化乡村人才队伍建设</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_Toc8701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60</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fldChar w:fldCharType="end"/>
      </w:r>
    </w:p>
    <w:p>
      <w:pPr>
        <w:pStyle w:val="22"/>
        <w:keepNext w:val="0"/>
        <w:keepLines w:val="0"/>
        <w:pageBreakBefore w:val="0"/>
        <w:tabs>
          <w:tab w:val="right" w:leader="dot" w:pos="8306"/>
        </w:tabs>
        <w:kinsoku/>
        <w:wordWrap/>
        <w:overflowPunct/>
        <w:topLinePunct w:val="0"/>
        <w:autoSpaceDE/>
        <w:autoSpaceDN/>
        <w:bidi w:val="0"/>
        <w:adjustRightInd/>
        <w:snapToGrid/>
        <w:spacing w:after="0" w:line="460" w:lineRule="exact"/>
        <w:ind w:left="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HYPERLINK \l _Toc26382 </w:instrText>
      </w:r>
      <w:r>
        <w:rPr>
          <w:rFonts w:hint="eastAsia" w:ascii="仿宋" w:hAnsi="仿宋" w:eastAsia="仿宋" w:cs="仿宋"/>
          <w:color w:val="auto"/>
          <w:sz w:val="28"/>
          <w:szCs w:val="28"/>
        </w:rPr>
        <w:fldChar w:fldCharType="separate"/>
      </w:r>
      <w:r>
        <w:rPr>
          <w:rFonts w:hint="eastAsia" w:ascii="仿宋" w:hAnsi="仿宋" w:eastAsia="仿宋" w:cs="仿宋"/>
          <w:bCs w:val="0"/>
          <w:color w:val="auto"/>
          <w:kern w:val="0"/>
          <w:sz w:val="28"/>
          <w:szCs w:val="28"/>
          <w:highlight w:val="none"/>
          <w:lang w:val="en-US" w:eastAsia="zh-CN"/>
        </w:rPr>
        <w:t>五、倾斜支持乡村振兴重点帮扶县（村）</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_Toc26382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61</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fldChar w:fldCharType="end"/>
      </w:r>
    </w:p>
    <w:p>
      <w:pPr>
        <w:pStyle w:val="17"/>
        <w:keepNext w:val="0"/>
        <w:keepLines w:val="0"/>
        <w:pageBreakBefore w:val="0"/>
        <w:tabs>
          <w:tab w:val="right" w:leader="dot" w:pos="8306"/>
          <w:tab w:val="clear" w:pos="8296"/>
        </w:tabs>
        <w:kinsoku/>
        <w:wordWrap/>
        <w:overflowPunct/>
        <w:topLinePunct w:val="0"/>
        <w:autoSpaceDE/>
        <w:autoSpaceDN/>
        <w:bidi w:val="0"/>
        <w:adjustRightInd/>
        <w:snapToGrid/>
        <w:spacing w:line="460" w:lineRule="exact"/>
        <w:ind w:left="0"/>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rPr>
        <w:fldChar w:fldCharType="begin"/>
      </w:r>
      <w:r>
        <w:rPr>
          <w:rFonts w:hint="eastAsia" w:ascii="仿宋" w:hAnsi="仿宋" w:eastAsia="仿宋" w:cs="仿宋"/>
          <w:b/>
          <w:bCs/>
          <w:color w:val="auto"/>
          <w:sz w:val="28"/>
          <w:szCs w:val="28"/>
        </w:rPr>
        <w:instrText xml:space="preserve"> HYPERLINK \l _Toc12096 </w:instrText>
      </w:r>
      <w:r>
        <w:rPr>
          <w:rFonts w:hint="eastAsia" w:ascii="仿宋" w:hAnsi="仿宋" w:eastAsia="仿宋" w:cs="仿宋"/>
          <w:b/>
          <w:bCs/>
          <w:color w:val="auto"/>
          <w:sz w:val="28"/>
          <w:szCs w:val="28"/>
        </w:rPr>
        <w:fldChar w:fldCharType="separate"/>
      </w:r>
      <w:r>
        <w:rPr>
          <w:rFonts w:hint="eastAsia" w:ascii="仿宋" w:hAnsi="仿宋" w:eastAsia="仿宋" w:cs="仿宋"/>
          <w:b/>
          <w:bCs/>
          <w:color w:val="auto"/>
          <w:kern w:val="2"/>
          <w:sz w:val="28"/>
          <w:szCs w:val="28"/>
          <w:highlight w:val="none"/>
        </w:rPr>
        <w:t>第</w:t>
      </w:r>
      <w:r>
        <w:rPr>
          <w:rFonts w:hint="eastAsia" w:ascii="仿宋" w:hAnsi="仿宋" w:eastAsia="仿宋" w:cs="仿宋"/>
          <w:b/>
          <w:bCs/>
          <w:color w:val="auto"/>
          <w:kern w:val="2"/>
          <w:sz w:val="28"/>
          <w:szCs w:val="28"/>
          <w:highlight w:val="none"/>
          <w:lang w:val="en-US" w:eastAsia="zh-CN"/>
        </w:rPr>
        <w:t>九</w:t>
      </w:r>
      <w:r>
        <w:rPr>
          <w:rFonts w:hint="eastAsia" w:ascii="仿宋" w:hAnsi="仿宋" w:eastAsia="仿宋" w:cs="仿宋"/>
          <w:b/>
          <w:bCs/>
          <w:color w:val="auto"/>
          <w:kern w:val="2"/>
          <w:sz w:val="28"/>
          <w:szCs w:val="28"/>
          <w:highlight w:val="none"/>
        </w:rPr>
        <w:t xml:space="preserve">章  </w:t>
      </w:r>
      <w:r>
        <w:rPr>
          <w:rFonts w:hint="eastAsia" w:ascii="仿宋" w:hAnsi="仿宋" w:eastAsia="仿宋" w:cs="仿宋"/>
          <w:b/>
          <w:bCs/>
          <w:color w:val="auto"/>
          <w:kern w:val="2"/>
          <w:sz w:val="28"/>
          <w:szCs w:val="28"/>
          <w:highlight w:val="none"/>
          <w:lang w:val="en-US" w:eastAsia="zh-CN"/>
        </w:rPr>
        <w:t>投资估算与效益预测</w:t>
      </w:r>
      <w:r>
        <w:rPr>
          <w:rFonts w:hint="eastAsia" w:ascii="仿宋" w:hAnsi="仿宋" w:eastAsia="仿宋" w:cs="仿宋"/>
          <w:b/>
          <w:bCs/>
          <w:color w:val="auto"/>
          <w:sz w:val="28"/>
          <w:szCs w:val="28"/>
        </w:rPr>
        <w:tab/>
      </w:r>
      <w:r>
        <w:rPr>
          <w:rFonts w:hint="eastAsia" w:ascii="仿宋" w:hAnsi="仿宋" w:eastAsia="仿宋" w:cs="仿宋"/>
          <w:b/>
          <w:bCs/>
          <w:color w:val="auto"/>
          <w:sz w:val="28"/>
          <w:szCs w:val="28"/>
        </w:rPr>
        <w:fldChar w:fldCharType="begin"/>
      </w:r>
      <w:r>
        <w:rPr>
          <w:rFonts w:hint="eastAsia" w:ascii="仿宋" w:hAnsi="仿宋" w:eastAsia="仿宋" w:cs="仿宋"/>
          <w:b/>
          <w:bCs/>
          <w:color w:val="auto"/>
          <w:sz w:val="28"/>
          <w:szCs w:val="28"/>
        </w:rPr>
        <w:instrText xml:space="preserve"> PAGEREF _Toc12096 \h </w:instrText>
      </w:r>
      <w:r>
        <w:rPr>
          <w:rFonts w:hint="eastAsia" w:ascii="仿宋" w:hAnsi="仿宋" w:eastAsia="仿宋" w:cs="仿宋"/>
          <w:b/>
          <w:bCs/>
          <w:color w:val="auto"/>
          <w:sz w:val="28"/>
          <w:szCs w:val="28"/>
        </w:rPr>
        <w:fldChar w:fldCharType="separate"/>
      </w:r>
      <w:r>
        <w:rPr>
          <w:rFonts w:hint="eastAsia" w:ascii="仿宋" w:hAnsi="仿宋" w:eastAsia="仿宋" w:cs="仿宋"/>
          <w:b/>
          <w:bCs/>
          <w:color w:val="auto"/>
          <w:sz w:val="28"/>
          <w:szCs w:val="28"/>
        </w:rPr>
        <w:t>64</w:t>
      </w:r>
      <w:r>
        <w:rPr>
          <w:rFonts w:hint="eastAsia" w:ascii="仿宋" w:hAnsi="仿宋" w:eastAsia="仿宋" w:cs="仿宋"/>
          <w:b/>
          <w:bCs/>
          <w:color w:val="auto"/>
          <w:sz w:val="28"/>
          <w:szCs w:val="28"/>
        </w:rPr>
        <w:fldChar w:fldCharType="end"/>
      </w:r>
      <w:r>
        <w:rPr>
          <w:rFonts w:hint="eastAsia" w:ascii="仿宋" w:hAnsi="仿宋" w:eastAsia="仿宋" w:cs="仿宋"/>
          <w:b/>
          <w:bCs/>
          <w:color w:val="auto"/>
          <w:sz w:val="28"/>
          <w:szCs w:val="28"/>
        </w:rPr>
        <w:fldChar w:fldCharType="end"/>
      </w:r>
    </w:p>
    <w:p>
      <w:pPr>
        <w:pStyle w:val="22"/>
        <w:keepNext w:val="0"/>
        <w:keepLines w:val="0"/>
        <w:pageBreakBefore w:val="0"/>
        <w:tabs>
          <w:tab w:val="right" w:leader="dot" w:pos="8306"/>
        </w:tabs>
        <w:kinsoku/>
        <w:wordWrap/>
        <w:overflowPunct/>
        <w:topLinePunct w:val="0"/>
        <w:autoSpaceDE/>
        <w:autoSpaceDN/>
        <w:bidi w:val="0"/>
        <w:adjustRightInd/>
        <w:snapToGrid/>
        <w:spacing w:after="0" w:line="460" w:lineRule="exact"/>
        <w:ind w:left="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HYPERLINK \l _Toc2287 </w:instrText>
      </w:r>
      <w:r>
        <w:rPr>
          <w:rFonts w:hint="eastAsia" w:ascii="仿宋" w:hAnsi="仿宋" w:eastAsia="仿宋" w:cs="仿宋"/>
          <w:color w:val="auto"/>
          <w:sz w:val="28"/>
          <w:szCs w:val="28"/>
        </w:rPr>
        <w:fldChar w:fldCharType="separate"/>
      </w:r>
      <w:r>
        <w:rPr>
          <w:rFonts w:hint="eastAsia" w:ascii="仿宋" w:hAnsi="仿宋" w:eastAsia="仿宋" w:cs="仿宋"/>
          <w:bCs w:val="0"/>
          <w:color w:val="auto"/>
          <w:kern w:val="0"/>
          <w:sz w:val="28"/>
          <w:szCs w:val="28"/>
          <w:highlight w:val="none"/>
        </w:rPr>
        <w:t>一</w:t>
      </w:r>
      <w:r>
        <w:rPr>
          <w:rFonts w:hint="eastAsia" w:ascii="仿宋" w:hAnsi="仿宋" w:eastAsia="仿宋" w:cs="仿宋"/>
          <w:bCs w:val="0"/>
          <w:color w:val="auto"/>
          <w:kern w:val="0"/>
          <w:sz w:val="28"/>
          <w:szCs w:val="28"/>
          <w:highlight w:val="none"/>
          <w:lang w:eastAsia="zh-CN"/>
        </w:rPr>
        <w:t>、</w:t>
      </w:r>
      <w:r>
        <w:rPr>
          <w:rFonts w:hint="eastAsia" w:ascii="仿宋" w:hAnsi="仿宋" w:eastAsia="仿宋" w:cs="仿宋"/>
          <w:bCs w:val="0"/>
          <w:color w:val="auto"/>
          <w:kern w:val="0"/>
          <w:sz w:val="28"/>
          <w:szCs w:val="28"/>
          <w:highlight w:val="none"/>
        </w:rPr>
        <w:t>规划项目及总投资</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_Toc2287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64</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fldChar w:fldCharType="end"/>
      </w:r>
    </w:p>
    <w:p>
      <w:pPr>
        <w:pStyle w:val="22"/>
        <w:keepNext w:val="0"/>
        <w:keepLines w:val="0"/>
        <w:pageBreakBefore w:val="0"/>
        <w:tabs>
          <w:tab w:val="right" w:leader="dot" w:pos="8306"/>
        </w:tabs>
        <w:kinsoku/>
        <w:wordWrap/>
        <w:overflowPunct/>
        <w:topLinePunct w:val="0"/>
        <w:autoSpaceDE/>
        <w:autoSpaceDN/>
        <w:bidi w:val="0"/>
        <w:adjustRightInd/>
        <w:snapToGrid/>
        <w:spacing w:after="0" w:line="460" w:lineRule="exact"/>
        <w:ind w:left="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HYPERLINK \l _Toc15295 </w:instrText>
      </w:r>
      <w:r>
        <w:rPr>
          <w:rFonts w:hint="eastAsia" w:ascii="仿宋" w:hAnsi="仿宋" w:eastAsia="仿宋" w:cs="仿宋"/>
          <w:color w:val="auto"/>
          <w:sz w:val="28"/>
          <w:szCs w:val="28"/>
        </w:rPr>
        <w:fldChar w:fldCharType="separate"/>
      </w:r>
      <w:r>
        <w:rPr>
          <w:rFonts w:hint="eastAsia" w:ascii="仿宋" w:hAnsi="仿宋" w:eastAsia="仿宋" w:cs="仿宋"/>
          <w:bCs w:val="0"/>
          <w:color w:val="auto"/>
          <w:kern w:val="0"/>
          <w:sz w:val="28"/>
          <w:szCs w:val="28"/>
          <w:highlight w:val="none"/>
        </w:rPr>
        <w:t>二</w:t>
      </w:r>
      <w:r>
        <w:rPr>
          <w:rFonts w:hint="eastAsia" w:ascii="仿宋" w:hAnsi="仿宋" w:eastAsia="仿宋" w:cs="仿宋"/>
          <w:bCs w:val="0"/>
          <w:color w:val="auto"/>
          <w:kern w:val="0"/>
          <w:sz w:val="28"/>
          <w:szCs w:val="28"/>
          <w:highlight w:val="none"/>
          <w:lang w:eastAsia="zh-CN"/>
        </w:rPr>
        <w:t>、</w:t>
      </w:r>
      <w:r>
        <w:rPr>
          <w:rFonts w:hint="eastAsia" w:ascii="仿宋" w:hAnsi="仿宋" w:eastAsia="仿宋" w:cs="仿宋"/>
          <w:bCs w:val="0"/>
          <w:color w:val="auto"/>
          <w:kern w:val="0"/>
          <w:sz w:val="28"/>
          <w:szCs w:val="28"/>
          <w:highlight w:val="none"/>
        </w:rPr>
        <w:t>资金筹措</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_Toc15295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67</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fldChar w:fldCharType="end"/>
      </w:r>
    </w:p>
    <w:p>
      <w:pPr>
        <w:pStyle w:val="22"/>
        <w:keepNext w:val="0"/>
        <w:keepLines w:val="0"/>
        <w:pageBreakBefore w:val="0"/>
        <w:tabs>
          <w:tab w:val="right" w:leader="dot" w:pos="8306"/>
        </w:tabs>
        <w:kinsoku/>
        <w:wordWrap/>
        <w:overflowPunct/>
        <w:topLinePunct w:val="0"/>
        <w:autoSpaceDE/>
        <w:autoSpaceDN/>
        <w:bidi w:val="0"/>
        <w:adjustRightInd/>
        <w:snapToGrid/>
        <w:spacing w:after="0" w:line="460" w:lineRule="exact"/>
        <w:ind w:left="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HYPERLINK \l _Toc8101 </w:instrText>
      </w:r>
      <w:r>
        <w:rPr>
          <w:rFonts w:hint="eastAsia" w:ascii="仿宋" w:hAnsi="仿宋" w:eastAsia="仿宋" w:cs="仿宋"/>
          <w:color w:val="auto"/>
          <w:sz w:val="28"/>
          <w:szCs w:val="28"/>
        </w:rPr>
        <w:fldChar w:fldCharType="separate"/>
      </w:r>
      <w:r>
        <w:rPr>
          <w:rFonts w:hint="eastAsia" w:ascii="仿宋" w:hAnsi="仿宋" w:eastAsia="仿宋" w:cs="仿宋"/>
          <w:bCs w:val="0"/>
          <w:color w:val="auto"/>
          <w:kern w:val="0"/>
          <w:sz w:val="28"/>
          <w:szCs w:val="28"/>
          <w:highlight w:val="none"/>
          <w:lang w:val="en-US" w:eastAsia="zh-CN"/>
        </w:rPr>
        <w:t>三</w:t>
      </w:r>
      <w:r>
        <w:rPr>
          <w:rFonts w:hint="eastAsia" w:ascii="仿宋" w:hAnsi="仿宋" w:eastAsia="仿宋" w:cs="仿宋"/>
          <w:bCs w:val="0"/>
          <w:color w:val="auto"/>
          <w:kern w:val="0"/>
          <w:sz w:val="28"/>
          <w:szCs w:val="28"/>
          <w:highlight w:val="none"/>
        </w:rPr>
        <w:t>、</w:t>
      </w:r>
      <w:r>
        <w:rPr>
          <w:rFonts w:hint="eastAsia" w:ascii="仿宋" w:hAnsi="仿宋" w:eastAsia="仿宋" w:cs="仿宋"/>
          <w:bCs w:val="0"/>
          <w:color w:val="auto"/>
          <w:kern w:val="0"/>
          <w:sz w:val="28"/>
          <w:szCs w:val="28"/>
          <w:highlight w:val="none"/>
          <w:lang w:val="en-US" w:eastAsia="zh-CN"/>
        </w:rPr>
        <w:t>效益预测</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_Toc8101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68</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fldChar w:fldCharType="end"/>
      </w:r>
    </w:p>
    <w:p>
      <w:pPr>
        <w:pStyle w:val="17"/>
        <w:keepNext w:val="0"/>
        <w:keepLines w:val="0"/>
        <w:pageBreakBefore w:val="0"/>
        <w:tabs>
          <w:tab w:val="right" w:leader="dot" w:pos="8306"/>
          <w:tab w:val="clear" w:pos="8296"/>
        </w:tabs>
        <w:kinsoku/>
        <w:wordWrap/>
        <w:overflowPunct/>
        <w:topLinePunct w:val="0"/>
        <w:autoSpaceDE/>
        <w:autoSpaceDN/>
        <w:bidi w:val="0"/>
        <w:adjustRightInd/>
        <w:snapToGrid/>
        <w:spacing w:line="460" w:lineRule="exact"/>
        <w:ind w:left="0"/>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rPr>
        <w:fldChar w:fldCharType="begin"/>
      </w:r>
      <w:r>
        <w:rPr>
          <w:rFonts w:hint="eastAsia" w:ascii="仿宋" w:hAnsi="仿宋" w:eastAsia="仿宋" w:cs="仿宋"/>
          <w:b/>
          <w:bCs/>
          <w:color w:val="auto"/>
          <w:sz w:val="28"/>
          <w:szCs w:val="28"/>
        </w:rPr>
        <w:instrText xml:space="preserve"> HYPERLINK \l _Toc2850 </w:instrText>
      </w:r>
      <w:r>
        <w:rPr>
          <w:rFonts w:hint="eastAsia" w:ascii="仿宋" w:hAnsi="仿宋" w:eastAsia="仿宋" w:cs="仿宋"/>
          <w:b/>
          <w:bCs/>
          <w:color w:val="auto"/>
          <w:sz w:val="28"/>
          <w:szCs w:val="28"/>
        </w:rPr>
        <w:fldChar w:fldCharType="separate"/>
      </w:r>
      <w:r>
        <w:rPr>
          <w:rFonts w:hint="eastAsia" w:ascii="仿宋" w:hAnsi="仿宋" w:eastAsia="仿宋" w:cs="仿宋"/>
          <w:b/>
          <w:bCs/>
          <w:color w:val="auto"/>
          <w:kern w:val="2"/>
          <w:sz w:val="28"/>
          <w:szCs w:val="28"/>
          <w:highlight w:val="none"/>
        </w:rPr>
        <w:t>第</w:t>
      </w:r>
      <w:r>
        <w:rPr>
          <w:rFonts w:hint="eastAsia" w:ascii="仿宋" w:hAnsi="仿宋" w:eastAsia="仿宋" w:cs="仿宋"/>
          <w:b/>
          <w:bCs/>
          <w:color w:val="auto"/>
          <w:kern w:val="2"/>
          <w:sz w:val="28"/>
          <w:szCs w:val="28"/>
          <w:highlight w:val="none"/>
          <w:lang w:val="en-US" w:eastAsia="zh-CN"/>
        </w:rPr>
        <w:t>十</w:t>
      </w:r>
      <w:r>
        <w:rPr>
          <w:rFonts w:hint="eastAsia" w:ascii="仿宋" w:hAnsi="仿宋" w:eastAsia="仿宋" w:cs="仿宋"/>
          <w:b/>
          <w:bCs/>
          <w:color w:val="auto"/>
          <w:kern w:val="2"/>
          <w:sz w:val="28"/>
          <w:szCs w:val="28"/>
          <w:highlight w:val="none"/>
        </w:rPr>
        <w:t>章  保障措施</w:t>
      </w:r>
      <w:r>
        <w:rPr>
          <w:rFonts w:hint="eastAsia" w:ascii="仿宋" w:hAnsi="仿宋" w:eastAsia="仿宋" w:cs="仿宋"/>
          <w:b/>
          <w:bCs/>
          <w:color w:val="auto"/>
          <w:sz w:val="28"/>
          <w:szCs w:val="28"/>
        </w:rPr>
        <w:tab/>
      </w:r>
      <w:r>
        <w:rPr>
          <w:rFonts w:hint="eastAsia" w:ascii="仿宋" w:hAnsi="仿宋" w:eastAsia="仿宋" w:cs="仿宋"/>
          <w:b/>
          <w:bCs/>
          <w:color w:val="auto"/>
          <w:sz w:val="28"/>
          <w:szCs w:val="28"/>
        </w:rPr>
        <w:fldChar w:fldCharType="begin"/>
      </w:r>
      <w:r>
        <w:rPr>
          <w:rFonts w:hint="eastAsia" w:ascii="仿宋" w:hAnsi="仿宋" w:eastAsia="仿宋" w:cs="仿宋"/>
          <w:b/>
          <w:bCs/>
          <w:color w:val="auto"/>
          <w:sz w:val="28"/>
          <w:szCs w:val="28"/>
        </w:rPr>
        <w:instrText xml:space="preserve"> PAGEREF _Toc2850 \h </w:instrText>
      </w:r>
      <w:r>
        <w:rPr>
          <w:rFonts w:hint="eastAsia" w:ascii="仿宋" w:hAnsi="仿宋" w:eastAsia="仿宋" w:cs="仿宋"/>
          <w:b/>
          <w:bCs/>
          <w:color w:val="auto"/>
          <w:sz w:val="28"/>
          <w:szCs w:val="28"/>
        </w:rPr>
        <w:fldChar w:fldCharType="separate"/>
      </w:r>
      <w:r>
        <w:rPr>
          <w:rFonts w:hint="eastAsia" w:ascii="仿宋" w:hAnsi="仿宋" w:eastAsia="仿宋" w:cs="仿宋"/>
          <w:b/>
          <w:bCs/>
          <w:color w:val="auto"/>
          <w:sz w:val="28"/>
          <w:szCs w:val="28"/>
        </w:rPr>
        <w:t>70</w:t>
      </w:r>
      <w:r>
        <w:rPr>
          <w:rFonts w:hint="eastAsia" w:ascii="仿宋" w:hAnsi="仿宋" w:eastAsia="仿宋" w:cs="仿宋"/>
          <w:b/>
          <w:bCs/>
          <w:color w:val="auto"/>
          <w:sz w:val="28"/>
          <w:szCs w:val="28"/>
        </w:rPr>
        <w:fldChar w:fldCharType="end"/>
      </w:r>
      <w:r>
        <w:rPr>
          <w:rFonts w:hint="eastAsia" w:ascii="仿宋" w:hAnsi="仿宋" w:eastAsia="仿宋" w:cs="仿宋"/>
          <w:b/>
          <w:bCs/>
          <w:color w:val="auto"/>
          <w:sz w:val="28"/>
          <w:szCs w:val="28"/>
        </w:rPr>
        <w:fldChar w:fldCharType="end"/>
      </w:r>
    </w:p>
    <w:p>
      <w:pPr>
        <w:pStyle w:val="22"/>
        <w:keepNext w:val="0"/>
        <w:keepLines w:val="0"/>
        <w:pageBreakBefore w:val="0"/>
        <w:tabs>
          <w:tab w:val="right" w:leader="dot" w:pos="8306"/>
        </w:tabs>
        <w:kinsoku/>
        <w:wordWrap/>
        <w:overflowPunct/>
        <w:topLinePunct w:val="0"/>
        <w:autoSpaceDE/>
        <w:autoSpaceDN/>
        <w:bidi w:val="0"/>
        <w:adjustRightInd/>
        <w:snapToGrid/>
        <w:spacing w:after="0" w:line="460" w:lineRule="exact"/>
        <w:ind w:left="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HYPERLINK \l _Toc7819 </w:instrText>
      </w:r>
      <w:r>
        <w:rPr>
          <w:rFonts w:hint="eastAsia" w:ascii="仿宋" w:hAnsi="仿宋" w:eastAsia="仿宋" w:cs="仿宋"/>
          <w:color w:val="auto"/>
          <w:sz w:val="28"/>
          <w:szCs w:val="28"/>
        </w:rPr>
        <w:fldChar w:fldCharType="separate"/>
      </w:r>
      <w:r>
        <w:rPr>
          <w:rFonts w:hint="eastAsia" w:ascii="仿宋" w:hAnsi="仿宋" w:eastAsia="仿宋" w:cs="仿宋"/>
          <w:bCs w:val="0"/>
          <w:color w:val="auto"/>
          <w:kern w:val="0"/>
          <w:sz w:val="28"/>
          <w:szCs w:val="28"/>
          <w:highlight w:val="none"/>
        </w:rPr>
        <w:t>一</w:t>
      </w:r>
      <w:r>
        <w:rPr>
          <w:rFonts w:hint="eastAsia" w:ascii="仿宋" w:hAnsi="仿宋" w:eastAsia="仿宋" w:cs="仿宋"/>
          <w:bCs w:val="0"/>
          <w:color w:val="auto"/>
          <w:kern w:val="0"/>
          <w:sz w:val="28"/>
          <w:szCs w:val="28"/>
          <w:highlight w:val="none"/>
          <w:lang w:eastAsia="zh-CN"/>
        </w:rPr>
        <w:t>、</w:t>
      </w:r>
      <w:r>
        <w:rPr>
          <w:rFonts w:hint="eastAsia" w:ascii="仿宋" w:hAnsi="仿宋" w:eastAsia="仿宋" w:cs="仿宋"/>
          <w:bCs w:val="0"/>
          <w:color w:val="auto"/>
          <w:kern w:val="0"/>
          <w:sz w:val="28"/>
          <w:szCs w:val="28"/>
          <w:highlight w:val="none"/>
          <w:lang w:val="en-US" w:eastAsia="zh-CN"/>
        </w:rPr>
        <w:t>强化</w:t>
      </w:r>
      <w:r>
        <w:rPr>
          <w:rFonts w:hint="eastAsia" w:ascii="仿宋" w:hAnsi="仿宋" w:eastAsia="仿宋" w:cs="仿宋"/>
          <w:bCs w:val="0"/>
          <w:color w:val="auto"/>
          <w:kern w:val="0"/>
          <w:sz w:val="28"/>
          <w:szCs w:val="28"/>
          <w:highlight w:val="none"/>
        </w:rPr>
        <w:t>组织保障</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_Toc7819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70</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fldChar w:fldCharType="end"/>
      </w:r>
    </w:p>
    <w:p>
      <w:pPr>
        <w:pStyle w:val="22"/>
        <w:keepNext w:val="0"/>
        <w:keepLines w:val="0"/>
        <w:pageBreakBefore w:val="0"/>
        <w:tabs>
          <w:tab w:val="right" w:leader="dot" w:pos="8306"/>
        </w:tabs>
        <w:kinsoku/>
        <w:wordWrap/>
        <w:overflowPunct/>
        <w:topLinePunct w:val="0"/>
        <w:autoSpaceDE/>
        <w:autoSpaceDN/>
        <w:bidi w:val="0"/>
        <w:adjustRightInd/>
        <w:snapToGrid/>
        <w:spacing w:after="0" w:line="460" w:lineRule="exact"/>
        <w:ind w:left="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HYPERLINK \l _Toc20576 </w:instrText>
      </w:r>
      <w:r>
        <w:rPr>
          <w:rFonts w:hint="eastAsia" w:ascii="仿宋" w:hAnsi="仿宋" w:eastAsia="仿宋" w:cs="仿宋"/>
          <w:color w:val="auto"/>
          <w:sz w:val="28"/>
          <w:szCs w:val="28"/>
        </w:rPr>
        <w:fldChar w:fldCharType="separate"/>
      </w:r>
      <w:r>
        <w:rPr>
          <w:rFonts w:hint="eastAsia" w:ascii="仿宋" w:hAnsi="仿宋" w:eastAsia="仿宋" w:cs="仿宋"/>
          <w:bCs w:val="0"/>
          <w:color w:val="auto"/>
          <w:kern w:val="0"/>
          <w:sz w:val="28"/>
          <w:szCs w:val="28"/>
          <w:highlight w:val="none"/>
        </w:rPr>
        <w:t>二</w:t>
      </w:r>
      <w:r>
        <w:rPr>
          <w:rFonts w:hint="eastAsia" w:ascii="仿宋" w:hAnsi="仿宋" w:eastAsia="仿宋" w:cs="仿宋"/>
          <w:bCs w:val="0"/>
          <w:color w:val="auto"/>
          <w:kern w:val="0"/>
          <w:sz w:val="28"/>
          <w:szCs w:val="28"/>
          <w:highlight w:val="none"/>
          <w:lang w:eastAsia="zh-CN"/>
        </w:rPr>
        <w:t>、</w:t>
      </w:r>
      <w:r>
        <w:rPr>
          <w:rFonts w:hint="eastAsia" w:ascii="仿宋" w:hAnsi="仿宋" w:eastAsia="仿宋" w:cs="仿宋"/>
          <w:bCs w:val="0"/>
          <w:color w:val="auto"/>
          <w:kern w:val="0"/>
          <w:sz w:val="28"/>
          <w:szCs w:val="28"/>
          <w:highlight w:val="none"/>
          <w:lang w:val="en-US" w:eastAsia="zh-CN"/>
        </w:rPr>
        <w:t>加强政策衔接</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_Toc20576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70</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fldChar w:fldCharType="end"/>
      </w:r>
    </w:p>
    <w:p>
      <w:pPr>
        <w:pStyle w:val="22"/>
        <w:keepNext w:val="0"/>
        <w:keepLines w:val="0"/>
        <w:pageBreakBefore w:val="0"/>
        <w:tabs>
          <w:tab w:val="right" w:leader="dot" w:pos="8306"/>
        </w:tabs>
        <w:kinsoku/>
        <w:wordWrap/>
        <w:overflowPunct/>
        <w:topLinePunct w:val="0"/>
        <w:autoSpaceDE/>
        <w:autoSpaceDN/>
        <w:bidi w:val="0"/>
        <w:adjustRightInd/>
        <w:snapToGrid/>
        <w:spacing w:after="0" w:line="460" w:lineRule="exact"/>
        <w:ind w:left="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HYPERLINK \l _Toc28063 </w:instrText>
      </w:r>
      <w:r>
        <w:rPr>
          <w:rFonts w:hint="eastAsia" w:ascii="仿宋" w:hAnsi="仿宋" w:eastAsia="仿宋" w:cs="仿宋"/>
          <w:color w:val="auto"/>
          <w:sz w:val="28"/>
          <w:szCs w:val="28"/>
        </w:rPr>
        <w:fldChar w:fldCharType="separate"/>
      </w:r>
      <w:r>
        <w:rPr>
          <w:rFonts w:hint="eastAsia" w:ascii="仿宋" w:hAnsi="仿宋" w:eastAsia="仿宋" w:cs="仿宋"/>
          <w:bCs w:val="0"/>
          <w:color w:val="auto"/>
          <w:kern w:val="0"/>
          <w:sz w:val="28"/>
          <w:szCs w:val="28"/>
          <w:highlight w:val="none"/>
          <w:lang w:val="en-US" w:eastAsia="zh-CN"/>
        </w:rPr>
        <w:t>三、</w:t>
      </w:r>
      <w:r>
        <w:rPr>
          <w:rFonts w:hint="eastAsia" w:ascii="仿宋" w:hAnsi="仿宋" w:eastAsia="仿宋" w:cs="仿宋"/>
          <w:bCs w:val="0"/>
          <w:color w:val="auto"/>
          <w:kern w:val="0"/>
          <w:sz w:val="28"/>
          <w:szCs w:val="28"/>
          <w:highlight w:val="none"/>
        </w:rPr>
        <w:t>做好规划实施</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_Toc28063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73</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fldChar w:fldCharType="end"/>
      </w:r>
    </w:p>
    <w:p>
      <w:pPr>
        <w:pStyle w:val="22"/>
        <w:keepNext w:val="0"/>
        <w:keepLines w:val="0"/>
        <w:pageBreakBefore w:val="0"/>
        <w:tabs>
          <w:tab w:val="right" w:leader="dot" w:pos="8306"/>
        </w:tabs>
        <w:kinsoku/>
        <w:wordWrap/>
        <w:overflowPunct/>
        <w:topLinePunct w:val="0"/>
        <w:autoSpaceDE/>
        <w:autoSpaceDN/>
        <w:bidi w:val="0"/>
        <w:adjustRightInd/>
        <w:snapToGrid/>
        <w:spacing w:after="0" w:line="460" w:lineRule="exact"/>
        <w:ind w:left="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HYPERLINK \l _Toc22746 </w:instrText>
      </w:r>
      <w:r>
        <w:rPr>
          <w:rFonts w:hint="eastAsia" w:ascii="仿宋" w:hAnsi="仿宋" w:eastAsia="仿宋" w:cs="仿宋"/>
          <w:color w:val="auto"/>
          <w:sz w:val="28"/>
          <w:szCs w:val="28"/>
        </w:rPr>
        <w:fldChar w:fldCharType="separate"/>
      </w:r>
      <w:r>
        <w:rPr>
          <w:rFonts w:hint="eastAsia" w:ascii="仿宋" w:hAnsi="仿宋" w:eastAsia="仿宋" w:cs="仿宋"/>
          <w:bCs w:val="0"/>
          <w:color w:val="auto"/>
          <w:kern w:val="0"/>
          <w:sz w:val="28"/>
          <w:szCs w:val="28"/>
          <w:highlight w:val="none"/>
          <w:lang w:val="en-US" w:eastAsia="zh-CN"/>
        </w:rPr>
        <w:t>四、注重能力提升</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_Toc22746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73</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fldChar w:fldCharType="end"/>
      </w:r>
    </w:p>
    <w:p>
      <w:pPr>
        <w:pStyle w:val="22"/>
        <w:keepNext w:val="0"/>
        <w:keepLines w:val="0"/>
        <w:pageBreakBefore w:val="0"/>
        <w:tabs>
          <w:tab w:val="right" w:leader="dot" w:pos="8306"/>
        </w:tabs>
        <w:kinsoku/>
        <w:wordWrap/>
        <w:overflowPunct/>
        <w:topLinePunct w:val="0"/>
        <w:autoSpaceDE/>
        <w:autoSpaceDN/>
        <w:bidi w:val="0"/>
        <w:adjustRightInd/>
        <w:snapToGrid/>
        <w:spacing w:after="0" w:line="460" w:lineRule="exact"/>
        <w:ind w:left="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HYPERLINK \l _Toc31919 </w:instrText>
      </w:r>
      <w:r>
        <w:rPr>
          <w:rFonts w:hint="eastAsia" w:ascii="仿宋" w:hAnsi="仿宋" w:eastAsia="仿宋" w:cs="仿宋"/>
          <w:color w:val="auto"/>
          <w:sz w:val="28"/>
          <w:szCs w:val="28"/>
        </w:rPr>
        <w:fldChar w:fldCharType="separate"/>
      </w:r>
      <w:r>
        <w:rPr>
          <w:rFonts w:hint="eastAsia" w:ascii="仿宋" w:hAnsi="仿宋" w:eastAsia="仿宋" w:cs="仿宋"/>
          <w:bCs w:val="0"/>
          <w:color w:val="auto"/>
          <w:kern w:val="0"/>
          <w:sz w:val="28"/>
          <w:szCs w:val="28"/>
          <w:highlight w:val="none"/>
          <w:lang w:val="en-US" w:eastAsia="zh-CN"/>
        </w:rPr>
        <w:t>五、完善监督考核</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_Toc31919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74</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fldChar w:fldCharType="end"/>
      </w:r>
    </w:p>
    <w:p>
      <w:pPr>
        <w:pStyle w:val="22"/>
        <w:keepNext w:val="0"/>
        <w:keepLines w:val="0"/>
        <w:pageBreakBefore w:val="0"/>
        <w:tabs>
          <w:tab w:val="right" w:leader="dot" w:pos="8306"/>
        </w:tabs>
        <w:kinsoku/>
        <w:wordWrap/>
        <w:overflowPunct/>
        <w:topLinePunct w:val="0"/>
        <w:autoSpaceDE/>
        <w:autoSpaceDN/>
        <w:bidi w:val="0"/>
        <w:adjustRightInd/>
        <w:snapToGrid/>
        <w:spacing w:after="0" w:line="460" w:lineRule="exact"/>
        <w:ind w:left="0"/>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rPr>
        <w:fldChar w:fldCharType="begin"/>
      </w:r>
      <w:r>
        <w:rPr>
          <w:rFonts w:hint="eastAsia" w:ascii="仿宋" w:hAnsi="仿宋" w:eastAsia="仿宋" w:cs="仿宋"/>
          <w:b/>
          <w:bCs/>
          <w:color w:val="auto"/>
          <w:sz w:val="28"/>
          <w:szCs w:val="28"/>
        </w:rPr>
        <w:instrText xml:space="preserve"> HYPERLINK \l _Toc5457 </w:instrText>
      </w:r>
      <w:r>
        <w:rPr>
          <w:rFonts w:hint="eastAsia" w:ascii="仿宋" w:hAnsi="仿宋" w:eastAsia="仿宋" w:cs="仿宋"/>
          <w:b/>
          <w:bCs/>
          <w:color w:val="auto"/>
          <w:sz w:val="28"/>
          <w:szCs w:val="28"/>
        </w:rPr>
        <w:fldChar w:fldCharType="separate"/>
      </w:r>
      <w:r>
        <w:rPr>
          <w:rFonts w:hint="eastAsia" w:ascii="仿宋" w:hAnsi="仿宋" w:eastAsia="仿宋" w:cs="仿宋"/>
          <w:b/>
          <w:bCs/>
          <w:color w:val="auto"/>
          <w:kern w:val="0"/>
          <w:sz w:val="28"/>
          <w:szCs w:val="28"/>
          <w:highlight w:val="none"/>
          <w:lang w:val="en-US" w:eastAsia="zh-CN"/>
        </w:rPr>
        <w:t>附 件</w:t>
      </w:r>
      <w:r>
        <w:rPr>
          <w:rFonts w:hint="eastAsia" w:ascii="仿宋" w:hAnsi="仿宋" w:eastAsia="仿宋" w:cs="仿宋"/>
          <w:b/>
          <w:bCs/>
          <w:color w:val="auto"/>
          <w:sz w:val="28"/>
          <w:szCs w:val="28"/>
        </w:rPr>
        <w:tab/>
      </w:r>
      <w:r>
        <w:rPr>
          <w:rFonts w:hint="eastAsia" w:ascii="仿宋" w:hAnsi="仿宋" w:eastAsia="仿宋" w:cs="仿宋"/>
          <w:b/>
          <w:bCs/>
          <w:color w:val="auto"/>
          <w:sz w:val="28"/>
          <w:szCs w:val="28"/>
        </w:rPr>
        <w:fldChar w:fldCharType="begin"/>
      </w:r>
      <w:r>
        <w:rPr>
          <w:rFonts w:hint="eastAsia" w:ascii="仿宋" w:hAnsi="仿宋" w:eastAsia="仿宋" w:cs="仿宋"/>
          <w:b/>
          <w:bCs/>
          <w:color w:val="auto"/>
          <w:sz w:val="28"/>
          <w:szCs w:val="28"/>
        </w:rPr>
        <w:instrText xml:space="preserve"> PAGEREF _Toc5457 \h </w:instrText>
      </w:r>
      <w:r>
        <w:rPr>
          <w:rFonts w:hint="eastAsia" w:ascii="仿宋" w:hAnsi="仿宋" w:eastAsia="仿宋" w:cs="仿宋"/>
          <w:b/>
          <w:bCs/>
          <w:color w:val="auto"/>
          <w:sz w:val="28"/>
          <w:szCs w:val="28"/>
        </w:rPr>
        <w:fldChar w:fldCharType="separate"/>
      </w:r>
      <w:r>
        <w:rPr>
          <w:rFonts w:hint="eastAsia" w:ascii="仿宋" w:hAnsi="仿宋" w:eastAsia="仿宋" w:cs="仿宋"/>
          <w:b/>
          <w:bCs/>
          <w:color w:val="auto"/>
          <w:sz w:val="28"/>
          <w:szCs w:val="28"/>
        </w:rPr>
        <w:t>76</w:t>
      </w:r>
      <w:r>
        <w:rPr>
          <w:rFonts w:hint="eastAsia" w:ascii="仿宋" w:hAnsi="仿宋" w:eastAsia="仿宋" w:cs="仿宋"/>
          <w:b/>
          <w:bCs/>
          <w:color w:val="auto"/>
          <w:sz w:val="28"/>
          <w:szCs w:val="28"/>
        </w:rPr>
        <w:fldChar w:fldCharType="end"/>
      </w:r>
      <w:r>
        <w:rPr>
          <w:rFonts w:hint="eastAsia" w:ascii="仿宋" w:hAnsi="仿宋" w:eastAsia="仿宋" w:cs="仿宋"/>
          <w:b/>
          <w:bCs/>
          <w:color w:val="auto"/>
          <w:sz w:val="28"/>
          <w:szCs w:val="28"/>
        </w:rPr>
        <w:fldChar w:fldCharType="end"/>
      </w:r>
    </w:p>
    <w:p>
      <w:pPr>
        <w:pStyle w:val="22"/>
        <w:keepNext w:val="0"/>
        <w:keepLines w:val="0"/>
        <w:pageBreakBefore w:val="0"/>
        <w:tabs>
          <w:tab w:val="right" w:leader="dot" w:pos="8306"/>
        </w:tabs>
        <w:kinsoku/>
        <w:wordWrap/>
        <w:overflowPunct/>
        <w:topLinePunct w:val="0"/>
        <w:autoSpaceDE/>
        <w:autoSpaceDN/>
        <w:bidi w:val="0"/>
        <w:adjustRightInd/>
        <w:snapToGrid/>
        <w:spacing w:after="0" w:line="460" w:lineRule="exact"/>
        <w:ind w:left="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HYPERLINK \l _Toc24828 </w:instrText>
      </w:r>
      <w:r>
        <w:rPr>
          <w:rFonts w:hint="eastAsia" w:ascii="仿宋" w:hAnsi="仿宋" w:eastAsia="仿宋" w:cs="仿宋"/>
          <w:color w:val="auto"/>
          <w:sz w:val="28"/>
          <w:szCs w:val="28"/>
        </w:rPr>
        <w:fldChar w:fldCharType="separate"/>
      </w:r>
      <w:r>
        <w:rPr>
          <w:rFonts w:hint="eastAsia" w:ascii="仿宋" w:hAnsi="仿宋" w:eastAsia="仿宋" w:cs="仿宋"/>
          <w:bCs w:val="0"/>
          <w:color w:val="auto"/>
          <w:kern w:val="0"/>
          <w:sz w:val="28"/>
          <w:szCs w:val="28"/>
          <w:highlight w:val="none"/>
        </w:rPr>
        <w:t>附件1  多规研读</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_Toc24828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76</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fldChar w:fldCharType="end"/>
      </w:r>
    </w:p>
    <w:p>
      <w:pPr>
        <w:pStyle w:val="22"/>
        <w:keepNext w:val="0"/>
        <w:keepLines w:val="0"/>
        <w:pageBreakBefore w:val="0"/>
        <w:tabs>
          <w:tab w:val="right" w:leader="dot" w:pos="8306"/>
        </w:tabs>
        <w:kinsoku/>
        <w:wordWrap/>
        <w:overflowPunct/>
        <w:topLinePunct w:val="0"/>
        <w:autoSpaceDE/>
        <w:autoSpaceDN/>
        <w:bidi w:val="0"/>
        <w:adjustRightInd/>
        <w:snapToGrid/>
        <w:spacing w:after="0" w:line="460" w:lineRule="exact"/>
        <w:ind w:left="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HYPERLINK \l _Toc6007 </w:instrText>
      </w:r>
      <w:r>
        <w:rPr>
          <w:rFonts w:hint="eastAsia" w:ascii="仿宋" w:hAnsi="仿宋" w:eastAsia="仿宋" w:cs="仿宋"/>
          <w:color w:val="auto"/>
          <w:sz w:val="28"/>
          <w:szCs w:val="28"/>
        </w:rPr>
        <w:fldChar w:fldCharType="separate"/>
      </w:r>
      <w:r>
        <w:rPr>
          <w:rFonts w:hint="eastAsia" w:ascii="仿宋" w:hAnsi="仿宋" w:eastAsia="仿宋" w:cs="仿宋"/>
          <w:bCs w:val="0"/>
          <w:color w:val="auto"/>
          <w:kern w:val="0"/>
          <w:sz w:val="28"/>
          <w:szCs w:val="28"/>
          <w:highlight w:val="none"/>
        </w:rPr>
        <w:t>附件2：甘孜州</w:t>
      </w:r>
      <w:r>
        <w:rPr>
          <w:rFonts w:hint="eastAsia" w:ascii="仿宋" w:hAnsi="仿宋" w:eastAsia="仿宋" w:cs="仿宋"/>
          <w:bCs w:val="0"/>
          <w:color w:val="auto"/>
          <w:kern w:val="0"/>
          <w:sz w:val="28"/>
          <w:szCs w:val="28"/>
          <w:highlight w:val="none"/>
          <w:lang w:val="en-US" w:eastAsia="zh-CN"/>
        </w:rPr>
        <w:t>州情、农情简介</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_Toc6007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86</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fldChar w:fldCharType="end"/>
      </w:r>
    </w:p>
    <w:p>
      <w:pPr>
        <w:pStyle w:val="22"/>
        <w:keepNext w:val="0"/>
        <w:keepLines w:val="0"/>
        <w:pageBreakBefore w:val="0"/>
        <w:tabs>
          <w:tab w:val="right" w:leader="dot" w:pos="8306"/>
        </w:tabs>
        <w:kinsoku/>
        <w:wordWrap/>
        <w:overflowPunct/>
        <w:topLinePunct w:val="0"/>
        <w:autoSpaceDE/>
        <w:autoSpaceDN/>
        <w:bidi w:val="0"/>
        <w:adjustRightInd/>
        <w:snapToGrid/>
        <w:spacing w:after="0" w:line="460" w:lineRule="exact"/>
        <w:ind w:left="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HYPERLINK \l _Toc22782 </w:instrText>
      </w:r>
      <w:r>
        <w:rPr>
          <w:rFonts w:hint="eastAsia" w:ascii="仿宋" w:hAnsi="仿宋" w:eastAsia="仿宋" w:cs="仿宋"/>
          <w:color w:val="auto"/>
          <w:sz w:val="28"/>
          <w:szCs w:val="28"/>
        </w:rPr>
        <w:fldChar w:fldCharType="separate"/>
      </w:r>
      <w:r>
        <w:rPr>
          <w:rFonts w:hint="eastAsia" w:ascii="仿宋" w:hAnsi="仿宋" w:eastAsia="仿宋" w:cs="仿宋"/>
          <w:bCs w:val="0"/>
          <w:color w:val="auto"/>
          <w:kern w:val="0"/>
          <w:sz w:val="28"/>
          <w:szCs w:val="28"/>
          <w:highlight w:val="none"/>
        </w:rPr>
        <w:t>附件</w:t>
      </w:r>
      <w:r>
        <w:rPr>
          <w:rFonts w:hint="eastAsia" w:ascii="仿宋" w:hAnsi="仿宋" w:eastAsia="仿宋" w:cs="仿宋"/>
          <w:bCs w:val="0"/>
          <w:color w:val="auto"/>
          <w:kern w:val="0"/>
          <w:sz w:val="28"/>
          <w:szCs w:val="28"/>
          <w:highlight w:val="none"/>
          <w:lang w:val="en-US" w:eastAsia="zh-CN"/>
        </w:rPr>
        <w:t>3</w:t>
      </w:r>
      <w:r>
        <w:rPr>
          <w:rFonts w:hint="eastAsia" w:ascii="仿宋" w:hAnsi="仿宋" w:eastAsia="仿宋" w:cs="仿宋"/>
          <w:bCs w:val="0"/>
          <w:color w:val="auto"/>
          <w:kern w:val="0"/>
          <w:sz w:val="28"/>
          <w:szCs w:val="28"/>
          <w:highlight w:val="none"/>
        </w:rPr>
        <w:t>：甘孜州乡村振兴重点帮扶县（村）明细表</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_Toc22782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89</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fldChar w:fldCharType="end"/>
      </w:r>
    </w:p>
    <w:p>
      <w:pPr>
        <w:pStyle w:val="22"/>
        <w:keepNext w:val="0"/>
        <w:keepLines w:val="0"/>
        <w:pageBreakBefore w:val="0"/>
        <w:tabs>
          <w:tab w:val="right" w:leader="dot" w:pos="8306"/>
        </w:tabs>
        <w:kinsoku/>
        <w:wordWrap/>
        <w:overflowPunct/>
        <w:topLinePunct w:val="0"/>
        <w:autoSpaceDE/>
        <w:autoSpaceDN/>
        <w:bidi w:val="0"/>
        <w:adjustRightInd/>
        <w:snapToGrid/>
        <w:spacing w:after="0" w:line="460" w:lineRule="exact"/>
        <w:ind w:left="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HYPERLINK \l _Toc4403 </w:instrText>
      </w:r>
      <w:r>
        <w:rPr>
          <w:rFonts w:hint="eastAsia" w:ascii="仿宋" w:hAnsi="仿宋" w:eastAsia="仿宋" w:cs="仿宋"/>
          <w:color w:val="auto"/>
          <w:sz w:val="28"/>
          <w:szCs w:val="28"/>
        </w:rPr>
        <w:fldChar w:fldCharType="separate"/>
      </w:r>
      <w:r>
        <w:rPr>
          <w:rFonts w:hint="eastAsia" w:ascii="仿宋" w:hAnsi="仿宋" w:eastAsia="仿宋" w:cs="仿宋"/>
          <w:bCs w:val="0"/>
          <w:color w:val="auto"/>
          <w:kern w:val="0"/>
          <w:sz w:val="28"/>
          <w:szCs w:val="28"/>
          <w:highlight w:val="none"/>
        </w:rPr>
        <w:t>附件</w:t>
      </w:r>
      <w:r>
        <w:rPr>
          <w:rFonts w:hint="eastAsia" w:ascii="仿宋" w:hAnsi="仿宋" w:eastAsia="仿宋" w:cs="仿宋"/>
          <w:bCs w:val="0"/>
          <w:color w:val="auto"/>
          <w:kern w:val="0"/>
          <w:sz w:val="28"/>
          <w:szCs w:val="28"/>
          <w:highlight w:val="none"/>
          <w:lang w:val="en-US" w:eastAsia="zh-CN"/>
        </w:rPr>
        <w:t>4</w:t>
      </w:r>
      <w:r>
        <w:rPr>
          <w:rFonts w:hint="eastAsia" w:ascii="仿宋" w:hAnsi="仿宋" w:eastAsia="仿宋" w:cs="仿宋"/>
          <w:bCs w:val="0"/>
          <w:color w:val="auto"/>
          <w:kern w:val="0"/>
          <w:sz w:val="28"/>
          <w:szCs w:val="28"/>
          <w:highlight w:val="none"/>
        </w:rPr>
        <w:t>：甘孜州乡村振兴重点帮扶县投资明细表</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_Toc4403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90</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fldChar w:fldCharType="end"/>
      </w:r>
    </w:p>
    <w:p>
      <w:pPr>
        <w:pStyle w:val="22"/>
        <w:keepNext w:val="0"/>
        <w:keepLines w:val="0"/>
        <w:pageBreakBefore w:val="0"/>
        <w:tabs>
          <w:tab w:val="right" w:leader="dot" w:pos="8306"/>
        </w:tabs>
        <w:kinsoku/>
        <w:wordWrap/>
        <w:overflowPunct/>
        <w:topLinePunct w:val="0"/>
        <w:autoSpaceDE/>
        <w:autoSpaceDN/>
        <w:bidi w:val="0"/>
        <w:adjustRightInd/>
        <w:snapToGrid/>
        <w:spacing w:after="0" w:line="460" w:lineRule="exact"/>
        <w:ind w:left="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HYPERLINK \l _Toc12070 </w:instrText>
      </w:r>
      <w:r>
        <w:rPr>
          <w:rFonts w:hint="eastAsia" w:ascii="仿宋" w:hAnsi="仿宋" w:eastAsia="仿宋" w:cs="仿宋"/>
          <w:color w:val="auto"/>
          <w:sz w:val="28"/>
          <w:szCs w:val="28"/>
        </w:rPr>
        <w:fldChar w:fldCharType="separate"/>
      </w:r>
      <w:r>
        <w:rPr>
          <w:rFonts w:hint="eastAsia" w:ascii="仿宋" w:hAnsi="仿宋" w:eastAsia="仿宋" w:cs="仿宋"/>
          <w:bCs w:val="0"/>
          <w:color w:val="auto"/>
          <w:kern w:val="0"/>
          <w:sz w:val="28"/>
          <w:szCs w:val="28"/>
          <w:highlight w:val="none"/>
        </w:rPr>
        <w:t>附件</w:t>
      </w:r>
      <w:r>
        <w:rPr>
          <w:rFonts w:hint="eastAsia" w:ascii="仿宋" w:hAnsi="仿宋" w:eastAsia="仿宋" w:cs="仿宋"/>
          <w:bCs w:val="0"/>
          <w:color w:val="auto"/>
          <w:kern w:val="0"/>
          <w:sz w:val="28"/>
          <w:szCs w:val="28"/>
          <w:highlight w:val="none"/>
          <w:lang w:val="en-US" w:eastAsia="zh-CN"/>
        </w:rPr>
        <w:t>5</w:t>
      </w:r>
      <w:r>
        <w:rPr>
          <w:rFonts w:hint="eastAsia" w:ascii="仿宋" w:hAnsi="仿宋" w:eastAsia="仿宋" w:cs="仿宋"/>
          <w:bCs w:val="0"/>
          <w:color w:val="auto"/>
          <w:kern w:val="0"/>
          <w:sz w:val="28"/>
          <w:szCs w:val="28"/>
          <w:highlight w:val="none"/>
        </w:rPr>
        <w:t>：甘孜州东西部协作结对关系一览表</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_Toc12070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91</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fldChar w:fldCharType="end"/>
      </w:r>
    </w:p>
    <w:p>
      <w:pPr>
        <w:pStyle w:val="22"/>
        <w:keepNext w:val="0"/>
        <w:keepLines w:val="0"/>
        <w:pageBreakBefore w:val="0"/>
        <w:tabs>
          <w:tab w:val="right" w:leader="dot" w:pos="8306"/>
        </w:tabs>
        <w:kinsoku/>
        <w:wordWrap/>
        <w:overflowPunct/>
        <w:topLinePunct w:val="0"/>
        <w:autoSpaceDE/>
        <w:autoSpaceDN/>
        <w:bidi w:val="0"/>
        <w:adjustRightInd/>
        <w:snapToGrid/>
        <w:spacing w:after="0" w:line="460" w:lineRule="exact"/>
        <w:ind w:left="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HYPERLINK \l _Toc2763 </w:instrText>
      </w:r>
      <w:r>
        <w:rPr>
          <w:rFonts w:hint="eastAsia" w:ascii="仿宋" w:hAnsi="仿宋" w:eastAsia="仿宋" w:cs="仿宋"/>
          <w:color w:val="auto"/>
          <w:sz w:val="28"/>
          <w:szCs w:val="28"/>
        </w:rPr>
        <w:fldChar w:fldCharType="separate"/>
      </w:r>
      <w:r>
        <w:rPr>
          <w:rFonts w:hint="eastAsia" w:ascii="仿宋" w:hAnsi="仿宋" w:eastAsia="仿宋" w:cs="仿宋"/>
          <w:bCs w:val="0"/>
          <w:color w:val="auto"/>
          <w:kern w:val="0"/>
          <w:sz w:val="28"/>
          <w:szCs w:val="28"/>
          <w:highlight w:val="none"/>
        </w:rPr>
        <w:t>附件</w:t>
      </w:r>
      <w:r>
        <w:rPr>
          <w:rFonts w:hint="eastAsia" w:ascii="仿宋" w:hAnsi="仿宋" w:eastAsia="仿宋" w:cs="仿宋"/>
          <w:bCs w:val="0"/>
          <w:color w:val="auto"/>
          <w:kern w:val="0"/>
          <w:sz w:val="28"/>
          <w:szCs w:val="28"/>
          <w:highlight w:val="none"/>
          <w:lang w:val="en-US" w:eastAsia="zh-CN"/>
        </w:rPr>
        <w:t>6</w:t>
      </w:r>
      <w:r>
        <w:rPr>
          <w:rFonts w:hint="eastAsia" w:ascii="仿宋" w:hAnsi="仿宋" w:eastAsia="仿宋" w:cs="仿宋"/>
          <w:bCs w:val="0"/>
          <w:color w:val="auto"/>
          <w:kern w:val="0"/>
          <w:sz w:val="28"/>
          <w:szCs w:val="28"/>
          <w:highlight w:val="none"/>
        </w:rPr>
        <w:t>：</w:t>
      </w:r>
      <w:r>
        <w:rPr>
          <w:rFonts w:hint="eastAsia" w:ascii="仿宋" w:hAnsi="仿宋" w:cs="仿宋"/>
          <w:bCs w:val="0"/>
          <w:color w:val="auto"/>
          <w:kern w:val="0"/>
          <w:sz w:val="28"/>
          <w:szCs w:val="28"/>
          <w:highlight w:val="none"/>
          <w:lang w:eastAsia="zh-CN"/>
        </w:rPr>
        <w:t>甘孜州巩固拓展脱贫攻坚成果同乡村振兴有效衔接规划</w:t>
      </w:r>
      <w:r>
        <w:rPr>
          <w:rFonts w:hint="eastAsia" w:ascii="仿宋" w:hAnsi="仿宋" w:eastAsia="仿宋" w:cs="仿宋"/>
          <w:bCs w:val="0"/>
          <w:color w:val="auto"/>
          <w:kern w:val="0"/>
          <w:sz w:val="28"/>
          <w:szCs w:val="28"/>
          <w:highlight w:val="none"/>
        </w:rPr>
        <w:t>项目一览表</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_Toc2763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92</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fldChar w:fldCharType="end"/>
      </w:r>
    </w:p>
    <w:p>
      <w:pPr>
        <w:pStyle w:val="10"/>
        <w:keepNext w:val="0"/>
        <w:keepLines w:val="0"/>
        <w:pageBreakBefore w:val="0"/>
        <w:kinsoku/>
        <w:wordWrap/>
        <w:overflowPunct/>
        <w:topLinePunct w:val="0"/>
        <w:autoSpaceDE/>
        <w:autoSpaceDN/>
        <w:bidi w:val="0"/>
        <w:adjustRightInd/>
        <w:snapToGrid/>
        <w:spacing w:after="0" w:line="460" w:lineRule="exact"/>
        <w:ind w:left="0" w:leftChars="0" w:firstLine="0" w:firstLineChars="0"/>
        <w:jc w:val="both"/>
        <w:textAlignment w:val="auto"/>
        <w:rPr>
          <w:rFonts w:ascii="Times New Roman" w:hAnsi="Times New Roman" w:eastAsia="方正仿宋_GBK" w:cs="方正仿宋_GBK"/>
          <w:color w:val="auto"/>
          <w:sz w:val="32"/>
          <w:szCs w:val="32"/>
          <w:highlight w:val="none"/>
        </w:rPr>
        <w:sectPr>
          <w:pgSz w:w="11906" w:h="16838"/>
          <w:pgMar w:top="1440" w:right="1800" w:bottom="1440" w:left="1800" w:header="851" w:footer="992" w:gutter="0"/>
          <w:pgNumType w:fmt="upperRoman" w:start="1"/>
          <w:cols w:space="425" w:num="1"/>
          <w:docGrid w:type="lines" w:linePitch="435" w:charSpace="0"/>
        </w:sectPr>
      </w:pPr>
      <w:r>
        <w:rPr>
          <w:rFonts w:hint="eastAsia" w:ascii="仿宋" w:hAnsi="仿宋" w:eastAsia="仿宋" w:cs="仿宋"/>
          <w:color w:val="auto"/>
          <w:sz w:val="28"/>
          <w:szCs w:val="28"/>
        </w:rPr>
        <w:fldChar w:fldCharType="end"/>
      </w:r>
    </w:p>
    <w:p>
      <w:pPr>
        <w:pStyle w:val="4"/>
        <w:tabs>
          <w:tab w:val="clear" w:pos="0"/>
        </w:tabs>
        <w:suppressAutoHyphens w:val="0"/>
        <w:spacing w:after="240" w:line="578" w:lineRule="auto"/>
        <w:jc w:val="center"/>
        <w:rPr>
          <w:rFonts w:ascii="黑体" w:hAnsi="黑体" w:eastAsia="黑体"/>
          <w:b w:val="0"/>
          <w:bCs w:val="0"/>
          <w:color w:val="auto"/>
          <w:kern w:val="2"/>
          <w:sz w:val="32"/>
          <w:szCs w:val="32"/>
          <w:highlight w:val="none"/>
        </w:rPr>
      </w:pPr>
      <w:bookmarkStart w:id="5" w:name="_Toc23560"/>
      <w:bookmarkStart w:id="6" w:name="_Toc28032"/>
      <w:bookmarkStart w:id="7" w:name="_Toc6823"/>
      <w:r>
        <w:rPr>
          <w:rFonts w:hint="eastAsia" w:ascii="黑体" w:hAnsi="黑体" w:eastAsia="黑体"/>
          <w:b w:val="0"/>
          <w:bCs w:val="0"/>
          <w:color w:val="auto"/>
          <w:kern w:val="2"/>
          <w:sz w:val="32"/>
          <w:szCs w:val="32"/>
          <w:highlight w:val="none"/>
        </w:rPr>
        <w:t>第一章  规划背景</w:t>
      </w:r>
      <w:bookmarkEnd w:id="5"/>
      <w:bookmarkEnd w:id="6"/>
      <w:bookmarkEnd w:id="7"/>
    </w:p>
    <w:p>
      <w:pPr>
        <w:pStyle w:val="5"/>
        <w:tabs>
          <w:tab w:val="clear" w:pos="0"/>
        </w:tabs>
        <w:suppressAutoHyphens w:val="0"/>
        <w:snapToGrid w:val="0"/>
        <w:spacing w:before="0" w:after="0" w:line="360" w:lineRule="auto"/>
        <w:ind w:firstLine="643" w:firstLineChars="200"/>
        <w:jc w:val="left"/>
        <w:rPr>
          <w:rFonts w:hint="eastAsia" w:ascii="楷体" w:hAnsi="楷体" w:eastAsia="楷体" w:cs="黑体"/>
          <w:bCs w:val="0"/>
          <w:color w:val="auto"/>
          <w:kern w:val="0"/>
          <w:highlight w:val="none"/>
        </w:rPr>
      </w:pPr>
      <w:bookmarkStart w:id="8" w:name="_Toc61"/>
      <w:bookmarkStart w:id="9" w:name="_Toc16724"/>
      <w:bookmarkStart w:id="10" w:name="_Toc27447"/>
      <w:r>
        <w:rPr>
          <w:rFonts w:hint="eastAsia" w:ascii="楷体" w:hAnsi="楷体" w:eastAsia="楷体" w:cs="黑体"/>
          <w:bCs w:val="0"/>
          <w:color w:val="auto"/>
          <w:kern w:val="0"/>
          <w:highlight w:val="none"/>
        </w:rPr>
        <w:t>一、“十三五”发展成就</w:t>
      </w:r>
      <w:bookmarkEnd w:id="8"/>
      <w:bookmarkEnd w:id="9"/>
      <w:bookmarkEnd w:id="10"/>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ascii="仿宋" w:hAnsi="仿宋"/>
          <w:color w:val="auto"/>
          <w:szCs w:val="40"/>
          <w:highlight w:val="none"/>
        </w:rPr>
      </w:pPr>
      <w:r>
        <w:rPr>
          <w:rFonts w:hint="eastAsia" w:ascii="仿宋" w:hAnsi="仿宋"/>
          <w:color w:val="auto"/>
          <w:szCs w:val="40"/>
          <w:highlight w:val="none"/>
          <w:lang w:eastAsia="zh-CN"/>
        </w:rPr>
        <w:t>“</w:t>
      </w:r>
      <w:r>
        <w:rPr>
          <w:rFonts w:hint="eastAsia" w:ascii="仿宋" w:hAnsi="仿宋"/>
          <w:color w:val="auto"/>
          <w:szCs w:val="40"/>
          <w:highlight w:val="none"/>
        </w:rPr>
        <w:t>十三五</w:t>
      </w:r>
      <w:r>
        <w:rPr>
          <w:rFonts w:hint="eastAsia" w:ascii="仿宋" w:hAnsi="仿宋"/>
          <w:color w:val="auto"/>
          <w:szCs w:val="40"/>
          <w:highlight w:val="none"/>
          <w:lang w:eastAsia="zh-CN"/>
        </w:rPr>
        <w:t>”</w:t>
      </w:r>
      <w:r>
        <w:rPr>
          <w:rFonts w:hint="eastAsia" w:ascii="仿宋" w:hAnsi="仿宋"/>
          <w:color w:val="auto"/>
          <w:szCs w:val="40"/>
          <w:highlight w:val="none"/>
        </w:rPr>
        <w:t>时期，全州上下坚持以习近平新时代中国特色社会主义思想为指导，始终把脱贫攻坚作为最大政治责任、最大民生工程、最大发展机遇，高质量推进精准扶贫精准脱贫，力度之大、规模之广、影响之深、成效之显著前所未有。全州干群大力发扬“上下同心、尽锐出战、精准务实、开拓创新、攻坚克难、不负人民”的脱贫攻坚精神</w:t>
      </w:r>
      <w:r>
        <w:rPr>
          <w:rFonts w:hint="eastAsia" w:ascii="仿宋" w:hAnsi="仿宋"/>
          <w:color w:val="auto"/>
          <w:szCs w:val="40"/>
          <w:highlight w:val="none"/>
          <w:lang w:eastAsia="zh-CN"/>
        </w:rPr>
        <w:t>，</w:t>
      </w:r>
      <w:r>
        <w:rPr>
          <w:rFonts w:hint="eastAsia" w:ascii="仿宋" w:hAnsi="仿宋"/>
          <w:color w:val="auto"/>
          <w:szCs w:val="40"/>
          <w:highlight w:val="none"/>
        </w:rPr>
        <w:t>与贫困殊死搏斗，创造了甘孜扶贫减贫史上最好成绩，脱贫攻坚取得了全面胜利。</w:t>
      </w: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仿宋" w:hAnsi="仿宋"/>
          <w:color w:val="auto"/>
          <w:szCs w:val="40"/>
          <w:highlight w:val="none"/>
        </w:rPr>
      </w:pPr>
      <w:bookmarkStart w:id="11" w:name="_Toc12075"/>
      <w:bookmarkStart w:id="12" w:name="_Toc514"/>
      <w:bookmarkStart w:id="13" w:name="_Toc22777"/>
      <w:bookmarkStart w:id="14" w:name="_Toc24409"/>
      <w:r>
        <w:rPr>
          <w:rFonts w:hint="eastAsia" w:ascii="仿宋" w:hAnsi="仿宋"/>
          <w:b/>
          <w:bCs/>
          <w:color w:val="auto"/>
          <w:szCs w:val="40"/>
          <w:highlight w:val="none"/>
        </w:rPr>
        <w:t>肩负崇高使命，脱贫任务全面完成</w:t>
      </w:r>
      <w:bookmarkEnd w:id="11"/>
      <w:bookmarkEnd w:id="12"/>
      <w:r>
        <w:rPr>
          <w:rFonts w:hint="eastAsia" w:ascii="仿宋" w:hAnsi="仿宋"/>
          <w:color w:val="auto"/>
          <w:szCs w:val="40"/>
          <w:highlight w:val="none"/>
          <w:lang w:eastAsia="zh-CN"/>
        </w:rPr>
        <w:t>。成立州委书记、州长为“双组长”的脱贫攻坚领导小组，全面形成“党政一把手负总责、四级书记一起抓”的作战体系。坚持最优顶层设计，出台一揽子意见、办法、规划、方案等纲领性文件，构建了稳定脱贫攻坚“四梁八柱”。</w:t>
      </w:r>
      <w:r>
        <w:rPr>
          <w:rFonts w:hint="eastAsia" w:ascii="仿宋" w:hAnsi="仿宋"/>
          <w:color w:val="auto"/>
          <w:szCs w:val="40"/>
          <w:highlight w:val="none"/>
        </w:rPr>
        <w:t>“十三五”期间整合涉农资金248.09亿元，强力推进“五个一批”“七大攻坚”，结合中央国家机关和东西部扶贫协作、省内对口帮扶等资源，构建“三位一体”的大扶贫格局。2020年末，全州18个县（市）全部摘帽，1360个贫困村全部退出，22.55万农村贫困人口实现脱贫，绝对贫困和区域性整体贫困全部消除。</w:t>
      </w: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仿宋" w:hAnsi="仿宋"/>
          <w:color w:val="auto"/>
          <w:szCs w:val="40"/>
          <w:highlight w:val="none"/>
        </w:rPr>
      </w:pPr>
      <w:r>
        <w:rPr>
          <w:rFonts w:hint="eastAsia" w:ascii="仿宋" w:hAnsi="仿宋"/>
          <w:b/>
          <w:bCs/>
          <w:color w:val="auto"/>
          <w:szCs w:val="40"/>
          <w:highlight w:val="none"/>
        </w:rPr>
        <w:t>精准落实政策，民生短板</w:t>
      </w:r>
      <w:r>
        <w:rPr>
          <w:rFonts w:hint="eastAsia" w:ascii="仿宋" w:hAnsi="仿宋"/>
          <w:b/>
          <w:bCs/>
          <w:color w:val="auto"/>
          <w:szCs w:val="40"/>
          <w:highlight w:val="none"/>
          <w:lang w:val="en-US" w:eastAsia="zh-CN"/>
        </w:rPr>
        <w:t>不断</w:t>
      </w:r>
      <w:r>
        <w:rPr>
          <w:rFonts w:hint="eastAsia" w:ascii="仿宋" w:hAnsi="仿宋"/>
          <w:b/>
          <w:bCs/>
          <w:color w:val="auto"/>
          <w:szCs w:val="40"/>
          <w:highlight w:val="none"/>
        </w:rPr>
        <w:t>补齐</w:t>
      </w:r>
      <w:bookmarkEnd w:id="13"/>
      <w:bookmarkEnd w:id="14"/>
      <w:r>
        <w:rPr>
          <w:rFonts w:hint="eastAsia" w:ascii="仿宋" w:hAnsi="仿宋"/>
          <w:color w:val="auto"/>
          <w:szCs w:val="40"/>
          <w:highlight w:val="none"/>
          <w:lang w:eastAsia="zh-CN"/>
        </w:rPr>
        <w:t>。深入贯彻落实国家、省脱贫攻坚相关文件精神，因地制宜出台《雅砻江上游4县交界地区24个深度贫困乡镇加快发展实施方案》等政策。</w:t>
      </w:r>
      <w:r>
        <w:rPr>
          <w:rFonts w:hint="eastAsia" w:ascii="仿宋" w:hAnsi="仿宋"/>
          <w:color w:val="auto"/>
          <w:szCs w:val="40"/>
          <w:highlight w:val="none"/>
        </w:rPr>
        <w:t>先后完成各类住房安全保障建设11.3</w:t>
      </w:r>
      <w:r>
        <w:rPr>
          <w:rFonts w:hint="eastAsia" w:ascii="仿宋" w:hAnsi="仿宋"/>
          <w:color w:val="auto"/>
          <w:szCs w:val="40"/>
          <w:highlight w:val="none"/>
          <w:lang w:val="en-US" w:eastAsia="zh-CN"/>
        </w:rPr>
        <w:t>0</w:t>
      </w:r>
      <w:r>
        <w:rPr>
          <w:rFonts w:hint="eastAsia" w:ascii="仿宋" w:hAnsi="仿宋"/>
          <w:color w:val="auto"/>
          <w:szCs w:val="40"/>
          <w:highlight w:val="none"/>
        </w:rPr>
        <w:t>万户，完成易地扶贫搬迁13351户，建成通乡油路3694公里、通村硬化路22132公里，巩固提升972个贫困村安全饮水工程，改造提升2427个村电网、2105个村通信网络。</w:t>
      </w:r>
      <w:r>
        <w:rPr>
          <w:rFonts w:hint="eastAsia" w:ascii="仿宋" w:hAnsi="仿宋"/>
          <w:color w:val="auto"/>
          <w:szCs w:val="40"/>
          <w:highlight w:val="none"/>
          <w:lang w:eastAsia="zh-CN"/>
        </w:rPr>
        <w:t>全面落实教育扶贫措施，坚持“一个也不能少”的控辍保学目标</w:t>
      </w:r>
      <w:r>
        <w:rPr>
          <w:rFonts w:hint="eastAsia" w:ascii="仿宋" w:hAnsi="仿宋"/>
          <w:color w:val="auto"/>
          <w:szCs w:val="40"/>
          <w:highlight w:val="none"/>
        </w:rPr>
        <w:t>，新改建291所贫困村幼儿园，建成标准中心校303所</w:t>
      </w:r>
      <w:r>
        <w:rPr>
          <w:rFonts w:hint="eastAsia" w:ascii="仿宋" w:hAnsi="仿宋"/>
          <w:color w:val="auto"/>
          <w:szCs w:val="40"/>
          <w:highlight w:val="none"/>
          <w:lang w:eastAsia="zh-CN"/>
        </w:rPr>
        <w:t>。</w:t>
      </w:r>
      <w:r>
        <w:rPr>
          <w:rFonts w:hint="eastAsia" w:ascii="仿宋" w:hAnsi="仿宋"/>
          <w:color w:val="auto"/>
          <w:szCs w:val="40"/>
          <w:highlight w:val="none"/>
        </w:rPr>
        <w:t>1360个贫困村全部实现有标准卫生室，贫困患者县域内住院个人支付占比控制在5%以内，群众生活水平不断提高。</w:t>
      </w: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仿宋" w:hAnsi="仿宋"/>
          <w:color w:val="auto"/>
          <w:szCs w:val="40"/>
          <w:highlight w:val="none"/>
        </w:rPr>
      </w:pPr>
      <w:bookmarkStart w:id="15" w:name="_Toc2288"/>
      <w:bookmarkStart w:id="16" w:name="_Toc17380"/>
      <w:r>
        <w:rPr>
          <w:rFonts w:hint="eastAsia" w:ascii="仿宋" w:hAnsi="仿宋"/>
          <w:b/>
          <w:bCs/>
          <w:color w:val="auto"/>
          <w:szCs w:val="40"/>
          <w:highlight w:val="none"/>
        </w:rPr>
        <w:t>聚焦重点难点，群众获得感明显提升</w:t>
      </w:r>
      <w:bookmarkEnd w:id="15"/>
      <w:bookmarkEnd w:id="16"/>
      <w:r>
        <w:rPr>
          <w:rFonts w:hint="eastAsia" w:ascii="仿宋" w:hAnsi="仿宋"/>
          <w:color w:val="auto"/>
          <w:szCs w:val="40"/>
          <w:highlight w:val="none"/>
          <w:lang w:eastAsia="zh-CN"/>
        </w:rPr>
        <w:t>。紧紧围绕产业和就业等关系民生福祉的重点难点问题开展攻坚克难，</w:t>
      </w:r>
      <w:r>
        <w:rPr>
          <w:rFonts w:hint="eastAsia" w:ascii="仿宋" w:hAnsi="仿宋"/>
          <w:color w:val="auto"/>
          <w:szCs w:val="40"/>
          <w:highlight w:val="none"/>
        </w:rPr>
        <w:t>建成3个脱贫奔康百公里绿色生态产业带、2个百万亩特色农林产业基地。建成省级旅游扶贫示范区6个、示范村71个和121个风情小镇、458个美丽村寨。建成电商服务中心18个、乡镇服务站316个、村级服务点1409个。脱贫攻坚以来，推选省级就业扶贫基地（车间）9个，建成州级55个，县级81个，动态开发公益岗位90923个（次），实现贫困劳动力转移就业5万余人，动态实现有劳动力贫困家庭至少1人就业，农村居民人均可支配收入达13967元。</w:t>
      </w: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仿宋" w:hAnsi="仿宋"/>
          <w:color w:val="auto"/>
          <w:szCs w:val="40"/>
          <w:highlight w:val="none"/>
        </w:rPr>
      </w:pPr>
      <w:bookmarkStart w:id="17" w:name="_Toc15720"/>
      <w:bookmarkStart w:id="18" w:name="_Toc15214"/>
      <w:r>
        <w:rPr>
          <w:rFonts w:hint="eastAsia" w:ascii="仿宋" w:hAnsi="仿宋"/>
          <w:b/>
          <w:bCs/>
          <w:color w:val="auto"/>
          <w:szCs w:val="40"/>
          <w:highlight w:val="none"/>
        </w:rPr>
        <w:t>汇聚多方力量，</w:t>
      </w:r>
      <w:r>
        <w:rPr>
          <w:rFonts w:hint="eastAsia" w:ascii="仿宋" w:hAnsi="仿宋"/>
          <w:b/>
          <w:bCs/>
          <w:color w:val="auto"/>
          <w:szCs w:val="40"/>
          <w:highlight w:val="none"/>
          <w:lang w:val="en-US" w:eastAsia="zh-CN"/>
        </w:rPr>
        <w:t>帮扶</w:t>
      </w:r>
      <w:r>
        <w:rPr>
          <w:rFonts w:hint="eastAsia" w:ascii="仿宋" w:hAnsi="仿宋"/>
          <w:b/>
          <w:bCs/>
          <w:color w:val="auto"/>
          <w:szCs w:val="40"/>
          <w:highlight w:val="none"/>
        </w:rPr>
        <w:t>能力切实增强</w:t>
      </w:r>
      <w:bookmarkEnd w:id="17"/>
      <w:bookmarkEnd w:id="18"/>
      <w:r>
        <w:rPr>
          <w:rFonts w:hint="eastAsia" w:ascii="仿宋" w:hAnsi="仿宋"/>
          <w:color w:val="auto"/>
          <w:szCs w:val="40"/>
          <w:highlight w:val="none"/>
          <w:lang w:eastAsia="zh-CN"/>
        </w:rPr>
        <w:t>。</w:t>
      </w:r>
      <w:r>
        <w:rPr>
          <w:rFonts w:hint="eastAsia" w:ascii="仿宋" w:hAnsi="仿宋"/>
          <w:color w:val="auto"/>
          <w:szCs w:val="40"/>
          <w:highlight w:val="none"/>
          <w:lang w:val="en-US" w:eastAsia="zh-CN"/>
        </w:rPr>
        <w:t>用好</w:t>
      </w:r>
      <w:r>
        <w:rPr>
          <w:rFonts w:hint="eastAsia" w:ascii="仿宋" w:hAnsi="仿宋"/>
          <w:color w:val="auto"/>
          <w:szCs w:val="40"/>
          <w:highlight w:val="none"/>
          <w:lang w:eastAsia="zh-CN"/>
        </w:rPr>
        <w:t>中央国家机关（央企）定点帮扶、东西部扶贫协作、省内对口帮扶，</w:t>
      </w:r>
      <w:r>
        <w:rPr>
          <w:rFonts w:hint="eastAsia" w:ascii="仿宋" w:hAnsi="仿宋"/>
          <w:color w:val="auto"/>
          <w:szCs w:val="40"/>
          <w:highlight w:val="none"/>
        </w:rPr>
        <w:t>构建起多层次、多元化对口帮扶新格局。开展贫困对象联系指导全覆盖行动，实现州领导联系18个贫困县（市）、州县领导联系1360个贫困村、公职人员和“五个一”帮扶力量联系贫困户全覆盖。出台《甘孜州脱贫攻坚“十个严禁”》《甘孜州脱贫攻坚工作问责暂行办法》</w:t>
      </w:r>
      <w:r>
        <w:rPr>
          <w:rFonts w:hint="eastAsia" w:ascii="仿宋" w:hAnsi="仿宋"/>
          <w:color w:val="auto"/>
          <w:szCs w:val="40"/>
          <w:highlight w:val="none"/>
          <w:lang w:val="en-US" w:eastAsia="zh-CN"/>
        </w:rPr>
        <w:t>等</w:t>
      </w:r>
      <w:r>
        <w:rPr>
          <w:rFonts w:hint="eastAsia" w:ascii="仿宋" w:hAnsi="仿宋"/>
          <w:color w:val="auto"/>
          <w:szCs w:val="40"/>
          <w:highlight w:val="none"/>
        </w:rPr>
        <w:t>，为脱贫攻坚顺利推进提供了坚强保障。</w:t>
      </w: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仿宋" w:hAnsi="仿宋"/>
          <w:color w:val="auto"/>
          <w:szCs w:val="40"/>
          <w:highlight w:val="none"/>
        </w:rPr>
      </w:pPr>
      <w:bookmarkStart w:id="19" w:name="_Toc27162"/>
      <w:bookmarkStart w:id="20" w:name="_Toc6138"/>
      <w:r>
        <w:rPr>
          <w:rFonts w:hint="eastAsia" w:ascii="仿宋" w:hAnsi="仿宋"/>
          <w:b/>
          <w:bCs/>
          <w:color w:val="auto"/>
          <w:szCs w:val="40"/>
          <w:highlight w:val="none"/>
        </w:rPr>
        <w:t>巩固脱贫成果，乡村振兴开局良好</w:t>
      </w:r>
      <w:bookmarkEnd w:id="19"/>
      <w:bookmarkEnd w:id="20"/>
      <w:r>
        <w:rPr>
          <w:rFonts w:hint="eastAsia" w:ascii="仿宋" w:hAnsi="仿宋"/>
          <w:color w:val="auto"/>
          <w:szCs w:val="40"/>
          <w:highlight w:val="none"/>
          <w:lang w:eastAsia="zh-CN"/>
        </w:rPr>
        <w:t>。</w:t>
      </w:r>
      <w:r>
        <w:rPr>
          <w:rFonts w:hint="eastAsia" w:ascii="仿宋" w:hAnsi="仿宋"/>
          <w:color w:val="auto"/>
          <w:szCs w:val="40"/>
          <w:highlight w:val="none"/>
        </w:rPr>
        <w:t>率先在全省市（州）出台《甘孜州防止</w:t>
      </w:r>
      <w:r>
        <w:rPr>
          <w:rFonts w:hint="eastAsia" w:ascii="仿宋" w:hAnsi="仿宋"/>
          <w:color w:val="auto"/>
          <w:szCs w:val="40"/>
          <w:highlight w:val="none"/>
          <w:lang w:eastAsia="zh-CN"/>
        </w:rPr>
        <w:t>致贫返贫</w:t>
      </w:r>
      <w:r>
        <w:rPr>
          <w:rFonts w:hint="eastAsia" w:ascii="仿宋" w:hAnsi="仿宋"/>
          <w:color w:val="auto"/>
          <w:szCs w:val="40"/>
          <w:highlight w:val="none"/>
        </w:rPr>
        <w:t>监测帮扶管理暂行办法》《关于巩固脱贫成果防止</w:t>
      </w:r>
      <w:r>
        <w:rPr>
          <w:rFonts w:hint="eastAsia" w:ascii="仿宋" w:hAnsi="仿宋"/>
          <w:color w:val="auto"/>
          <w:szCs w:val="40"/>
          <w:highlight w:val="none"/>
          <w:lang w:eastAsia="zh-CN"/>
        </w:rPr>
        <w:t>致贫返贫</w:t>
      </w:r>
      <w:r>
        <w:rPr>
          <w:rFonts w:hint="eastAsia" w:ascii="仿宋" w:hAnsi="仿宋"/>
          <w:color w:val="auto"/>
          <w:szCs w:val="40"/>
          <w:highlight w:val="none"/>
        </w:rPr>
        <w:t>的实施意见》。2018年以来分流域梯度推进乡村振兴战略，高质量打造大渡河流域乡村振兴示范区建设，创建省级乡村振兴先进乡镇4个、示范村54个，创建州级乡村振兴先进县7个、先进乡镇30个、示范村218个，加快建设现代农业“10</w:t>
      </w:r>
      <w:r>
        <w:rPr>
          <w:rFonts w:hint="eastAsia" w:ascii="仿宋" w:hAnsi="仿宋"/>
          <w:color w:val="auto"/>
          <w:szCs w:val="40"/>
          <w:highlight w:val="none"/>
          <w:lang w:eastAsia="zh-CN"/>
        </w:rPr>
        <w:t>＋</w:t>
      </w:r>
      <w:r>
        <w:rPr>
          <w:rFonts w:hint="eastAsia" w:ascii="仿宋" w:hAnsi="仿宋"/>
          <w:color w:val="auto"/>
          <w:szCs w:val="40"/>
          <w:highlight w:val="none"/>
        </w:rPr>
        <w:t>2”产业体系，大力发展蔬、果、菌、药、茶等优势特色产业，建成特色农林产业基地204.94万亩，启动建设现代农业园区28个，创建省级现代农业园区4个、州级现代农业园区15个。</w:t>
      </w:r>
    </w:p>
    <w:p>
      <w:pPr>
        <w:pStyle w:val="5"/>
        <w:tabs>
          <w:tab w:val="clear" w:pos="0"/>
        </w:tabs>
        <w:suppressAutoHyphens w:val="0"/>
        <w:snapToGrid w:val="0"/>
        <w:spacing w:before="0" w:after="0" w:line="360" w:lineRule="auto"/>
        <w:ind w:firstLine="643" w:firstLineChars="200"/>
        <w:jc w:val="left"/>
        <w:rPr>
          <w:rFonts w:hint="eastAsia" w:ascii="楷体" w:hAnsi="楷体" w:eastAsia="楷体" w:cs="黑体"/>
          <w:bCs w:val="0"/>
          <w:color w:val="auto"/>
          <w:kern w:val="0"/>
          <w:highlight w:val="none"/>
        </w:rPr>
      </w:pPr>
      <w:bookmarkStart w:id="21" w:name="_Toc12762"/>
      <w:bookmarkStart w:id="22" w:name="_Toc24779"/>
      <w:bookmarkStart w:id="23" w:name="_Toc33"/>
      <w:r>
        <w:rPr>
          <w:rFonts w:hint="eastAsia" w:ascii="楷体" w:hAnsi="楷体" w:eastAsia="楷体" w:cs="黑体"/>
          <w:bCs w:val="0"/>
          <w:color w:val="auto"/>
          <w:kern w:val="0"/>
          <w:highlight w:val="none"/>
        </w:rPr>
        <w:t>二、“十四五”面临形势</w:t>
      </w:r>
      <w:bookmarkEnd w:id="21"/>
      <w:bookmarkEnd w:id="22"/>
      <w:bookmarkEnd w:id="23"/>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rPr>
          <w:rFonts w:hint="eastAsia" w:ascii="仿宋" w:hAnsi="仿宋" w:cs="仿宋_GB2312"/>
          <w:b w:val="0"/>
          <w:bCs w:val="0"/>
          <w:color w:val="auto"/>
          <w:highlight w:val="none"/>
        </w:rPr>
      </w:pPr>
      <w:bookmarkStart w:id="24" w:name="_Toc13098"/>
      <w:bookmarkStart w:id="25" w:name="_Toc14950"/>
      <w:r>
        <w:rPr>
          <w:rFonts w:hint="eastAsia" w:ascii="仿宋" w:hAnsi="仿宋" w:cs="仿宋_GB2312"/>
          <w:b w:val="0"/>
          <w:bCs w:val="0"/>
          <w:color w:val="auto"/>
          <w:highlight w:val="none"/>
        </w:rPr>
        <w:t>从甘孜州发展全局</w:t>
      </w:r>
      <w:r>
        <w:rPr>
          <w:rFonts w:hint="eastAsia" w:ascii="仿宋" w:hAnsi="仿宋" w:cs="仿宋_GB2312"/>
          <w:b w:val="0"/>
          <w:bCs w:val="0"/>
          <w:color w:val="auto"/>
          <w:highlight w:val="none"/>
          <w:lang w:val="en-US" w:eastAsia="zh-CN"/>
        </w:rPr>
        <w:t>来</w:t>
      </w:r>
      <w:r>
        <w:rPr>
          <w:rFonts w:hint="eastAsia" w:ascii="仿宋" w:hAnsi="仿宋" w:cs="仿宋_GB2312"/>
          <w:b w:val="0"/>
          <w:bCs w:val="0"/>
          <w:color w:val="auto"/>
          <w:highlight w:val="none"/>
        </w:rPr>
        <w:t>看，“十四五”期间呈现“六期叠加”</w:t>
      </w:r>
      <w:r>
        <w:rPr>
          <w:rStyle w:val="30"/>
          <w:rFonts w:hint="eastAsia" w:ascii="仿宋" w:hAnsi="仿宋" w:cs="仿宋_GB2312"/>
          <w:b w:val="0"/>
          <w:bCs w:val="0"/>
          <w:color w:val="auto"/>
          <w:highlight w:val="none"/>
        </w:rPr>
        <w:footnoteReference w:id="0"/>
      </w:r>
      <w:r>
        <w:rPr>
          <w:rFonts w:hint="eastAsia" w:ascii="仿宋" w:hAnsi="仿宋" w:cs="仿宋_GB2312"/>
          <w:b w:val="0"/>
          <w:bCs w:val="0"/>
          <w:color w:val="auto"/>
          <w:highlight w:val="none"/>
        </w:rPr>
        <w:t>的阶段特征；从巩固拓展脱贫攻坚成果同乡村振兴有效衔接看，“十四五”期间呈现“九性并存”</w:t>
      </w:r>
      <w:r>
        <w:rPr>
          <w:rStyle w:val="30"/>
          <w:rFonts w:hint="eastAsia" w:ascii="仿宋" w:hAnsi="仿宋" w:cs="仿宋_GB2312"/>
          <w:b w:val="0"/>
          <w:bCs w:val="0"/>
          <w:color w:val="auto"/>
          <w:highlight w:val="none"/>
        </w:rPr>
        <w:footnoteReference w:id="1"/>
      </w:r>
      <w:r>
        <w:rPr>
          <w:rFonts w:hint="eastAsia" w:ascii="仿宋" w:hAnsi="仿宋" w:cs="仿宋_GB2312"/>
          <w:b w:val="0"/>
          <w:bCs w:val="0"/>
          <w:color w:val="auto"/>
          <w:highlight w:val="none"/>
        </w:rPr>
        <w:t>的阶段特性。立足新阶段特征特性，“十四五”时期巩固拓展脱贫攻坚成果同乡村振兴有效衔接</w:t>
      </w:r>
      <w:r>
        <w:rPr>
          <w:rFonts w:hint="eastAsia" w:ascii="仿宋" w:hAnsi="仿宋" w:cs="仿宋_GB2312"/>
          <w:b w:val="0"/>
          <w:bCs w:val="0"/>
          <w:color w:val="auto"/>
          <w:highlight w:val="none"/>
          <w:lang w:val="en-US" w:eastAsia="zh-CN"/>
        </w:rPr>
        <w:t>工作面临一系列重大机遇，同时也存在稳岗就业压力大、生态脆弱自然灾害频发、基础设施滞后、人才瓶颈制约严重、基层社会治理能力不足等问题短板，需要以更有力的举措、汇聚更强大的力量来巩固脱贫攻坚成果、全面推进乡村振兴，</w:t>
      </w:r>
      <w:r>
        <w:rPr>
          <w:rFonts w:hint="eastAsia" w:ascii="仿宋" w:hAnsi="仿宋" w:cs="仿宋_GB2312"/>
          <w:b w:val="0"/>
          <w:bCs w:val="0"/>
          <w:color w:val="auto"/>
          <w:highlight w:val="none"/>
        </w:rPr>
        <w:t>助力建设团结富裕和谐美丽社会主义现代化新甘孜。</w:t>
      </w:r>
    </w:p>
    <w:p>
      <w:pPr>
        <w:pStyle w:val="6"/>
        <w:keepNext/>
        <w:keepLines/>
        <w:pageBreakBefore w:val="0"/>
        <w:widowControl w:val="0"/>
        <w:kinsoku/>
        <w:wordWrap/>
        <w:overflowPunct/>
        <w:topLinePunct w:val="0"/>
        <w:autoSpaceDE/>
        <w:autoSpaceDN/>
        <w:bidi w:val="0"/>
        <w:adjustRightInd/>
        <w:snapToGrid/>
        <w:spacing w:before="0" w:after="0" w:line="620" w:lineRule="exact"/>
        <w:ind w:firstLine="643" w:firstLineChars="200"/>
        <w:textAlignment w:val="auto"/>
        <w:rPr>
          <w:rFonts w:hint="eastAsia" w:ascii="楷体" w:hAnsi="楷体" w:eastAsia="楷体" w:cs="楷体"/>
          <w:color w:val="auto"/>
        </w:rPr>
      </w:pPr>
      <w:bookmarkStart w:id="26" w:name="_Toc2762"/>
      <w:r>
        <w:rPr>
          <w:rFonts w:hint="eastAsia" w:ascii="楷体" w:hAnsi="楷体" w:eastAsia="楷体" w:cs="楷体"/>
          <w:color w:val="auto"/>
          <w:lang w:eastAsia="zh-CN"/>
        </w:rPr>
        <w:t>（</w:t>
      </w:r>
      <w:r>
        <w:rPr>
          <w:rFonts w:hint="eastAsia" w:ascii="楷体" w:hAnsi="楷体" w:eastAsia="楷体" w:cs="楷体"/>
          <w:color w:val="auto"/>
          <w:lang w:val="en-US" w:eastAsia="zh-CN"/>
        </w:rPr>
        <w:t>一</w:t>
      </w:r>
      <w:r>
        <w:rPr>
          <w:rFonts w:hint="eastAsia" w:ascii="楷体" w:hAnsi="楷体" w:eastAsia="楷体" w:cs="楷体"/>
          <w:color w:val="auto"/>
          <w:lang w:eastAsia="zh-CN"/>
        </w:rPr>
        <w:t>）</w:t>
      </w:r>
      <w:r>
        <w:rPr>
          <w:rFonts w:hint="eastAsia" w:ascii="楷体" w:hAnsi="楷体" w:eastAsia="楷体" w:cs="楷体"/>
          <w:color w:val="auto"/>
        </w:rPr>
        <w:t>发展机遇</w:t>
      </w:r>
      <w:bookmarkEnd w:id="26"/>
    </w:p>
    <w:p>
      <w:pPr>
        <w:pStyle w:val="10"/>
        <w:ind w:left="0" w:leftChars="0" w:firstLine="643" w:firstLineChars="200"/>
        <w:rPr>
          <w:rFonts w:ascii="仿宋" w:hAnsi="仿宋"/>
          <w:color w:val="auto"/>
          <w:szCs w:val="40"/>
        </w:rPr>
      </w:pPr>
      <w:r>
        <w:rPr>
          <w:rFonts w:hint="eastAsia" w:ascii="仿宋" w:hAnsi="仿宋"/>
          <w:b/>
          <w:bCs/>
          <w:color w:val="auto"/>
          <w:szCs w:val="40"/>
          <w:lang w:val="en-US" w:eastAsia="zh-CN"/>
        </w:rPr>
        <w:t>新时代战略交汇叠加为“巩固拓展脱贫攻坚成果，有效衔接乡村振兴”提供政策保障</w:t>
      </w:r>
      <w:r>
        <w:rPr>
          <w:rFonts w:hint="eastAsia" w:ascii="仿宋" w:hAnsi="仿宋"/>
          <w:b w:val="0"/>
          <w:bCs w:val="0"/>
          <w:color w:val="auto"/>
          <w:szCs w:val="40"/>
          <w:lang w:val="en-US" w:eastAsia="zh-CN"/>
        </w:rPr>
        <w:t>。</w:t>
      </w:r>
      <w:r>
        <w:rPr>
          <w:rFonts w:hint="eastAsia" w:ascii="仿宋" w:hAnsi="仿宋"/>
          <w:color w:val="auto"/>
          <w:szCs w:val="40"/>
        </w:rPr>
        <w:t>甘孜州作为涉藏地区、民族地区、我国“三区三州”脱贫地区，虽然已摆脱绝对贫困和区域性贫困，但由于特殊的自然、地理、社会条件，</w:t>
      </w:r>
      <w:r>
        <w:rPr>
          <w:rFonts w:hint="eastAsia" w:ascii="仿宋" w:hAnsi="仿宋"/>
          <w:color w:val="auto"/>
          <w:szCs w:val="40"/>
          <w:lang w:eastAsia="zh-CN"/>
        </w:rPr>
        <w:t>返（致）贫</w:t>
      </w:r>
      <w:r>
        <w:rPr>
          <w:rFonts w:hint="eastAsia" w:ascii="仿宋" w:hAnsi="仿宋"/>
          <w:color w:val="auto"/>
          <w:szCs w:val="40"/>
        </w:rPr>
        <w:t>风险依然较高，为此，中央和四川省将全州所有县（市）均列入乡村振兴重点帮扶县</w:t>
      </w:r>
      <w:r>
        <w:rPr>
          <w:rFonts w:hint="eastAsia" w:ascii="仿宋" w:hAnsi="仿宋"/>
          <w:color w:val="auto"/>
          <w:szCs w:val="40"/>
          <w:lang w:eastAsia="zh-CN"/>
        </w:rPr>
        <w:t>。</w:t>
      </w:r>
      <w:r>
        <w:rPr>
          <w:rFonts w:hint="eastAsia" w:ascii="仿宋" w:hAnsi="仿宋"/>
          <w:b w:val="0"/>
          <w:bCs w:val="0"/>
          <w:color w:val="auto"/>
          <w:szCs w:val="40"/>
          <w:lang w:val="en-US" w:eastAsia="zh-CN"/>
        </w:rPr>
        <w:t>党的二十大报告提出“全面推进乡村振兴，坚持农业农村优先发展，巩固拓展脱贫攻坚成果”，</w:t>
      </w:r>
      <w:r>
        <w:rPr>
          <w:rFonts w:hint="eastAsia" w:ascii="仿宋" w:hAnsi="仿宋"/>
          <w:color w:val="auto"/>
          <w:szCs w:val="40"/>
        </w:rPr>
        <w:t>未来五年将继续得到国家、省委省政府的特殊关怀和倾斜支持，政策红利和发展机遇巨大。</w:t>
      </w:r>
    </w:p>
    <w:p>
      <w:pPr>
        <w:pStyle w:val="10"/>
        <w:ind w:left="0" w:leftChars="0" w:firstLine="643" w:firstLineChars="200"/>
        <w:rPr>
          <w:rFonts w:hint="eastAsia" w:ascii="仿宋" w:hAnsi="仿宋"/>
          <w:b/>
          <w:bCs/>
          <w:color w:val="auto"/>
          <w:szCs w:val="40"/>
          <w:lang w:val="en-US" w:eastAsia="zh-CN"/>
        </w:rPr>
      </w:pPr>
      <w:r>
        <w:rPr>
          <w:rFonts w:hint="eastAsia" w:ascii="仿宋" w:hAnsi="仿宋"/>
          <w:b/>
          <w:bCs/>
          <w:color w:val="auto"/>
          <w:szCs w:val="40"/>
          <w:lang w:val="en-US" w:eastAsia="zh-CN"/>
        </w:rPr>
        <w:t>主动融入国家战略新格局为</w:t>
      </w:r>
      <w:r>
        <w:rPr>
          <w:rFonts w:hint="eastAsia" w:ascii="仿宋" w:hAnsi="仿宋"/>
          <w:b/>
          <w:bCs/>
          <w:color w:val="auto"/>
          <w:szCs w:val="40"/>
          <w:lang w:val="en-US" w:eastAsia="zh-Hans"/>
        </w:rPr>
        <w:t>“巩固拓展脱贫攻坚成果，有效衔接乡村振兴”</w:t>
      </w:r>
      <w:r>
        <w:rPr>
          <w:rFonts w:hint="eastAsia" w:ascii="仿宋" w:hAnsi="仿宋"/>
          <w:b/>
          <w:bCs/>
          <w:color w:val="auto"/>
          <w:szCs w:val="40"/>
          <w:lang w:val="en-US" w:eastAsia="zh-CN"/>
        </w:rPr>
        <w:t>提供动力源泉。</w:t>
      </w:r>
      <w:r>
        <w:rPr>
          <w:rFonts w:hint="eastAsia" w:ascii="仿宋" w:hAnsi="仿宋"/>
          <w:b w:val="0"/>
          <w:bCs w:val="0"/>
          <w:color w:val="auto"/>
          <w:szCs w:val="40"/>
          <w:lang w:val="en-US" w:eastAsia="zh-CN"/>
        </w:rPr>
        <w:t>国家构建以国内大循环为主体、国内国际双循环相互促进的新发展格局，国家“一带一路”建设、新时代西部大开发、长江经济带发展、黄河流域生态保护和高质量发展、成渝地区双城经济圈建设、全省“一干多支、五区协同”发展等国、省、地区重大战略的实施，为甘孜州经济社会发展指明了前进方向、提供了根本遵循、注入了强劲动力。新一轮东西部协作，浙江省杭州市、金华市、台州市各区（市、县）将在干部选派、资金支持、产业就业帮扶等方面加大支持，实现更高效率的协作发展、更深程度的互利共赢，更快地促进农牧民共同富裕。</w:t>
      </w:r>
    </w:p>
    <w:p>
      <w:pPr>
        <w:ind w:firstLine="643" w:firstLineChars="200"/>
        <w:rPr>
          <w:rFonts w:hint="eastAsia" w:ascii="仿宋" w:hAnsi="仿宋"/>
          <w:color w:val="auto"/>
          <w:szCs w:val="40"/>
          <w:lang w:val="en-US" w:eastAsia="zh-CN"/>
        </w:rPr>
      </w:pPr>
      <w:r>
        <w:rPr>
          <w:rFonts w:hint="eastAsia" w:ascii="仿宋" w:hAnsi="仿宋"/>
          <w:b/>
          <w:bCs/>
          <w:color w:val="auto"/>
          <w:szCs w:val="40"/>
          <w:lang w:val="en-US" w:eastAsia="zh-CN"/>
        </w:rPr>
        <w:t>新常态下推进民族团结为“巩固拓展脱贫攻坚成果，有效衔接乡村振兴”提供良好社会环境。</w:t>
      </w:r>
      <w:r>
        <w:rPr>
          <w:rFonts w:hint="eastAsia" w:ascii="仿宋" w:hAnsi="仿宋"/>
          <w:color w:val="auto"/>
          <w:szCs w:val="40"/>
          <w:lang w:val="en-US" w:eastAsia="zh-CN"/>
        </w:rPr>
        <w:t>甘孜州是全省第一个把民族团结进步上升到立法层面并制定民族团结进步条例的地区。州委、州政府把创建“全国民族团结进步示范州”作为全州各级各部门重要政治任务，确保党中央和省委决策部署落地落实。开展“铸牢中华民族共同体意识民族团结进家庭”实践行动，始终以创建全国民族团结进步示范州为载体，持续做好促进民族团结和维护社会稳定工作，切实把民族团结进步事业融入全州经济社会发展全过程，为建设团结富裕和谐美丽社会主义现代化新甘孜提供了重要支撑。</w:t>
      </w:r>
    </w:p>
    <w:p>
      <w:pPr>
        <w:pStyle w:val="10"/>
        <w:ind w:left="0" w:leftChars="0" w:firstLine="643" w:firstLineChars="200"/>
        <w:rPr>
          <w:rFonts w:hint="default" w:ascii="仿宋" w:hAnsi="仿宋"/>
          <w:color w:val="auto"/>
          <w:szCs w:val="40"/>
          <w:lang w:val="en-US" w:eastAsia="zh-CN"/>
        </w:rPr>
      </w:pPr>
      <w:r>
        <w:rPr>
          <w:rFonts w:hint="default" w:ascii="仿宋" w:hAnsi="仿宋"/>
          <w:b/>
          <w:bCs/>
          <w:color w:val="auto"/>
          <w:szCs w:val="40"/>
          <w:lang w:val="en-US" w:eastAsia="zh-CN"/>
        </w:rPr>
        <w:t>综合交通体系跨越式发展为“巩固拓展脱贫攻坚成果，有效衔接乡村振兴”提供基础保障</w:t>
      </w:r>
      <w:r>
        <w:rPr>
          <w:rFonts w:hint="default" w:ascii="仿宋" w:hAnsi="仿宋"/>
          <w:color w:val="auto"/>
          <w:szCs w:val="40"/>
          <w:lang w:val="en-US" w:eastAsia="zh-CN"/>
        </w:rPr>
        <w:t>。《甘孜藏族自治州国民经济和社会发展第十四个五年规划和二〇三五年远景目标纲要》明确大力实施交通先行战略，加快补齐交通基础设施短板，随着川藏铁路、雅叶高速、S73泸定至石棉、S83马尔康至康定、G549九龙至石棉段的相继建设，为加速对接成渝城市群等提供了重要机会，甘孜州将构建起对外开放新格局，加速融入成渝地区双城经济圈交通一体化。</w:t>
      </w:r>
    </w:p>
    <w:p>
      <w:pPr>
        <w:pStyle w:val="6"/>
        <w:keepNext/>
        <w:keepLines/>
        <w:pageBreakBefore w:val="0"/>
        <w:widowControl w:val="0"/>
        <w:kinsoku/>
        <w:wordWrap/>
        <w:overflowPunct/>
        <w:topLinePunct w:val="0"/>
        <w:autoSpaceDE/>
        <w:autoSpaceDN/>
        <w:bidi w:val="0"/>
        <w:adjustRightInd/>
        <w:snapToGrid/>
        <w:spacing w:before="0" w:after="0" w:line="620" w:lineRule="exact"/>
        <w:ind w:firstLine="643" w:firstLineChars="200"/>
        <w:textAlignment w:val="auto"/>
        <w:rPr>
          <w:rFonts w:hint="default" w:ascii="楷体" w:hAnsi="楷体" w:eastAsia="楷体" w:cs="楷体"/>
          <w:color w:val="auto"/>
          <w:lang w:val="en-US" w:eastAsia="zh-CN"/>
        </w:rPr>
      </w:pPr>
      <w:bookmarkStart w:id="27" w:name="_Toc22102"/>
      <w:r>
        <w:rPr>
          <w:rFonts w:hint="eastAsia" w:ascii="楷体" w:hAnsi="楷体" w:eastAsia="楷体" w:cs="楷体"/>
          <w:color w:val="auto"/>
          <w:lang w:eastAsia="zh-CN"/>
        </w:rPr>
        <w:t>（</w:t>
      </w:r>
      <w:r>
        <w:rPr>
          <w:rFonts w:hint="eastAsia" w:ascii="楷体" w:hAnsi="楷体" w:eastAsia="楷体" w:cs="楷体"/>
          <w:color w:val="auto"/>
          <w:lang w:val="en-US" w:eastAsia="zh-CN"/>
        </w:rPr>
        <w:t>二</w:t>
      </w:r>
      <w:r>
        <w:rPr>
          <w:rFonts w:hint="eastAsia" w:ascii="楷体" w:hAnsi="楷体" w:eastAsia="楷体" w:cs="楷体"/>
          <w:color w:val="auto"/>
          <w:lang w:eastAsia="zh-CN"/>
        </w:rPr>
        <w:t>）</w:t>
      </w:r>
      <w:bookmarkEnd w:id="27"/>
      <w:r>
        <w:rPr>
          <w:rFonts w:hint="eastAsia" w:ascii="楷体" w:hAnsi="楷体" w:eastAsia="楷体" w:cs="楷体"/>
          <w:color w:val="auto"/>
          <w:lang w:val="en-US" w:eastAsia="zh-CN"/>
        </w:rPr>
        <w:t>问题短板</w:t>
      </w:r>
    </w:p>
    <w:p>
      <w:pPr>
        <w:keepNext w:val="0"/>
        <w:keepLines w:val="0"/>
        <w:pageBreakBefore w:val="0"/>
        <w:widowControl w:val="0"/>
        <w:kinsoku/>
        <w:wordWrap/>
        <w:overflowPunct/>
        <w:topLinePunct w:val="0"/>
        <w:autoSpaceDE/>
        <w:autoSpaceDN/>
        <w:bidi w:val="0"/>
        <w:adjustRightInd/>
        <w:snapToGrid w:val="0"/>
        <w:spacing w:line="360" w:lineRule="auto"/>
        <w:ind w:firstLine="643" w:firstLineChars="200"/>
        <w:textAlignment w:val="auto"/>
        <w:rPr>
          <w:rFonts w:hint="eastAsia" w:ascii="仿宋" w:hAnsi="仿宋" w:eastAsia="仿宋" w:cs="仿宋_GB2312"/>
          <w:b/>
          <w:bCs/>
          <w:color w:val="auto"/>
          <w:highlight w:val="none"/>
          <w:lang w:val="en-US" w:eastAsia="zh-CN"/>
        </w:rPr>
      </w:pPr>
      <w:r>
        <w:rPr>
          <w:rFonts w:hint="eastAsia" w:ascii="仿宋" w:hAnsi="仿宋" w:cs="仿宋_GB2312"/>
          <w:b/>
          <w:bCs/>
          <w:color w:val="auto"/>
          <w:highlight w:val="none"/>
          <w:lang w:val="en-US" w:eastAsia="zh-CN"/>
        </w:rPr>
        <w:t>脱贫成果巩固拓展还需加劲</w:t>
      </w:r>
      <w:r>
        <w:rPr>
          <w:rFonts w:hint="eastAsia" w:ascii="仿宋" w:hAnsi="仿宋" w:cs="仿宋_GB2312"/>
          <w:b w:val="0"/>
          <w:bCs w:val="0"/>
          <w:color w:val="auto"/>
          <w:highlight w:val="none"/>
          <w:lang w:val="en-US" w:eastAsia="zh-CN"/>
        </w:rPr>
        <w:t>。一是致贫返贫风险较高。</w:t>
      </w:r>
      <w:r>
        <w:rPr>
          <w:rFonts w:hint="eastAsia" w:ascii="仿宋" w:hAnsi="仿宋" w:cs="仿宋_GB2312"/>
          <w:bCs/>
          <w:color w:val="auto"/>
          <w:highlight w:val="none"/>
        </w:rPr>
        <w:t>脱贫户转移性收入占</w:t>
      </w:r>
      <w:r>
        <w:rPr>
          <w:rFonts w:hint="eastAsia" w:ascii="仿宋" w:hAnsi="仿宋" w:cs="仿宋_GB2312"/>
          <w:bCs/>
          <w:color w:val="auto"/>
          <w:highlight w:val="none"/>
          <w:lang w:val="en-US" w:eastAsia="zh-CN"/>
        </w:rPr>
        <w:t>比相对较低</w:t>
      </w:r>
      <w:r>
        <w:rPr>
          <w:rFonts w:hint="eastAsia" w:ascii="仿宋" w:hAnsi="仿宋" w:cs="仿宋_GB2312"/>
          <w:bCs/>
          <w:color w:val="auto"/>
          <w:highlight w:val="none"/>
        </w:rPr>
        <w:t>，政策性补贴依赖强、稳定脱贫</w:t>
      </w:r>
      <w:r>
        <w:rPr>
          <w:rFonts w:hint="eastAsia" w:ascii="仿宋" w:hAnsi="仿宋" w:cs="仿宋_GB2312"/>
          <w:bCs/>
          <w:color w:val="auto"/>
          <w:highlight w:val="none"/>
          <w:lang w:val="en-US" w:eastAsia="zh-CN"/>
        </w:rPr>
        <w:t>较</w:t>
      </w:r>
      <w:r>
        <w:rPr>
          <w:rFonts w:hint="eastAsia" w:ascii="仿宋" w:hAnsi="仿宋" w:cs="仿宋_GB2312"/>
          <w:bCs/>
          <w:color w:val="auto"/>
          <w:highlight w:val="none"/>
        </w:rPr>
        <w:t>难。脱贫不稳定户、边缘易致贫户、突发</w:t>
      </w:r>
      <w:r>
        <w:rPr>
          <w:rFonts w:ascii="仿宋" w:hAnsi="仿宋" w:cs="仿宋_GB2312"/>
          <w:bCs/>
          <w:color w:val="auto"/>
          <w:highlight w:val="none"/>
        </w:rPr>
        <w:t>严重困难户</w:t>
      </w:r>
      <w:r>
        <w:rPr>
          <w:rFonts w:hint="eastAsia" w:ascii="仿宋" w:hAnsi="仿宋" w:cs="仿宋_GB2312"/>
          <w:bCs/>
          <w:color w:val="auto"/>
          <w:highlight w:val="none"/>
        </w:rPr>
        <w:t>收入来源有限，其抵御自然灾害、伤病等风险的能力较弱；村集体经济量小质弱，产业助农增收能力不强，本地产业造血功能不足，就业增收局面未完全打开，稳岗就业压力大</w:t>
      </w:r>
      <w:r>
        <w:rPr>
          <w:rFonts w:hint="eastAsia" w:ascii="仿宋" w:hAnsi="仿宋" w:cs="仿宋_GB2312"/>
          <w:bCs/>
          <w:color w:val="auto"/>
          <w:highlight w:val="none"/>
          <w:lang w:eastAsia="zh-CN"/>
        </w:rPr>
        <w:t>，稳定脱贫长效机制有待完善</w:t>
      </w:r>
      <w:r>
        <w:rPr>
          <w:rFonts w:hint="eastAsia" w:ascii="仿宋" w:hAnsi="仿宋" w:cs="仿宋_GB2312"/>
          <w:bCs/>
          <w:color w:val="auto"/>
          <w:highlight w:val="none"/>
        </w:rPr>
        <w:t>。</w:t>
      </w:r>
      <w:r>
        <w:rPr>
          <w:rFonts w:hint="eastAsia" w:ascii="仿宋" w:hAnsi="仿宋" w:cs="仿宋_GB2312"/>
          <w:bCs/>
          <w:color w:val="auto"/>
          <w:highlight w:val="none"/>
          <w:lang w:val="en-US" w:eastAsia="zh-CN"/>
        </w:rPr>
        <w:t>二是</w:t>
      </w:r>
      <w:r>
        <w:rPr>
          <w:rFonts w:hint="eastAsia" w:ascii="仿宋" w:hAnsi="仿宋" w:cs="仿宋_GB2312"/>
          <w:bCs/>
          <w:color w:val="auto"/>
          <w:highlight w:val="none"/>
          <w:lang w:eastAsia="zh-CN"/>
        </w:rPr>
        <w:t>“</w:t>
      </w:r>
      <w:r>
        <w:rPr>
          <w:rFonts w:hint="eastAsia" w:ascii="仿宋" w:hAnsi="仿宋" w:cs="仿宋_GB2312"/>
          <w:bCs/>
          <w:color w:val="auto"/>
          <w:highlight w:val="none"/>
          <w:lang w:val="en-US" w:eastAsia="zh-CN"/>
        </w:rPr>
        <w:t>三保障</w:t>
      </w:r>
      <w:r>
        <w:rPr>
          <w:rFonts w:hint="eastAsia" w:ascii="仿宋" w:hAnsi="仿宋" w:cs="仿宋_GB2312"/>
          <w:bCs/>
          <w:color w:val="auto"/>
          <w:highlight w:val="none"/>
          <w:lang w:eastAsia="zh-CN"/>
        </w:rPr>
        <w:t>”</w:t>
      </w:r>
      <w:r>
        <w:rPr>
          <w:rFonts w:hint="eastAsia" w:ascii="仿宋" w:hAnsi="仿宋" w:cs="仿宋_GB2312"/>
          <w:bCs/>
          <w:color w:val="auto"/>
          <w:highlight w:val="none"/>
          <w:lang w:val="en-US" w:eastAsia="zh-CN"/>
        </w:rPr>
        <w:t>和饮水安全需进一步巩固加强。</w:t>
      </w:r>
      <w:r>
        <w:rPr>
          <w:rFonts w:hint="eastAsia" w:ascii="仿宋" w:hAnsi="仿宋"/>
          <w:color w:val="auto"/>
          <w:szCs w:val="40"/>
        </w:rPr>
        <w:t>教育基础薄弱，教学质量亟待</w:t>
      </w:r>
      <w:r>
        <w:rPr>
          <w:rFonts w:hint="eastAsia" w:ascii="仿宋" w:hAnsi="仿宋" w:cs="仿宋_GB2312"/>
          <w:bCs/>
          <w:color w:val="auto"/>
          <w:highlight w:val="none"/>
        </w:rPr>
        <w:t>提升，教师流失较为严重</w:t>
      </w:r>
      <w:r>
        <w:rPr>
          <w:rFonts w:hint="eastAsia" w:ascii="仿宋" w:hAnsi="仿宋" w:cs="仿宋_GB2312"/>
          <w:bCs/>
          <w:color w:val="auto"/>
          <w:highlight w:val="none"/>
          <w:lang w:eastAsia="zh-CN"/>
        </w:rPr>
        <w:t>，</w:t>
      </w:r>
      <w:r>
        <w:rPr>
          <w:rFonts w:hint="eastAsia" w:ascii="仿宋" w:hAnsi="仿宋" w:cs="仿宋_GB2312"/>
          <w:bCs/>
          <w:color w:val="auto"/>
          <w:highlight w:val="none"/>
          <w:lang w:val="en-US" w:eastAsia="zh-CN"/>
        </w:rPr>
        <w:t>师资队伍建设需进一步巩固加强</w:t>
      </w:r>
      <w:r>
        <w:rPr>
          <w:rFonts w:hint="eastAsia" w:ascii="仿宋" w:hAnsi="仿宋" w:cs="仿宋_GB2312"/>
          <w:bCs/>
          <w:color w:val="auto"/>
          <w:highlight w:val="none"/>
        </w:rPr>
        <w:t>。医疗保障不足，县域内医疗服务作用发挥不足且发展不平衡，医疗卫生质量整体偏低</w:t>
      </w:r>
      <w:r>
        <w:rPr>
          <w:rFonts w:hint="eastAsia" w:ascii="仿宋" w:hAnsi="仿宋" w:cs="仿宋_GB2312"/>
          <w:bCs/>
          <w:color w:val="auto"/>
          <w:highlight w:val="none"/>
          <w:lang w:eastAsia="zh-CN"/>
        </w:rPr>
        <w:t>，</w:t>
      </w:r>
      <w:r>
        <w:rPr>
          <w:rFonts w:hint="eastAsia" w:ascii="仿宋" w:hAnsi="仿宋" w:cs="仿宋_GB2312"/>
          <w:bCs/>
          <w:color w:val="auto"/>
          <w:highlight w:val="none"/>
        </w:rPr>
        <w:t>公共卫生应急基础薄弱</w:t>
      </w:r>
      <w:r>
        <w:rPr>
          <w:rFonts w:hint="eastAsia" w:ascii="仿宋" w:hAnsi="仿宋" w:cs="仿宋_GB2312"/>
          <w:bCs/>
          <w:color w:val="auto"/>
          <w:highlight w:val="none"/>
          <w:lang w:eastAsia="zh-CN"/>
        </w:rPr>
        <w:t>，</w:t>
      </w:r>
      <w:r>
        <w:rPr>
          <w:rFonts w:hint="eastAsia" w:ascii="仿宋" w:hAnsi="仿宋" w:cs="仿宋_GB2312"/>
          <w:bCs/>
          <w:color w:val="auto"/>
          <w:highlight w:val="none"/>
          <w:lang w:val="en-US" w:eastAsia="zh-CN"/>
        </w:rPr>
        <w:t>医疗人才培训亟需加强</w:t>
      </w:r>
      <w:r>
        <w:rPr>
          <w:rFonts w:hint="eastAsia" w:ascii="仿宋" w:hAnsi="仿宋" w:cs="仿宋_GB2312"/>
          <w:bCs/>
          <w:color w:val="auto"/>
          <w:highlight w:val="none"/>
        </w:rPr>
        <w:t>。</w:t>
      </w:r>
      <w:r>
        <w:rPr>
          <w:rFonts w:hint="eastAsia" w:ascii="仿宋" w:hAnsi="仿宋" w:cs="仿宋_GB2312"/>
          <w:bCs/>
          <w:color w:val="auto"/>
          <w:highlight w:val="none"/>
          <w:lang w:val="en-US" w:eastAsia="zh-CN"/>
        </w:rPr>
        <w:t>偏远地区部分农村住房存在抗风险能力弱问</w:t>
      </w:r>
      <w:r>
        <w:rPr>
          <w:rFonts w:hint="eastAsia" w:ascii="仿宋" w:hAnsi="仿宋"/>
          <w:color w:val="auto"/>
          <w:szCs w:val="40"/>
          <w:lang w:val="en-US" w:eastAsia="zh-CN"/>
        </w:rPr>
        <w:t>题。农村饮用水未覆盖全面，管护机制需进一步强化。三是</w:t>
      </w:r>
      <w:r>
        <w:rPr>
          <w:rFonts w:hint="eastAsia" w:ascii="仿宋" w:hAnsi="仿宋"/>
          <w:color w:val="auto"/>
          <w:szCs w:val="40"/>
        </w:rPr>
        <w:t>易地扶贫搬迁后续</w:t>
      </w:r>
      <w:r>
        <w:rPr>
          <w:rFonts w:hint="eastAsia" w:ascii="仿宋" w:hAnsi="仿宋"/>
          <w:color w:val="auto"/>
          <w:szCs w:val="40"/>
          <w:lang w:val="en-US" w:eastAsia="zh-CN"/>
        </w:rPr>
        <w:t>产业发展、群众就业帮扶、安置点配套基础设施等需进一步完善。安置点产业发展后劲不足，</w:t>
      </w:r>
      <w:r>
        <w:rPr>
          <w:rFonts w:hint="eastAsia" w:ascii="仿宋" w:hAnsi="仿宋"/>
          <w:color w:val="auto"/>
          <w:szCs w:val="40"/>
        </w:rPr>
        <w:t>产业量少质弱状况仍未得到彻底改变</w:t>
      </w:r>
      <w:r>
        <w:rPr>
          <w:rFonts w:hint="eastAsia" w:ascii="仿宋" w:hAnsi="仿宋"/>
          <w:color w:val="auto"/>
          <w:szCs w:val="40"/>
          <w:lang w:eastAsia="zh-CN"/>
        </w:rPr>
        <w:t>，</w:t>
      </w:r>
      <w:r>
        <w:rPr>
          <w:rFonts w:hint="eastAsia" w:ascii="仿宋" w:hAnsi="仿宋"/>
          <w:color w:val="auto"/>
          <w:szCs w:val="40"/>
        </w:rPr>
        <w:t>搬迁户受益人数少</w:t>
      </w:r>
      <w:r>
        <w:rPr>
          <w:rFonts w:hint="eastAsia" w:ascii="仿宋" w:hAnsi="仿宋"/>
          <w:color w:val="auto"/>
          <w:szCs w:val="40"/>
          <w:lang w:eastAsia="zh-CN"/>
        </w:rPr>
        <w:t>，</w:t>
      </w:r>
      <w:r>
        <w:rPr>
          <w:rFonts w:hint="eastAsia" w:ascii="仿宋" w:hAnsi="仿宋"/>
          <w:color w:val="auto"/>
          <w:szCs w:val="40"/>
        </w:rPr>
        <w:t>搬迁群众劳动实用就业技能不足，转移就业和自主创业少</w:t>
      </w:r>
      <w:r>
        <w:rPr>
          <w:rFonts w:hint="eastAsia" w:ascii="仿宋" w:hAnsi="仿宋"/>
          <w:color w:val="auto"/>
          <w:szCs w:val="40"/>
          <w:lang w:eastAsia="zh-CN"/>
        </w:rPr>
        <w:t>，</w:t>
      </w:r>
      <w:r>
        <w:rPr>
          <w:rFonts w:hint="eastAsia" w:ascii="仿宋" w:hAnsi="仿宋"/>
          <w:color w:val="auto"/>
          <w:szCs w:val="40"/>
          <w:lang w:val="en-US" w:eastAsia="zh-CN"/>
        </w:rPr>
        <w:t>集中安置区</w:t>
      </w:r>
      <w:r>
        <w:rPr>
          <w:rFonts w:hint="eastAsia" w:ascii="仿宋" w:hAnsi="仿宋"/>
          <w:color w:val="auto"/>
          <w:szCs w:val="40"/>
        </w:rPr>
        <w:t>污水管网、无障碍设施、社区养老服务综合体、综合超市、社区药店、电商网点</w:t>
      </w:r>
      <w:r>
        <w:rPr>
          <w:rFonts w:hint="eastAsia" w:ascii="仿宋" w:hAnsi="仿宋"/>
          <w:color w:val="auto"/>
          <w:szCs w:val="40"/>
          <w:lang w:eastAsia="zh-CN"/>
        </w:rPr>
        <w:t>、</w:t>
      </w:r>
      <w:r>
        <w:rPr>
          <w:rFonts w:hint="eastAsia" w:ascii="仿宋" w:hAnsi="仿宋"/>
          <w:color w:val="auto"/>
          <w:szCs w:val="40"/>
        </w:rPr>
        <w:t>消防、治安等配套基础</w:t>
      </w:r>
      <w:r>
        <w:rPr>
          <w:rFonts w:hint="eastAsia" w:ascii="仿宋" w:hAnsi="仿宋"/>
          <w:color w:val="auto"/>
          <w:szCs w:val="40"/>
          <w:lang w:val="en-US" w:eastAsia="zh-CN"/>
        </w:rPr>
        <w:t>设施</w:t>
      </w:r>
      <w:r>
        <w:rPr>
          <w:rFonts w:hint="eastAsia" w:ascii="仿宋" w:hAnsi="仿宋"/>
          <w:color w:val="auto"/>
          <w:szCs w:val="40"/>
        </w:rPr>
        <w:t>和公共服务设施及便利生活配套服务设施需完善提升</w:t>
      </w:r>
      <w:r>
        <w:rPr>
          <w:rFonts w:hint="eastAsia" w:ascii="仿宋" w:hAnsi="仿宋"/>
          <w:color w:val="auto"/>
          <w:szCs w:val="40"/>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643" w:firstLineChars="200"/>
        <w:textAlignment w:val="auto"/>
        <w:rPr>
          <w:rFonts w:hint="eastAsia" w:ascii="仿宋" w:hAnsi="仿宋" w:cs="仿宋_GB2312"/>
          <w:b/>
          <w:bCs/>
          <w:color w:val="auto"/>
          <w:highlight w:val="none"/>
        </w:rPr>
      </w:pPr>
      <w:r>
        <w:rPr>
          <w:rFonts w:hint="eastAsia" w:ascii="仿宋" w:hAnsi="仿宋"/>
          <w:b/>
          <w:bCs/>
          <w:color w:val="auto"/>
          <w:szCs w:val="40"/>
          <w:lang w:val="en-US" w:eastAsia="zh-CN"/>
        </w:rPr>
        <w:t>产业链条和附加值有待进一步提升</w:t>
      </w:r>
      <w:r>
        <w:rPr>
          <w:rFonts w:hint="eastAsia" w:ascii="仿宋" w:hAnsi="仿宋"/>
          <w:b w:val="0"/>
          <w:bCs w:val="0"/>
          <w:color w:val="auto"/>
          <w:szCs w:val="40"/>
        </w:rPr>
        <w:t>。</w:t>
      </w:r>
      <w:r>
        <w:rPr>
          <w:rFonts w:hint="eastAsia" w:ascii="仿宋" w:hAnsi="仿宋"/>
          <w:b w:val="0"/>
          <w:bCs w:val="0"/>
          <w:color w:val="auto"/>
          <w:szCs w:val="40"/>
          <w:lang w:val="en-US" w:eastAsia="zh-CN"/>
        </w:rPr>
        <w:t>甘孜州优势特色产业虽已具备一定规模，但产业发展粗放，产业增长动力主要靠土地资源、自然生产和劳动投入，科技支撑体系不健全，科技含量不高。</w:t>
      </w:r>
      <w:r>
        <w:rPr>
          <w:rFonts w:hint="eastAsia" w:ascii="仿宋" w:hAnsi="仿宋"/>
          <w:color w:val="auto"/>
          <w:szCs w:val="40"/>
        </w:rPr>
        <w:t>甘孜州农业资源相对分散，以小农户分散经营和野生资源采集为主，</w:t>
      </w:r>
      <w:r>
        <w:rPr>
          <w:rFonts w:hint="eastAsia" w:ascii="仿宋" w:hAnsi="仿宋"/>
          <w:color w:val="auto"/>
          <w:szCs w:val="40"/>
          <w:lang w:val="en-US" w:eastAsia="zh-CN"/>
        </w:rPr>
        <w:t>远离市场主体，</w:t>
      </w:r>
      <w:r>
        <w:rPr>
          <w:rFonts w:hint="eastAsia" w:ascii="仿宋" w:hAnsi="仿宋"/>
          <w:color w:val="auto"/>
          <w:szCs w:val="40"/>
        </w:rPr>
        <w:t>合作经营、集体经济发展步伐缓慢，产业化水平不高；农业基础设施薄弱、农业机械化程度偏低；农业生产效率与效益偏低，高质量农产品比重不大，良好的生态优势未能有效转化为经济优势；产业链条短、产品附加值低，农业品牌知名度不高、竞争力差、经济收益偏低。</w:t>
      </w:r>
    </w:p>
    <w:p>
      <w:pPr>
        <w:keepNext w:val="0"/>
        <w:keepLines w:val="0"/>
        <w:pageBreakBefore w:val="0"/>
        <w:widowControl w:val="0"/>
        <w:kinsoku/>
        <w:wordWrap/>
        <w:overflowPunct/>
        <w:topLinePunct w:val="0"/>
        <w:autoSpaceDE/>
        <w:autoSpaceDN/>
        <w:bidi w:val="0"/>
        <w:adjustRightInd/>
        <w:snapToGrid w:val="0"/>
        <w:spacing w:line="360" w:lineRule="auto"/>
        <w:ind w:firstLine="643" w:firstLineChars="200"/>
        <w:textAlignment w:val="auto"/>
        <w:rPr>
          <w:rFonts w:hint="eastAsia" w:ascii="仿宋" w:hAnsi="仿宋" w:eastAsia="仿宋" w:cs="仿宋_GB2312"/>
          <w:b/>
          <w:bCs/>
          <w:color w:val="auto"/>
          <w:highlight w:val="none"/>
          <w:lang w:val="en-US" w:eastAsia="zh-CN"/>
        </w:rPr>
      </w:pPr>
      <w:r>
        <w:rPr>
          <w:rFonts w:hint="eastAsia" w:ascii="仿宋" w:hAnsi="仿宋" w:cs="仿宋_GB2312"/>
          <w:b/>
          <w:bCs/>
          <w:color w:val="auto"/>
          <w:highlight w:val="none"/>
          <w:lang w:val="en-US" w:eastAsia="zh-CN"/>
        </w:rPr>
        <w:t>乡村建设与乡村治理亟待全面加强</w:t>
      </w:r>
      <w:r>
        <w:rPr>
          <w:rFonts w:hint="eastAsia" w:ascii="仿宋" w:hAnsi="仿宋" w:cs="仿宋_GB2312"/>
          <w:b w:val="0"/>
          <w:bCs w:val="0"/>
          <w:color w:val="auto"/>
          <w:highlight w:val="none"/>
          <w:lang w:val="en-US" w:eastAsia="zh-CN"/>
        </w:rPr>
        <w:t>。</w:t>
      </w:r>
      <w:r>
        <w:rPr>
          <w:rFonts w:hint="eastAsia" w:ascii="仿宋" w:hAnsi="仿宋"/>
          <w:color w:val="auto"/>
          <w:szCs w:val="40"/>
          <w:lang w:val="en-US" w:eastAsia="zh-CN"/>
        </w:rPr>
        <w:t>甘孜州辖区面积</w:t>
      </w:r>
      <w:r>
        <w:rPr>
          <w:rFonts w:hint="eastAsia" w:ascii="仿宋" w:hAnsi="仿宋"/>
          <w:color w:val="auto"/>
          <w:szCs w:val="40"/>
        </w:rPr>
        <w:t>广阔，乡村空间形态聚合度低，部分边远、边角、边界“三边”地区基础设施建设</w:t>
      </w:r>
      <w:r>
        <w:rPr>
          <w:rFonts w:hint="eastAsia" w:ascii="仿宋" w:hAnsi="仿宋"/>
          <w:color w:val="auto"/>
          <w:szCs w:val="40"/>
          <w:lang w:val="en-US" w:eastAsia="zh-CN"/>
        </w:rPr>
        <w:t>仍需进一步加强</w:t>
      </w:r>
      <w:r>
        <w:rPr>
          <w:rFonts w:hint="eastAsia" w:ascii="仿宋" w:hAnsi="仿宋"/>
          <w:color w:val="auto"/>
          <w:szCs w:val="40"/>
          <w:lang w:eastAsia="zh-CN"/>
        </w:rPr>
        <w:t>，</w:t>
      </w:r>
      <w:r>
        <w:rPr>
          <w:rFonts w:hint="eastAsia" w:ascii="仿宋" w:hAnsi="仿宋" w:cs="仿宋_GB2312"/>
          <w:b w:val="0"/>
          <w:bCs w:val="0"/>
          <w:color w:val="auto"/>
          <w:highlight w:val="none"/>
          <w:lang w:val="en-US" w:eastAsia="zh-CN"/>
        </w:rPr>
        <w:t>部分行政村和自然村的通畅度仍不高，部分道路等级偏低，道路安防力度不够。</w:t>
      </w:r>
      <w:r>
        <w:rPr>
          <w:rFonts w:hint="eastAsia" w:ascii="仿宋" w:hAnsi="仿宋" w:cs="仿宋_GB2312"/>
          <w:color w:val="auto"/>
          <w:highlight w:val="none"/>
        </w:rPr>
        <w:t>农村电网配套老旧，农牧民生产生活用电保障水平还需进一步提升</w:t>
      </w:r>
      <w:r>
        <w:rPr>
          <w:rFonts w:hint="eastAsia" w:ascii="仿宋" w:hAnsi="仿宋" w:cs="仿宋_GB2312"/>
          <w:color w:val="auto"/>
          <w:highlight w:val="none"/>
          <w:lang w:eastAsia="zh-CN"/>
        </w:rPr>
        <w:t>，</w:t>
      </w:r>
      <w:r>
        <w:rPr>
          <w:rFonts w:hint="eastAsia" w:ascii="仿宋" w:hAnsi="仿宋" w:cs="仿宋_GB2312"/>
          <w:color w:val="auto"/>
          <w:highlight w:val="none"/>
          <w:lang w:val="en-US" w:eastAsia="zh-CN"/>
        </w:rPr>
        <w:t>广播和电视综合扩面需加快推进</w:t>
      </w:r>
      <w:r>
        <w:rPr>
          <w:rFonts w:hint="eastAsia" w:ascii="仿宋" w:hAnsi="仿宋" w:cs="仿宋_GB2312"/>
          <w:color w:val="auto"/>
          <w:highlight w:val="none"/>
          <w:lang w:eastAsia="zh-CN"/>
        </w:rPr>
        <w:t>，</w:t>
      </w:r>
      <w:r>
        <w:rPr>
          <w:rFonts w:hint="eastAsia" w:ascii="仿宋" w:hAnsi="仿宋" w:cs="仿宋_GB2312"/>
          <w:b w:val="0"/>
          <w:bCs w:val="0"/>
          <w:color w:val="auto"/>
          <w:highlight w:val="none"/>
          <w:lang w:val="en-US" w:eastAsia="zh-CN"/>
        </w:rPr>
        <w:t>农村</w:t>
      </w:r>
      <w:r>
        <w:rPr>
          <w:rFonts w:hint="eastAsia" w:ascii="仿宋" w:hAnsi="仿宋" w:cs="仿宋_GB2312"/>
          <w:color w:val="auto"/>
          <w:highlight w:val="none"/>
        </w:rPr>
        <w:t>无线宽带信号覆盖不全</w:t>
      </w:r>
      <w:r>
        <w:rPr>
          <w:rFonts w:hint="eastAsia" w:ascii="仿宋" w:hAnsi="仿宋" w:cs="仿宋_GB2312"/>
          <w:color w:val="auto"/>
          <w:highlight w:val="none"/>
          <w:lang w:eastAsia="zh-CN"/>
        </w:rPr>
        <w:t>，</w:t>
      </w:r>
      <w:r>
        <w:rPr>
          <w:rFonts w:hint="eastAsia" w:ascii="仿宋" w:hAnsi="仿宋" w:cs="仿宋_GB2312"/>
          <w:color w:val="auto"/>
          <w:highlight w:val="none"/>
          <w:lang w:val="en-US" w:eastAsia="zh-CN"/>
        </w:rPr>
        <w:t>数字化、信息化水平相对滞后</w:t>
      </w:r>
      <w:r>
        <w:rPr>
          <w:rFonts w:hint="eastAsia" w:ascii="仿宋" w:hAnsi="仿宋" w:cs="仿宋_GB2312"/>
          <w:color w:val="auto"/>
          <w:highlight w:val="none"/>
        </w:rPr>
        <w:t>。</w:t>
      </w:r>
      <w:r>
        <w:rPr>
          <w:rFonts w:hint="eastAsia" w:ascii="仿宋" w:hAnsi="仿宋"/>
          <w:color w:val="auto"/>
          <w:szCs w:val="40"/>
          <w:lang w:val="en-US" w:eastAsia="zh-CN"/>
        </w:rPr>
        <w:t>乡村物流体系尚未健全，农村商贸物流基础设施末端网络需加快完善。</w:t>
      </w:r>
      <w:r>
        <w:rPr>
          <w:rFonts w:hint="eastAsia" w:ascii="仿宋" w:hAnsi="仿宋"/>
          <w:color w:val="auto"/>
          <w:szCs w:val="40"/>
        </w:rPr>
        <w:t>公共服务设施建设不充分不平衡，基层综合文化服务、乡镇数字电影院、公共阅报栏、乡镇健身</w:t>
      </w:r>
      <w:r>
        <w:rPr>
          <w:rFonts w:hint="eastAsia" w:ascii="仿宋" w:hAnsi="仿宋"/>
          <w:color w:val="auto"/>
          <w:szCs w:val="40"/>
          <w:lang w:val="en-US" w:eastAsia="zh-CN"/>
        </w:rPr>
        <w:t>等</w:t>
      </w:r>
      <w:r>
        <w:rPr>
          <w:rFonts w:hint="eastAsia" w:ascii="仿宋" w:hAnsi="仿宋"/>
          <w:color w:val="auto"/>
          <w:szCs w:val="40"/>
        </w:rPr>
        <w:t>配套服务设施</w:t>
      </w:r>
      <w:r>
        <w:rPr>
          <w:rFonts w:hint="eastAsia" w:ascii="仿宋" w:hAnsi="仿宋"/>
          <w:color w:val="auto"/>
          <w:szCs w:val="40"/>
          <w:lang w:val="en-US" w:eastAsia="zh-CN"/>
        </w:rPr>
        <w:t>不完善</w:t>
      </w:r>
      <w:r>
        <w:rPr>
          <w:rFonts w:hint="eastAsia" w:ascii="仿宋" w:hAnsi="仿宋"/>
          <w:color w:val="auto"/>
          <w:szCs w:val="40"/>
        </w:rPr>
        <w:t>。</w:t>
      </w:r>
      <w:r>
        <w:rPr>
          <w:rFonts w:hint="eastAsia" w:ascii="仿宋" w:hAnsi="仿宋"/>
          <w:color w:val="auto"/>
          <w:szCs w:val="40"/>
          <w:lang w:val="en-US" w:eastAsia="zh-CN"/>
        </w:rPr>
        <w:t>农村人居环境整治需持续加强，部分地区</w:t>
      </w:r>
      <w:r>
        <w:rPr>
          <w:rFonts w:hint="eastAsia" w:ascii="仿宋" w:hAnsi="仿宋"/>
          <w:color w:val="auto"/>
          <w:szCs w:val="40"/>
        </w:rPr>
        <w:t>农村户用卫生厕所普及率、粪污资源化利用、生活污水等回收利用率不高，村庄排水、排污、绿化等基建设施较为落后</w:t>
      </w:r>
      <w:r>
        <w:rPr>
          <w:rFonts w:hint="eastAsia" w:ascii="仿宋" w:hAnsi="仿宋"/>
          <w:color w:val="auto"/>
          <w:szCs w:val="40"/>
          <w:lang w:eastAsia="zh-CN"/>
        </w:rPr>
        <w:t>。</w:t>
      </w:r>
      <w:r>
        <w:rPr>
          <w:rFonts w:hint="eastAsia" w:ascii="仿宋" w:hAnsi="仿宋"/>
          <w:color w:val="auto"/>
          <w:szCs w:val="40"/>
          <w:lang w:val="en-US" w:eastAsia="zh-CN"/>
        </w:rPr>
        <w:t>乡村</w:t>
      </w:r>
      <w:r>
        <w:rPr>
          <w:rFonts w:hint="eastAsia" w:ascii="仿宋" w:hAnsi="仿宋"/>
          <w:color w:val="auto"/>
          <w:szCs w:val="40"/>
          <w:lang w:eastAsia="zh-CN"/>
        </w:rPr>
        <w:t>治理体系不完善，“打防控”一体化的社会治理机制有待完善，“天网工程”监控点位建设存在盲点和“缝隙”“雪亮工程”覆盖率不高，三级综治中心实体机构尚未完全建立。</w:t>
      </w:r>
    </w:p>
    <w:p>
      <w:pPr>
        <w:keepNext w:val="0"/>
        <w:keepLines w:val="0"/>
        <w:pageBreakBefore w:val="0"/>
        <w:widowControl w:val="0"/>
        <w:kinsoku/>
        <w:wordWrap/>
        <w:overflowPunct/>
        <w:topLinePunct w:val="0"/>
        <w:autoSpaceDE/>
        <w:autoSpaceDN/>
        <w:bidi w:val="0"/>
        <w:adjustRightInd/>
        <w:snapToGrid w:val="0"/>
        <w:spacing w:line="360" w:lineRule="auto"/>
        <w:ind w:firstLine="643" w:firstLineChars="200"/>
        <w:textAlignment w:val="auto"/>
        <w:rPr>
          <w:rFonts w:hint="eastAsia" w:ascii="仿宋" w:hAnsi="仿宋" w:cs="仿宋_GB2312"/>
          <w:b/>
          <w:bCs/>
          <w:color w:val="auto"/>
          <w:highlight w:val="none"/>
        </w:rPr>
      </w:pPr>
      <w:r>
        <w:rPr>
          <w:rFonts w:hint="eastAsia" w:ascii="仿宋" w:hAnsi="仿宋" w:cs="仿宋_GB2312"/>
          <w:b/>
          <w:bCs/>
          <w:color w:val="auto"/>
          <w:highlight w:val="none"/>
        </w:rPr>
        <w:t>土地资源相对稀缺森林牧场生态承载力有限。</w:t>
      </w:r>
      <w:r>
        <w:rPr>
          <w:rFonts w:hint="eastAsia" w:ascii="仿宋" w:hAnsi="仿宋" w:cs="仿宋_GB2312"/>
          <w:bCs/>
          <w:color w:val="auto"/>
          <w:highlight w:val="none"/>
        </w:rPr>
        <w:t>甘孜属横断山系北段川西高山高原区，平均海拔3500米，地质条件较差，生产建设用地紧缺，人地矛盾突出。耕地不成规模细碎零散，土壤肥力较低，季节更替对农旅产业影响明显，粮食作物单产低于平原地区，生态自净能力和再生力差，森林牧场保护大于开发。低温、霜冻、雹灾、雪灾、地震、泥石流等自然灾害频发，</w:t>
      </w:r>
      <w:r>
        <w:rPr>
          <w:rFonts w:hint="eastAsia" w:ascii="仿宋" w:hAnsi="仿宋" w:cs="仿宋_GB2312"/>
          <w:bCs/>
          <w:color w:val="auto"/>
          <w:highlight w:val="none"/>
          <w:lang w:eastAsia="zh-CN"/>
        </w:rPr>
        <w:t>交通通信</w:t>
      </w:r>
      <w:r>
        <w:rPr>
          <w:rFonts w:hint="eastAsia" w:ascii="仿宋" w:hAnsi="仿宋" w:cs="仿宋_GB2312"/>
          <w:bCs/>
          <w:color w:val="auto"/>
          <w:highlight w:val="none"/>
        </w:rPr>
        <w:t>条件受限制、基础设施投入较大等，影响本地资源输出，也制约外来</w:t>
      </w:r>
      <w:r>
        <w:rPr>
          <w:rFonts w:hint="eastAsia" w:ascii="仿宋" w:hAnsi="仿宋" w:cs="仿宋_GB2312"/>
          <w:bCs/>
          <w:color w:val="auto"/>
          <w:highlight w:val="none"/>
          <w:lang w:val="en-US" w:eastAsia="zh-CN"/>
        </w:rPr>
        <w:t>主体发展和</w:t>
      </w:r>
      <w:r>
        <w:rPr>
          <w:rFonts w:hint="eastAsia" w:ascii="仿宋" w:hAnsi="仿宋" w:cs="仿宋_GB2312"/>
          <w:bCs/>
          <w:color w:val="auto"/>
          <w:highlight w:val="none"/>
        </w:rPr>
        <w:t>其他发展要素输入。</w:t>
      </w:r>
    </w:p>
    <w:p>
      <w:pPr>
        <w:keepNext w:val="0"/>
        <w:keepLines w:val="0"/>
        <w:pageBreakBefore w:val="0"/>
        <w:widowControl w:val="0"/>
        <w:kinsoku/>
        <w:wordWrap/>
        <w:overflowPunct/>
        <w:topLinePunct w:val="0"/>
        <w:autoSpaceDE/>
        <w:autoSpaceDN/>
        <w:bidi w:val="0"/>
        <w:adjustRightInd/>
        <w:snapToGrid w:val="0"/>
        <w:spacing w:line="360" w:lineRule="auto"/>
        <w:ind w:firstLine="643" w:firstLineChars="200"/>
        <w:textAlignment w:val="auto"/>
        <w:rPr>
          <w:rFonts w:hint="default" w:ascii="仿宋" w:hAnsi="仿宋" w:cs="仿宋_GB2312"/>
          <w:b w:val="0"/>
          <w:bCs w:val="0"/>
          <w:color w:val="auto"/>
          <w:highlight w:val="none"/>
          <w:lang w:val="en-US" w:eastAsia="zh-CN"/>
        </w:rPr>
      </w:pPr>
      <w:r>
        <w:rPr>
          <w:rFonts w:hint="eastAsia" w:ascii="仿宋" w:hAnsi="仿宋" w:cs="仿宋_GB2312"/>
          <w:b/>
          <w:bCs/>
          <w:color w:val="auto"/>
          <w:highlight w:val="none"/>
          <w:lang w:val="en-US" w:eastAsia="zh-CN"/>
        </w:rPr>
        <w:t>乡村人才资源匮乏</w:t>
      </w:r>
      <w:r>
        <w:rPr>
          <w:rFonts w:hint="eastAsia" w:ascii="仿宋" w:hAnsi="仿宋" w:cs="仿宋_GB2312"/>
          <w:b w:val="0"/>
          <w:bCs w:val="0"/>
          <w:color w:val="auto"/>
          <w:highlight w:val="none"/>
          <w:lang w:val="en-US" w:eastAsia="zh-CN"/>
        </w:rPr>
        <w:t>。随着城镇化快速推进，农村人口持续减少，乡村“空心化”日趋严重，从事农牧业的劳动力年龄老化、妇孺化程度加剧，农牧民受教育程度低，思想比较保守，观念落后，高素质农村劳动力严重不足，农民对新技术接受能力不强，运用科技的能力差，</w:t>
      </w:r>
      <w:r>
        <w:rPr>
          <w:rFonts w:hint="eastAsia" w:ascii="仿宋" w:hAnsi="仿宋" w:cs="仿宋_GB2312"/>
          <w:b w:val="0"/>
          <w:bCs w:val="0"/>
          <w:color w:val="auto"/>
          <w:highlight w:val="none"/>
          <w:lang w:eastAsia="zh-CN"/>
        </w:rPr>
        <w:t>专业技术人才、实用技能人才</w:t>
      </w:r>
      <w:r>
        <w:rPr>
          <w:rFonts w:hint="eastAsia" w:ascii="仿宋" w:hAnsi="仿宋" w:cs="仿宋_GB2312"/>
          <w:b w:val="0"/>
          <w:bCs w:val="0"/>
          <w:color w:val="auto"/>
          <w:highlight w:val="none"/>
          <w:lang w:val="en-US" w:eastAsia="zh-CN"/>
        </w:rPr>
        <w:t>等</w:t>
      </w:r>
      <w:r>
        <w:rPr>
          <w:rFonts w:hint="eastAsia" w:ascii="仿宋" w:hAnsi="仿宋" w:cs="仿宋_GB2312"/>
          <w:b w:val="0"/>
          <w:bCs w:val="0"/>
          <w:color w:val="auto"/>
          <w:highlight w:val="none"/>
        </w:rPr>
        <w:t>农业人才较为匮乏</w:t>
      </w:r>
      <w:r>
        <w:rPr>
          <w:rFonts w:hint="eastAsia" w:ascii="仿宋" w:hAnsi="仿宋" w:cs="仿宋_GB2312"/>
          <w:b w:val="0"/>
          <w:bCs w:val="0"/>
          <w:color w:val="auto"/>
          <w:highlight w:val="none"/>
          <w:lang w:eastAsia="zh-CN"/>
        </w:rPr>
        <w:t>，</w:t>
      </w:r>
      <w:r>
        <w:rPr>
          <w:rFonts w:hint="eastAsia" w:ascii="仿宋" w:hAnsi="仿宋" w:cs="仿宋_GB2312"/>
          <w:b w:val="0"/>
          <w:bCs w:val="0"/>
          <w:color w:val="auto"/>
          <w:highlight w:val="none"/>
          <w:lang w:val="en-US" w:eastAsia="zh-CN"/>
        </w:rPr>
        <w:t>本土人才培养和吸引外来人才力度不够，懂农业、爱农村、爱农民的“三农”工作队伍建设需进一步加强。</w:t>
      </w:r>
    </w:p>
    <w:bookmarkEnd w:id="24"/>
    <w:bookmarkEnd w:id="25"/>
    <w:p>
      <w:pPr>
        <w:pStyle w:val="10"/>
        <w:keepNext w:val="0"/>
        <w:keepLines w:val="0"/>
        <w:pageBreakBefore w:val="0"/>
        <w:widowControl w:val="0"/>
        <w:kinsoku/>
        <w:wordWrap/>
        <w:overflowPunct/>
        <w:topLinePunct w:val="0"/>
        <w:autoSpaceDE/>
        <w:autoSpaceDN/>
        <w:bidi w:val="0"/>
        <w:adjustRightInd/>
        <w:spacing w:after="0" w:line="360" w:lineRule="auto"/>
        <w:ind w:left="0" w:leftChars="0" w:firstLine="0" w:firstLineChars="0"/>
        <w:textAlignment w:val="auto"/>
        <w:rPr>
          <w:color w:val="auto"/>
          <w:highlight w:val="none"/>
        </w:rPr>
      </w:pPr>
      <w:r>
        <w:rPr>
          <w:color w:val="auto"/>
          <w:highlight w:val="none"/>
        </w:rPr>
        <w:br w:type="page"/>
      </w:r>
    </w:p>
    <w:p>
      <w:pPr>
        <w:pStyle w:val="4"/>
        <w:tabs>
          <w:tab w:val="clear" w:pos="0"/>
        </w:tabs>
        <w:suppressAutoHyphens w:val="0"/>
        <w:spacing w:after="240" w:line="578" w:lineRule="auto"/>
        <w:jc w:val="center"/>
        <w:rPr>
          <w:rFonts w:ascii="黑体" w:hAnsi="黑体" w:eastAsia="黑体"/>
          <w:b w:val="0"/>
          <w:bCs w:val="0"/>
          <w:color w:val="auto"/>
          <w:kern w:val="2"/>
          <w:sz w:val="32"/>
          <w:szCs w:val="32"/>
          <w:highlight w:val="none"/>
        </w:rPr>
      </w:pPr>
      <w:bookmarkStart w:id="28" w:name="_Toc30003"/>
      <w:bookmarkStart w:id="29" w:name="_Toc17366"/>
      <w:bookmarkStart w:id="30" w:name="_Toc27671"/>
      <w:r>
        <w:rPr>
          <w:rFonts w:hint="eastAsia" w:ascii="黑体" w:hAnsi="黑体" w:eastAsia="黑体"/>
          <w:b w:val="0"/>
          <w:bCs w:val="0"/>
          <w:color w:val="auto"/>
          <w:kern w:val="2"/>
          <w:sz w:val="32"/>
          <w:szCs w:val="32"/>
          <w:highlight w:val="none"/>
        </w:rPr>
        <w:t>第</w:t>
      </w:r>
      <w:r>
        <w:rPr>
          <w:rFonts w:hint="eastAsia" w:ascii="黑体" w:hAnsi="黑体" w:eastAsia="黑体"/>
          <w:b w:val="0"/>
          <w:bCs w:val="0"/>
          <w:color w:val="auto"/>
          <w:kern w:val="2"/>
          <w:sz w:val="32"/>
          <w:szCs w:val="32"/>
          <w:highlight w:val="none"/>
          <w:lang w:val="en-US" w:eastAsia="zh-CN"/>
        </w:rPr>
        <w:t>二</w:t>
      </w:r>
      <w:r>
        <w:rPr>
          <w:rFonts w:hint="eastAsia" w:ascii="黑体" w:hAnsi="黑体" w:eastAsia="黑体"/>
          <w:b w:val="0"/>
          <w:bCs w:val="0"/>
          <w:color w:val="auto"/>
          <w:kern w:val="2"/>
          <w:sz w:val="32"/>
          <w:szCs w:val="32"/>
          <w:highlight w:val="none"/>
        </w:rPr>
        <w:t>章 总体要求</w:t>
      </w:r>
      <w:bookmarkEnd w:id="28"/>
    </w:p>
    <w:p>
      <w:pPr>
        <w:pStyle w:val="5"/>
        <w:tabs>
          <w:tab w:val="clear" w:pos="0"/>
        </w:tabs>
        <w:suppressAutoHyphens w:val="0"/>
        <w:snapToGrid w:val="0"/>
        <w:spacing w:before="0" w:after="0" w:line="360" w:lineRule="auto"/>
        <w:ind w:firstLine="643" w:firstLineChars="200"/>
        <w:jc w:val="left"/>
        <w:rPr>
          <w:rFonts w:hint="eastAsia" w:ascii="楷体" w:hAnsi="楷体" w:eastAsia="楷体" w:cs="黑体"/>
          <w:bCs w:val="0"/>
          <w:color w:val="auto"/>
          <w:kern w:val="0"/>
          <w:highlight w:val="none"/>
        </w:rPr>
      </w:pPr>
      <w:bookmarkStart w:id="31" w:name="_Toc8599"/>
      <w:r>
        <w:rPr>
          <w:rFonts w:hint="eastAsia" w:ascii="楷体" w:hAnsi="楷体" w:eastAsia="楷体" w:cs="黑体"/>
          <w:bCs w:val="0"/>
          <w:color w:val="auto"/>
          <w:kern w:val="0"/>
          <w:highlight w:val="none"/>
        </w:rPr>
        <w:t>一、指导思想</w:t>
      </w:r>
      <w:bookmarkEnd w:id="31"/>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rPr>
          <w:rFonts w:ascii="仿宋" w:hAnsi="仿宋" w:cs="仿宋_GB2312"/>
          <w:bCs/>
          <w:color w:val="auto"/>
          <w:highlight w:val="none"/>
        </w:rPr>
      </w:pPr>
      <w:r>
        <w:rPr>
          <w:rFonts w:hint="eastAsia" w:ascii="仿宋" w:hAnsi="仿宋" w:cs="仿宋_GB2312"/>
          <w:bCs/>
          <w:color w:val="auto"/>
          <w:highlight w:val="none"/>
        </w:rPr>
        <w:t>坚持以习近平新时代中国特色社会主义思想为指导，深入学习贯彻党的</w:t>
      </w:r>
      <w:r>
        <w:rPr>
          <w:rFonts w:hint="eastAsia" w:ascii="仿宋" w:hAnsi="仿宋" w:cs="仿宋_GB2312"/>
          <w:bCs/>
          <w:color w:val="auto"/>
          <w:highlight w:val="none"/>
          <w:lang w:val="en-US" w:eastAsia="zh-Hans"/>
        </w:rPr>
        <w:t>二十大精神和</w:t>
      </w:r>
      <w:r>
        <w:rPr>
          <w:rFonts w:hint="eastAsia" w:ascii="仿宋" w:hAnsi="仿宋" w:cs="仿宋_GB2312"/>
          <w:bCs/>
          <w:color w:val="auto"/>
          <w:highlight w:val="none"/>
        </w:rPr>
        <w:t>中央第七次西藏工作座谈会、中央民族工作会议、省委涉藏工作会等</w:t>
      </w:r>
      <w:r>
        <w:rPr>
          <w:rFonts w:hint="eastAsia" w:ascii="仿宋" w:hAnsi="仿宋" w:cs="仿宋_GB2312"/>
          <w:bCs/>
          <w:color w:val="auto"/>
          <w:highlight w:val="none"/>
          <w:lang w:val="en-US" w:eastAsia="zh-CN"/>
        </w:rPr>
        <w:t>会议</w:t>
      </w:r>
      <w:r>
        <w:rPr>
          <w:rFonts w:hint="eastAsia" w:ascii="仿宋" w:hAnsi="仿宋" w:cs="仿宋_GB2312"/>
          <w:bCs/>
          <w:color w:val="auto"/>
          <w:highlight w:val="none"/>
        </w:rPr>
        <w:t>精神，深入贯彻落实党中央、国务院和省委、省政府关于实现巩固拓展脱贫攻坚成果同乡村振兴有效衔接决策部署，坚持稳中求进工作总基调，</w:t>
      </w:r>
      <w:r>
        <w:rPr>
          <w:rFonts w:hint="eastAsia" w:ascii="仿宋" w:hAnsi="仿宋" w:cs="仿宋_GB2312"/>
          <w:bCs/>
          <w:color w:val="auto"/>
          <w:highlight w:val="none"/>
          <w:lang w:val="en-US" w:eastAsia="zh-Hans"/>
        </w:rPr>
        <w:t>坚持共同富裕方向</w:t>
      </w:r>
      <w:r>
        <w:rPr>
          <w:rFonts w:hint="default" w:ascii="仿宋" w:hAnsi="仿宋" w:cs="仿宋_GB2312"/>
          <w:bCs/>
          <w:color w:val="auto"/>
          <w:highlight w:val="none"/>
          <w:lang w:eastAsia="zh-Hans"/>
        </w:rPr>
        <w:t>，</w:t>
      </w:r>
      <w:r>
        <w:rPr>
          <w:rFonts w:hint="eastAsia" w:ascii="仿宋" w:hAnsi="仿宋" w:cs="仿宋_GB2312"/>
          <w:bCs/>
          <w:color w:val="auto"/>
          <w:highlight w:val="none"/>
          <w:lang w:val="en-US" w:eastAsia="zh-CN"/>
        </w:rPr>
        <w:t>紧扣州第十二次党代会部署要求，</w:t>
      </w:r>
      <w:r>
        <w:rPr>
          <w:rFonts w:hint="eastAsia" w:ascii="仿宋" w:hAnsi="仿宋" w:cs="仿宋_GB2312"/>
          <w:bCs/>
          <w:color w:val="auto"/>
          <w:highlight w:val="none"/>
        </w:rPr>
        <w:t>坚持把巩固拓展脱贫攻坚成果放在突出位置，聚焦“守底线、抓发展、促振兴、强保障”要求，深入实施乡村建设行动和乡村治理，把工作对象转向所有农民，</w:t>
      </w:r>
      <w:r>
        <w:rPr>
          <w:rFonts w:hint="eastAsia" w:ascii="仿宋" w:hAnsi="仿宋" w:cs="仿宋_GB2312"/>
          <w:bCs/>
          <w:color w:val="auto"/>
          <w:highlight w:val="none"/>
          <w:lang w:val="en-US" w:eastAsia="zh-CN"/>
        </w:rPr>
        <w:t>把工作任务转向推进乡村“五大振兴”，</w:t>
      </w:r>
      <w:r>
        <w:rPr>
          <w:rFonts w:hint="eastAsia" w:ascii="仿宋" w:hAnsi="仿宋" w:cs="仿宋_GB2312"/>
          <w:bCs/>
          <w:color w:val="auto"/>
          <w:highlight w:val="none"/>
        </w:rPr>
        <w:t>把工作举措转向促进发展，实现巩固拓展脱贫攻坚成果同乡村振兴有效衔接，牢牢守住不发生规模性返贫的底线</w:t>
      </w:r>
      <w:r>
        <w:rPr>
          <w:rFonts w:hint="eastAsia" w:ascii="仿宋" w:hAnsi="仿宋" w:cs="仿宋_GB2312"/>
          <w:bCs/>
          <w:color w:val="auto"/>
          <w:highlight w:val="none"/>
          <w:lang w:eastAsia="zh-CN"/>
        </w:rPr>
        <w:t>，</w:t>
      </w:r>
      <w:r>
        <w:rPr>
          <w:rFonts w:hint="eastAsia" w:ascii="仿宋" w:hAnsi="仿宋" w:cs="仿宋_GB2312"/>
          <w:bCs/>
          <w:color w:val="auto"/>
          <w:highlight w:val="none"/>
        </w:rPr>
        <w:t>全面推进乡村振兴，坚持农业农村优先发展，扎实推动乡村产业、人才、文化、生态、组织振兴</w:t>
      </w:r>
      <w:r>
        <w:rPr>
          <w:rFonts w:hint="eastAsia" w:ascii="仿宋" w:hAnsi="仿宋" w:cs="仿宋_GB2312"/>
          <w:bCs/>
          <w:color w:val="auto"/>
          <w:highlight w:val="none"/>
          <w:lang w:eastAsia="zh-CN"/>
        </w:rPr>
        <w:t>，</w:t>
      </w:r>
      <w:r>
        <w:rPr>
          <w:rFonts w:hint="eastAsia" w:ascii="仿宋" w:hAnsi="仿宋" w:cs="仿宋_GB2312"/>
          <w:bCs/>
          <w:color w:val="auto"/>
          <w:highlight w:val="none"/>
        </w:rPr>
        <w:t>为加快建设团结富裕和谐美丽社会主义现代化新甘孜</w:t>
      </w:r>
      <w:r>
        <w:rPr>
          <w:rFonts w:hint="eastAsia" w:ascii="仿宋" w:hAnsi="仿宋" w:cs="仿宋_GB2312"/>
          <w:bCs/>
          <w:color w:val="auto"/>
          <w:highlight w:val="none"/>
          <w:lang w:eastAsia="zh-CN"/>
        </w:rPr>
        <w:t>，</w:t>
      </w:r>
      <w:r>
        <w:rPr>
          <w:rFonts w:hint="eastAsia" w:ascii="仿宋" w:hAnsi="仿宋" w:cs="仿宋_GB2312"/>
          <w:bCs/>
          <w:color w:val="auto"/>
          <w:highlight w:val="none"/>
          <w:lang w:val="en-US" w:eastAsia="zh-CN"/>
        </w:rPr>
        <w:t>为推动新时代治蜀兴川再上新台阶贡献甘孜力量</w:t>
      </w:r>
      <w:r>
        <w:rPr>
          <w:rFonts w:hint="eastAsia" w:ascii="仿宋" w:hAnsi="仿宋" w:cs="仿宋_GB2312"/>
          <w:bCs/>
          <w:color w:val="auto"/>
          <w:highlight w:val="none"/>
        </w:rPr>
        <w:t>。</w:t>
      </w:r>
    </w:p>
    <w:p>
      <w:pPr>
        <w:pStyle w:val="5"/>
        <w:tabs>
          <w:tab w:val="clear" w:pos="0"/>
        </w:tabs>
        <w:suppressAutoHyphens w:val="0"/>
        <w:snapToGrid w:val="0"/>
        <w:spacing w:before="0" w:after="0" w:line="360" w:lineRule="auto"/>
        <w:ind w:firstLine="643" w:firstLineChars="200"/>
        <w:jc w:val="left"/>
        <w:rPr>
          <w:rFonts w:hint="eastAsia" w:ascii="楷体" w:hAnsi="楷体" w:eastAsia="楷体" w:cs="黑体"/>
          <w:bCs w:val="0"/>
          <w:color w:val="auto"/>
          <w:kern w:val="0"/>
          <w:highlight w:val="none"/>
        </w:rPr>
      </w:pPr>
      <w:bookmarkStart w:id="32" w:name="_Toc22932"/>
      <w:r>
        <w:rPr>
          <w:rFonts w:hint="eastAsia" w:ascii="楷体" w:hAnsi="楷体" w:eastAsia="楷体" w:cs="黑体"/>
          <w:bCs w:val="0"/>
          <w:color w:val="auto"/>
          <w:kern w:val="0"/>
          <w:highlight w:val="none"/>
        </w:rPr>
        <w:t>二、基本原则</w:t>
      </w:r>
      <w:bookmarkEnd w:id="32"/>
    </w:p>
    <w:p>
      <w:pPr>
        <w:keepNext w:val="0"/>
        <w:keepLines w:val="0"/>
        <w:pageBreakBefore w:val="0"/>
        <w:widowControl w:val="0"/>
        <w:kinsoku/>
        <w:wordWrap/>
        <w:overflowPunct/>
        <w:topLinePunct w:val="0"/>
        <w:autoSpaceDE/>
        <w:autoSpaceDN/>
        <w:bidi w:val="0"/>
        <w:adjustRightInd/>
        <w:snapToGrid w:val="0"/>
        <w:spacing w:line="360" w:lineRule="auto"/>
        <w:ind w:firstLine="643" w:firstLineChars="200"/>
        <w:textAlignment w:val="auto"/>
        <w:rPr>
          <w:rFonts w:hint="eastAsia" w:ascii="仿宋" w:hAnsi="仿宋" w:cs="仿宋_GB2312"/>
          <w:b/>
          <w:bCs w:val="0"/>
          <w:color w:val="auto"/>
          <w:highlight w:val="none"/>
          <w:lang w:eastAsia="zh-CN"/>
        </w:rPr>
      </w:pPr>
      <w:r>
        <w:rPr>
          <w:rFonts w:hint="eastAsia" w:ascii="仿宋" w:hAnsi="仿宋" w:cs="仿宋_GB2312"/>
          <w:b/>
          <w:bCs w:val="0"/>
          <w:color w:val="auto"/>
          <w:highlight w:val="none"/>
          <w:lang w:eastAsia="zh-CN"/>
        </w:rPr>
        <w:t>——坚持党的领导、群众主体</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rPr>
          <w:rFonts w:hint="eastAsia" w:ascii="仿宋" w:hAnsi="仿宋" w:cs="仿宋_GB2312"/>
          <w:bCs/>
          <w:color w:val="auto"/>
          <w:highlight w:val="none"/>
        </w:rPr>
      </w:pPr>
      <w:r>
        <w:rPr>
          <w:rFonts w:hint="eastAsia" w:ascii="仿宋" w:hAnsi="仿宋" w:cs="仿宋_GB2312"/>
          <w:bCs/>
          <w:color w:val="auto"/>
          <w:highlight w:val="none"/>
        </w:rPr>
        <w:t>坚持中央统筹、省负总责、州县乡抓落实的工作机制，充分发挥各级党委总揽全局、协调各方的领导作用。坚持扶志扶智相结合，充分依靠群众，激励有劳动能力的脱贫人口和低收入人口勤劳致富。广泛动员社会力量参与，形成政府、市场、社会协同推进巩固拓展脱贫攻坚成果同乡村振兴有效衔接的强大合力。</w:t>
      </w:r>
    </w:p>
    <w:p>
      <w:pPr>
        <w:keepNext w:val="0"/>
        <w:keepLines w:val="0"/>
        <w:pageBreakBefore w:val="0"/>
        <w:widowControl w:val="0"/>
        <w:kinsoku/>
        <w:wordWrap/>
        <w:overflowPunct/>
        <w:topLinePunct w:val="0"/>
        <w:autoSpaceDE/>
        <w:autoSpaceDN/>
        <w:bidi w:val="0"/>
        <w:adjustRightInd/>
        <w:snapToGrid w:val="0"/>
        <w:spacing w:line="360" w:lineRule="auto"/>
        <w:ind w:firstLine="643" w:firstLineChars="200"/>
        <w:textAlignment w:val="auto"/>
        <w:rPr>
          <w:rFonts w:hint="eastAsia" w:ascii="仿宋" w:hAnsi="仿宋" w:cs="仿宋_GB2312"/>
          <w:b/>
          <w:bCs w:val="0"/>
          <w:color w:val="auto"/>
          <w:highlight w:val="none"/>
          <w:lang w:eastAsia="zh-CN"/>
        </w:rPr>
      </w:pPr>
      <w:r>
        <w:rPr>
          <w:rFonts w:hint="eastAsia" w:ascii="仿宋" w:hAnsi="仿宋" w:cs="仿宋_GB2312"/>
          <w:b/>
          <w:bCs w:val="0"/>
          <w:color w:val="auto"/>
          <w:highlight w:val="none"/>
          <w:lang w:eastAsia="zh-CN"/>
        </w:rPr>
        <w:t>——坚持</w:t>
      </w:r>
      <w:r>
        <w:rPr>
          <w:rFonts w:hint="eastAsia" w:ascii="仿宋" w:hAnsi="仿宋" w:cs="仿宋_GB2312"/>
          <w:b/>
          <w:bCs w:val="0"/>
          <w:color w:val="auto"/>
          <w:highlight w:val="none"/>
          <w:lang w:val="en-US" w:eastAsia="zh-CN"/>
        </w:rPr>
        <w:t>守牢</w:t>
      </w:r>
      <w:r>
        <w:rPr>
          <w:rFonts w:hint="eastAsia" w:ascii="仿宋" w:hAnsi="仿宋" w:cs="仿宋_GB2312"/>
          <w:b/>
          <w:bCs w:val="0"/>
          <w:color w:val="auto"/>
          <w:highlight w:val="none"/>
          <w:lang w:eastAsia="zh-CN"/>
        </w:rPr>
        <w:t>“底线”、</w:t>
      </w:r>
      <w:r>
        <w:rPr>
          <w:rFonts w:hint="eastAsia" w:ascii="仿宋" w:hAnsi="仿宋" w:cs="仿宋_GB2312"/>
          <w:b/>
          <w:bCs w:val="0"/>
          <w:color w:val="auto"/>
          <w:highlight w:val="none"/>
          <w:lang w:val="en-US" w:eastAsia="zh-CN"/>
        </w:rPr>
        <w:t>有效衔接</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rPr>
          <w:rFonts w:hint="eastAsia" w:ascii="仿宋" w:hAnsi="仿宋" w:cs="仿宋_GB2312"/>
          <w:bCs/>
          <w:color w:val="auto"/>
          <w:highlight w:val="none"/>
          <w:lang w:val="en-US" w:eastAsia="zh-CN"/>
        </w:rPr>
      </w:pPr>
      <w:r>
        <w:rPr>
          <w:rFonts w:hint="eastAsia" w:ascii="仿宋" w:hAnsi="仿宋" w:cs="仿宋_GB2312"/>
          <w:bCs/>
          <w:color w:val="auto"/>
          <w:highlight w:val="none"/>
        </w:rPr>
        <w:t>要把防止返贫工作摆在突出位置，建立健全动态监测和精准帮扶机制，确保守住不发生</w:t>
      </w:r>
      <w:r>
        <w:rPr>
          <w:rFonts w:hint="eastAsia" w:ascii="仿宋" w:hAnsi="仿宋" w:cs="仿宋_GB2312"/>
          <w:bCs/>
          <w:color w:val="auto"/>
          <w:highlight w:val="none"/>
          <w:lang w:val="en-US" w:eastAsia="zh-Hans"/>
        </w:rPr>
        <w:t>整乡整村</w:t>
      </w:r>
      <w:r>
        <w:rPr>
          <w:rFonts w:hint="eastAsia" w:ascii="仿宋" w:hAnsi="仿宋" w:cs="仿宋_GB2312"/>
          <w:bCs/>
          <w:color w:val="auto"/>
          <w:highlight w:val="none"/>
        </w:rPr>
        <w:t>规模性返贫的底线</w:t>
      </w:r>
      <w:r>
        <w:rPr>
          <w:rFonts w:hint="eastAsia" w:ascii="仿宋" w:hAnsi="仿宋" w:cs="仿宋_GB2312"/>
          <w:bCs/>
          <w:color w:val="auto"/>
          <w:highlight w:val="none"/>
          <w:lang w:eastAsia="zh-CN"/>
        </w:rPr>
        <w:t>，</w:t>
      </w:r>
      <w:r>
        <w:rPr>
          <w:rFonts w:hint="eastAsia" w:ascii="仿宋" w:hAnsi="仿宋" w:cs="仿宋_GB2312"/>
          <w:bCs/>
          <w:color w:val="auto"/>
          <w:highlight w:val="none"/>
          <w:lang w:val="en-US" w:eastAsia="zh-CN"/>
        </w:rPr>
        <w:t>有序</w:t>
      </w:r>
      <w:r>
        <w:rPr>
          <w:rFonts w:hint="eastAsia" w:ascii="仿宋" w:hAnsi="仿宋" w:cs="仿宋_GB2312"/>
          <w:bCs/>
          <w:color w:val="auto"/>
          <w:highlight w:val="none"/>
        </w:rPr>
        <w:t>推进</w:t>
      </w:r>
      <w:r>
        <w:rPr>
          <w:rFonts w:hint="eastAsia" w:ascii="仿宋" w:hAnsi="仿宋" w:cs="仿宋_GB2312"/>
          <w:bCs/>
          <w:color w:val="auto"/>
          <w:highlight w:val="none"/>
          <w:lang w:val="en-US" w:eastAsia="zh-CN"/>
        </w:rPr>
        <w:t>工作任务转向乡村“五大振兴”，不断缩小收入差距、发展差距。</w:t>
      </w:r>
    </w:p>
    <w:p>
      <w:pPr>
        <w:keepNext w:val="0"/>
        <w:keepLines w:val="0"/>
        <w:pageBreakBefore w:val="0"/>
        <w:widowControl w:val="0"/>
        <w:kinsoku/>
        <w:wordWrap/>
        <w:overflowPunct/>
        <w:topLinePunct w:val="0"/>
        <w:autoSpaceDE/>
        <w:autoSpaceDN/>
        <w:bidi w:val="0"/>
        <w:adjustRightInd/>
        <w:snapToGrid w:val="0"/>
        <w:spacing w:line="360" w:lineRule="auto"/>
        <w:ind w:firstLine="643" w:firstLineChars="200"/>
        <w:textAlignment w:val="auto"/>
        <w:rPr>
          <w:rFonts w:hint="eastAsia" w:ascii="仿宋" w:hAnsi="仿宋" w:cs="仿宋_GB2312"/>
          <w:b/>
          <w:bCs w:val="0"/>
          <w:color w:val="auto"/>
          <w:highlight w:val="none"/>
          <w:lang w:eastAsia="zh-CN"/>
        </w:rPr>
      </w:pPr>
      <w:r>
        <w:rPr>
          <w:rFonts w:hint="eastAsia" w:ascii="仿宋" w:hAnsi="仿宋" w:cs="仿宋_GB2312"/>
          <w:b/>
          <w:bCs w:val="0"/>
          <w:color w:val="auto"/>
          <w:highlight w:val="none"/>
          <w:lang w:eastAsia="zh-CN"/>
        </w:rPr>
        <w:t>——坚持有序调整、平稳过渡</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rPr>
          <w:rFonts w:hint="eastAsia" w:ascii="仿宋" w:hAnsi="仿宋" w:cs="仿宋_GB2312"/>
          <w:bCs/>
          <w:color w:val="auto"/>
          <w:highlight w:val="none"/>
        </w:rPr>
      </w:pPr>
      <w:r>
        <w:rPr>
          <w:rFonts w:hint="eastAsia" w:ascii="仿宋" w:hAnsi="仿宋" w:cs="仿宋_GB2312"/>
          <w:bCs/>
          <w:color w:val="auto"/>
          <w:highlight w:val="none"/>
        </w:rPr>
        <w:t>严格落实“四不摘”要求，保持现有帮扶政策总体稳定，做好财政投入、金融服务、土地支持、人才智力支持政策衔接，合理把握调整节奏、力度和时限，政策重心由支持“两不愁三保障”向提升区域整体发展水平转变，实现脱贫攻坚</w:t>
      </w:r>
      <w:r>
        <w:rPr>
          <w:rFonts w:hint="eastAsia" w:ascii="仿宋" w:hAnsi="仿宋" w:cs="仿宋_GB2312"/>
          <w:bCs/>
          <w:color w:val="auto"/>
          <w:highlight w:val="none"/>
          <w:lang w:val="en-US" w:eastAsia="zh-CN"/>
        </w:rPr>
        <w:t>成果</w:t>
      </w:r>
      <w:r>
        <w:rPr>
          <w:rFonts w:hint="eastAsia" w:ascii="仿宋" w:hAnsi="仿宋" w:cs="仿宋_GB2312"/>
          <w:bCs/>
          <w:color w:val="auto"/>
          <w:highlight w:val="none"/>
        </w:rPr>
        <w:t>同乡村振兴有效衔接。</w:t>
      </w:r>
    </w:p>
    <w:p>
      <w:pPr>
        <w:keepNext w:val="0"/>
        <w:keepLines w:val="0"/>
        <w:pageBreakBefore w:val="0"/>
        <w:widowControl w:val="0"/>
        <w:kinsoku/>
        <w:wordWrap/>
        <w:overflowPunct/>
        <w:topLinePunct w:val="0"/>
        <w:autoSpaceDE/>
        <w:autoSpaceDN/>
        <w:bidi w:val="0"/>
        <w:adjustRightInd/>
        <w:snapToGrid w:val="0"/>
        <w:spacing w:line="360" w:lineRule="auto"/>
        <w:ind w:firstLine="643" w:firstLineChars="200"/>
        <w:textAlignment w:val="auto"/>
        <w:rPr>
          <w:rFonts w:hint="eastAsia" w:ascii="仿宋" w:hAnsi="仿宋" w:cs="仿宋_GB2312"/>
          <w:b/>
          <w:bCs w:val="0"/>
          <w:color w:val="auto"/>
          <w:highlight w:val="none"/>
          <w:lang w:eastAsia="zh-CN"/>
        </w:rPr>
      </w:pPr>
      <w:r>
        <w:rPr>
          <w:rFonts w:hint="eastAsia" w:ascii="仿宋" w:hAnsi="仿宋" w:cs="仿宋_GB2312"/>
          <w:b/>
          <w:bCs w:val="0"/>
          <w:color w:val="auto"/>
          <w:highlight w:val="none"/>
          <w:lang w:eastAsia="zh-CN"/>
        </w:rPr>
        <w:t>——坚持生态优先、绿色发展</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rPr>
          <w:rFonts w:hint="eastAsia" w:ascii="仿宋" w:hAnsi="仿宋" w:cs="仿宋_GB2312"/>
          <w:bCs/>
          <w:color w:val="auto"/>
          <w:highlight w:val="none"/>
        </w:rPr>
      </w:pPr>
      <w:r>
        <w:rPr>
          <w:rFonts w:hint="eastAsia" w:ascii="仿宋" w:hAnsi="仿宋" w:cs="仿宋_GB2312"/>
          <w:bCs/>
          <w:color w:val="auto"/>
          <w:highlight w:val="none"/>
        </w:rPr>
        <w:t>立足川西北生态示范区定位，坚持走生态优先、绿色发展的高质量之路，大力推进有机、绿色农产品认证，壮大生态经济，构建以生态产业化和产业生态化为主体的生态经济体系，树立种养循环、农牧结合绿色发展理念，强化“草畜平衡”、保护好“中华水塔”、筑牢长江黄河上游生态屏障、维护国家生态安全，落实推动长江经济带绿色发展。</w:t>
      </w:r>
    </w:p>
    <w:p>
      <w:pPr>
        <w:keepNext w:val="0"/>
        <w:keepLines w:val="0"/>
        <w:pageBreakBefore w:val="0"/>
        <w:widowControl w:val="0"/>
        <w:kinsoku/>
        <w:wordWrap/>
        <w:overflowPunct/>
        <w:topLinePunct w:val="0"/>
        <w:autoSpaceDE/>
        <w:autoSpaceDN/>
        <w:bidi w:val="0"/>
        <w:adjustRightInd/>
        <w:snapToGrid w:val="0"/>
        <w:spacing w:line="360" w:lineRule="auto"/>
        <w:ind w:firstLine="643" w:firstLineChars="200"/>
        <w:textAlignment w:val="auto"/>
        <w:rPr>
          <w:rFonts w:hint="eastAsia" w:ascii="仿宋" w:hAnsi="仿宋" w:cs="仿宋_GB2312"/>
          <w:b/>
          <w:bCs w:val="0"/>
          <w:color w:val="auto"/>
          <w:highlight w:val="none"/>
          <w:lang w:eastAsia="zh-CN"/>
        </w:rPr>
      </w:pPr>
      <w:r>
        <w:rPr>
          <w:rFonts w:hint="eastAsia" w:ascii="仿宋" w:hAnsi="仿宋" w:cs="仿宋_GB2312"/>
          <w:b/>
          <w:bCs w:val="0"/>
          <w:color w:val="auto"/>
          <w:highlight w:val="none"/>
          <w:lang w:eastAsia="zh-CN"/>
        </w:rPr>
        <w:t>——坚持政府</w:t>
      </w:r>
      <w:r>
        <w:rPr>
          <w:rFonts w:hint="eastAsia" w:ascii="仿宋" w:hAnsi="仿宋" w:cs="仿宋_GB2312"/>
          <w:b/>
          <w:bCs w:val="0"/>
          <w:color w:val="auto"/>
          <w:highlight w:val="none"/>
          <w:lang w:val="en-US" w:eastAsia="zh-CN"/>
        </w:rPr>
        <w:t>推动</w:t>
      </w:r>
      <w:r>
        <w:rPr>
          <w:rFonts w:hint="eastAsia" w:ascii="仿宋" w:hAnsi="仿宋" w:cs="仿宋_GB2312"/>
          <w:b/>
          <w:bCs w:val="0"/>
          <w:color w:val="auto"/>
          <w:highlight w:val="none"/>
          <w:lang w:eastAsia="zh-CN"/>
        </w:rPr>
        <w:t>、协同发力</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rPr>
          <w:rFonts w:hint="eastAsia" w:ascii="仿宋" w:hAnsi="仿宋" w:cs="仿宋_GB2312"/>
          <w:b w:val="0"/>
          <w:bCs/>
          <w:color w:val="auto"/>
          <w:highlight w:val="none"/>
          <w:lang w:eastAsia="zh-CN"/>
        </w:rPr>
      </w:pPr>
      <w:r>
        <w:rPr>
          <w:rFonts w:hint="eastAsia" w:ascii="仿宋" w:hAnsi="仿宋" w:cs="仿宋_GB2312"/>
          <w:bCs/>
          <w:color w:val="auto"/>
          <w:highlight w:val="none"/>
        </w:rPr>
        <w:t>坚持行政推动与市场机制有机结合，统筹推进脱贫村与非脱贫村的经济建设、政治建设、文化建设、民生建设。广泛动员社会力量参与，形成政府、市场、社会协同推进巩固拓展脱贫攻坚成果同乡村振兴有效衔接的强大合力。</w:t>
      </w:r>
    </w:p>
    <w:p>
      <w:pPr>
        <w:pStyle w:val="5"/>
        <w:tabs>
          <w:tab w:val="clear" w:pos="0"/>
        </w:tabs>
        <w:suppressAutoHyphens w:val="0"/>
        <w:snapToGrid w:val="0"/>
        <w:spacing w:before="0" w:after="0" w:line="360" w:lineRule="auto"/>
        <w:ind w:firstLine="643" w:firstLineChars="200"/>
        <w:jc w:val="left"/>
        <w:rPr>
          <w:rFonts w:hint="eastAsia" w:ascii="楷体" w:hAnsi="楷体" w:eastAsia="楷体" w:cs="黑体"/>
          <w:bCs w:val="0"/>
          <w:color w:val="auto"/>
          <w:kern w:val="0"/>
          <w:highlight w:val="none"/>
        </w:rPr>
      </w:pPr>
      <w:bookmarkStart w:id="33" w:name="_Toc22740"/>
      <w:r>
        <w:rPr>
          <w:rFonts w:hint="eastAsia" w:ascii="楷体" w:hAnsi="楷体" w:eastAsia="楷体" w:cs="黑体"/>
          <w:bCs w:val="0"/>
          <w:color w:val="auto"/>
          <w:kern w:val="0"/>
          <w:highlight w:val="none"/>
        </w:rPr>
        <w:t>三、发展目标</w:t>
      </w:r>
      <w:bookmarkEnd w:id="33"/>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rPr>
          <w:rFonts w:hint="eastAsia" w:ascii="仿宋" w:hAnsi="仿宋" w:cs="仿宋_GB2312"/>
          <w:bCs/>
          <w:color w:val="auto"/>
          <w:highlight w:val="none"/>
        </w:rPr>
      </w:pPr>
      <w:r>
        <w:rPr>
          <w:rFonts w:hint="eastAsia" w:ascii="仿宋" w:hAnsi="仿宋" w:cs="仿宋_GB2312"/>
          <w:bCs/>
          <w:color w:val="auto"/>
          <w:highlight w:val="none"/>
        </w:rPr>
        <w:t>立足甘孜发展实际，坚持把巩固拓展脱贫攻坚成果放在突出位置，把全面推进乡村振兴，不断缩小区域收入差距、发展差距，加快推进甘孜农业农村现代化作为拓展方向。到2025年，实现巩固拓展脱贫攻坚成果同乡村振兴有效衔接。</w:t>
      </w:r>
    </w:p>
    <w:p>
      <w:pPr>
        <w:keepNext w:val="0"/>
        <w:keepLines w:val="0"/>
        <w:pageBreakBefore w:val="0"/>
        <w:widowControl w:val="0"/>
        <w:kinsoku/>
        <w:wordWrap/>
        <w:overflowPunct/>
        <w:topLinePunct w:val="0"/>
        <w:autoSpaceDE/>
        <w:autoSpaceDN/>
        <w:bidi w:val="0"/>
        <w:adjustRightInd/>
        <w:snapToGrid w:val="0"/>
        <w:spacing w:line="360" w:lineRule="auto"/>
        <w:ind w:firstLine="643" w:firstLineChars="200"/>
        <w:textAlignment w:val="auto"/>
        <w:rPr>
          <w:rFonts w:hint="default" w:ascii="仿宋" w:hAnsi="仿宋" w:cs="仿宋_GB2312"/>
          <w:bCs/>
          <w:color w:val="auto"/>
          <w:highlight w:val="none"/>
          <w:lang w:val="en-US" w:eastAsia="zh-CN"/>
        </w:rPr>
      </w:pPr>
      <w:r>
        <w:rPr>
          <w:rFonts w:hint="eastAsia" w:ascii="仿宋" w:hAnsi="仿宋" w:cs="仿宋_GB2312"/>
          <w:b/>
          <w:bCs w:val="0"/>
          <w:color w:val="auto"/>
          <w:highlight w:val="none"/>
          <w:lang w:eastAsia="zh-CN"/>
        </w:rPr>
        <w:t>——</w:t>
      </w:r>
      <w:r>
        <w:rPr>
          <w:rFonts w:hint="eastAsia" w:ascii="仿宋" w:hAnsi="仿宋" w:cs="仿宋_GB2312"/>
          <w:b/>
          <w:bCs w:val="0"/>
          <w:color w:val="auto"/>
          <w:highlight w:val="none"/>
        </w:rPr>
        <w:t>“两不愁三保障”成果持续巩固。</w:t>
      </w:r>
      <w:r>
        <w:rPr>
          <w:rFonts w:hint="eastAsia" w:ascii="仿宋" w:hAnsi="仿宋" w:cs="仿宋_GB2312"/>
          <w:b w:val="0"/>
          <w:bCs/>
          <w:color w:val="auto"/>
          <w:highlight w:val="none"/>
        </w:rPr>
        <w:t>防止返贫动态监</w:t>
      </w:r>
      <w:r>
        <w:rPr>
          <w:rFonts w:hint="eastAsia" w:ascii="仿宋" w:hAnsi="仿宋" w:cs="仿宋_GB2312"/>
          <w:bCs/>
          <w:color w:val="auto"/>
          <w:highlight w:val="none"/>
        </w:rPr>
        <w:t>测和帮扶机制健全完善并有效运转</w:t>
      </w:r>
      <w:r>
        <w:rPr>
          <w:rFonts w:hint="eastAsia" w:ascii="仿宋" w:hAnsi="仿宋" w:cs="仿宋_GB2312"/>
          <w:bCs/>
          <w:color w:val="auto"/>
          <w:highlight w:val="none"/>
          <w:lang w:eastAsia="zh-CN"/>
        </w:rPr>
        <w:t>，巩固拓展教育、基本医疗、住房安全和饮水安全脱贫攻坚成果，</w:t>
      </w:r>
      <w:r>
        <w:rPr>
          <w:rFonts w:hint="eastAsia" w:ascii="仿宋" w:hAnsi="仿宋" w:cs="仿宋_GB2312"/>
          <w:bCs/>
          <w:color w:val="auto"/>
          <w:highlight w:val="none"/>
        </w:rPr>
        <w:t>确保甘孜州脱贫攻坚工作的底线安全与稳定持续</w:t>
      </w:r>
      <w:r>
        <w:rPr>
          <w:rFonts w:hint="eastAsia" w:ascii="仿宋" w:hAnsi="仿宋" w:cs="仿宋_GB2312"/>
          <w:bCs/>
          <w:color w:val="auto"/>
          <w:highlight w:val="none"/>
          <w:lang w:eastAsia="zh-CN"/>
        </w:rPr>
        <w:t>。</w:t>
      </w:r>
      <w:r>
        <w:rPr>
          <w:rFonts w:hint="eastAsia" w:ascii="仿宋" w:hAnsi="仿宋" w:cs="仿宋_GB2312"/>
          <w:bCs/>
          <w:color w:val="auto"/>
          <w:highlight w:val="none"/>
          <w:lang w:val="en-US" w:eastAsia="zh-CN"/>
        </w:rPr>
        <w:t>到</w:t>
      </w:r>
      <w:r>
        <w:rPr>
          <w:rFonts w:hint="eastAsia" w:ascii="仿宋" w:hAnsi="仿宋" w:cs="仿宋_GB2312"/>
          <w:bCs/>
          <w:color w:val="auto"/>
          <w:highlight w:val="none"/>
          <w:lang w:eastAsia="zh-CN"/>
        </w:rPr>
        <w:t>“</w:t>
      </w:r>
      <w:r>
        <w:rPr>
          <w:rFonts w:hint="eastAsia" w:ascii="仿宋" w:hAnsi="仿宋" w:cs="仿宋_GB2312"/>
          <w:bCs/>
          <w:color w:val="auto"/>
          <w:highlight w:val="none"/>
          <w:lang w:val="en-US" w:eastAsia="zh-CN"/>
        </w:rPr>
        <w:t>十四五</w:t>
      </w:r>
      <w:r>
        <w:rPr>
          <w:rFonts w:hint="eastAsia" w:ascii="仿宋" w:hAnsi="仿宋" w:cs="仿宋_GB2312"/>
          <w:bCs/>
          <w:color w:val="auto"/>
          <w:highlight w:val="none"/>
          <w:lang w:eastAsia="zh-CN"/>
        </w:rPr>
        <w:t>”</w:t>
      </w:r>
      <w:r>
        <w:rPr>
          <w:rFonts w:hint="eastAsia" w:ascii="仿宋" w:hAnsi="仿宋" w:cs="仿宋_GB2312"/>
          <w:bCs/>
          <w:color w:val="auto"/>
          <w:highlight w:val="none"/>
          <w:lang w:val="en-US" w:eastAsia="zh-CN"/>
        </w:rPr>
        <w:t>末，</w:t>
      </w:r>
      <w:r>
        <w:rPr>
          <w:rFonts w:hint="eastAsia" w:ascii="仿宋" w:hAnsi="仿宋" w:cs="仿宋_GB2312"/>
          <w:bCs/>
          <w:color w:val="auto"/>
          <w:highlight w:val="none"/>
          <w:lang w:eastAsia="zh-CN"/>
        </w:rPr>
        <w:t>义务教育巩固率</w:t>
      </w:r>
      <w:r>
        <w:rPr>
          <w:rFonts w:hint="eastAsia" w:ascii="仿宋" w:hAnsi="仿宋" w:cs="仿宋_GB2312"/>
          <w:bCs/>
          <w:color w:val="auto"/>
          <w:highlight w:val="none"/>
          <w:lang w:val="en-US" w:eastAsia="zh-Hans"/>
        </w:rPr>
        <w:t>达到</w:t>
      </w:r>
      <w:r>
        <w:rPr>
          <w:rFonts w:hint="default" w:ascii="仿宋" w:hAnsi="仿宋" w:cs="仿宋_GB2312"/>
          <w:bCs/>
          <w:color w:val="auto"/>
          <w:highlight w:val="none"/>
          <w:lang w:eastAsia="zh-Hans"/>
        </w:rPr>
        <w:t>96%</w:t>
      </w:r>
      <w:r>
        <w:rPr>
          <w:rFonts w:hint="eastAsia" w:ascii="仿宋" w:hAnsi="仿宋" w:cs="仿宋_GB2312"/>
          <w:bCs/>
          <w:color w:val="auto"/>
          <w:highlight w:val="none"/>
          <w:lang w:val="en-US" w:eastAsia="zh-Hans"/>
        </w:rPr>
        <w:t>以上</w:t>
      </w:r>
      <w:r>
        <w:rPr>
          <w:rFonts w:hint="default" w:ascii="仿宋" w:hAnsi="仿宋" w:cs="仿宋_GB2312"/>
          <w:bCs/>
          <w:color w:val="auto"/>
          <w:highlight w:val="none"/>
          <w:lang w:eastAsia="zh-Hans"/>
        </w:rPr>
        <w:t>，</w:t>
      </w:r>
      <w:r>
        <w:rPr>
          <w:rFonts w:hint="eastAsia" w:ascii="仿宋" w:hAnsi="仿宋" w:cs="仿宋_GB2312"/>
          <w:bCs/>
          <w:color w:val="auto"/>
          <w:highlight w:val="none"/>
          <w:lang w:eastAsia="zh-CN"/>
        </w:rPr>
        <w:t>安全住房保障率、符合条件的返（致）贫人口纳入社会救助兜底保障率</w:t>
      </w:r>
      <w:r>
        <w:rPr>
          <w:rFonts w:hint="eastAsia" w:ascii="仿宋" w:hAnsi="仿宋" w:cs="仿宋_GB2312"/>
          <w:bCs/>
          <w:color w:val="auto"/>
          <w:highlight w:val="none"/>
          <w:lang w:val="en-US" w:eastAsia="zh-CN"/>
        </w:rPr>
        <w:t>均稳定</w:t>
      </w:r>
      <w:r>
        <w:rPr>
          <w:rFonts w:hint="eastAsia" w:ascii="仿宋" w:hAnsi="仿宋" w:cs="仿宋_GB2312"/>
          <w:bCs/>
          <w:color w:val="auto"/>
          <w:highlight w:val="none"/>
          <w:lang w:val="en-US" w:eastAsia="zh-Hans"/>
        </w:rPr>
        <w:t>在</w:t>
      </w:r>
      <w:r>
        <w:rPr>
          <w:rFonts w:hint="eastAsia" w:ascii="仿宋" w:hAnsi="仿宋" w:cs="仿宋_GB2312"/>
          <w:bCs/>
          <w:color w:val="auto"/>
          <w:highlight w:val="none"/>
          <w:lang w:val="en-US" w:eastAsia="zh-CN"/>
        </w:rPr>
        <w:t>100%。</w:t>
      </w:r>
    </w:p>
    <w:p>
      <w:pPr>
        <w:keepNext w:val="0"/>
        <w:keepLines w:val="0"/>
        <w:pageBreakBefore w:val="0"/>
        <w:widowControl w:val="0"/>
        <w:kinsoku/>
        <w:wordWrap/>
        <w:overflowPunct/>
        <w:topLinePunct w:val="0"/>
        <w:autoSpaceDE/>
        <w:autoSpaceDN/>
        <w:bidi w:val="0"/>
        <w:adjustRightInd/>
        <w:snapToGrid w:val="0"/>
        <w:spacing w:line="360" w:lineRule="auto"/>
        <w:ind w:firstLine="643" w:firstLineChars="200"/>
        <w:textAlignment w:val="auto"/>
        <w:rPr>
          <w:rFonts w:hint="default" w:ascii="仿宋" w:hAnsi="仿宋" w:cs="仿宋_GB2312"/>
          <w:bCs/>
          <w:color w:val="auto"/>
          <w:highlight w:val="none"/>
        </w:rPr>
      </w:pPr>
      <w:r>
        <w:rPr>
          <w:rFonts w:hint="eastAsia" w:ascii="仿宋" w:hAnsi="仿宋" w:cs="仿宋_GB2312"/>
          <w:b/>
          <w:bCs w:val="0"/>
          <w:color w:val="auto"/>
          <w:highlight w:val="none"/>
          <w:lang w:eastAsia="zh-CN"/>
        </w:rPr>
        <w:t>——地区经济活力和发展后劲明显增强。</w:t>
      </w:r>
      <w:r>
        <w:rPr>
          <w:rFonts w:hint="eastAsia" w:ascii="仿宋" w:hAnsi="仿宋" w:cs="仿宋_GB2312"/>
          <w:bCs/>
          <w:color w:val="auto"/>
          <w:highlight w:val="none"/>
        </w:rPr>
        <w:t>确保脱贫人口收入增速高于全州农牧民收入增速、脱贫地区农牧民收入增速高于全省农牧民收入增速，推动脱贫群众生活更上一层楼，脱贫地区自我发展能力进一步提升</w:t>
      </w:r>
      <w:r>
        <w:rPr>
          <w:rFonts w:hint="default" w:ascii="仿宋" w:hAnsi="仿宋" w:cs="仿宋_GB2312"/>
          <w:bCs/>
          <w:color w:val="auto"/>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firstLine="643" w:firstLineChars="200"/>
        <w:textAlignment w:val="auto"/>
        <w:rPr>
          <w:rFonts w:hint="eastAsia" w:ascii="仿宋" w:hAnsi="仿宋" w:cs="仿宋_GB2312"/>
          <w:bCs/>
          <w:color w:val="auto"/>
          <w:highlight w:val="none"/>
        </w:rPr>
      </w:pPr>
      <w:r>
        <w:rPr>
          <w:rFonts w:hint="eastAsia" w:ascii="仿宋" w:hAnsi="仿宋" w:cs="仿宋_GB2312"/>
          <w:b/>
          <w:bCs w:val="0"/>
          <w:color w:val="auto"/>
          <w:highlight w:val="none"/>
          <w:lang w:eastAsia="zh-CN"/>
        </w:rPr>
        <w:t>——</w:t>
      </w:r>
      <w:r>
        <w:rPr>
          <w:rFonts w:hint="eastAsia" w:ascii="仿宋" w:hAnsi="仿宋" w:cs="仿宋_GB2312"/>
          <w:b/>
          <w:bCs w:val="0"/>
          <w:color w:val="auto"/>
          <w:highlight w:val="none"/>
          <w:lang w:val="en-US" w:eastAsia="zh-CN"/>
        </w:rPr>
        <w:t>乡村建设与乡村治理取得显著成效。</w:t>
      </w:r>
      <w:r>
        <w:rPr>
          <w:rFonts w:hint="eastAsia" w:ascii="仿宋" w:hAnsi="仿宋" w:cs="仿宋_GB2312"/>
          <w:bCs/>
          <w:color w:val="auto"/>
          <w:highlight w:val="none"/>
          <w:lang w:eastAsia="zh-CN"/>
        </w:rPr>
        <w:t>深入推进“圣洁甘孜·</w:t>
      </w:r>
      <w:r>
        <w:rPr>
          <w:rFonts w:hint="eastAsia" w:ascii="仿宋" w:hAnsi="仿宋" w:cs="仿宋_GB2312"/>
          <w:bCs/>
          <w:color w:val="auto"/>
          <w:highlight w:val="none"/>
          <w:lang w:val="en-US" w:eastAsia="zh-CN"/>
        </w:rPr>
        <w:t>美丽</w:t>
      </w:r>
      <w:r>
        <w:rPr>
          <w:rFonts w:hint="eastAsia" w:ascii="仿宋" w:hAnsi="仿宋" w:cs="仿宋_GB2312"/>
          <w:bCs/>
          <w:color w:val="auto"/>
          <w:highlight w:val="none"/>
          <w:lang w:eastAsia="zh-CN"/>
        </w:rPr>
        <w:t>乡村”建设，乡村基础设施</w:t>
      </w:r>
      <w:r>
        <w:rPr>
          <w:rFonts w:hint="eastAsia" w:ascii="仿宋" w:hAnsi="仿宋" w:cs="仿宋_GB2312"/>
          <w:bCs/>
          <w:color w:val="auto"/>
          <w:highlight w:val="none"/>
          <w:lang w:val="en-US" w:eastAsia="zh-CN"/>
        </w:rPr>
        <w:t>和基本公共服务水平进一步提升</w:t>
      </w:r>
      <w:r>
        <w:rPr>
          <w:rFonts w:hint="eastAsia" w:ascii="仿宋" w:hAnsi="仿宋" w:cs="仿宋_GB2312"/>
          <w:bCs/>
          <w:color w:val="auto"/>
          <w:highlight w:val="none"/>
          <w:lang w:eastAsia="zh-CN"/>
        </w:rPr>
        <w:t>，</w:t>
      </w:r>
      <w:r>
        <w:rPr>
          <w:rFonts w:hint="eastAsia" w:ascii="仿宋" w:hAnsi="仿宋" w:cs="仿宋_GB2312"/>
          <w:bCs/>
          <w:color w:val="auto"/>
          <w:highlight w:val="none"/>
          <w:lang w:val="en-US" w:eastAsia="zh-CN"/>
        </w:rPr>
        <w:t>全州</w:t>
      </w:r>
      <w:r>
        <w:rPr>
          <w:rFonts w:hint="eastAsia" w:ascii="仿宋" w:hAnsi="仿宋" w:cs="仿宋_GB2312"/>
          <w:bCs/>
          <w:color w:val="auto"/>
          <w:highlight w:val="none"/>
          <w:lang w:eastAsia="zh-CN"/>
        </w:rPr>
        <w:t>生态</w:t>
      </w:r>
      <w:r>
        <w:rPr>
          <w:rFonts w:hint="eastAsia" w:ascii="仿宋" w:hAnsi="仿宋" w:cs="仿宋_GB2312"/>
          <w:bCs/>
          <w:color w:val="auto"/>
          <w:highlight w:val="none"/>
          <w:lang w:val="en-US" w:eastAsia="zh-CN"/>
        </w:rPr>
        <w:t>环境持续改善</w:t>
      </w:r>
      <w:r>
        <w:rPr>
          <w:rFonts w:hint="eastAsia" w:ascii="仿宋" w:hAnsi="仿宋" w:cs="仿宋_GB2312"/>
          <w:bCs/>
          <w:color w:val="auto"/>
          <w:highlight w:val="none"/>
          <w:lang w:eastAsia="zh-CN"/>
        </w:rPr>
        <w:t>，党组织领导的自治、法治、德治、智治相结合的乡村治理体系更加完善，乡村治理</w:t>
      </w:r>
      <w:r>
        <w:rPr>
          <w:rFonts w:hint="eastAsia" w:ascii="仿宋" w:hAnsi="仿宋" w:cs="仿宋_GB2312"/>
          <w:bCs/>
          <w:color w:val="auto"/>
          <w:highlight w:val="none"/>
          <w:lang w:val="en-US" w:eastAsia="zh-CN"/>
        </w:rPr>
        <w:t>效能进一步提升</w:t>
      </w:r>
      <w:r>
        <w:rPr>
          <w:rFonts w:hint="eastAsia" w:ascii="仿宋" w:hAnsi="仿宋" w:cs="仿宋_GB2312"/>
          <w:bCs/>
          <w:color w:val="auto"/>
          <w:highlight w:val="none"/>
        </w:rPr>
        <w:t>。</w:t>
      </w:r>
    </w:p>
    <w:tbl>
      <w:tblPr>
        <w:tblStyle w:val="25"/>
        <w:tblW w:w="8836" w:type="dxa"/>
        <w:tblInd w:w="-57"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50"/>
        <w:gridCol w:w="1036"/>
        <w:gridCol w:w="2907"/>
        <w:gridCol w:w="881"/>
        <w:gridCol w:w="1183"/>
        <w:gridCol w:w="1171"/>
        <w:gridCol w:w="90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97" w:hRule="atLeast"/>
        </w:trPr>
        <w:tc>
          <w:tcPr>
            <w:tcW w:w="8836"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表</w:t>
            </w:r>
            <w:r>
              <w:rPr>
                <w:rStyle w:val="56"/>
                <w:rFonts w:hint="eastAsia" w:ascii="仿宋" w:hAnsi="仿宋" w:eastAsia="仿宋" w:cs="仿宋"/>
                <w:color w:val="auto"/>
                <w:sz w:val="21"/>
                <w:szCs w:val="21"/>
                <w:highlight w:val="none"/>
                <w:lang w:val="en-US" w:eastAsia="zh-CN" w:bidi="ar"/>
              </w:rPr>
              <w:t>2-1 甘孜州巩固拓展脱贫攻坚成果同乡村振兴有效衔接发展指标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序号</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类别</w:t>
            </w:r>
          </w:p>
        </w:tc>
        <w:tc>
          <w:tcPr>
            <w:tcW w:w="29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指标</w:t>
            </w: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单位</w:t>
            </w: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2020</w:t>
            </w:r>
            <w:r>
              <w:rPr>
                <w:rStyle w:val="56"/>
                <w:rFonts w:hint="eastAsia" w:ascii="仿宋" w:hAnsi="仿宋" w:eastAsia="仿宋" w:cs="仿宋"/>
                <w:color w:val="auto"/>
                <w:sz w:val="21"/>
                <w:szCs w:val="21"/>
                <w:highlight w:val="none"/>
                <w:lang w:val="en-US" w:eastAsia="zh-CN" w:bidi="ar"/>
              </w:rPr>
              <w:t>年基期值</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2025</w:t>
            </w:r>
            <w:r>
              <w:rPr>
                <w:rStyle w:val="56"/>
                <w:rFonts w:hint="eastAsia" w:ascii="仿宋" w:hAnsi="仿宋" w:eastAsia="仿宋" w:cs="仿宋"/>
                <w:color w:val="auto"/>
                <w:sz w:val="21"/>
                <w:szCs w:val="21"/>
                <w:highlight w:val="none"/>
                <w:lang w:val="en-US" w:eastAsia="zh-CN" w:bidi="ar"/>
              </w:rPr>
              <w:t>年目标值</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属性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0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10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巩固拓展脱贫攻坚成果</w:t>
            </w:r>
          </w:p>
        </w:tc>
        <w:tc>
          <w:tcPr>
            <w:tcW w:w="29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低收入人口</w:t>
            </w:r>
            <w:r>
              <w:rPr>
                <w:rFonts w:hint="eastAsia" w:ascii="仿宋" w:hAnsi="仿宋" w:cs="仿宋"/>
                <w:i w:val="0"/>
                <w:iCs w:val="0"/>
                <w:color w:val="auto"/>
                <w:kern w:val="0"/>
                <w:sz w:val="21"/>
                <w:szCs w:val="21"/>
                <w:highlight w:val="none"/>
                <w:u w:val="none"/>
                <w:lang w:val="en-US" w:eastAsia="zh-CN" w:bidi="ar"/>
              </w:rPr>
              <w:t>返（致）贫</w:t>
            </w:r>
            <w:r>
              <w:rPr>
                <w:rFonts w:hint="eastAsia" w:ascii="仿宋" w:hAnsi="仿宋" w:eastAsia="仿宋" w:cs="仿宋"/>
                <w:i w:val="0"/>
                <w:iCs w:val="0"/>
                <w:color w:val="auto"/>
                <w:kern w:val="0"/>
                <w:sz w:val="21"/>
                <w:szCs w:val="21"/>
                <w:highlight w:val="none"/>
                <w:u w:val="none"/>
                <w:lang w:val="en-US" w:eastAsia="zh-CN" w:bidi="ar"/>
              </w:rPr>
              <w:t>率</w:t>
            </w: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cs="仿宋"/>
                <w:i w:val="0"/>
                <w:iCs w:val="0"/>
                <w:color w:val="auto"/>
                <w:kern w:val="0"/>
                <w:sz w:val="21"/>
                <w:szCs w:val="21"/>
                <w:highlight w:val="none"/>
                <w:u w:val="none"/>
                <w:lang w:val="en-US" w:eastAsia="zh-CN" w:bidi="ar"/>
              </w:rPr>
              <w:t>%</w:t>
            </w: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仿宋" w:hAnsi="仿宋" w:eastAsia="仿宋" w:cs="仿宋"/>
                <w:i w:val="0"/>
                <w:iCs w:val="0"/>
                <w:color w:val="auto"/>
                <w:sz w:val="21"/>
                <w:szCs w:val="21"/>
                <w:highlight w:val="none"/>
                <w:u w:val="none"/>
              </w:rPr>
            </w:pPr>
            <w:r>
              <w:rPr>
                <w:rFonts w:hint="default" w:ascii="仿宋" w:hAnsi="仿宋" w:cs="仿宋"/>
                <w:i w:val="0"/>
                <w:iCs w:val="0"/>
                <w:color w:val="auto"/>
                <w:sz w:val="21"/>
                <w:szCs w:val="21"/>
                <w:highlight w:val="none"/>
                <w:u w:val="none"/>
              </w:rPr>
              <w:t>/</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0</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约束性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29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符合条件的</w:t>
            </w:r>
            <w:r>
              <w:rPr>
                <w:rFonts w:hint="eastAsia" w:ascii="仿宋" w:hAnsi="仿宋" w:cs="仿宋"/>
                <w:i w:val="0"/>
                <w:iCs w:val="0"/>
                <w:color w:val="auto"/>
                <w:kern w:val="0"/>
                <w:sz w:val="21"/>
                <w:szCs w:val="21"/>
                <w:highlight w:val="none"/>
                <w:u w:val="none"/>
                <w:lang w:val="en-US" w:eastAsia="zh-CN" w:bidi="ar"/>
              </w:rPr>
              <w:t>返（致）贫</w:t>
            </w:r>
            <w:r>
              <w:rPr>
                <w:rFonts w:hint="eastAsia" w:ascii="仿宋" w:hAnsi="仿宋" w:eastAsia="仿宋" w:cs="仿宋"/>
                <w:i w:val="0"/>
                <w:iCs w:val="0"/>
                <w:color w:val="auto"/>
                <w:kern w:val="0"/>
                <w:sz w:val="21"/>
                <w:szCs w:val="21"/>
                <w:highlight w:val="none"/>
                <w:u w:val="none"/>
                <w:lang w:val="en-US" w:eastAsia="zh-CN" w:bidi="ar"/>
              </w:rPr>
              <w:t>人口纳入社会救助兜底保障率</w:t>
            </w: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cs="仿宋"/>
                <w:i w:val="0"/>
                <w:iCs w:val="0"/>
                <w:color w:val="auto"/>
                <w:kern w:val="0"/>
                <w:sz w:val="21"/>
                <w:szCs w:val="21"/>
                <w:highlight w:val="none"/>
                <w:u w:val="none"/>
                <w:lang w:val="en-US" w:eastAsia="zh-CN" w:bidi="ar"/>
              </w:rPr>
              <w:t>%</w:t>
            </w: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仿宋" w:hAnsi="仿宋" w:eastAsia="仿宋" w:cs="仿宋"/>
                <w:i w:val="0"/>
                <w:iCs w:val="0"/>
                <w:color w:val="auto"/>
                <w:sz w:val="21"/>
                <w:szCs w:val="21"/>
                <w:highlight w:val="none"/>
                <w:u w:val="none"/>
              </w:rPr>
            </w:pPr>
            <w:r>
              <w:rPr>
                <w:rFonts w:hint="default" w:ascii="仿宋" w:hAnsi="仿宋" w:cs="仿宋"/>
                <w:i w:val="0"/>
                <w:iCs w:val="0"/>
                <w:color w:val="auto"/>
                <w:sz w:val="21"/>
                <w:szCs w:val="21"/>
                <w:highlight w:val="none"/>
                <w:u w:val="none"/>
              </w:rPr>
              <w:t>/</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100</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约束性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w:t>
            </w: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29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义务教育巩固率</w:t>
            </w: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cs="仿宋"/>
                <w:i w:val="0"/>
                <w:iCs w:val="0"/>
                <w:color w:val="auto"/>
                <w:kern w:val="0"/>
                <w:sz w:val="21"/>
                <w:szCs w:val="21"/>
                <w:highlight w:val="none"/>
                <w:u w:val="none"/>
                <w:lang w:val="en-US" w:eastAsia="zh-CN" w:bidi="ar"/>
              </w:rPr>
              <w:t>%</w:t>
            </w: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仿宋" w:hAnsi="仿宋" w:eastAsia="仿宋" w:cs="仿宋"/>
                <w:i w:val="0"/>
                <w:iCs w:val="0"/>
                <w:color w:val="auto"/>
                <w:sz w:val="21"/>
                <w:szCs w:val="21"/>
                <w:highlight w:val="none"/>
                <w:u w:val="none"/>
                <w:lang w:eastAsia="zh-Hans"/>
              </w:rPr>
            </w:pPr>
            <w:r>
              <w:rPr>
                <w:rFonts w:hint="default" w:ascii="仿宋" w:hAnsi="仿宋" w:cs="仿宋"/>
                <w:i w:val="0"/>
                <w:iCs w:val="0"/>
                <w:color w:val="auto"/>
                <w:kern w:val="0"/>
                <w:sz w:val="21"/>
                <w:szCs w:val="21"/>
                <w:highlight w:val="none"/>
                <w:u w:val="none"/>
                <w:lang w:eastAsia="zh-CN" w:bidi="ar"/>
              </w:rPr>
              <w:t>95</w:t>
            </w:r>
            <w:r>
              <w:rPr>
                <w:rFonts w:hint="eastAsia" w:ascii="仿宋" w:hAnsi="仿宋" w:cs="仿宋"/>
                <w:i w:val="0"/>
                <w:iCs w:val="0"/>
                <w:color w:val="auto"/>
                <w:kern w:val="0"/>
                <w:sz w:val="21"/>
                <w:szCs w:val="21"/>
                <w:highlight w:val="none"/>
                <w:u w:val="none"/>
                <w:lang w:val="en-US" w:eastAsia="zh-Hans" w:bidi="ar"/>
              </w:rPr>
              <w:t>.</w:t>
            </w:r>
            <w:r>
              <w:rPr>
                <w:rFonts w:hint="default" w:ascii="仿宋" w:hAnsi="仿宋" w:cs="仿宋"/>
                <w:i w:val="0"/>
                <w:iCs w:val="0"/>
                <w:color w:val="auto"/>
                <w:kern w:val="0"/>
                <w:sz w:val="21"/>
                <w:szCs w:val="21"/>
                <w:highlight w:val="none"/>
                <w:u w:val="none"/>
                <w:lang w:eastAsia="zh-Hans" w:bidi="ar"/>
              </w:rPr>
              <w:t>02</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仿宋" w:hAnsi="仿宋" w:eastAsia="仿宋" w:cs="仿宋"/>
                <w:i w:val="0"/>
                <w:iCs w:val="0"/>
                <w:color w:val="auto"/>
                <w:sz w:val="21"/>
                <w:szCs w:val="21"/>
                <w:highlight w:val="none"/>
                <w:u w:val="none"/>
              </w:rPr>
            </w:pPr>
            <w:r>
              <w:rPr>
                <w:rFonts w:hint="default" w:ascii="仿宋" w:hAnsi="仿宋" w:cs="仿宋"/>
                <w:i w:val="0"/>
                <w:iCs w:val="0"/>
                <w:color w:val="auto"/>
                <w:sz w:val="21"/>
                <w:szCs w:val="21"/>
                <w:highlight w:val="none"/>
                <w:u w:val="none"/>
              </w:rPr>
              <w:t>96</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约束性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w:t>
            </w: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29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cs="仿宋"/>
                <w:i w:val="0"/>
                <w:iCs w:val="0"/>
                <w:color w:val="auto"/>
                <w:kern w:val="0"/>
                <w:sz w:val="21"/>
                <w:szCs w:val="21"/>
                <w:highlight w:val="none"/>
                <w:u w:val="none"/>
                <w:lang w:val="en-US" w:eastAsia="zh-Hans" w:bidi="ar"/>
              </w:rPr>
              <w:t>农户</w:t>
            </w:r>
            <w:r>
              <w:rPr>
                <w:rFonts w:hint="eastAsia" w:ascii="仿宋" w:hAnsi="仿宋" w:eastAsia="仿宋" w:cs="仿宋"/>
                <w:i w:val="0"/>
                <w:iCs w:val="0"/>
                <w:color w:val="auto"/>
                <w:kern w:val="0"/>
                <w:sz w:val="21"/>
                <w:szCs w:val="21"/>
                <w:highlight w:val="none"/>
                <w:u w:val="none"/>
                <w:lang w:val="en-US" w:eastAsia="zh-CN" w:bidi="ar"/>
              </w:rPr>
              <w:t>安全住房保障率</w:t>
            </w: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cs="仿宋"/>
                <w:i w:val="0"/>
                <w:iCs w:val="0"/>
                <w:color w:val="auto"/>
                <w:kern w:val="0"/>
                <w:sz w:val="21"/>
                <w:szCs w:val="21"/>
                <w:highlight w:val="none"/>
                <w:u w:val="none"/>
                <w:lang w:val="en-US" w:eastAsia="zh-CN" w:bidi="ar"/>
              </w:rPr>
              <w:t>%</w:t>
            </w: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仿宋" w:hAnsi="仿宋" w:eastAsia="仿宋" w:cs="仿宋"/>
                <w:i w:val="0"/>
                <w:iCs w:val="0"/>
                <w:color w:val="auto"/>
                <w:sz w:val="21"/>
                <w:szCs w:val="21"/>
                <w:highlight w:val="none"/>
                <w:u w:val="none"/>
              </w:rPr>
            </w:pPr>
            <w:r>
              <w:rPr>
                <w:rFonts w:hint="default" w:ascii="仿宋" w:hAnsi="仿宋" w:cs="仿宋"/>
                <w:i w:val="0"/>
                <w:iCs w:val="0"/>
                <w:color w:val="auto"/>
                <w:sz w:val="21"/>
                <w:szCs w:val="21"/>
                <w:highlight w:val="none"/>
                <w:u w:val="none"/>
              </w:rPr>
              <w:t>/</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100</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约束性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29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cs="仿宋"/>
                <w:i w:val="0"/>
                <w:iCs w:val="0"/>
                <w:color w:val="auto"/>
                <w:kern w:val="0"/>
                <w:sz w:val="21"/>
                <w:szCs w:val="21"/>
                <w:highlight w:val="none"/>
                <w:u w:val="none"/>
                <w:lang w:val="en-US" w:eastAsia="zh-Hans" w:bidi="ar"/>
              </w:rPr>
              <w:t>农村饮水水质卫生合格率</w:t>
            </w: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cs="仿宋"/>
                <w:i w:val="0"/>
                <w:iCs w:val="0"/>
                <w:color w:val="auto"/>
                <w:kern w:val="0"/>
                <w:sz w:val="21"/>
                <w:szCs w:val="21"/>
                <w:highlight w:val="none"/>
                <w:u w:val="none"/>
                <w:lang w:val="en-US" w:eastAsia="zh-CN" w:bidi="ar"/>
              </w:rPr>
              <w:t>%</w:t>
            </w: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仿宋" w:hAnsi="仿宋" w:eastAsia="仿宋" w:cs="仿宋"/>
                <w:i w:val="0"/>
                <w:iCs w:val="0"/>
                <w:color w:val="auto"/>
                <w:sz w:val="21"/>
                <w:szCs w:val="21"/>
                <w:highlight w:val="none"/>
                <w:u w:val="none"/>
                <w:lang w:val="en-US" w:eastAsia="zh-CN"/>
              </w:rPr>
            </w:pPr>
            <w:r>
              <w:rPr>
                <w:rFonts w:hint="eastAsia" w:ascii="仿宋" w:hAnsi="仿宋" w:cs="仿宋"/>
                <w:i w:val="0"/>
                <w:iCs w:val="0"/>
                <w:color w:val="auto"/>
                <w:sz w:val="21"/>
                <w:szCs w:val="21"/>
                <w:highlight w:val="none"/>
                <w:u w:val="none"/>
                <w:lang w:val="en-US" w:eastAsia="zh-CN"/>
              </w:rPr>
              <w:t>/</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仿宋" w:hAnsi="仿宋" w:eastAsia="仿宋" w:cs="仿宋"/>
                <w:i w:val="0"/>
                <w:iCs w:val="0"/>
                <w:color w:val="auto"/>
                <w:sz w:val="21"/>
                <w:szCs w:val="21"/>
                <w:highlight w:val="none"/>
                <w:u w:val="none"/>
                <w:lang w:val="en-US" w:eastAsia="zh-CN"/>
              </w:rPr>
            </w:pPr>
            <w:r>
              <w:rPr>
                <w:rFonts w:hint="eastAsia" w:ascii="仿宋" w:hAnsi="仿宋" w:cs="仿宋"/>
                <w:i w:val="0"/>
                <w:iCs w:val="0"/>
                <w:color w:val="auto"/>
                <w:sz w:val="21"/>
                <w:szCs w:val="21"/>
                <w:highlight w:val="none"/>
                <w:u w:val="none"/>
                <w:lang w:val="en-US" w:eastAsia="zh-CN"/>
              </w:rPr>
              <w:t>≥95</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cs="仿宋"/>
                <w:i w:val="0"/>
                <w:iCs w:val="0"/>
                <w:color w:val="auto"/>
                <w:kern w:val="0"/>
                <w:sz w:val="21"/>
                <w:szCs w:val="21"/>
                <w:highlight w:val="none"/>
                <w:u w:val="none"/>
                <w:lang w:val="en-US" w:eastAsia="zh-Hans" w:bidi="ar"/>
              </w:rPr>
              <w:t>约束</w:t>
            </w:r>
            <w:r>
              <w:rPr>
                <w:rFonts w:hint="eastAsia" w:ascii="仿宋" w:hAnsi="仿宋" w:eastAsia="仿宋" w:cs="仿宋"/>
                <w:i w:val="0"/>
                <w:iCs w:val="0"/>
                <w:color w:val="auto"/>
                <w:kern w:val="0"/>
                <w:sz w:val="21"/>
                <w:szCs w:val="21"/>
                <w:highlight w:val="none"/>
                <w:u w:val="none"/>
                <w:lang w:val="en-US" w:eastAsia="zh-CN" w:bidi="ar"/>
              </w:rPr>
              <w:t>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w:t>
            </w:r>
          </w:p>
        </w:tc>
        <w:tc>
          <w:tcPr>
            <w:tcW w:w="10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有效衔接乡村振兴</w:t>
            </w:r>
          </w:p>
        </w:tc>
        <w:tc>
          <w:tcPr>
            <w:tcW w:w="29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粮食综合生产能力</w:t>
            </w: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cs="仿宋"/>
                <w:i w:val="0"/>
                <w:iCs w:val="0"/>
                <w:color w:val="auto"/>
                <w:kern w:val="0"/>
                <w:sz w:val="21"/>
                <w:szCs w:val="21"/>
                <w:highlight w:val="none"/>
                <w:u w:val="none"/>
                <w:lang w:val="en-US" w:eastAsia="zh-CN" w:bidi="ar"/>
              </w:rPr>
              <w:t>万吨</w:t>
            </w: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仿宋" w:hAnsi="仿宋" w:eastAsia="仿宋" w:cs="仿宋"/>
                <w:i w:val="0"/>
                <w:iCs w:val="0"/>
                <w:color w:val="auto"/>
                <w:sz w:val="21"/>
                <w:szCs w:val="21"/>
                <w:highlight w:val="none"/>
                <w:u w:val="none"/>
                <w:lang w:val="en-US"/>
              </w:rPr>
            </w:pPr>
            <w:r>
              <w:rPr>
                <w:rFonts w:hint="eastAsia" w:ascii="仿宋" w:hAnsi="仿宋" w:cs="仿宋"/>
                <w:i w:val="0"/>
                <w:iCs w:val="0"/>
                <w:color w:val="auto"/>
                <w:kern w:val="0"/>
                <w:sz w:val="21"/>
                <w:szCs w:val="21"/>
                <w:highlight w:val="none"/>
                <w:u w:val="none"/>
                <w:lang w:val="en-US" w:eastAsia="zh-CN" w:bidi="ar"/>
              </w:rPr>
              <w:t>22.9</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仿宋" w:hAnsi="仿宋" w:eastAsia="仿宋" w:cs="仿宋"/>
                <w:i w:val="0"/>
                <w:iCs w:val="0"/>
                <w:color w:val="auto"/>
                <w:sz w:val="21"/>
                <w:szCs w:val="21"/>
                <w:highlight w:val="none"/>
                <w:u w:val="none"/>
                <w:lang w:val="en-US"/>
              </w:rPr>
            </w:pPr>
            <w:r>
              <w:rPr>
                <w:rFonts w:hint="eastAsia" w:ascii="仿宋" w:hAnsi="仿宋" w:cs="仿宋"/>
                <w:i w:val="0"/>
                <w:iCs w:val="0"/>
                <w:color w:val="auto"/>
                <w:kern w:val="0"/>
                <w:sz w:val="21"/>
                <w:szCs w:val="21"/>
                <w:highlight w:val="none"/>
                <w:u w:val="none"/>
                <w:lang w:val="en-US" w:eastAsia="zh-CN" w:bidi="ar"/>
              </w:rPr>
              <w:t>23</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约束性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w:t>
            </w: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29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绿色、有机、地理标志农产品认证登记数量</w:t>
            </w: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200</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225</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预期性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仿宋" w:hAnsi="仿宋" w:eastAsia="仿宋" w:cs="仿宋"/>
                <w:i w:val="0"/>
                <w:iCs w:val="0"/>
                <w:color w:val="auto"/>
                <w:sz w:val="21"/>
                <w:szCs w:val="21"/>
                <w:highlight w:val="none"/>
                <w:u w:val="none"/>
              </w:rPr>
            </w:pPr>
            <w:r>
              <w:rPr>
                <w:rFonts w:hint="default" w:ascii="仿宋" w:hAnsi="仿宋" w:cs="仿宋"/>
                <w:i w:val="0"/>
                <w:iCs w:val="0"/>
                <w:color w:val="auto"/>
                <w:sz w:val="21"/>
                <w:szCs w:val="21"/>
                <w:highlight w:val="none"/>
                <w:u w:val="none"/>
              </w:rPr>
              <w:t>8</w:t>
            </w: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29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农村居民人均可支配收入</w:t>
            </w: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lang w:val="en-US" w:eastAsia="zh-CN"/>
              </w:rPr>
            </w:pPr>
            <w:r>
              <w:rPr>
                <w:rFonts w:hint="eastAsia" w:ascii="仿宋" w:hAnsi="仿宋" w:cs="仿宋"/>
                <w:i w:val="0"/>
                <w:iCs w:val="0"/>
                <w:color w:val="auto"/>
                <w:sz w:val="21"/>
                <w:szCs w:val="21"/>
                <w:highlight w:val="none"/>
                <w:u w:val="none"/>
                <w:lang w:val="en-US" w:eastAsia="zh-CN"/>
              </w:rPr>
              <w:t>元</w:t>
            </w: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13967</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22500</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预期性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仿宋" w:hAnsi="仿宋" w:eastAsia="仿宋" w:cs="仿宋"/>
                <w:i w:val="0"/>
                <w:iCs w:val="0"/>
                <w:color w:val="auto"/>
                <w:sz w:val="21"/>
                <w:szCs w:val="21"/>
                <w:highlight w:val="none"/>
                <w:u w:val="none"/>
              </w:rPr>
            </w:pPr>
            <w:r>
              <w:rPr>
                <w:rFonts w:hint="default" w:ascii="仿宋" w:hAnsi="仿宋" w:cs="仿宋"/>
                <w:i w:val="0"/>
                <w:iCs w:val="0"/>
                <w:color w:val="auto"/>
                <w:sz w:val="21"/>
                <w:szCs w:val="21"/>
                <w:highlight w:val="none"/>
                <w:u w:val="none"/>
              </w:rPr>
              <w:t>9</w:t>
            </w: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29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集体收益5万元以上的村占比</w:t>
            </w: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cs="仿宋"/>
                <w:i w:val="0"/>
                <w:iCs w:val="0"/>
                <w:color w:val="auto"/>
                <w:kern w:val="0"/>
                <w:sz w:val="21"/>
                <w:szCs w:val="21"/>
                <w:highlight w:val="none"/>
                <w:u w:val="none"/>
                <w:lang w:val="en-US" w:eastAsia="zh-CN" w:bidi="ar"/>
              </w:rPr>
              <w:t>%</w:t>
            </w: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预期性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r>
              <w:rPr>
                <w:rFonts w:hint="default" w:ascii="仿宋" w:hAnsi="仿宋" w:cs="仿宋"/>
                <w:i w:val="0"/>
                <w:iCs w:val="0"/>
                <w:color w:val="auto"/>
                <w:kern w:val="0"/>
                <w:sz w:val="21"/>
                <w:szCs w:val="21"/>
                <w:highlight w:val="none"/>
                <w:u w:val="none"/>
                <w:lang w:eastAsia="zh-CN" w:bidi="ar"/>
              </w:rPr>
              <w:t>0</w:t>
            </w: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29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行政村生活污水有效治理比例</w:t>
            </w: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cs="仿宋"/>
                <w:i w:val="0"/>
                <w:iCs w:val="0"/>
                <w:color w:val="auto"/>
                <w:kern w:val="0"/>
                <w:sz w:val="21"/>
                <w:szCs w:val="21"/>
                <w:highlight w:val="none"/>
                <w:u w:val="none"/>
                <w:lang w:val="en-US" w:eastAsia="zh-CN" w:bidi="ar"/>
              </w:rPr>
              <w:t>%</w:t>
            </w: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25</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60</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预期性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仿宋" w:hAnsi="仿宋" w:eastAsia="仿宋" w:cs="仿宋"/>
                <w:i w:val="0"/>
                <w:iCs w:val="0"/>
                <w:color w:val="auto"/>
                <w:kern w:val="0"/>
                <w:sz w:val="21"/>
                <w:szCs w:val="21"/>
                <w:highlight w:val="none"/>
                <w:u w:val="none"/>
                <w:lang w:val="en-US" w:eastAsia="zh-CN" w:bidi="ar"/>
              </w:rPr>
            </w:pPr>
            <w:r>
              <w:rPr>
                <w:rFonts w:hint="eastAsia" w:ascii="仿宋" w:hAnsi="仿宋" w:cs="仿宋"/>
                <w:i w:val="0"/>
                <w:iCs w:val="0"/>
                <w:color w:val="auto"/>
                <w:kern w:val="0"/>
                <w:sz w:val="21"/>
                <w:szCs w:val="21"/>
                <w:highlight w:val="none"/>
                <w:u w:val="none"/>
                <w:lang w:val="en-US" w:eastAsia="zh-CN" w:bidi="ar"/>
              </w:rPr>
              <w:t>11</w:t>
            </w: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29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农村自来水普及率</w:t>
            </w: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仿宋" w:hAnsi="仿宋" w:cs="仿宋"/>
                <w:i w:val="0"/>
                <w:iCs w:val="0"/>
                <w:color w:val="auto"/>
                <w:kern w:val="0"/>
                <w:sz w:val="21"/>
                <w:szCs w:val="21"/>
                <w:highlight w:val="none"/>
                <w:u w:val="none"/>
                <w:lang w:val="en-US" w:eastAsia="zh-CN" w:bidi="ar"/>
              </w:rPr>
            </w:pPr>
            <w:r>
              <w:rPr>
                <w:rFonts w:hint="eastAsia" w:ascii="仿宋" w:hAnsi="仿宋" w:cs="仿宋"/>
                <w:i w:val="0"/>
                <w:iCs w:val="0"/>
                <w:color w:val="auto"/>
                <w:kern w:val="0"/>
                <w:sz w:val="21"/>
                <w:szCs w:val="21"/>
                <w:highlight w:val="none"/>
                <w:u w:val="none"/>
                <w:lang w:val="en-US" w:eastAsia="zh-CN" w:bidi="ar"/>
              </w:rPr>
              <w:t>%</w:t>
            </w: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仿宋" w:hAnsi="仿宋" w:cs="仿宋"/>
                <w:i w:val="0"/>
                <w:iCs w:val="0"/>
                <w:color w:val="auto"/>
                <w:kern w:val="0"/>
                <w:sz w:val="21"/>
                <w:szCs w:val="21"/>
                <w:highlight w:val="none"/>
                <w:u w:val="none"/>
                <w:lang w:val="en-US" w:eastAsia="zh-CN" w:bidi="ar"/>
              </w:rPr>
            </w:pPr>
            <w:r>
              <w:rPr>
                <w:rFonts w:hint="eastAsia" w:ascii="仿宋" w:hAnsi="仿宋" w:cs="仿宋"/>
                <w:i w:val="0"/>
                <w:iCs w:val="0"/>
                <w:color w:val="auto"/>
                <w:kern w:val="0"/>
                <w:sz w:val="21"/>
                <w:szCs w:val="21"/>
                <w:highlight w:val="none"/>
                <w:u w:val="none"/>
                <w:lang w:val="en-US" w:eastAsia="zh-CN" w:bidi="ar"/>
              </w:rPr>
              <w:t>/</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仿宋" w:hAnsi="仿宋" w:cs="仿宋"/>
                <w:i w:val="0"/>
                <w:iCs w:val="0"/>
                <w:color w:val="auto"/>
                <w:kern w:val="0"/>
                <w:sz w:val="21"/>
                <w:szCs w:val="21"/>
                <w:highlight w:val="none"/>
                <w:u w:val="none"/>
                <w:lang w:val="en-US" w:eastAsia="zh-CN" w:bidi="ar"/>
              </w:rPr>
            </w:pPr>
            <w:r>
              <w:rPr>
                <w:rFonts w:hint="eastAsia" w:ascii="仿宋" w:hAnsi="仿宋" w:cs="仿宋"/>
                <w:i w:val="0"/>
                <w:iCs w:val="0"/>
                <w:color w:val="auto"/>
                <w:kern w:val="0"/>
                <w:sz w:val="21"/>
                <w:szCs w:val="21"/>
                <w:highlight w:val="none"/>
                <w:u w:val="none"/>
                <w:lang w:val="en-US" w:eastAsia="zh-CN" w:bidi="ar"/>
              </w:rPr>
              <w:t>≥88</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预期性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r>
              <w:rPr>
                <w:rFonts w:hint="eastAsia" w:ascii="仿宋" w:hAnsi="仿宋" w:cs="仿宋"/>
                <w:i w:val="0"/>
                <w:iCs w:val="0"/>
                <w:color w:val="auto"/>
                <w:kern w:val="0"/>
                <w:sz w:val="21"/>
                <w:szCs w:val="21"/>
                <w:highlight w:val="none"/>
                <w:u w:val="none"/>
                <w:lang w:val="en-US" w:eastAsia="zh-CN" w:bidi="ar"/>
              </w:rPr>
              <w:t>2</w:t>
            </w: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29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农村卫生厕所普及率</w:t>
            </w: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cs="仿宋"/>
                <w:i w:val="0"/>
                <w:iCs w:val="0"/>
                <w:color w:val="auto"/>
                <w:kern w:val="0"/>
                <w:sz w:val="21"/>
                <w:szCs w:val="21"/>
                <w:highlight w:val="none"/>
                <w:u w:val="none"/>
                <w:lang w:val="en-US" w:eastAsia="zh-CN" w:bidi="ar"/>
              </w:rPr>
              <w:t>%</w:t>
            </w: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仿宋" w:hAnsi="仿宋" w:eastAsia="仿宋" w:cs="仿宋"/>
                <w:i w:val="0"/>
                <w:iCs w:val="0"/>
                <w:color w:val="auto"/>
                <w:sz w:val="21"/>
                <w:szCs w:val="21"/>
                <w:highlight w:val="none"/>
                <w:u w:val="none"/>
                <w:lang w:val="en-US"/>
              </w:rPr>
            </w:pPr>
            <w:r>
              <w:rPr>
                <w:rFonts w:hint="eastAsia" w:ascii="仿宋" w:hAnsi="仿宋" w:cs="仿宋"/>
                <w:i w:val="0"/>
                <w:iCs w:val="0"/>
                <w:color w:val="auto"/>
                <w:kern w:val="0"/>
                <w:sz w:val="21"/>
                <w:szCs w:val="21"/>
                <w:highlight w:val="none"/>
                <w:u w:val="none"/>
                <w:lang w:val="en-US" w:eastAsia="zh-CN" w:bidi="ar"/>
              </w:rPr>
              <w:t>30.18</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仿宋" w:hAnsi="仿宋" w:eastAsia="仿宋" w:cs="仿宋"/>
                <w:i w:val="0"/>
                <w:iCs w:val="0"/>
                <w:color w:val="auto"/>
                <w:sz w:val="21"/>
                <w:szCs w:val="21"/>
                <w:highlight w:val="none"/>
                <w:u w:val="none"/>
                <w:lang w:val="en-US"/>
              </w:rPr>
            </w:pPr>
            <w:r>
              <w:rPr>
                <w:rFonts w:hint="eastAsia" w:ascii="仿宋" w:hAnsi="仿宋" w:cs="仿宋"/>
                <w:i w:val="0"/>
                <w:iCs w:val="0"/>
                <w:color w:val="auto"/>
                <w:kern w:val="0"/>
                <w:sz w:val="21"/>
                <w:szCs w:val="21"/>
                <w:highlight w:val="none"/>
                <w:u w:val="none"/>
                <w:lang w:val="en-US" w:eastAsia="zh-CN" w:bidi="ar"/>
              </w:rPr>
              <w:t>≥75</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预期性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r>
              <w:rPr>
                <w:rFonts w:hint="eastAsia" w:ascii="仿宋" w:hAnsi="仿宋" w:cs="仿宋"/>
                <w:i w:val="0"/>
                <w:iCs w:val="0"/>
                <w:color w:val="auto"/>
                <w:kern w:val="0"/>
                <w:sz w:val="21"/>
                <w:szCs w:val="21"/>
                <w:highlight w:val="none"/>
                <w:u w:val="none"/>
                <w:lang w:val="en-US" w:eastAsia="zh-CN" w:bidi="ar"/>
              </w:rPr>
              <w:t>3</w:t>
            </w: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29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农村生活垃圾治理率</w:t>
            </w: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cs="仿宋"/>
                <w:i w:val="0"/>
                <w:iCs w:val="0"/>
                <w:color w:val="auto"/>
                <w:kern w:val="0"/>
                <w:sz w:val="21"/>
                <w:szCs w:val="21"/>
                <w:highlight w:val="none"/>
                <w:u w:val="none"/>
                <w:lang w:val="en-US" w:eastAsia="zh-CN" w:bidi="ar"/>
              </w:rPr>
              <w:t>%</w:t>
            </w: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83</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100</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预期性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r>
              <w:rPr>
                <w:rFonts w:hint="eastAsia" w:ascii="仿宋" w:hAnsi="仿宋" w:cs="仿宋"/>
                <w:i w:val="0"/>
                <w:iCs w:val="0"/>
                <w:color w:val="auto"/>
                <w:kern w:val="0"/>
                <w:sz w:val="21"/>
                <w:szCs w:val="21"/>
                <w:highlight w:val="none"/>
                <w:u w:val="none"/>
                <w:lang w:val="en-US" w:eastAsia="zh-CN" w:bidi="ar"/>
              </w:rPr>
              <w:t>4</w:t>
            </w: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29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县级及以上文明村镇占比</w:t>
            </w: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cs="仿宋"/>
                <w:i w:val="0"/>
                <w:iCs w:val="0"/>
                <w:color w:val="auto"/>
                <w:kern w:val="0"/>
                <w:sz w:val="21"/>
                <w:szCs w:val="21"/>
                <w:highlight w:val="none"/>
                <w:u w:val="none"/>
                <w:lang w:val="en-US" w:eastAsia="zh-CN" w:bidi="ar"/>
              </w:rPr>
              <w:t>%</w:t>
            </w: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58.5</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63.5</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预期性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r>
              <w:rPr>
                <w:rFonts w:hint="eastAsia" w:ascii="仿宋" w:hAnsi="仿宋" w:cs="仿宋"/>
                <w:i w:val="0"/>
                <w:iCs w:val="0"/>
                <w:color w:val="auto"/>
                <w:kern w:val="0"/>
                <w:sz w:val="21"/>
                <w:szCs w:val="21"/>
                <w:highlight w:val="none"/>
                <w:u w:val="none"/>
                <w:lang w:val="en-US" w:eastAsia="zh-CN" w:bidi="ar"/>
              </w:rPr>
              <w:t>5</w:t>
            </w: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29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cs="仿宋"/>
                <w:i w:val="0"/>
                <w:iCs w:val="0"/>
                <w:color w:val="auto"/>
                <w:kern w:val="0"/>
                <w:sz w:val="21"/>
                <w:szCs w:val="21"/>
                <w:highlight w:val="none"/>
                <w:u w:val="none"/>
                <w:lang w:val="en-US" w:eastAsia="zh-CN" w:bidi="ar"/>
              </w:rPr>
              <w:t>草地综合植被盖度</w:t>
            </w: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cs="仿宋"/>
                <w:i w:val="0"/>
                <w:iCs w:val="0"/>
                <w:color w:val="auto"/>
                <w:kern w:val="0"/>
                <w:sz w:val="21"/>
                <w:szCs w:val="21"/>
                <w:highlight w:val="none"/>
                <w:u w:val="none"/>
                <w:lang w:val="en-US" w:eastAsia="zh-CN" w:bidi="ar"/>
              </w:rPr>
              <w:t>%</w:t>
            </w: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仿宋" w:hAnsi="仿宋" w:eastAsia="仿宋" w:cs="仿宋"/>
                <w:i w:val="0"/>
                <w:iCs w:val="0"/>
                <w:color w:val="auto"/>
                <w:sz w:val="21"/>
                <w:szCs w:val="21"/>
                <w:highlight w:val="none"/>
                <w:u w:val="none"/>
                <w:lang w:val="en-US"/>
              </w:rPr>
            </w:pPr>
            <w:r>
              <w:rPr>
                <w:rFonts w:hint="eastAsia" w:ascii="仿宋" w:hAnsi="仿宋" w:cs="仿宋"/>
                <w:i w:val="0"/>
                <w:iCs w:val="0"/>
                <w:color w:val="auto"/>
                <w:kern w:val="0"/>
                <w:sz w:val="21"/>
                <w:szCs w:val="21"/>
                <w:highlight w:val="none"/>
                <w:u w:val="none"/>
                <w:lang w:val="en-US" w:eastAsia="zh-CN" w:bidi="ar"/>
              </w:rPr>
              <w:t>84.5</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仿宋" w:hAnsi="仿宋" w:eastAsia="仿宋" w:cs="仿宋"/>
                <w:i w:val="0"/>
                <w:iCs w:val="0"/>
                <w:color w:val="auto"/>
                <w:sz w:val="21"/>
                <w:szCs w:val="21"/>
                <w:highlight w:val="none"/>
                <w:u w:val="none"/>
                <w:lang w:val="en-US"/>
              </w:rPr>
            </w:pPr>
            <w:r>
              <w:rPr>
                <w:rFonts w:hint="eastAsia" w:ascii="仿宋" w:hAnsi="仿宋" w:eastAsia="仿宋" w:cs="仿宋"/>
                <w:i w:val="0"/>
                <w:iCs w:val="0"/>
                <w:color w:val="auto"/>
                <w:kern w:val="0"/>
                <w:sz w:val="21"/>
                <w:szCs w:val="21"/>
                <w:highlight w:val="none"/>
                <w:u w:val="none"/>
                <w:lang w:val="en-US" w:eastAsia="zh-CN" w:bidi="ar"/>
              </w:rPr>
              <w:t>84</w:t>
            </w:r>
            <w:r>
              <w:rPr>
                <w:rFonts w:hint="eastAsia" w:ascii="仿宋" w:hAnsi="仿宋" w:cs="仿宋"/>
                <w:i w:val="0"/>
                <w:iCs w:val="0"/>
                <w:color w:val="auto"/>
                <w:kern w:val="0"/>
                <w:sz w:val="21"/>
                <w:szCs w:val="21"/>
                <w:highlight w:val="none"/>
                <w:u w:val="none"/>
                <w:lang w:val="en-US" w:eastAsia="zh-CN" w:bidi="ar"/>
              </w:rPr>
              <w:t>.8</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预期性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仿宋" w:hAnsi="仿宋" w:eastAsia="仿宋" w:cs="仿宋"/>
                <w:i w:val="0"/>
                <w:iCs w:val="0"/>
                <w:color w:val="auto"/>
                <w:kern w:val="0"/>
                <w:sz w:val="21"/>
                <w:szCs w:val="21"/>
                <w:highlight w:val="none"/>
                <w:u w:val="none"/>
                <w:lang w:val="en-US" w:eastAsia="zh-CN" w:bidi="ar"/>
              </w:rPr>
            </w:pPr>
            <w:r>
              <w:rPr>
                <w:rFonts w:hint="eastAsia" w:ascii="仿宋" w:hAnsi="仿宋" w:cs="仿宋"/>
                <w:i w:val="0"/>
                <w:iCs w:val="0"/>
                <w:color w:val="auto"/>
                <w:kern w:val="0"/>
                <w:sz w:val="21"/>
                <w:szCs w:val="21"/>
                <w:highlight w:val="none"/>
                <w:u w:val="none"/>
                <w:lang w:val="en-US" w:eastAsia="zh-CN" w:bidi="ar"/>
              </w:rPr>
              <w:t>16</w:t>
            </w: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29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cs="仿宋"/>
                <w:i w:val="0"/>
                <w:iCs w:val="0"/>
                <w:color w:val="auto"/>
                <w:kern w:val="0"/>
                <w:sz w:val="21"/>
                <w:szCs w:val="21"/>
                <w:highlight w:val="none"/>
                <w:u w:val="none"/>
                <w:lang w:val="en-US" w:eastAsia="zh-CN" w:bidi="ar"/>
              </w:rPr>
            </w:pPr>
            <w:r>
              <w:rPr>
                <w:rFonts w:hint="eastAsia" w:ascii="仿宋" w:hAnsi="仿宋" w:cs="仿宋"/>
                <w:i w:val="0"/>
                <w:iCs w:val="0"/>
                <w:color w:val="auto"/>
                <w:kern w:val="0"/>
                <w:sz w:val="21"/>
                <w:szCs w:val="21"/>
                <w:highlight w:val="none"/>
                <w:u w:val="none"/>
                <w:lang w:val="en-US" w:eastAsia="zh-CN" w:bidi="ar"/>
              </w:rPr>
              <w:t>森林覆盖率</w:t>
            </w: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仿宋" w:hAnsi="仿宋" w:cs="仿宋"/>
                <w:i w:val="0"/>
                <w:iCs w:val="0"/>
                <w:color w:val="auto"/>
                <w:kern w:val="0"/>
                <w:sz w:val="21"/>
                <w:szCs w:val="21"/>
                <w:highlight w:val="none"/>
                <w:u w:val="none"/>
                <w:lang w:val="en-US" w:eastAsia="zh-CN" w:bidi="ar"/>
              </w:rPr>
            </w:pPr>
            <w:r>
              <w:rPr>
                <w:rFonts w:hint="eastAsia" w:ascii="仿宋" w:hAnsi="仿宋" w:cs="仿宋"/>
                <w:i w:val="0"/>
                <w:iCs w:val="0"/>
                <w:color w:val="auto"/>
                <w:kern w:val="0"/>
                <w:sz w:val="21"/>
                <w:szCs w:val="21"/>
                <w:highlight w:val="none"/>
                <w:u w:val="none"/>
                <w:lang w:val="en-US" w:eastAsia="zh-CN" w:bidi="ar"/>
              </w:rPr>
              <w:t>%</w:t>
            </w: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仿宋" w:hAnsi="仿宋" w:cs="仿宋"/>
                <w:i w:val="0"/>
                <w:iCs w:val="0"/>
                <w:color w:val="auto"/>
                <w:kern w:val="0"/>
                <w:sz w:val="21"/>
                <w:szCs w:val="21"/>
                <w:highlight w:val="none"/>
                <w:u w:val="none"/>
                <w:lang w:val="en-US" w:eastAsia="zh-CN" w:bidi="ar"/>
              </w:rPr>
            </w:pPr>
            <w:r>
              <w:rPr>
                <w:rFonts w:hint="eastAsia" w:ascii="仿宋" w:hAnsi="仿宋" w:cs="仿宋"/>
                <w:i w:val="0"/>
                <w:iCs w:val="0"/>
                <w:color w:val="auto"/>
                <w:kern w:val="0"/>
                <w:sz w:val="21"/>
                <w:szCs w:val="21"/>
                <w:highlight w:val="none"/>
                <w:u w:val="none"/>
                <w:lang w:val="en-US" w:eastAsia="zh-CN" w:bidi="ar"/>
              </w:rPr>
              <w:t>35.02</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仿宋" w:hAnsi="仿宋" w:eastAsia="仿宋" w:cs="仿宋"/>
                <w:i w:val="0"/>
                <w:iCs w:val="0"/>
                <w:color w:val="auto"/>
                <w:kern w:val="0"/>
                <w:sz w:val="21"/>
                <w:szCs w:val="21"/>
                <w:highlight w:val="none"/>
                <w:u w:val="none"/>
                <w:lang w:val="en-US" w:eastAsia="zh-CN" w:bidi="ar"/>
              </w:rPr>
            </w:pPr>
            <w:r>
              <w:rPr>
                <w:rFonts w:hint="eastAsia" w:ascii="仿宋" w:hAnsi="仿宋" w:cs="仿宋"/>
                <w:i w:val="0"/>
                <w:iCs w:val="0"/>
                <w:color w:val="auto"/>
                <w:kern w:val="0"/>
                <w:sz w:val="21"/>
                <w:szCs w:val="21"/>
                <w:highlight w:val="none"/>
                <w:u w:val="none"/>
                <w:lang w:val="en-US" w:eastAsia="zh-CN" w:bidi="ar"/>
              </w:rPr>
              <w:t>35.56</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约束性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仿宋" w:hAnsi="仿宋" w:eastAsia="仿宋" w:cs="仿宋"/>
                <w:i w:val="0"/>
                <w:iCs w:val="0"/>
                <w:color w:val="auto"/>
                <w:sz w:val="21"/>
                <w:szCs w:val="21"/>
                <w:highlight w:val="none"/>
                <w:u w:val="none"/>
                <w:lang w:val="en-US"/>
              </w:rPr>
            </w:pPr>
            <w:r>
              <w:rPr>
                <w:rFonts w:hint="eastAsia" w:ascii="仿宋" w:hAnsi="仿宋" w:eastAsia="仿宋" w:cs="仿宋"/>
                <w:i w:val="0"/>
                <w:iCs w:val="0"/>
                <w:color w:val="auto"/>
                <w:kern w:val="0"/>
                <w:sz w:val="21"/>
                <w:szCs w:val="21"/>
                <w:highlight w:val="none"/>
                <w:u w:val="none"/>
                <w:lang w:val="en-US" w:eastAsia="zh-CN" w:bidi="ar"/>
              </w:rPr>
              <w:t>1</w:t>
            </w:r>
            <w:r>
              <w:rPr>
                <w:rFonts w:hint="eastAsia" w:ascii="仿宋" w:hAnsi="仿宋" w:cs="仿宋"/>
                <w:i w:val="0"/>
                <w:iCs w:val="0"/>
                <w:color w:val="auto"/>
                <w:kern w:val="0"/>
                <w:sz w:val="21"/>
                <w:szCs w:val="21"/>
                <w:highlight w:val="none"/>
                <w:u w:val="none"/>
                <w:lang w:val="en-US" w:eastAsia="zh-CN" w:bidi="ar"/>
              </w:rPr>
              <w:t>7</w:t>
            </w: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29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义务教育专任教师</w:t>
            </w:r>
            <w:r>
              <w:rPr>
                <w:rFonts w:hint="eastAsia" w:ascii="仿宋" w:hAnsi="仿宋" w:cs="仿宋"/>
                <w:i w:val="0"/>
                <w:iCs w:val="0"/>
                <w:color w:val="auto"/>
                <w:kern w:val="0"/>
                <w:sz w:val="21"/>
                <w:szCs w:val="21"/>
                <w:highlight w:val="none"/>
                <w:u w:val="none"/>
                <w:lang w:val="en-US" w:eastAsia="zh-Hans" w:bidi="ar"/>
              </w:rPr>
              <w:t>中</w:t>
            </w:r>
            <w:r>
              <w:rPr>
                <w:rFonts w:hint="eastAsia" w:ascii="仿宋" w:hAnsi="仿宋" w:eastAsia="仿宋" w:cs="仿宋"/>
                <w:i w:val="0"/>
                <w:iCs w:val="0"/>
                <w:color w:val="auto"/>
                <w:kern w:val="0"/>
                <w:sz w:val="21"/>
                <w:szCs w:val="21"/>
                <w:highlight w:val="none"/>
                <w:u w:val="none"/>
                <w:lang w:val="en-US" w:eastAsia="zh-CN" w:bidi="ar"/>
              </w:rPr>
              <w:t>本科以上学历比例</w:t>
            </w: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cs="仿宋"/>
                <w:i w:val="0"/>
                <w:iCs w:val="0"/>
                <w:color w:val="auto"/>
                <w:kern w:val="0"/>
                <w:sz w:val="21"/>
                <w:szCs w:val="21"/>
                <w:highlight w:val="none"/>
                <w:u w:val="none"/>
                <w:lang w:val="en-US" w:eastAsia="zh-CN" w:bidi="ar"/>
              </w:rPr>
              <w:t>%</w:t>
            </w: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仿宋" w:hAnsi="仿宋" w:eastAsia="仿宋" w:cs="仿宋"/>
                <w:i w:val="0"/>
                <w:iCs w:val="0"/>
                <w:color w:val="auto"/>
                <w:sz w:val="21"/>
                <w:szCs w:val="21"/>
                <w:highlight w:val="none"/>
                <w:u w:val="none"/>
                <w:lang w:eastAsia="zh-Hans"/>
              </w:rPr>
            </w:pPr>
            <w:r>
              <w:rPr>
                <w:rFonts w:hint="default" w:ascii="仿宋" w:hAnsi="仿宋" w:cs="仿宋"/>
                <w:i w:val="0"/>
                <w:iCs w:val="0"/>
                <w:color w:val="auto"/>
                <w:sz w:val="21"/>
                <w:szCs w:val="21"/>
                <w:highlight w:val="none"/>
                <w:u w:val="none"/>
              </w:rPr>
              <w:t>49</w:t>
            </w:r>
            <w:r>
              <w:rPr>
                <w:rFonts w:hint="eastAsia" w:ascii="仿宋" w:hAnsi="仿宋" w:cs="仿宋"/>
                <w:i w:val="0"/>
                <w:iCs w:val="0"/>
                <w:color w:val="auto"/>
                <w:sz w:val="21"/>
                <w:szCs w:val="21"/>
                <w:highlight w:val="none"/>
                <w:u w:val="none"/>
                <w:lang w:val="en-US" w:eastAsia="zh-Hans"/>
              </w:rPr>
              <w:t>.</w:t>
            </w:r>
            <w:r>
              <w:rPr>
                <w:rFonts w:hint="default" w:ascii="仿宋" w:hAnsi="仿宋" w:cs="仿宋"/>
                <w:i w:val="0"/>
                <w:iCs w:val="0"/>
                <w:color w:val="auto"/>
                <w:sz w:val="21"/>
                <w:szCs w:val="21"/>
                <w:highlight w:val="none"/>
                <w:u w:val="none"/>
                <w:lang w:eastAsia="zh-Hans"/>
              </w:rPr>
              <w:t>79</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仿宋" w:hAnsi="仿宋" w:eastAsia="仿宋" w:cs="仿宋"/>
                <w:i w:val="0"/>
                <w:iCs w:val="0"/>
                <w:color w:val="auto"/>
                <w:sz w:val="21"/>
                <w:szCs w:val="21"/>
                <w:highlight w:val="none"/>
                <w:u w:val="none"/>
              </w:rPr>
            </w:pPr>
            <w:r>
              <w:rPr>
                <w:rFonts w:hint="default" w:ascii="仿宋" w:hAnsi="仿宋" w:cs="仿宋"/>
                <w:i w:val="0"/>
                <w:iCs w:val="0"/>
                <w:color w:val="auto"/>
                <w:sz w:val="21"/>
                <w:szCs w:val="21"/>
                <w:highlight w:val="none"/>
                <w:u w:val="none"/>
              </w:rPr>
              <w:t>55</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预期性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仿宋" w:hAnsi="仿宋" w:eastAsia="仿宋" w:cs="仿宋"/>
                <w:i w:val="0"/>
                <w:iCs w:val="0"/>
                <w:color w:val="auto"/>
                <w:sz w:val="21"/>
                <w:szCs w:val="21"/>
                <w:highlight w:val="none"/>
                <w:u w:val="none"/>
                <w:lang w:val="en-US"/>
              </w:rPr>
            </w:pPr>
            <w:r>
              <w:rPr>
                <w:rFonts w:hint="eastAsia" w:ascii="仿宋" w:hAnsi="仿宋" w:eastAsia="仿宋" w:cs="仿宋"/>
                <w:i w:val="0"/>
                <w:iCs w:val="0"/>
                <w:color w:val="auto"/>
                <w:kern w:val="0"/>
                <w:sz w:val="21"/>
                <w:szCs w:val="21"/>
                <w:highlight w:val="none"/>
                <w:u w:val="none"/>
                <w:lang w:val="en-US" w:eastAsia="zh-CN" w:bidi="ar"/>
              </w:rPr>
              <w:t>1</w:t>
            </w:r>
            <w:r>
              <w:rPr>
                <w:rFonts w:hint="eastAsia" w:ascii="仿宋" w:hAnsi="仿宋" w:cs="仿宋"/>
                <w:i w:val="0"/>
                <w:iCs w:val="0"/>
                <w:color w:val="auto"/>
                <w:kern w:val="0"/>
                <w:sz w:val="21"/>
                <w:szCs w:val="21"/>
                <w:highlight w:val="none"/>
                <w:u w:val="none"/>
                <w:lang w:val="en-US" w:eastAsia="zh-CN" w:bidi="ar"/>
              </w:rPr>
              <w:t>8</w:t>
            </w: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29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建有综合服务站的村占比</w:t>
            </w: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cs="仿宋"/>
                <w:i w:val="0"/>
                <w:iCs w:val="0"/>
                <w:color w:val="auto"/>
                <w:kern w:val="0"/>
                <w:sz w:val="21"/>
                <w:szCs w:val="21"/>
                <w:highlight w:val="none"/>
                <w:u w:val="none"/>
                <w:lang w:val="en-US" w:eastAsia="zh-CN" w:bidi="ar"/>
              </w:rPr>
              <w:t>%</w:t>
            </w: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100</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预期性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lang w:val="en-US" w:eastAsia="zh-CN"/>
              </w:rPr>
            </w:pPr>
            <w:r>
              <w:rPr>
                <w:rFonts w:hint="default" w:ascii="仿宋" w:hAnsi="仿宋" w:cs="仿宋"/>
                <w:i w:val="0"/>
                <w:iCs w:val="0"/>
                <w:color w:val="auto"/>
                <w:sz w:val="21"/>
                <w:szCs w:val="21"/>
                <w:highlight w:val="none"/>
                <w:u w:val="none"/>
              </w:rPr>
              <w:t>1</w:t>
            </w:r>
            <w:r>
              <w:rPr>
                <w:rFonts w:hint="eastAsia" w:ascii="仿宋" w:hAnsi="仿宋" w:cs="仿宋"/>
                <w:i w:val="0"/>
                <w:iCs w:val="0"/>
                <w:color w:val="auto"/>
                <w:sz w:val="21"/>
                <w:szCs w:val="21"/>
                <w:highlight w:val="none"/>
                <w:u w:val="none"/>
                <w:lang w:val="en-US" w:eastAsia="zh-CN"/>
              </w:rPr>
              <w:t>9</w:t>
            </w: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29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村党组织书记兼任村委会主任的村占比</w:t>
            </w: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cs="仿宋"/>
                <w:i w:val="0"/>
                <w:iCs w:val="0"/>
                <w:color w:val="auto"/>
                <w:kern w:val="0"/>
                <w:sz w:val="21"/>
                <w:szCs w:val="21"/>
                <w:highlight w:val="none"/>
                <w:u w:val="none"/>
                <w:lang w:val="en-US" w:eastAsia="zh-CN" w:bidi="ar"/>
              </w:rPr>
              <w:t>%</w:t>
            </w: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97.5</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100</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预期性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仿宋" w:hAnsi="仿宋" w:eastAsia="仿宋" w:cs="仿宋"/>
                <w:i w:val="0"/>
                <w:iCs w:val="0"/>
                <w:color w:val="auto"/>
                <w:sz w:val="21"/>
                <w:szCs w:val="21"/>
                <w:highlight w:val="none"/>
                <w:u w:val="none"/>
                <w:lang w:val="en-US" w:eastAsia="zh-CN"/>
              </w:rPr>
            </w:pPr>
            <w:r>
              <w:rPr>
                <w:rFonts w:hint="eastAsia" w:ascii="仿宋" w:hAnsi="仿宋" w:cs="仿宋"/>
                <w:i w:val="0"/>
                <w:iCs w:val="0"/>
                <w:color w:val="auto"/>
                <w:sz w:val="21"/>
                <w:szCs w:val="21"/>
                <w:highlight w:val="none"/>
                <w:u w:val="none"/>
                <w:lang w:val="en-US" w:eastAsia="zh-CN"/>
              </w:rPr>
              <w:t>20</w:t>
            </w: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29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一村一法律顾问的村占比</w:t>
            </w: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cs="仿宋"/>
                <w:i w:val="0"/>
                <w:iCs w:val="0"/>
                <w:color w:val="auto"/>
                <w:kern w:val="0"/>
                <w:sz w:val="21"/>
                <w:szCs w:val="21"/>
                <w:highlight w:val="none"/>
                <w:u w:val="none"/>
                <w:lang w:val="en-US" w:eastAsia="zh-CN" w:bidi="ar"/>
              </w:rPr>
              <w:t>%</w:t>
            </w: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100</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预期性</w:t>
            </w:r>
          </w:p>
        </w:tc>
      </w:tr>
      <w:bookmarkEnd w:id="29"/>
      <w:bookmarkEnd w:id="30"/>
    </w:tbl>
    <w:p>
      <w:pPr>
        <w:rPr>
          <w:rFonts w:hint="eastAsia" w:ascii="黑体" w:hAnsi="黑体" w:eastAsia="黑体"/>
          <w:b w:val="0"/>
          <w:bCs w:val="0"/>
          <w:color w:val="auto"/>
          <w:kern w:val="2"/>
          <w:sz w:val="32"/>
          <w:szCs w:val="32"/>
          <w:highlight w:val="none"/>
        </w:rPr>
      </w:pPr>
      <w:r>
        <w:rPr>
          <w:rFonts w:hint="eastAsia" w:ascii="黑体" w:hAnsi="黑体" w:eastAsia="黑体"/>
          <w:b w:val="0"/>
          <w:bCs w:val="0"/>
          <w:color w:val="auto"/>
          <w:kern w:val="2"/>
          <w:sz w:val="32"/>
          <w:szCs w:val="32"/>
          <w:highlight w:val="none"/>
        </w:rPr>
        <w:br w:type="page"/>
      </w:r>
    </w:p>
    <w:p>
      <w:pPr>
        <w:pStyle w:val="4"/>
        <w:tabs>
          <w:tab w:val="clear" w:pos="0"/>
        </w:tabs>
        <w:suppressAutoHyphens w:val="0"/>
        <w:spacing w:after="240" w:line="578" w:lineRule="auto"/>
        <w:jc w:val="center"/>
        <w:rPr>
          <w:rFonts w:ascii="黑体" w:hAnsi="黑体" w:eastAsia="黑体"/>
          <w:b w:val="0"/>
          <w:bCs w:val="0"/>
          <w:color w:val="auto"/>
          <w:kern w:val="2"/>
          <w:sz w:val="32"/>
          <w:szCs w:val="32"/>
          <w:highlight w:val="none"/>
        </w:rPr>
      </w:pPr>
      <w:bookmarkStart w:id="34" w:name="_Toc26922"/>
      <w:bookmarkStart w:id="35" w:name="_Toc26580"/>
      <w:bookmarkStart w:id="36" w:name="_Toc2397"/>
      <w:r>
        <w:rPr>
          <w:rFonts w:hint="eastAsia" w:ascii="黑体" w:hAnsi="黑体" w:eastAsia="黑体"/>
          <w:b w:val="0"/>
          <w:bCs w:val="0"/>
          <w:color w:val="auto"/>
          <w:kern w:val="2"/>
          <w:sz w:val="32"/>
          <w:szCs w:val="32"/>
          <w:highlight w:val="none"/>
        </w:rPr>
        <w:t>第</w:t>
      </w:r>
      <w:r>
        <w:rPr>
          <w:rFonts w:hint="eastAsia" w:ascii="黑体" w:hAnsi="黑体" w:eastAsia="黑体"/>
          <w:b w:val="0"/>
          <w:bCs w:val="0"/>
          <w:color w:val="auto"/>
          <w:kern w:val="2"/>
          <w:sz w:val="32"/>
          <w:szCs w:val="32"/>
          <w:highlight w:val="none"/>
          <w:lang w:val="en-US" w:eastAsia="zh-CN"/>
        </w:rPr>
        <w:t>三</w:t>
      </w:r>
      <w:r>
        <w:rPr>
          <w:rFonts w:hint="eastAsia" w:ascii="黑体" w:hAnsi="黑体" w:eastAsia="黑体"/>
          <w:b w:val="0"/>
          <w:bCs w:val="0"/>
          <w:color w:val="auto"/>
          <w:kern w:val="2"/>
          <w:sz w:val="32"/>
          <w:szCs w:val="32"/>
          <w:highlight w:val="none"/>
        </w:rPr>
        <w:t xml:space="preserve">章 </w:t>
      </w:r>
      <w:r>
        <w:rPr>
          <w:rFonts w:ascii="黑体" w:hAnsi="黑体" w:eastAsia="黑体"/>
          <w:b w:val="0"/>
          <w:bCs w:val="0"/>
          <w:color w:val="auto"/>
          <w:kern w:val="2"/>
          <w:sz w:val="32"/>
          <w:szCs w:val="32"/>
          <w:highlight w:val="none"/>
        </w:rPr>
        <w:t xml:space="preserve"> </w:t>
      </w:r>
      <w:r>
        <w:rPr>
          <w:rFonts w:hint="eastAsia" w:ascii="黑体" w:hAnsi="黑体" w:eastAsia="黑体"/>
          <w:b w:val="0"/>
          <w:bCs w:val="0"/>
          <w:color w:val="auto"/>
          <w:kern w:val="2"/>
          <w:sz w:val="32"/>
          <w:szCs w:val="32"/>
          <w:highlight w:val="none"/>
        </w:rPr>
        <w:t>健全防止返贫动态监测与帮扶机制</w:t>
      </w:r>
      <w:bookmarkEnd w:id="34"/>
      <w:bookmarkEnd w:id="35"/>
      <w:bookmarkEnd w:id="36"/>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rPr>
          <w:rFonts w:hint="eastAsia" w:ascii="仿宋" w:hAnsi="仿宋" w:cs="仿宋_GB2312"/>
          <w:bCs/>
          <w:color w:val="auto"/>
          <w:highlight w:val="none"/>
          <w:lang w:val="en-US" w:eastAsia="zh-CN"/>
        </w:rPr>
      </w:pPr>
      <w:r>
        <w:rPr>
          <w:rFonts w:hint="eastAsia" w:ascii="仿宋" w:hAnsi="仿宋" w:cs="仿宋_GB2312"/>
          <w:bCs/>
          <w:color w:val="auto"/>
          <w:highlight w:val="none"/>
          <w:lang w:val="en-US" w:eastAsia="zh-CN"/>
        </w:rPr>
        <w:t>严格落实“四不摘”要求，按照“应纳尽纳、应扶尽扶、应消尽消”原则，</w:t>
      </w:r>
      <w:r>
        <w:rPr>
          <w:rFonts w:hint="default"/>
          <w:color w:val="auto"/>
          <w:lang w:val="en-US" w:eastAsia="zh-CN"/>
        </w:rPr>
        <w:t>在</w:t>
      </w:r>
      <w:r>
        <w:rPr>
          <w:rFonts w:hint="eastAsia"/>
          <w:color w:val="auto"/>
          <w:lang w:val="en-US" w:eastAsia="zh-CN"/>
        </w:rPr>
        <w:t>“</w:t>
      </w:r>
      <w:r>
        <w:rPr>
          <w:rFonts w:hint="default"/>
          <w:color w:val="auto"/>
          <w:lang w:val="en-US" w:eastAsia="zh-CN"/>
        </w:rPr>
        <w:t>铸牢中华民族共同体意识民族团结进家庭</w:t>
      </w:r>
      <w:r>
        <w:rPr>
          <w:rFonts w:hint="eastAsia"/>
          <w:color w:val="auto"/>
          <w:lang w:val="en-US" w:eastAsia="zh-CN"/>
        </w:rPr>
        <w:t>”</w:t>
      </w:r>
      <w:r>
        <w:rPr>
          <w:rFonts w:hint="default"/>
          <w:color w:val="auto"/>
          <w:lang w:val="en-US" w:eastAsia="zh-CN"/>
        </w:rPr>
        <w:t>实践行动中</w:t>
      </w:r>
      <w:r>
        <w:rPr>
          <w:rFonts w:hint="eastAsia" w:ascii="仿宋" w:hAnsi="仿宋" w:cs="仿宋_GB2312"/>
          <w:bCs/>
          <w:color w:val="auto"/>
          <w:highlight w:val="none"/>
          <w:lang w:val="en-US" w:eastAsia="zh-CN"/>
        </w:rPr>
        <w:t>加强防止返贫动态监测，完善帮扶支持措施，健全完善防止返贫动态监测和帮扶工作机制，对有返（致）贫风险的农户，做到早发现、早干预、早帮扶，牢牢守住不发生规模性返贫的底线。</w:t>
      </w:r>
    </w:p>
    <w:p>
      <w:pPr>
        <w:pStyle w:val="5"/>
        <w:tabs>
          <w:tab w:val="clear" w:pos="0"/>
        </w:tabs>
        <w:suppressAutoHyphens w:val="0"/>
        <w:snapToGrid w:val="0"/>
        <w:spacing w:before="0" w:after="0" w:line="360" w:lineRule="auto"/>
        <w:ind w:firstLine="643" w:firstLineChars="200"/>
        <w:jc w:val="left"/>
        <w:rPr>
          <w:rFonts w:hint="eastAsia" w:ascii="楷体" w:hAnsi="楷体" w:eastAsia="楷体" w:cs="黑体"/>
          <w:bCs w:val="0"/>
          <w:color w:val="auto"/>
          <w:kern w:val="0"/>
          <w:highlight w:val="none"/>
        </w:rPr>
      </w:pPr>
      <w:bookmarkStart w:id="37" w:name="_Toc16668"/>
      <w:r>
        <w:rPr>
          <w:rFonts w:hint="eastAsia" w:ascii="楷体" w:hAnsi="楷体" w:eastAsia="楷体" w:cs="黑体"/>
          <w:bCs w:val="0"/>
          <w:color w:val="auto"/>
          <w:kern w:val="0"/>
          <w:highlight w:val="none"/>
        </w:rPr>
        <w:t>一、加强防止返贫动态监测</w:t>
      </w:r>
      <w:bookmarkEnd w:id="37"/>
    </w:p>
    <w:p>
      <w:pPr>
        <w:keepNext w:val="0"/>
        <w:keepLines w:val="0"/>
        <w:pageBreakBefore w:val="0"/>
        <w:widowControl w:val="0"/>
        <w:kinsoku/>
        <w:wordWrap/>
        <w:overflowPunct/>
        <w:topLinePunct w:val="0"/>
        <w:autoSpaceDE/>
        <w:autoSpaceDN/>
        <w:bidi w:val="0"/>
        <w:adjustRightInd/>
        <w:snapToGrid w:val="0"/>
        <w:spacing w:line="360" w:lineRule="auto"/>
        <w:ind w:firstLine="643" w:firstLineChars="200"/>
        <w:textAlignment w:val="auto"/>
        <w:rPr>
          <w:rFonts w:hint="default" w:ascii="仿宋" w:hAnsi="仿宋" w:eastAsia="仿宋" w:cs="仿宋_GB2312"/>
          <w:bCs/>
          <w:color w:val="auto"/>
          <w:highlight w:val="none"/>
          <w:lang w:val="en-US" w:eastAsia="zh-CN"/>
        </w:rPr>
      </w:pPr>
      <w:r>
        <w:rPr>
          <w:rFonts w:hint="eastAsia" w:ascii="仿宋" w:hAnsi="仿宋" w:cs="仿宋_GB2312"/>
          <w:b/>
          <w:bCs w:val="0"/>
          <w:color w:val="auto"/>
          <w:highlight w:val="none"/>
          <w:lang w:val="en-US" w:eastAsia="zh-CN"/>
        </w:rPr>
        <w:t>完善监测制度</w:t>
      </w:r>
      <w:r>
        <w:rPr>
          <w:rFonts w:hint="eastAsia" w:ascii="仿宋" w:hAnsi="仿宋" w:cs="仿宋_GB2312"/>
          <w:bCs/>
          <w:color w:val="auto"/>
          <w:highlight w:val="none"/>
          <w:lang w:val="en-US" w:eastAsia="zh-CN"/>
        </w:rPr>
        <w:t>。每年按照国、省要求据实调整监测范围，健全防止返贫动态监测帮扶体系，抓实“州级督促指导、县级统筹推进、乡村具体落实”的四级联动工作机制，持续用好乡村快速发现响应、县级部门信息推送比对、州级部门协同联系指导三个工作机制，建立监测对象1个帮扶计划、1本帮扶台账、1名帮扶责任人的“三个一”帮扶机制和监测对象识别、帮扶、退出过程管控机制，完善监测联系人制度，探索建立“盯村入户”排查制度、村级入户核查员制度、</w:t>
      </w:r>
      <w:r>
        <w:rPr>
          <w:rFonts w:hint="eastAsia" w:ascii="仿宋" w:hAnsi="仿宋" w:cs="仿宋_GB2312"/>
          <w:bCs/>
          <w:color w:val="auto"/>
          <w:highlight w:val="none"/>
        </w:rPr>
        <w:t>突发严重困难户简易识别程序</w:t>
      </w:r>
      <w:r>
        <w:rPr>
          <w:rFonts w:hint="eastAsia" w:ascii="仿宋" w:hAnsi="仿宋" w:cs="仿宋_GB2312"/>
          <w:bCs/>
          <w:color w:val="auto"/>
          <w:highlight w:val="none"/>
          <w:lang w:eastAsia="zh-CN"/>
        </w:rPr>
        <w:t>，</w:t>
      </w:r>
      <w:r>
        <w:rPr>
          <w:rFonts w:hint="eastAsia" w:ascii="仿宋" w:hAnsi="仿宋" w:cs="仿宋_GB2312"/>
          <w:bCs/>
          <w:color w:val="auto"/>
          <w:highlight w:val="none"/>
          <w:lang w:val="en-US" w:eastAsia="zh-CN"/>
        </w:rPr>
        <w:t>精准认定监测对象</w:t>
      </w:r>
      <w:r>
        <w:rPr>
          <w:rFonts w:hint="eastAsia" w:ascii="仿宋" w:hAnsi="仿宋" w:cs="仿宋_GB2312"/>
          <w:bCs/>
          <w:color w:val="auto"/>
          <w:highlight w:val="none"/>
        </w:rPr>
        <w:t>。</w:t>
      </w:r>
      <w:r>
        <w:rPr>
          <w:rFonts w:hint="eastAsia" w:ascii="仿宋" w:hAnsi="仿宋" w:cs="仿宋_GB2312"/>
          <w:bCs/>
          <w:color w:val="auto"/>
          <w:highlight w:val="none"/>
          <w:lang w:val="en-US" w:eastAsia="zh-CN"/>
        </w:rPr>
        <w:t>把脱贫不稳定户、边缘易致贫户，以及因病因灾因意外事故等刚性支出较大或收入大幅缩减导致基本生活出现严重困难户三类防止返贫监测对象全部纳入监测帮扶，做到应纳尽纳。</w:t>
      </w:r>
      <w:r>
        <w:rPr>
          <w:rFonts w:hint="eastAsia" w:ascii="仿宋" w:hAnsi="仿宋" w:cs="仿宋_GB2312"/>
          <w:bCs/>
          <w:color w:val="auto"/>
          <w:highlight w:val="none"/>
        </w:rPr>
        <w:t>重点关注有大病重病和负担较重的慢性病患者、重度残疾人、失能老年人口等特殊群体的家庭。</w:t>
      </w:r>
      <w:r>
        <w:rPr>
          <w:rFonts w:hint="eastAsia" w:ascii="仿宋" w:hAnsi="仿宋" w:cs="仿宋_GB2312"/>
          <w:bCs/>
          <w:color w:val="auto"/>
          <w:highlight w:val="none"/>
          <w:lang w:val="en-US" w:eastAsia="zh-CN"/>
        </w:rPr>
        <w:t>重点监测收入支出情况、“</w:t>
      </w:r>
      <w:r>
        <w:rPr>
          <w:rFonts w:hint="eastAsia" w:ascii="仿宋" w:hAnsi="仿宋" w:cs="仿宋_GB2312"/>
          <w:bCs/>
          <w:color w:val="auto"/>
          <w:highlight w:val="none"/>
        </w:rPr>
        <w:t>三保障”及饮水安全</w:t>
      </w:r>
      <w:r>
        <w:rPr>
          <w:rFonts w:hint="eastAsia" w:ascii="仿宋" w:hAnsi="仿宋" w:cs="仿宋_GB2312"/>
          <w:bCs/>
          <w:color w:val="auto"/>
          <w:highlight w:val="none"/>
          <w:lang w:val="en-US" w:eastAsia="zh-CN"/>
        </w:rPr>
        <w:t>情况，规范开展动态管理。</w:t>
      </w:r>
    </w:p>
    <w:p>
      <w:pPr>
        <w:keepNext w:val="0"/>
        <w:keepLines w:val="0"/>
        <w:pageBreakBefore w:val="0"/>
        <w:widowControl w:val="0"/>
        <w:kinsoku/>
        <w:wordWrap/>
        <w:overflowPunct/>
        <w:topLinePunct w:val="0"/>
        <w:autoSpaceDE/>
        <w:autoSpaceDN/>
        <w:bidi w:val="0"/>
        <w:adjustRightInd/>
        <w:snapToGrid w:val="0"/>
        <w:spacing w:line="360" w:lineRule="auto"/>
        <w:ind w:firstLine="643" w:firstLineChars="200"/>
        <w:textAlignment w:val="auto"/>
        <w:rPr>
          <w:rFonts w:hint="default" w:ascii="仿宋" w:hAnsi="仿宋" w:cs="仿宋_GB2312"/>
          <w:b/>
          <w:bCs w:val="0"/>
          <w:color w:val="auto"/>
          <w:highlight w:val="none"/>
          <w:lang w:val="en-US" w:eastAsia="zh-CN"/>
        </w:rPr>
      </w:pPr>
      <w:r>
        <w:rPr>
          <w:rFonts w:hint="eastAsia" w:ascii="仿宋" w:hAnsi="仿宋" w:cs="仿宋_GB2312"/>
          <w:b/>
          <w:bCs w:val="0"/>
          <w:color w:val="auto"/>
          <w:highlight w:val="none"/>
          <w:lang w:val="en-US" w:eastAsia="zh-CN"/>
        </w:rPr>
        <w:t>优化监测方式</w:t>
      </w:r>
      <w:r>
        <w:rPr>
          <w:rFonts w:hint="eastAsia" w:ascii="仿宋" w:hAnsi="仿宋" w:cs="仿宋_GB2312"/>
          <w:b w:val="0"/>
          <w:bCs/>
          <w:color w:val="auto"/>
          <w:highlight w:val="none"/>
          <w:lang w:val="en-US" w:eastAsia="zh-CN"/>
        </w:rPr>
        <w:t>。采取集中排查、自主申报、日常摸排、部门推送、关联监测相结合的方式快速发现、快速核查监测对象，积极推动防止返贫监测和低收入人口动态监测信息平台数据共享，落实低收入人口动态监测和常态化救助帮扶。以县（市）为主体，统筹组织力量，每年按照中省统一安排开展集中排查。乡村两级加大政策宣传力度，拓宽农户自主申报渠道。依靠乡村干部、驻村干部、网格员等基层力量，结合信访和群众反映等途径，及时发现收集风险线索。县级相关行业部门通过行业数据筛查、信息监测、调研督查等渠道发现可能导致农户返（致）贫的风险线索，及时推送至县（市）级乡村振兴部门。县（市）级乡村振兴部门汇总后推送相关乡镇（街道），由乡镇（街道）向相关村（社区）“两委”反馈。鼓励各县（市）通过新闻媒体、政务信箱、公共网络等渠道发现有返（致）贫的风险线索。</w:t>
      </w:r>
    </w:p>
    <w:p>
      <w:pPr>
        <w:keepNext w:val="0"/>
        <w:keepLines w:val="0"/>
        <w:pageBreakBefore w:val="0"/>
        <w:widowControl w:val="0"/>
        <w:kinsoku/>
        <w:wordWrap/>
        <w:overflowPunct/>
        <w:topLinePunct w:val="0"/>
        <w:autoSpaceDE/>
        <w:autoSpaceDN/>
        <w:bidi w:val="0"/>
        <w:adjustRightInd/>
        <w:snapToGrid w:val="0"/>
        <w:spacing w:line="360" w:lineRule="auto"/>
        <w:ind w:firstLine="643" w:firstLineChars="200"/>
        <w:textAlignment w:val="auto"/>
        <w:rPr>
          <w:rFonts w:hint="eastAsia" w:ascii="仿宋" w:hAnsi="仿宋" w:cs="仿宋_GB2312"/>
          <w:b w:val="0"/>
          <w:bCs/>
          <w:color w:val="auto"/>
          <w:highlight w:val="none"/>
          <w:lang w:val="en-US" w:eastAsia="zh-CN"/>
        </w:rPr>
      </w:pPr>
      <w:r>
        <w:rPr>
          <w:rFonts w:hint="eastAsia" w:ascii="仿宋" w:hAnsi="仿宋" w:cs="仿宋_GB2312"/>
          <w:b/>
          <w:bCs w:val="0"/>
          <w:color w:val="auto"/>
          <w:highlight w:val="none"/>
          <w:lang w:val="en-US" w:eastAsia="zh-CN"/>
        </w:rPr>
        <w:t>完善认定程序</w:t>
      </w:r>
      <w:r>
        <w:rPr>
          <w:rFonts w:hint="eastAsia" w:ascii="仿宋" w:hAnsi="仿宋" w:cs="仿宋_GB2312"/>
          <w:b w:val="0"/>
          <w:bCs/>
          <w:color w:val="auto"/>
          <w:highlight w:val="none"/>
          <w:lang w:val="en-US" w:eastAsia="zh-CN"/>
        </w:rPr>
        <w:t>。按照风险研判、入户核查、信息比对、评议公示、乡镇初审、县级审定的程序进行认定。根据多渠道收集汇总的风险线索，适时共同组织分析研判，形成拟纳入监测对象核实名单和脱贫村达标短板清单。由村“两委”、驻村工作队组成工作组开展入户核实和实地核实，符合条件的填写监测对象申请及承诺授权查询书、防止返贫监测对象信息采集表，同步开展监测对象信息比对，并将比对结果反馈乡村两级进行评议公示与乡镇初审。初审结果上报县级乡村振兴部门审定，同时针对符合条件的监测对象制定帮扶措施计划。做好后续记录管理，并书面告知申请人审定情况，确保监测对象识别认定程序期限自农户申请之日起15天内完成。对因灾和突发事故的农户开辟“绿色通道”，按照先帮扶救助后履行程序，并录入全国防返贫监测信息系统。</w:t>
      </w:r>
    </w:p>
    <w:p>
      <w:pPr>
        <w:pStyle w:val="5"/>
        <w:tabs>
          <w:tab w:val="clear" w:pos="0"/>
        </w:tabs>
        <w:suppressAutoHyphens w:val="0"/>
        <w:snapToGrid w:val="0"/>
        <w:spacing w:before="0" w:after="0" w:line="360" w:lineRule="auto"/>
        <w:ind w:firstLine="643" w:firstLineChars="200"/>
        <w:jc w:val="left"/>
        <w:rPr>
          <w:rFonts w:hint="default" w:ascii="楷体" w:hAnsi="楷体" w:eastAsia="楷体" w:cs="黑体"/>
          <w:bCs w:val="0"/>
          <w:color w:val="auto"/>
          <w:kern w:val="0"/>
          <w:highlight w:val="none"/>
          <w:lang w:val="en-US" w:eastAsia="zh-CN"/>
        </w:rPr>
      </w:pPr>
      <w:bookmarkStart w:id="38" w:name="_Toc320"/>
      <w:r>
        <w:rPr>
          <w:rFonts w:hint="eastAsia" w:ascii="楷体" w:hAnsi="楷体" w:eastAsia="楷体" w:cs="黑体"/>
          <w:bCs w:val="0"/>
          <w:color w:val="auto"/>
          <w:kern w:val="0"/>
          <w:highlight w:val="none"/>
          <w:lang w:val="en-US" w:eastAsia="zh-CN"/>
        </w:rPr>
        <w:t>二</w:t>
      </w:r>
      <w:r>
        <w:rPr>
          <w:rFonts w:hint="eastAsia" w:ascii="楷体" w:hAnsi="楷体" w:eastAsia="楷体" w:cs="黑体"/>
          <w:bCs w:val="0"/>
          <w:color w:val="auto"/>
          <w:kern w:val="0"/>
          <w:highlight w:val="none"/>
        </w:rPr>
        <w:t>、</w:t>
      </w:r>
      <w:r>
        <w:rPr>
          <w:rFonts w:hint="eastAsia" w:ascii="楷体" w:hAnsi="楷体" w:eastAsia="楷体" w:cs="黑体"/>
          <w:bCs w:val="0"/>
          <w:color w:val="auto"/>
          <w:kern w:val="0"/>
          <w:highlight w:val="none"/>
          <w:lang w:val="en-US" w:eastAsia="zh-CN"/>
        </w:rPr>
        <w:t>完善帮扶支持措施</w:t>
      </w:r>
      <w:bookmarkEnd w:id="38"/>
    </w:p>
    <w:p>
      <w:pPr>
        <w:keepNext w:val="0"/>
        <w:keepLines w:val="0"/>
        <w:pageBreakBefore w:val="0"/>
        <w:widowControl w:val="0"/>
        <w:kinsoku/>
        <w:wordWrap/>
        <w:overflowPunct/>
        <w:topLinePunct w:val="0"/>
        <w:autoSpaceDE/>
        <w:autoSpaceDN/>
        <w:bidi w:val="0"/>
        <w:adjustRightInd/>
        <w:snapToGrid w:val="0"/>
        <w:spacing w:line="360" w:lineRule="auto"/>
        <w:ind w:firstLine="643" w:firstLineChars="200"/>
        <w:textAlignment w:val="auto"/>
        <w:rPr>
          <w:rFonts w:hint="eastAsia" w:ascii="仿宋" w:hAnsi="仿宋" w:cs="仿宋_GB2312"/>
          <w:bCs/>
          <w:color w:val="auto"/>
          <w:highlight w:val="none"/>
        </w:rPr>
      </w:pPr>
      <w:r>
        <w:rPr>
          <w:rFonts w:hint="eastAsia" w:ascii="仿宋" w:hAnsi="仿宋" w:cs="仿宋_GB2312"/>
          <w:b/>
          <w:bCs w:val="0"/>
          <w:color w:val="auto"/>
          <w:highlight w:val="none"/>
          <w:lang w:val="en-US" w:eastAsia="zh-CN"/>
        </w:rPr>
        <w:t>完善监测帮扶措施</w:t>
      </w:r>
      <w:r>
        <w:rPr>
          <w:rFonts w:hint="eastAsia" w:ascii="仿宋" w:hAnsi="仿宋" w:cs="仿宋_GB2312"/>
          <w:bCs/>
          <w:color w:val="auto"/>
          <w:highlight w:val="none"/>
          <w:lang w:val="en-US" w:eastAsia="zh-CN"/>
        </w:rPr>
        <w:t>。纳入监测的脱贫不稳定户、边缘易致贫户和突发严重困难户享受行业部门统一的帮扶政策。针对监测对象的资源禀赋、真实意愿、自身能力和发展需求制定落实帮扶措施。</w:t>
      </w:r>
      <w:r>
        <w:rPr>
          <w:rFonts w:hint="default" w:ascii="仿宋" w:hAnsi="仿宋" w:cs="仿宋_GB2312"/>
          <w:bCs/>
          <w:color w:val="auto"/>
          <w:highlight w:val="none"/>
          <w:lang w:val="en-US" w:eastAsia="zh-CN"/>
        </w:rPr>
        <w:t>按照“缺什么补什么”的原则，根据监测对象的风险类别、发展需求等开展针对性帮扶。风险单一的，实施单项措施，防止陷入福利陷阱，风险复杂多样的，因户施策落实综合性帮扶措施，采取产业帮扶、就业帮扶、金融帮扶、公益性岗位帮扶、住房安全保障、饮水安全保障、义务教育保障、综合保障，教育帮扶、健康帮扶、社会帮扶，搬迁、生产生活条件改善、基础设施建设等措施开展精准帮扶。以村为单位，</w:t>
      </w:r>
      <w:r>
        <w:rPr>
          <w:rFonts w:hint="eastAsia" w:ascii="仿宋" w:hAnsi="仿宋" w:cs="仿宋_GB2312"/>
          <w:bCs/>
          <w:color w:val="auto"/>
          <w:highlight w:val="none"/>
          <w:lang w:val="en-US" w:eastAsia="zh-CN"/>
        </w:rPr>
        <w:t>开展劳动、教育、道德、卫生等积分奖补活动，促进群众深度参与巩固拓展脱贫攻坚成果同乡村振兴有效衔接。各县（市）因地制宜统筹县（市）级财政预算安排对口支援资金和红十字会、捐赠资金以及其他合规资金，建立防止返（致）贫专项基金，主要用于救助在享受所有帮扶政策基础上仍存在困难的返（致）贫监测对象。</w:t>
      </w:r>
      <w:r>
        <w:rPr>
          <w:rFonts w:hint="eastAsia" w:ascii="仿宋" w:hAnsi="仿宋" w:cs="仿宋_GB2312"/>
          <w:bCs/>
          <w:color w:val="auto"/>
          <w:highlight w:val="none"/>
        </w:rPr>
        <w:t>探索建立防止返（致）贫保险机制，兜住因突发意外、因疾病等返（致）贫的底线，增强抗风险能力。</w:t>
      </w:r>
    </w:p>
    <w:p>
      <w:pPr>
        <w:keepNext w:val="0"/>
        <w:keepLines w:val="0"/>
        <w:pageBreakBefore w:val="0"/>
        <w:widowControl w:val="0"/>
        <w:kinsoku/>
        <w:wordWrap/>
        <w:overflowPunct/>
        <w:topLinePunct w:val="0"/>
        <w:autoSpaceDE/>
        <w:autoSpaceDN/>
        <w:bidi w:val="0"/>
        <w:adjustRightInd/>
        <w:snapToGrid w:val="0"/>
        <w:spacing w:line="360" w:lineRule="auto"/>
        <w:ind w:firstLine="643" w:firstLineChars="200"/>
        <w:textAlignment w:val="auto"/>
        <w:rPr>
          <w:rFonts w:hint="default" w:ascii="仿宋" w:hAnsi="仿宋" w:cs="仿宋_GB2312"/>
          <w:bCs/>
          <w:color w:val="auto"/>
          <w:highlight w:val="none"/>
          <w:lang w:val="en-US" w:eastAsia="zh-CN"/>
        </w:rPr>
      </w:pPr>
      <w:r>
        <w:rPr>
          <w:rFonts w:hint="eastAsia" w:ascii="仿宋" w:hAnsi="仿宋" w:cs="仿宋_GB2312"/>
          <w:b/>
          <w:bCs w:val="0"/>
          <w:color w:val="auto"/>
          <w:highlight w:val="none"/>
          <w:lang w:val="en-US" w:eastAsia="zh-CN"/>
        </w:rPr>
        <w:t>开展监测对象预警和</w:t>
      </w:r>
      <w:r>
        <w:rPr>
          <w:rFonts w:hint="default" w:ascii="仿宋" w:hAnsi="仿宋" w:cs="仿宋_GB2312"/>
          <w:b/>
          <w:bCs w:val="0"/>
          <w:color w:val="auto"/>
          <w:highlight w:val="none"/>
          <w:lang w:val="en-US" w:eastAsia="zh-CN"/>
        </w:rPr>
        <w:t>风险消除</w:t>
      </w:r>
      <w:r>
        <w:rPr>
          <w:rFonts w:hint="eastAsia" w:ascii="仿宋" w:hAnsi="仿宋" w:cs="仿宋_GB2312"/>
          <w:bCs/>
          <w:color w:val="auto"/>
          <w:highlight w:val="none"/>
          <w:lang w:val="en-US" w:eastAsia="zh-CN"/>
        </w:rPr>
        <w:t>。对返（致）贫风险线索适时开展核查；对收入低于监测范围未纳入监测对象的农户开展定期走访；对因重大突发公共事件、大宗农副产品价格波动、农村劳动力失业、乡村产业项目、易地扶贫搬迁集中安置区搬迁人口就业和社区融入等可能导致规模性返（致）贫的风险隐患进行预警，符合条件的按程序及时纳入监测对象。建立定期研判工作机制，及时发现掌握各地工作推进情况。</w:t>
      </w:r>
      <w:r>
        <w:rPr>
          <w:rFonts w:hint="default" w:ascii="仿宋" w:hAnsi="仿宋" w:cs="仿宋_GB2312"/>
          <w:bCs/>
          <w:color w:val="auto"/>
          <w:highlight w:val="none"/>
          <w:lang w:val="en-US" w:eastAsia="zh-CN"/>
        </w:rPr>
        <w:t>综合考虑监测对象家庭收入支出情况，以及“三保障”和饮水安全等方面存在的</w:t>
      </w:r>
      <w:r>
        <w:rPr>
          <w:rFonts w:hint="eastAsia" w:ascii="仿宋" w:hAnsi="仿宋" w:cs="仿宋_GB2312"/>
          <w:bCs/>
          <w:color w:val="auto"/>
          <w:highlight w:val="none"/>
          <w:lang w:val="en-US" w:eastAsia="zh-CN"/>
        </w:rPr>
        <w:t>返（致）贫</w:t>
      </w:r>
      <w:r>
        <w:rPr>
          <w:rFonts w:hint="default" w:ascii="仿宋" w:hAnsi="仿宋" w:cs="仿宋_GB2312"/>
          <w:bCs/>
          <w:color w:val="auto"/>
          <w:highlight w:val="none"/>
          <w:lang w:val="en-US" w:eastAsia="zh-CN"/>
        </w:rPr>
        <w:t>风险，规范开展风险消除。对家庭收入持续稳定、“三保障”及饮水安全持续巩固、</w:t>
      </w:r>
      <w:r>
        <w:rPr>
          <w:rFonts w:hint="eastAsia" w:ascii="仿宋" w:hAnsi="仿宋" w:cs="仿宋_GB2312"/>
          <w:bCs/>
          <w:color w:val="auto"/>
          <w:highlight w:val="none"/>
          <w:lang w:val="en-US" w:eastAsia="zh-CN"/>
        </w:rPr>
        <w:t>返（致）贫</w:t>
      </w:r>
      <w:r>
        <w:rPr>
          <w:rFonts w:hint="default" w:ascii="仿宋" w:hAnsi="仿宋" w:cs="仿宋_GB2312"/>
          <w:bCs/>
          <w:color w:val="auto"/>
          <w:highlight w:val="none"/>
          <w:lang w:val="en-US" w:eastAsia="zh-CN"/>
        </w:rPr>
        <w:t>风险已经稳定消除的防止返贫监测对象，标注“风险消除”，对风险消除稳定性较弱，特别是收入不稳定、刚性支出不可控的，在促进稳定增收等方面继续给予帮扶，风险稳定消除后再履行程序，对无劳动能力的防止返贫监测对象，落实社会保障措施后，暂不标注“风险消除”，持续跟踪监测。</w:t>
      </w:r>
    </w:p>
    <w:p>
      <w:pPr>
        <w:keepNext w:val="0"/>
        <w:keepLines w:val="0"/>
        <w:pageBreakBefore w:val="0"/>
        <w:widowControl w:val="0"/>
        <w:kinsoku/>
        <w:wordWrap/>
        <w:overflowPunct/>
        <w:topLinePunct w:val="0"/>
        <w:autoSpaceDE/>
        <w:autoSpaceDN/>
        <w:bidi w:val="0"/>
        <w:adjustRightInd/>
        <w:snapToGrid w:val="0"/>
        <w:spacing w:line="360" w:lineRule="auto"/>
        <w:ind w:firstLine="643" w:firstLineChars="200"/>
        <w:textAlignment w:val="auto"/>
        <w:rPr>
          <w:rFonts w:hint="eastAsia" w:ascii="仿宋" w:hAnsi="仿宋" w:cs="仿宋_GB2312"/>
          <w:b w:val="0"/>
          <w:bCs/>
          <w:color w:val="auto"/>
          <w:highlight w:val="none"/>
          <w:lang w:val="en-US" w:eastAsia="zh-CN"/>
        </w:rPr>
      </w:pPr>
      <w:r>
        <w:rPr>
          <w:rFonts w:hint="eastAsia" w:ascii="仿宋" w:hAnsi="仿宋" w:cs="仿宋_GB2312"/>
          <w:b/>
          <w:bCs w:val="0"/>
          <w:color w:val="auto"/>
          <w:highlight w:val="none"/>
          <w:lang w:val="en-US" w:eastAsia="zh-CN"/>
        </w:rPr>
        <w:t>建立防范规模性返贫机制</w:t>
      </w:r>
      <w:r>
        <w:rPr>
          <w:rFonts w:hint="eastAsia" w:ascii="仿宋" w:hAnsi="仿宋" w:cs="仿宋_GB2312"/>
          <w:b w:val="0"/>
          <w:bCs/>
          <w:color w:val="auto"/>
          <w:highlight w:val="none"/>
          <w:lang w:val="en-US" w:eastAsia="zh-CN"/>
        </w:rPr>
        <w:t>。把产业发展作为防止返贫动态监测的重要内容，对因自然灾害、病虫害、价格波动、产品滞销等出现产业发展困难的脱贫户、边缘易致贫户，及时开展有针对性帮扶。重点加强鲜水河断裂带沿泸定、炉霍、道孚和康定走向的自然灾害风险防范，防止因自然灾害导致脱贫户与一般农户出现返（致）贫。开展“9·5”泸定地震灾后防止返贫动态监测帮扶工作，对符合监测对象的，及时纳入，防止因灾造成规模性返贫。定期开展特色产业发展风险评估，将龙头企业、农民合作社等新型经营主体作为主要评估对象，聚焦生产、经营、联农带农和政策措施落实等重点，系统评估产业发展面临的主要风险。从技术援助、市场服务、保险减损、金融风险化解、绿色发展等方面，完善防范和处置风险的具体措施。</w:t>
      </w:r>
    </w:p>
    <w:p>
      <w:pPr>
        <w:keepNext w:val="0"/>
        <w:keepLines w:val="0"/>
        <w:pageBreakBefore w:val="0"/>
        <w:widowControl w:val="0"/>
        <w:kinsoku/>
        <w:wordWrap/>
        <w:overflowPunct/>
        <w:topLinePunct w:val="0"/>
        <w:autoSpaceDE/>
        <w:autoSpaceDN/>
        <w:bidi w:val="0"/>
        <w:adjustRightInd/>
        <w:snapToGrid w:val="0"/>
        <w:spacing w:line="360" w:lineRule="auto"/>
        <w:ind w:firstLine="643" w:firstLineChars="200"/>
        <w:textAlignment w:val="auto"/>
        <w:rPr>
          <w:rFonts w:hint="eastAsia" w:ascii="仿宋" w:hAnsi="仿宋" w:cs="仿宋_GB2312"/>
          <w:b w:val="0"/>
          <w:bCs/>
          <w:color w:val="auto"/>
          <w:highlight w:val="none"/>
          <w:lang w:val="en-US" w:eastAsia="zh-CN"/>
        </w:rPr>
      </w:pPr>
      <w:r>
        <w:rPr>
          <w:rFonts w:hint="eastAsia" w:ascii="仿宋" w:hAnsi="仿宋" w:cs="仿宋_GB2312"/>
          <w:b/>
          <w:bCs w:val="0"/>
          <w:color w:val="auto"/>
          <w:highlight w:val="none"/>
          <w:lang w:val="en-US" w:eastAsia="zh-CN"/>
        </w:rPr>
        <w:t>完善风险消除程序</w:t>
      </w:r>
      <w:r>
        <w:rPr>
          <w:rFonts w:hint="eastAsia" w:ascii="仿宋" w:hAnsi="仿宋" w:cs="仿宋_GB2312"/>
          <w:b w:val="0"/>
          <w:bCs/>
          <w:color w:val="auto"/>
          <w:highlight w:val="none"/>
          <w:lang w:val="en-US" w:eastAsia="zh-CN"/>
        </w:rPr>
        <w:t>。按照评议公示、核查确认、复核审定、公告标注的程序消除风险。根据帮扶成效，由村“两委”开展风险消除评估，确定风险消除对象名单，开展民主评议公示，形成拟风险消除监测对象名单。乡镇（街道）组织风险消除核查，符合条件的上报县级乡村振兴部门复核审定，并在监测户所在行政村公示，在全国防返贫监测系统中标注“风险消除”。</w:t>
      </w:r>
    </w:p>
    <w:tbl>
      <w:tblPr>
        <w:tblStyle w:val="25"/>
        <w:tblW w:w="8859"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85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8859" w:type="dxa"/>
            <w:vAlign w:val="center"/>
          </w:tcPr>
          <w:p>
            <w:pPr>
              <w:pStyle w:val="49"/>
              <w:snapToGrid w:val="0"/>
              <w:spacing w:line="500" w:lineRule="exact"/>
              <w:ind w:firstLine="22" w:firstLineChars="0"/>
              <w:jc w:val="center"/>
              <w:rPr>
                <w:rFonts w:ascii="黑体" w:hAnsi="黑体" w:eastAsia="黑体"/>
                <w:b/>
                <w:bCs/>
                <w:color w:val="auto"/>
                <w:sz w:val="28"/>
                <w:szCs w:val="28"/>
                <w:highlight w:val="none"/>
                <w:shd w:val="clear" w:color="auto" w:fill="FFFFFF"/>
              </w:rPr>
            </w:pPr>
            <w:r>
              <w:rPr>
                <w:rFonts w:hint="eastAsia" w:ascii="黑体" w:hAnsi="黑体" w:eastAsia="黑体"/>
                <w:color w:val="auto"/>
                <w:sz w:val="28"/>
                <w:szCs w:val="28"/>
                <w:highlight w:val="none"/>
                <w:shd w:val="clear" w:color="auto" w:fill="FFFFFF"/>
              </w:rPr>
              <w:t>专栏</w:t>
            </w:r>
            <w:r>
              <w:rPr>
                <w:rFonts w:hint="eastAsia" w:ascii="黑体" w:hAnsi="黑体" w:eastAsia="黑体"/>
                <w:color w:val="auto"/>
                <w:sz w:val="28"/>
                <w:szCs w:val="28"/>
                <w:highlight w:val="none"/>
                <w:shd w:val="clear" w:color="auto" w:fill="FFFFFF"/>
                <w:lang w:val="en-US" w:eastAsia="zh-CN"/>
              </w:rPr>
              <w:t>1</w:t>
            </w:r>
            <w:r>
              <w:rPr>
                <w:rFonts w:hint="eastAsia" w:ascii="黑体" w:hAnsi="黑体" w:eastAsia="黑体"/>
                <w:color w:val="auto"/>
                <w:sz w:val="28"/>
                <w:szCs w:val="28"/>
                <w:highlight w:val="none"/>
                <w:shd w:val="clear" w:color="auto" w:fill="FFFFFF"/>
              </w:rPr>
              <w:t xml:space="preserve">  健全防止返贫动态监测与帮扶机制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6" w:hRule="atLeast"/>
          <w:jc w:val="center"/>
        </w:trPr>
        <w:tc>
          <w:tcPr>
            <w:tcW w:w="8859" w:type="dxa"/>
            <w:vAlign w:val="center"/>
          </w:tcPr>
          <w:p>
            <w:pPr>
              <w:pStyle w:val="44"/>
              <w:keepNext w:val="0"/>
              <w:keepLines w:val="0"/>
              <w:pageBreakBefore w:val="0"/>
              <w:widowControl w:val="0"/>
              <w:kinsoku/>
              <w:wordWrap/>
              <w:overflowPunct/>
              <w:topLinePunct w:val="0"/>
              <w:autoSpaceDE/>
              <w:autoSpaceDN/>
              <w:bidi w:val="0"/>
              <w:adjustRightInd/>
              <w:snapToGrid w:val="0"/>
              <w:spacing w:line="360" w:lineRule="auto"/>
              <w:ind w:firstLine="562"/>
              <w:textAlignment w:val="auto"/>
              <w:rPr>
                <w:rFonts w:ascii="仿宋" w:hAnsi="仿宋" w:eastAsia="仿宋"/>
                <w:b/>
                <w:color w:val="auto"/>
                <w:sz w:val="28"/>
                <w:szCs w:val="24"/>
                <w:highlight w:val="none"/>
              </w:rPr>
            </w:pPr>
            <w:r>
              <w:rPr>
                <w:rFonts w:hint="eastAsia" w:ascii="仿宋" w:hAnsi="仿宋" w:eastAsia="仿宋"/>
                <w:b/>
                <w:color w:val="auto"/>
                <w:sz w:val="28"/>
                <w:szCs w:val="24"/>
                <w:highlight w:val="none"/>
              </w:rPr>
              <w:t>01.强化信息平台建设</w:t>
            </w:r>
          </w:p>
          <w:p>
            <w:pPr>
              <w:pStyle w:val="44"/>
              <w:keepNext w:val="0"/>
              <w:keepLines w:val="0"/>
              <w:pageBreakBefore w:val="0"/>
              <w:widowControl w:val="0"/>
              <w:kinsoku/>
              <w:wordWrap/>
              <w:overflowPunct/>
              <w:topLinePunct w:val="0"/>
              <w:autoSpaceDE/>
              <w:autoSpaceDN/>
              <w:bidi w:val="0"/>
              <w:adjustRightInd/>
              <w:snapToGrid w:val="0"/>
              <w:spacing w:line="360" w:lineRule="auto"/>
              <w:ind w:firstLine="560"/>
              <w:textAlignment w:val="auto"/>
              <w:rPr>
                <w:rFonts w:hint="default" w:ascii="仿宋" w:hAnsi="仿宋" w:eastAsia="仿宋"/>
                <w:bCs/>
                <w:color w:val="auto"/>
                <w:sz w:val="28"/>
                <w:szCs w:val="24"/>
                <w:highlight w:val="none"/>
                <w:lang w:val="en-US" w:eastAsia="zh-CN"/>
              </w:rPr>
            </w:pPr>
            <w:r>
              <w:rPr>
                <w:rFonts w:hint="default" w:ascii="仿宋" w:hAnsi="仿宋" w:eastAsia="仿宋"/>
                <w:bCs/>
                <w:color w:val="auto"/>
                <w:sz w:val="28"/>
                <w:szCs w:val="24"/>
                <w:highlight w:val="none"/>
                <w:lang w:val="en-US" w:eastAsia="zh-CN"/>
              </w:rPr>
              <w:t>依托</w:t>
            </w:r>
            <w:r>
              <w:rPr>
                <w:rFonts w:hint="eastAsia" w:ascii="仿宋" w:hAnsi="仿宋" w:eastAsia="仿宋"/>
                <w:bCs/>
                <w:color w:val="auto"/>
                <w:sz w:val="28"/>
                <w:szCs w:val="24"/>
                <w:highlight w:val="none"/>
                <w:lang w:val="en-US" w:eastAsia="zh-CN"/>
              </w:rPr>
              <w:t>国家、省</w:t>
            </w:r>
            <w:r>
              <w:rPr>
                <w:rFonts w:hint="default" w:ascii="仿宋" w:hAnsi="仿宋" w:eastAsia="仿宋"/>
                <w:bCs/>
                <w:color w:val="auto"/>
                <w:sz w:val="28"/>
                <w:szCs w:val="24"/>
                <w:highlight w:val="none"/>
                <w:lang w:val="en-US" w:eastAsia="zh-CN"/>
              </w:rPr>
              <w:t>防返贫监测信息系统，结合</w:t>
            </w:r>
            <w:r>
              <w:rPr>
                <w:rFonts w:hint="eastAsia" w:ascii="仿宋" w:hAnsi="仿宋" w:eastAsia="仿宋"/>
                <w:bCs/>
                <w:color w:val="auto"/>
                <w:sz w:val="28"/>
                <w:szCs w:val="24"/>
                <w:highlight w:val="none"/>
                <w:lang w:val="en-US" w:eastAsia="zh-CN"/>
              </w:rPr>
              <w:t>甘孜州</w:t>
            </w:r>
            <w:r>
              <w:rPr>
                <w:rFonts w:hint="default" w:ascii="仿宋" w:hAnsi="仿宋" w:eastAsia="仿宋"/>
                <w:bCs/>
                <w:color w:val="auto"/>
                <w:sz w:val="28"/>
                <w:szCs w:val="24"/>
                <w:highlight w:val="none"/>
                <w:lang w:val="en-US" w:eastAsia="zh-CN"/>
              </w:rPr>
              <w:t>年度巩固脱贫成果考核评估数据，完善巩固脱贫攻坚成果和防止返贫监测信息平台。强化数据分析，</w:t>
            </w:r>
            <w:r>
              <w:rPr>
                <w:rFonts w:hint="eastAsia" w:ascii="仿宋" w:hAnsi="仿宋" w:eastAsia="仿宋"/>
                <w:bCs/>
                <w:color w:val="auto"/>
                <w:sz w:val="28"/>
                <w:szCs w:val="24"/>
                <w:highlight w:val="none"/>
                <w:lang w:val="en-US" w:eastAsia="zh-CN"/>
              </w:rPr>
              <w:t>随时掌握</w:t>
            </w:r>
            <w:r>
              <w:rPr>
                <w:rFonts w:hint="default" w:ascii="仿宋" w:hAnsi="仿宋" w:eastAsia="仿宋"/>
                <w:bCs/>
                <w:color w:val="auto"/>
                <w:sz w:val="28"/>
                <w:szCs w:val="24"/>
                <w:highlight w:val="none"/>
                <w:lang w:val="en-US" w:eastAsia="zh-CN"/>
              </w:rPr>
              <w:t>乡村振兴重点帮扶县、易地搬迁集中安置区等重点区域脱贫成果巩固拓展情况。</w:t>
            </w:r>
          </w:p>
          <w:p>
            <w:pPr>
              <w:keepNext w:val="0"/>
              <w:keepLines w:val="0"/>
              <w:pageBreakBefore w:val="0"/>
              <w:widowControl w:val="0"/>
              <w:kinsoku/>
              <w:wordWrap/>
              <w:overflowPunct/>
              <w:topLinePunct w:val="0"/>
              <w:autoSpaceDE/>
              <w:autoSpaceDN/>
              <w:bidi w:val="0"/>
              <w:adjustRightInd/>
              <w:spacing w:line="360" w:lineRule="auto"/>
              <w:ind w:firstLine="562" w:firstLineChars="200"/>
              <w:textAlignment w:val="auto"/>
              <w:rPr>
                <w:rFonts w:ascii="仿宋" w:hAnsi="仿宋"/>
                <w:b/>
                <w:bCs/>
                <w:color w:val="auto"/>
                <w:sz w:val="28"/>
                <w:highlight w:val="none"/>
              </w:rPr>
            </w:pPr>
            <w:r>
              <w:rPr>
                <w:rFonts w:hint="eastAsia" w:ascii="仿宋" w:hAnsi="仿宋"/>
                <w:b/>
                <w:bCs/>
                <w:color w:val="auto"/>
                <w:sz w:val="28"/>
                <w:highlight w:val="none"/>
              </w:rPr>
              <w:t>02.提升监测工作信息化水平</w:t>
            </w:r>
          </w:p>
          <w:p>
            <w:pPr>
              <w:pStyle w:val="44"/>
              <w:keepNext w:val="0"/>
              <w:keepLines w:val="0"/>
              <w:pageBreakBefore w:val="0"/>
              <w:widowControl w:val="0"/>
              <w:kinsoku/>
              <w:wordWrap/>
              <w:overflowPunct/>
              <w:topLinePunct w:val="0"/>
              <w:autoSpaceDE/>
              <w:autoSpaceDN/>
              <w:bidi w:val="0"/>
              <w:adjustRightInd/>
              <w:snapToGrid w:val="0"/>
              <w:spacing w:line="360" w:lineRule="auto"/>
              <w:ind w:firstLine="560"/>
              <w:textAlignment w:val="auto"/>
              <w:rPr>
                <w:rFonts w:hint="eastAsia" w:ascii="仿宋" w:hAnsi="仿宋" w:eastAsia="仿宋"/>
                <w:bCs/>
                <w:color w:val="auto"/>
                <w:sz w:val="28"/>
                <w:szCs w:val="24"/>
                <w:highlight w:val="none"/>
              </w:rPr>
            </w:pPr>
            <w:r>
              <w:rPr>
                <w:rFonts w:hint="eastAsia" w:ascii="仿宋" w:hAnsi="仿宋" w:eastAsia="仿宋"/>
                <w:bCs/>
                <w:color w:val="auto"/>
                <w:sz w:val="28"/>
                <w:szCs w:val="24"/>
                <w:highlight w:val="none"/>
              </w:rPr>
              <w:t>加强</w:t>
            </w:r>
            <w:r>
              <w:rPr>
                <w:rFonts w:hint="eastAsia" w:ascii="仿宋" w:hAnsi="仿宋" w:eastAsia="仿宋"/>
                <w:bCs/>
                <w:color w:val="auto"/>
                <w:sz w:val="28"/>
                <w:szCs w:val="24"/>
                <w:highlight w:val="none"/>
                <w:lang w:val="en-US" w:eastAsia="zh-CN"/>
              </w:rPr>
              <w:t>州、县</w:t>
            </w:r>
            <w:r>
              <w:rPr>
                <w:rFonts w:hint="eastAsia" w:ascii="仿宋" w:hAnsi="仿宋" w:eastAsia="仿宋"/>
                <w:bCs/>
                <w:color w:val="auto"/>
                <w:sz w:val="28"/>
                <w:szCs w:val="24"/>
                <w:highlight w:val="none"/>
              </w:rPr>
              <w:t>级各行业部门数据共享和对接，持续推进与教育、医保、水利、住建、民政、残联、人社、公安、应急、林草、妇联和团委等行业部门数据共享工作，</w:t>
            </w:r>
            <w:r>
              <w:rPr>
                <w:rFonts w:hint="eastAsia" w:ascii="仿宋" w:hAnsi="仿宋" w:eastAsia="仿宋"/>
                <w:bCs/>
                <w:color w:val="auto"/>
                <w:sz w:val="28"/>
                <w:szCs w:val="24"/>
                <w:highlight w:val="none"/>
                <w:lang w:val="en-US" w:eastAsia="zh-CN"/>
              </w:rPr>
              <w:t>建立会商和数据共享机制，县级建立健全防返贫相关部门联席会议机制，</w:t>
            </w:r>
            <w:r>
              <w:rPr>
                <w:rFonts w:hint="eastAsia" w:ascii="仿宋" w:hAnsi="仿宋" w:eastAsia="仿宋"/>
                <w:bCs/>
                <w:color w:val="auto"/>
                <w:sz w:val="28"/>
                <w:szCs w:val="24"/>
                <w:highlight w:val="none"/>
              </w:rPr>
              <w:t>全面提升防返贫监测帮扶工作信息化水平，为防止返贫致贫提供信息化支撑。</w:t>
            </w:r>
          </w:p>
          <w:p>
            <w:pPr>
              <w:pStyle w:val="44"/>
              <w:keepNext w:val="0"/>
              <w:keepLines w:val="0"/>
              <w:pageBreakBefore w:val="0"/>
              <w:widowControl w:val="0"/>
              <w:kinsoku/>
              <w:wordWrap/>
              <w:overflowPunct/>
              <w:topLinePunct w:val="0"/>
              <w:autoSpaceDE/>
              <w:autoSpaceDN/>
              <w:bidi w:val="0"/>
              <w:adjustRightInd/>
              <w:snapToGrid w:val="0"/>
              <w:spacing w:line="360" w:lineRule="auto"/>
              <w:ind w:firstLine="562"/>
              <w:textAlignment w:val="auto"/>
              <w:rPr>
                <w:rFonts w:ascii="仿宋" w:hAnsi="仿宋" w:eastAsia="仿宋"/>
                <w:b/>
                <w:color w:val="auto"/>
                <w:sz w:val="28"/>
                <w:szCs w:val="24"/>
                <w:highlight w:val="none"/>
              </w:rPr>
            </w:pPr>
            <w:r>
              <w:rPr>
                <w:rFonts w:hint="eastAsia" w:ascii="仿宋" w:hAnsi="仿宋" w:eastAsia="仿宋"/>
                <w:b/>
                <w:color w:val="auto"/>
                <w:sz w:val="28"/>
                <w:szCs w:val="24"/>
                <w:highlight w:val="none"/>
              </w:rPr>
              <w:t>03.强化数据分析应用</w:t>
            </w:r>
          </w:p>
          <w:p>
            <w:pPr>
              <w:pStyle w:val="44"/>
              <w:keepNext w:val="0"/>
              <w:keepLines w:val="0"/>
              <w:pageBreakBefore w:val="0"/>
              <w:widowControl w:val="0"/>
              <w:kinsoku/>
              <w:wordWrap/>
              <w:overflowPunct/>
              <w:topLinePunct w:val="0"/>
              <w:autoSpaceDE/>
              <w:autoSpaceDN/>
              <w:bidi w:val="0"/>
              <w:adjustRightInd/>
              <w:snapToGrid w:val="0"/>
              <w:spacing w:line="360" w:lineRule="auto"/>
              <w:ind w:firstLine="560"/>
              <w:textAlignment w:val="auto"/>
              <w:rPr>
                <w:rFonts w:hint="eastAsia" w:ascii="仿宋" w:hAnsi="仿宋" w:eastAsia="仿宋"/>
                <w:bCs/>
                <w:color w:val="auto"/>
                <w:sz w:val="28"/>
                <w:szCs w:val="24"/>
                <w:highlight w:val="none"/>
                <w:lang w:val="en-US" w:eastAsia="zh-CN"/>
              </w:rPr>
            </w:pPr>
            <w:r>
              <w:rPr>
                <w:rFonts w:hint="eastAsia" w:ascii="仿宋" w:hAnsi="仿宋" w:eastAsia="仿宋"/>
                <w:bCs/>
                <w:color w:val="auto"/>
                <w:sz w:val="28"/>
                <w:szCs w:val="24"/>
                <w:highlight w:val="none"/>
                <w:lang w:val="en-US" w:eastAsia="zh-CN"/>
              </w:rPr>
              <w:t>依托全国防返贫监测信息系统，完善监测对象基础数据库，加强共享数据综合分析、结果运用，定期反馈州、县级部门发现的风险线索，确保监测对象应纳尽纳；不定期开展州、县级层面监测对象信息比对工作，确保监测对象的识别精准。适时编制全州脱贫户、监测对象基本情况表、集中排查新增监测对象基本情况表、脱贫户集中排查收入结构表和预估收入结构统计表，为及时调整支持重点和工作措施提供数据支撑。</w:t>
            </w:r>
          </w:p>
          <w:p>
            <w:pPr>
              <w:pStyle w:val="44"/>
              <w:keepNext w:val="0"/>
              <w:keepLines w:val="0"/>
              <w:pageBreakBefore w:val="0"/>
              <w:widowControl w:val="0"/>
              <w:kinsoku/>
              <w:wordWrap/>
              <w:overflowPunct/>
              <w:topLinePunct w:val="0"/>
              <w:autoSpaceDE/>
              <w:autoSpaceDN/>
              <w:bidi w:val="0"/>
              <w:adjustRightInd/>
              <w:snapToGrid w:val="0"/>
              <w:spacing w:line="360" w:lineRule="auto"/>
              <w:ind w:firstLine="560"/>
              <w:textAlignment w:val="auto"/>
              <w:rPr>
                <w:rFonts w:hint="default" w:ascii="仿宋" w:hAnsi="仿宋" w:eastAsia="仿宋"/>
                <w:b/>
                <w:color w:val="auto"/>
                <w:sz w:val="28"/>
                <w:szCs w:val="24"/>
                <w:highlight w:val="none"/>
                <w:lang w:val="en-US" w:eastAsia="zh-CN"/>
              </w:rPr>
            </w:pPr>
            <w:r>
              <w:rPr>
                <w:rFonts w:hint="eastAsia" w:ascii="仿宋" w:hAnsi="仿宋" w:eastAsia="仿宋"/>
                <w:b/>
                <w:color w:val="auto"/>
                <w:sz w:val="28"/>
                <w:szCs w:val="24"/>
                <w:highlight w:val="none"/>
                <w:lang w:val="en-US" w:eastAsia="zh-CN"/>
              </w:rPr>
              <w:t>04.强化风险防范预警</w:t>
            </w:r>
          </w:p>
          <w:p>
            <w:pPr>
              <w:pStyle w:val="44"/>
              <w:keepNext w:val="0"/>
              <w:keepLines w:val="0"/>
              <w:pageBreakBefore w:val="0"/>
              <w:widowControl w:val="0"/>
              <w:kinsoku/>
              <w:wordWrap/>
              <w:overflowPunct/>
              <w:topLinePunct w:val="0"/>
              <w:autoSpaceDE/>
              <w:autoSpaceDN/>
              <w:bidi w:val="0"/>
              <w:adjustRightInd/>
              <w:snapToGrid w:val="0"/>
              <w:spacing w:line="360" w:lineRule="auto"/>
              <w:ind w:firstLine="560"/>
              <w:textAlignment w:val="auto"/>
              <w:rPr>
                <w:rFonts w:hint="default" w:ascii="仿宋" w:hAnsi="仿宋" w:eastAsia="仿宋"/>
                <w:b/>
                <w:color w:val="auto"/>
                <w:sz w:val="28"/>
                <w:szCs w:val="24"/>
                <w:highlight w:val="none"/>
                <w:lang w:val="en-US" w:eastAsia="zh-CN"/>
              </w:rPr>
            </w:pPr>
            <w:r>
              <w:rPr>
                <w:rFonts w:hint="eastAsia" w:ascii="仿宋" w:hAnsi="仿宋" w:eastAsia="仿宋"/>
                <w:bCs/>
                <w:color w:val="auto"/>
                <w:sz w:val="28"/>
                <w:szCs w:val="24"/>
                <w:highlight w:val="none"/>
                <w:lang w:val="en-US" w:eastAsia="zh-CN"/>
              </w:rPr>
              <w:t>加强全州风险防范工作，对因疫情、自然灾害、病虫害、价格波动、产品滞销等出现产业发展困难的农户，及时开展乡村产业、基础、生态、公共服务等方面的帮扶措施，加强政策支撑。强化“9·5”泸定地震灾后防止返贫监测帮扶工作。</w:t>
            </w:r>
          </w:p>
        </w:tc>
      </w:tr>
    </w:tbl>
    <w:p>
      <w:pPr>
        <w:snapToGrid w:val="0"/>
        <w:spacing w:line="372" w:lineRule="auto"/>
        <w:rPr>
          <w:rFonts w:hint="eastAsia" w:ascii="仿宋" w:hAnsi="仿宋" w:cs="仿宋_GB2312"/>
          <w:bCs/>
          <w:color w:val="auto"/>
          <w:highlight w:val="none"/>
        </w:rPr>
        <w:sectPr>
          <w:headerReference r:id="rId12" w:type="default"/>
          <w:footerReference r:id="rId14" w:type="default"/>
          <w:headerReference r:id="rId13" w:type="even"/>
          <w:footerReference r:id="rId15" w:type="even"/>
          <w:pgSz w:w="11906" w:h="16838"/>
          <w:pgMar w:top="1440" w:right="1800" w:bottom="1440" w:left="1800" w:header="851" w:footer="992" w:gutter="0"/>
          <w:pgNumType w:fmt="decimal" w:start="1"/>
          <w:cols w:space="425" w:num="1"/>
          <w:docGrid w:type="lines" w:linePitch="312" w:charSpace="0"/>
        </w:sectPr>
      </w:pPr>
    </w:p>
    <w:p>
      <w:pPr>
        <w:pStyle w:val="4"/>
        <w:tabs>
          <w:tab w:val="clear" w:pos="0"/>
        </w:tabs>
        <w:suppressAutoHyphens w:val="0"/>
        <w:spacing w:after="240" w:line="578" w:lineRule="auto"/>
        <w:jc w:val="center"/>
        <w:rPr>
          <w:rFonts w:hint="eastAsia" w:ascii="黑体" w:hAnsi="黑体" w:eastAsia="黑体"/>
          <w:b w:val="0"/>
          <w:bCs w:val="0"/>
          <w:color w:val="auto"/>
          <w:kern w:val="2"/>
          <w:sz w:val="32"/>
          <w:szCs w:val="32"/>
          <w:highlight w:val="none"/>
          <w:lang w:val="en-US" w:eastAsia="zh-CN"/>
        </w:rPr>
      </w:pPr>
      <w:bookmarkStart w:id="39" w:name="_Toc8930"/>
      <w:bookmarkStart w:id="40" w:name="_Toc95"/>
      <w:bookmarkStart w:id="41" w:name="_Toc14550"/>
      <w:r>
        <w:rPr>
          <w:rFonts w:hint="eastAsia" w:ascii="黑体" w:hAnsi="黑体" w:eastAsia="黑体"/>
          <w:b w:val="0"/>
          <w:bCs w:val="0"/>
          <w:color w:val="auto"/>
          <w:kern w:val="2"/>
          <w:sz w:val="32"/>
          <w:szCs w:val="32"/>
          <w:highlight w:val="none"/>
        </w:rPr>
        <w:t>第</w:t>
      </w:r>
      <w:r>
        <w:rPr>
          <w:rFonts w:hint="eastAsia" w:ascii="黑体" w:hAnsi="黑体" w:eastAsia="黑体"/>
          <w:b w:val="0"/>
          <w:bCs w:val="0"/>
          <w:color w:val="auto"/>
          <w:kern w:val="2"/>
          <w:sz w:val="32"/>
          <w:szCs w:val="32"/>
          <w:highlight w:val="none"/>
          <w:lang w:val="en-US" w:eastAsia="zh-CN"/>
        </w:rPr>
        <w:t>四</w:t>
      </w:r>
      <w:r>
        <w:rPr>
          <w:rFonts w:hint="eastAsia" w:ascii="黑体" w:hAnsi="黑体" w:eastAsia="黑体"/>
          <w:b w:val="0"/>
          <w:bCs w:val="0"/>
          <w:color w:val="auto"/>
          <w:kern w:val="2"/>
          <w:sz w:val="32"/>
          <w:szCs w:val="32"/>
          <w:highlight w:val="none"/>
        </w:rPr>
        <w:t xml:space="preserve">章 </w:t>
      </w:r>
      <w:r>
        <w:rPr>
          <w:rFonts w:ascii="黑体" w:hAnsi="黑体" w:eastAsia="黑体"/>
          <w:b w:val="0"/>
          <w:bCs w:val="0"/>
          <w:color w:val="auto"/>
          <w:kern w:val="2"/>
          <w:sz w:val="32"/>
          <w:szCs w:val="32"/>
          <w:highlight w:val="none"/>
        </w:rPr>
        <w:t xml:space="preserve"> </w:t>
      </w:r>
      <w:r>
        <w:rPr>
          <w:rFonts w:hint="eastAsia" w:ascii="黑体" w:hAnsi="黑体" w:eastAsia="黑体"/>
          <w:b w:val="0"/>
          <w:bCs w:val="0"/>
          <w:color w:val="auto"/>
          <w:kern w:val="2"/>
          <w:sz w:val="32"/>
          <w:szCs w:val="32"/>
          <w:highlight w:val="none"/>
        </w:rPr>
        <w:t>巩固拓展“三保障”和饮水安全</w:t>
      </w:r>
      <w:r>
        <w:rPr>
          <w:rFonts w:hint="eastAsia" w:ascii="黑体" w:hAnsi="黑体" w:eastAsia="黑体"/>
          <w:b w:val="0"/>
          <w:bCs w:val="0"/>
          <w:color w:val="auto"/>
          <w:kern w:val="2"/>
          <w:sz w:val="32"/>
          <w:szCs w:val="32"/>
          <w:highlight w:val="none"/>
          <w:lang w:val="en-US" w:eastAsia="zh-CN"/>
        </w:rPr>
        <w:t>成果</w:t>
      </w:r>
      <w:bookmarkEnd w:id="39"/>
      <w:bookmarkEnd w:id="40"/>
      <w:bookmarkEnd w:id="41"/>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rPr>
          <w:rFonts w:hint="default" w:ascii="仿宋" w:hAnsi="仿宋" w:cs="仿宋_GB2312"/>
          <w:bCs/>
          <w:color w:val="auto"/>
          <w:highlight w:val="none"/>
          <w:lang w:val="en-US" w:eastAsia="zh-CN"/>
        </w:rPr>
      </w:pPr>
      <w:r>
        <w:rPr>
          <w:rFonts w:hint="eastAsia" w:ascii="仿宋" w:hAnsi="仿宋" w:cs="仿宋_GB2312"/>
          <w:bCs/>
          <w:color w:val="auto"/>
          <w:highlight w:val="none"/>
          <w:lang w:val="en-US" w:eastAsia="zh-CN"/>
        </w:rPr>
        <w:t>结合实际开展“回头看”，持续压实教育、医疗、住建、水利等行业主管部门巩固脱贫成果的责任，以守底线为前提，巩固拓展教育、基本医疗、住房安全和饮水安全脱贫攻坚成果，牢牢守住不发生规模性返贫的底线。持续巩固基本保障成果，确保脱贫人口稳定脱贫，使脱贫基础更加稳固、成效更可持续。</w:t>
      </w:r>
    </w:p>
    <w:p>
      <w:pPr>
        <w:pStyle w:val="5"/>
        <w:tabs>
          <w:tab w:val="clear" w:pos="0"/>
        </w:tabs>
        <w:suppressAutoHyphens w:val="0"/>
        <w:snapToGrid w:val="0"/>
        <w:spacing w:before="0" w:after="0" w:line="360" w:lineRule="auto"/>
        <w:ind w:firstLine="643" w:firstLineChars="200"/>
        <w:jc w:val="left"/>
        <w:rPr>
          <w:rFonts w:hint="eastAsia" w:ascii="楷体" w:hAnsi="楷体" w:eastAsia="楷体" w:cs="黑体"/>
          <w:bCs w:val="0"/>
          <w:color w:val="auto"/>
          <w:kern w:val="0"/>
          <w:highlight w:val="none"/>
        </w:rPr>
      </w:pPr>
      <w:bookmarkStart w:id="42" w:name="_Toc7029"/>
      <w:bookmarkStart w:id="43" w:name="_Toc9041"/>
      <w:bookmarkStart w:id="44" w:name="_Toc17672"/>
      <w:r>
        <w:rPr>
          <w:rFonts w:hint="eastAsia" w:ascii="楷体" w:hAnsi="楷体" w:eastAsia="楷体" w:cs="黑体"/>
          <w:bCs w:val="0"/>
          <w:color w:val="auto"/>
          <w:kern w:val="0"/>
          <w:highlight w:val="none"/>
        </w:rPr>
        <w:t>一、巩固拓展教育</w:t>
      </w:r>
      <w:r>
        <w:rPr>
          <w:rFonts w:hint="eastAsia" w:ascii="楷体" w:hAnsi="楷体" w:eastAsia="楷体" w:cs="黑体"/>
          <w:bCs w:val="0"/>
          <w:color w:val="auto"/>
          <w:kern w:val="0"/>
          <w:highlight w:val="none"/>
          <w:lang w:val="en-US" w:eastAsia="zh-CN"/>
        </w:rPr>
        <w:t>脱贫</w:t>
      </w:r>
      <w:r>
        <w:rPr>
          <w:rFonts w:hint="eastAsia" w:ascii="楷体" w:hAnsi="楷体" w:eastAsia="楷体" w:cs="黑体"/>
          <w:bCs w:val="0"/>
          <w:color w:val="auto"/>
          <w:kern w:val="0"/>
          <w:highlight w:val="none"/>
        </w:rPr>
        <w:t>成果</w:t>
      </w:r>
      <w:bookmarkEnd w:id="42"/>
      <w:bookmarkEnd w:id="43"/>
      <w:bookmarkEnd w:id="44"/>
    </w:p>
    <w:p>
      <w:pPr>
        <w:keepNext w:val="0"/>
        <w:keepLines w:val="0"/>
        <w:pageBreakBefore w:val="0"/>
        <w:widowControl w:val="0"/>
        <w:kinsoku/>
        <w:wordWrap/>
        <w:overflowPunct/>
        <w:topLinePunct w:val="0"/>
        <w:autoSpaceDE/>
        <w:autoSpaceDN/>
        <w:bidi w:val="0"/>
        <w:adjustRightInd/>
        <w:snapToGrid w:val="0"/>
        <w:spacing w:line="360" w:lineRule="auto"/>
        <w:ind w:firstLine="643" w:firstLineChars="200"/>
        <w:textAlignment w:val="auto"/>
        <w:rPr>
          <w:rFonts w:ascii="仿宋" w:hAnsi="仿宋" w:cs="仿宋_GB2312"/>
          <w:bCs/>
          <w:color w:val="auto"/>
          <w:highlight w:val="none"/>
        </w:rPr>
      </w:pPr>
      <w:r>
        <w:rPr>
          <w:rFonts w:hint="eastAsia" w:ascii="仿宋" w:hAnsi="仿宋" w:cs="仿宋_GB2312"/>
          <w:b/>
          <w:bCs/>
          <w:color w:val="auto"/>
          <w:highlight w:val="none"/>
        </w:rPr>
        <w:t>健全巩固拓展教育脱贫攻坚成果长效机制。</w:t>
      </w:r>
      <w:r>
        <w:rPr>
          <w:rFonts w:hint="eastAsia" w:ascii="仿宋" w:hAnsi="仿宋" w:cs="仿宋_GB2312"/>
          <w:bCs/>
          <w:color w:val="auto"/>
          <w:highlight w:val="none"/>
        </w:rPr>
        <w:t>统筹推进振兴乡村教育和教育振兴乡村工作，制定教育主要帮扶政策分类优化调整意见，保持政策总体稳定和工作平稳过渡。巩固控辍保学成果，积极探索建立控辍保学“六长”责任制升级版。推广普及国家通用语言文字，依托“一村一幼”开展“学前学会普通话”行动。巩固拓展义务教育办学条件成果，补齐农村学校基本办学条件短板，提升学校办学能力。优化学校布局，推进从</w:t>
      </w:r>
      <w:r>
        <w:rPr>
          <w:rFonts w:hint="eastAsia" w:ascii="仿宋" w:hAnsi="仿宋" w:cs="仿宋_GB2312"/>
          <w:bCs/>
          <w:color w:val="auto"/>
          <w:highlight w:val="none"/>
          <w:lang w:val="en-US" w:eastAsia="zh-CN"/>
        </w:rPr>
        <w:t>学前教育</w:t>
      </w:r>
      <w:r>
        <w:rPr>
          <w:rFonts w:hint="eastAsia" w:ascii="仿宋" w:hAnsi="仿宋" w:cs="仿宋_GB2312"/>
          <w:bCs/>
          <w:color w:val="auto"/>
          <w:highlight w:val="none"/>
        </w:rPr>
        <w:t>、义务教育、普通高中、中职教育全过程的教育发展，努力办好人民满意的教育。继续实施特殊教育提升计划。巩固拓展教育信息化建设成果，以“四川云教”为主体普及“三个课堂”建设与应用，探索建立“优质学校带薄弱学校、优秀教师带普通教师”模式制度，让农村学生享受优质教育资源。</w:t>
      </w:r>
    </w:p>
    <w:p>
      <w:pPr>
        <w:keepNext w:val="0"/>
        <w:keepLines w:val="0"/>
        <w:pageBreakBefore w:val="0"/>
        <w:widowControl w:val="0"/>
        <w:kinsoku/>
        <w:wordWrap/>
        <w:overflowPunct/>
        <w:topLinePunct w:val="0"/>
        <w:autoSpaceDE/>
        <w:autoSpaceDN/>
        <w:bidi w:val="0"/>
        <w:adjustRightInd/>
        <w:spacing w:line="360" w:lineRule="auto"/>
        <w:ind w:firstLine="643" w:firstLineChars="200"/>
        <w:textAlignment w:val="auto"/>
        <w:rPr>
          <w:rFonts w:hint="eastAsia" w:ascii="楷体" w:hAnsi="楷体" w:eastAsia="楷体" w:cs="黑体"/>
          <w:bCs w:val="0"/>
          <w:color w:val="auto"/>
          <w:kern w:val="0"/>
          <w:highlight w:val="none"/>
        </w:rPr>
      </w:pPr>
      <w:r>
        <w:rPr>
          <w:rFonts w:hint="eastAsia"/>
          <w:b/>
          <w:bCs/>
          <w:color w:val="auto"/>
          <w:highlight w:val="none"/>
          <w:lang w:val="en-US" w:eastAsia="zh-CN"/>
        </w:rPr>
        <w:t>实施</w:t>
      </w:r>
      <w:r>
        <w:rPr>
          <w:rFonts w:hint="eastAsia"/>
          <w:b/>
          <w:bCs/>
          <w:color w:val="auto"/>
          <w:highlight w:val="none"/>
        </w:rPr>
        <w:t>教育服务水平提升行动</w:t>
      </w:r>
      <w:r>
        <w:rPr>
          <w:rFonts w:hint="eastAsia"/>
          <w:b/>
          <w:bCs/>
          <w:color w:val="auto"/>
          <w:highlight w:val="none"/>
          <w:lang w:eastAsia="zh-CN"/>
        </w:rPr>
        <w:t>。</w:t>
      </w:r>
      <w:r>
        <w:rPr>
          <w:rFonts w:hint="eastAsia" w:ascii="仿宋" w:hAnsi="仿宋" w:cs="仿宋_GB2312"/>
          <w:bCs/>
          <w:color w:val="auto"/>
          <w:highlight w:val="none"/>
        </w:rPr>
        <w:t>继续实施好</w:t>
      </w:r>
      <w:r>
        <w:rPr>
          <w:rFonts w:hint="eastAsia" w:ascii="仿宋" w:hAnsi="仿宋" w:cs="仿宋_GB2312"/>
          <w:bCs/>
          <w:color w:val="auto"/>
          <w:highlight w:val="none"/>
          <w:lang w:val="en-US" w:eastAsia="zh-CN"/>
        </w:rPr>
        <w:t>涉</w:t>
      </w:r>
      <w:r>
        <w:rPr>
          <w:rFonts w:hint="eastAsia" w:ascii="仿宋" w:hAnsi="仿宋" w:cs="仿宋_GB2312"/>
          <w:bCs/>
          <w:color w:val="auto"/>
          <w:highlight w:val="none"/>
        </w:rPr>
        <w:t>藏</w:t>
      </w:r>
      <w:r>
        <w:rPr>
          <w:rFonts w:hint="eastAsia" w:ascii="仿宋" w:hAnsi="仿宋" w:cs="仿宋_GB2312"/>
          <w:bCs/>
          <w:color w:val="auto"/>
          <w:highlight w:val="none"/>
          <w:lang w:val="en-US" w:eastAsia="zh-CN"/>
        </w:rPr>
        <w:t>地</w:t>
      </w:r>
      <w:r>
        <w:rPr>
          <w:rFonts w:hint="eastAsia" w:ascii="仿宋" w:hAnsi="仿宋" w:cs="仿宋_GB2312"/>
          <w:bCs/>
          <w:color w:val="auto"/>
          <w:highlight w:val="none"/>
        </w:rPr>
        <w:t>区“9</w:t>
      </w:r>
      <w:r>
        <w:rPr>
          <w:rFonts w:hint="eastAsia" w:ascii="仿宋" w:hAnsi="仿宋" w:cs="仿宋_GB2312"/>
          <w:bCs/>
          <w:color w:val="auto"/>
          <w:highlight w:val="none"/>
          <w:lang w:eastAsia="zh-CN"/>
        </w:rPr>
        <w:t>＋</w:t>
      </w:r>
      <w:r>
        <w:rPr>
          <w:rFonts w:hint="eastAsia" w:ascii="仿宋" w:hAnsi="仿宋" w:cs="仿宋_GB2312"/>
          <w:bCs/>
          <w:color w:val="auto"/>
          <w:highlight w:val="none"/>
        </w:rPr>
        <w:t>3”免费职业教育，落实</w:t>
      </w:r>
      <w:r>
        <w:rPr>
          <w:rFonts w:hint="eastAsia" w:ascii="仿宋" w:hAnsi="仿宋" w:cs="仿宋_GB2312"/>
          <w:bCs/>
          <w:color w:val="auto"/>
          <w:highlight w:val="none"/>
          <w:lang w:val="en-US" w:eastAsia="zh-CN"/>
        </w:rPr>
        <w:t>从学前教育到高等教育各学段</w:t>
      </w:r>
      <w:r>
        <w:rPr>
          <w:rFonts w:hint="eastAsia" w:ascii="仿宋" w:hAnsi="仿宋" w:cs="仿宋_GB2312"/>
          <w:bCs/>
          <w:color w:val="auto"/>
          <w:highlight w:val="none"/>
        </w:rPr>
        <w:t>学生资助政策，深入落实《关于促进教学质量提升的实施意见》，突出教育优先发展地位，加大经费投入</w:t>
      </w:r>
      <w:r>
        <w:rPr>
          <w:rFonts w:hint="eastAsia" w:ascii="仿宋" w:hAnsi="仿宋" w:cs="仿宋_GB2312"/>
          <w:bCs/>
          <w:color w:val="auto"/>
          <w:highlight w:val="none"/>
          <w:lang w:eastAsia="zh-CN"/>
        </w:rPr>
        <w:t>。</w:t>
      </w:r>
      <w:r>
        <w:rPr>
          <w:rFonts w:hint="eastAsia" w:ascii="仿宋" w:hAnsi="仿宋" w:cs="仿宋_GB2312"/>
          <w:bCs/>
          <w:color w:val="auto"/>
          <w:highlight w:val="none"/>
        </w:rPr>
        <w:t>大力实施补偿教育、技能培训、司法援助三大行动，培养</w:t>
      </w:r>
      <w:r>
        <w:rPr>
          <w:rFonts w:hint="eastAsia" w:ascii="仿宋" w:hAnsi="仿宋" w:cs="仿宋_GB2312"/>
          <w:bCs/>
          <w:color w:val="auto"/>
          <w:highlight w:val="none"/>
          <w:lang w:val="en-US" w:eastAsia="zh-CN"/>
        </w:rPr>
        <w:t>涉藏地区</w:t>
      </w:r>
      <w:r>
        <w:rPr>
          <w:rFonts w:hint="eastAsia" w:ascii="仿宋" w:hAnsi="仿宋" w:cs="仿宋_GB2312"/>
          <w:bCs/>
          <w:color w:val="auto"/>
          <w:highlight w:val="none"/>
        </w:rPr>
        <w:t>实用人才，坚决阻断贫困代际传递。实施义务教育学校改善工程，支持各县（市）发展集中规模寄宿制办学，加强乡村寄宿制校舍建设</w:t>
      </w:r>
      <w:r>
        <w:rPr>
          <w:rFonts w:hint="eastAsia" w:ascii="仿宋" w:hAnsi="仿宋" w:cs="仿宋_GB2312"/>
          <w:bCs/>
          <w:color w:val="auto"/>
          <w:highlight w:val="none"/>
          <w:lang w:eastAsia="zh-CN"/>
        </w:rPr>
        <w:t>。</w:t>
      </w:r>
      <w:r>
        <w:rPr>
          <w:rFonts w:hint="eastAsia" w:ascii="仿宋" w:hAnsi="仿宋" w:cs="仿宋_GB2312"/>
          <w:bCs/>
          <w:color w:val="auto"/>
          <w:highlight w:val="none"/>
        </w:rPr>
        <w:t>增加优质学位供给，加快学校网络提速扩容。完善甘孜州数字教育资源公共服务体系，不断扩大优质教育资源覆盖面。</w:t>
      </w:r>
      <w:r>
        <w:rPr>
          <w:rFonts w:hint="eastAsia" w:ascii="仿宋" w:hAnsi="仿宋" w:cs="仿宋_GB2312"/>
          <w:bCs/>
          <w:color w:val="auto"/>
          <w:highlight w:val="none"/>
          <w:lang w:val="en-US" w:eastAsia="zh-CN"/>
        </w:rPr>
        <w:t>开展</w:t>
      </w:r>
      <w:r>
        <w:rPr>
          <w:rFonts w:hint="eastAsia" w:ascii="仿宋" w:hAnsi="仿宋" w:cs="仿宋_GB2312"/>
          <w:bCs/>
          <w:color w:val="auto"/>
          <w:highlight w:val="none"/>
        </w:rPr>
        <w:t>优质学校结对帮扶</w:t>
      </w:r>
      <w:r>
        <w:rPr>
          <w:rFonts w:hint="eastAsia" w:ascii="仿宋" w:hAnsi="仿宋" w:cs="仿宋_GB2312"/>
          <w:bCs/>
          <w:color w:val="auto"/>
          <w:highlight w:val="none"/>
          <w:lang w:val="en-US" w:eastAsia="zh-CN"/>
        </w:rPr>
        <w:t>民族</w:t>
      </w:r>
      <w:r>
        <w:rPr>
          <w:rFonts w:hint="eastAsia" w:ascii="仿宋" w:hAnsi="仿宋" w:cs="仿宋_GB2312"/>
          <w:bCs/>
          <w:color w:val="auto"/>
          <w:highlight w:val="none"/>
        </w:rPr>
        <w:t>地区</w:t>
      </w:r>
      <w:r>
        <w:rPr>
          <w:rFonts w:hint="eastAsia" w:ascii="仿宋" w:hAnsi="仿宋" w:cs="仿宋_GB2312"/>
          <w:bCs/>
          <w:color w:val="auto"/>
          <w:highlight w:val="none"/>
          <w:lang w:val="en-US" w:eastAsia="zh-Hans"/>
        </w:rPr>
        <w:t>中小</w:t>
      </w:r>
      <w:r>
        <w:rPr>
          <w:rFonts w:hint="eastAsia" w:ascii="仿宋" w:hAnsi="仿宋" w:cs="仿宋_GB2312"/>
          <w:bCs/>
          <w:color w:val="auto"/>
          <w:highlight w:val="none"/>
        </w:rPr>
        <w:t>学校</w:t>
      </w:r>
      <w:r>
        <w:rPr>
          <w:rFonts w:hint="eastAsia" w:ascii="仿宋" w:hAnsi="仿宋" w:cs="仿宋_GB2312"/>
          <w:bCs/>
          <w:color w:val="auto"/>
          <w:highlight w:val="none"/>
          <w:lang w:val="en-US" w:eastAsia="zh-Hans"/>
        </w:rPr>
        <w:t>行动</w:t>
      </w:r>
      <w:r>
        <w:rPr>
          <w:rFonts w:hint="eastAsia" w:ascii="仿宋" w:hAnsi="仿宋" w:cs="仿宋_GB2312"/>
          <w:bCs/>
          <w:color w:val="auto"/>
          <w:highlight w:val="none"/>
          <w:lang w:eastAsia="zh-CN"/>
        </w:rPr>
        <w:t>，持续开展“组团式”教育帮扶，全力提高受扶学校教育事业发展水平。</w:t>
      </w:r>
      <w:r>
        <w:rPr>
          <w:rFonts w:hint="eastAsia" w:ascii="仿宋" w:hAnsi="仿宋" w:cs="仿宋_GB2312"/>
          <w:bCs/>
          <w:color w:val="auto"/>
          <w:highlight w:val="none"/>
        </w:rPr>
        <w:t>继续实施学生营养改善计划</w:t>
      </w:r>
      <w:r>
        <w:rPr>
          <w:rFonts w:hint="eastAsia" w:ascii="仿宋" w:hAnsi="仿宋" w:cs="仿宋_GB2312"/>
          <w:bCs/>
          <w:color w:val="auto"/>
          <w:highlight w:val="none"/>
          <w:lang w:eastAsia="zh-CN"/>
        </w:rPr>
        <w:t>。</w:t>
      </w:r>
      <w:r>
        <w:rPr>
          <w:rFonts w:hint="eastAsia" w:ascii="仿宋" w:hAnsi="仿宋" w:cs="仿宋_GB2312"/>
          <w:bCs/>
          <w:color w:val="auto"/>
          <w:highlight w:val="none"/>
        </w:rPr>
        <w:t>加大师资队伍建设，因地制宜开展各类教师培训；加强教师招聘，保障教师待遇，努力实现乡村教师招得进、留得住、教得好。</w:t>
      </w:r>
    </w:p>
    <w:p>
      <w:pPr>
        <w:pStyle w:val="5"/>
        <w:tabs>
          <w:tab w:val="clear" w:pos="0"/>
        </w:tabs>
        <w:suppressAutoHyphens w:val="0"/>
        <w:snapToGrid w:val="0"/>
        <w:spacing w:before="0" w:after="0" w:line="360" w:lineRule="auto"/>
        <w:ind w:firstLine="643" w:firstLineChars="200"/>
        <w:jc w:val="left"/>
        <w:rPr>
          <w:rFonts w:hint="eastAsia" w:ascii="楷体" w:hAnsi="楷体" w:eastAsia="楷体" w:cs="黑体"/>
          <w:bCs w:val="0"/>
          <w:color w:val="auto"/>
          <w:kern w:val="0"/>
          <w:highlight w:val="none"/>
        </w:rPr>
      </w:pPr>
      <w:bookmarkStart w:id="45" w:name="_Toc31932"/>
      <w:bookmarkStart w:id="46" w:name="_Toc18938"/>
      <w:bookmarkStart w:id="47" w:name="_Toc32532"/>
      <w:r>
        <w:rPr>
          <w:rFonts w:hint="eastAsia" w:ascii="楷体" w:hAnsi="楷体" w:eastAsia="楷体" w:cs="黑体"/>
          <w:bCs w:val="0"/>
          <w:color w:val="auto"/>
          <w:kern w:val="0"/>
          <w:highlight w:val="none"/>
        </w:rPr>
        <w:t>二、巩固拓展基本医疗成果</w:t>
      </w:r>
      <w:bookmarkEnd w:id="45"/>
      <w:bookmarkEnd w:id="46"/>
      <w:bookmarkEnd w:id="47"/>
    </w:p>
    <w:p>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color w:val="auto"/>
          <w:highlight w:val="none"/>
        </w:rPr>
      </w:pPr>
      <w:r>
        <w:rPr>
          <w:rFonts w:hint="eastAsia"/>
          <w:b/>
          <w:bCs/>
          <w:color w:val="auto"/>
          <w:highlight w:val="none"/>
        </w:rPr>
        <w:t>建立防范化解因病</w:t>
      </w:r>
      <w:r>
        <w:rPr>
          <w:rFonts w:hint="eastAsia"/>
          <w:b/>
          <w:bCs/>
          <w:color w:val="auto"/>
          <w:highlight w:val="none"/>
          <w:lang w:eastAsia="zh-CN"/>
        </w:rPr>
        <w:t>返（致）贫</w:t>
      </w:r>
      <w:r>
        <w:rPr>
          <w:rFonts w:hint="eastAsia"/>
          <w:b/>
          <w:bCs/>
          <w:color w:val="auto"/>
          <w:highlight w:val="none"/>
        </w:rPr>
        <w:t>长效机制</w:t>
      </w:r>
      <w:r>
        <w:rPr>
          <w:rFonts w:hint="eastAsia"/>
          <w:b/>
          <w:bCs/>
          <w:color w:val="auto"/>
          <w:highlight w:val="none"/>
          <w:lang w:eastAsia="zh-CN"/>
        </w:rPr>
        <w:t>。</w:t>
      </w:r>
      <w:r>
        <w:rPr>
          <w:rFonts w:hint="eastAsia"/>
          <w:color w:val="auto"/>
          <w:highlight w:val="none"/>
        </w:rPr>
        <w:t>巩固医疗保障成效</w:t>
      </w:r>
      <w:r>
        <w:rPr>
          <w:rFonts w:hint="eastAsia"/>
          <w:color w:val="auto"/>
          <w:highlight w:val="none"/>
          <w:lang w:eastAsia="zh-CN"/>
        </w:rPr>
        <w:t>，</w:t>
      </w:r>
      <w:r>
        <w:rPr>
          <w:rFonts w:hint="eastAsia"/>
          <w:color w:val="auto"/>
          <w:highlight w:val="none"/>
        </w:rPr>
        <w:t>在5年过渡期内，对特困人员给予全额资助；对低保对象和防止返贫监测对象给予定额资助；对已稳定脱贫人口，执行资助参保渐退政策。定点医疗机构对脱贫人口住院医疗费用实行“一站式”即时结算。通过家庭医生签约服务、巡回医疗等方式，定期开展脱贫人口健康状况监测，加强“因病致贫”预警。做好因病</w:t>
      </w:r>
      <w:r>
        <w:rPr>
          <w:rFonts w:hint="eastAsia"/>
          <w:color w:val="auto"/>
          <w:highlight w:val="none"/>
          <w:lang w:eastAsia="zh-CN"/>
        </w:rPr>
        <w:t>返（致）贫</w:t>
      </w:r>
      <w:r>
        <w:rPr>
          <w:rFonts w:hint="eastAsia"/>
          <w:color w:val="auto"/>
          <w:highlight w:val="none"/>
        </w:rPr>
        <w:t>风险监测，建立健全防范化解因病</w:t>
      </w:r>
      <w:r>
        <w:rPr>
          <w:rFonts w:hint="eastAsia"/>
          <w:color w:val="auto"/>
          <w:highlight w:val="none"/>
          <w:lang w:eastAsia="zh-CN"/>
        </w:rPr>
        <w:t>返（致）贫</w:t>
      </w:r>
      <w:r>
        <w:rPr>
          <w:rFonts w:hint="eastAsia"/>
          <w:color w:val="auto"/>
          <w:highlight w:val="none"/>
        </w:rPr>
        <w:t>的主动发现机制、动态监测机制、信息共享机制、精准帮扶机制，建立依申请救助机制。加强重大传染病防治</w:t>
      </w:r>
      <w:r>
        <w:rPr>
          <w:rFonts w:hint="eastAsia"/>
          <w:color w:val="auto"/>
          <w:highlight w:val="none"/>
          <w:lang w:eastAsia="zh-CN"/>
        </w:rPr>
        <w:t>。</w:t>
      </w:r>
      <w:r>
        <w:rPr>
          <w:rFonts w:hint="eastAsia"/>
          <w:color w:val="auto"/>
          <w:highlight w:val="none"/>
        </w:rPr>
        <w:t>持续健全完善艾滋病综合防治“三线一网底”工作机制，织密基层检测网络，提升“三线”防治能力，夯实“网底”防治基础，强化“三个一</w:t>
      </w:r>
      <w:r>
        <w:rPr>
          <w:rFonts w:hint="eastAsia"/>
          <w:color w:val="auto"/>
          <w:highlight w:val="none"/>
          <w:lang w:val="en-US" w:eastAsia="zh-CN"/>
        </w:rPr>
        <w:t>律</w:t>
      </w:r>
      <w:r>
        <w:rPr>
          <w:rFonts w:hint="eastAsia"/>
          <w:color w:val="auto"/>
          <w:highlight w:val="none"/>
        </w:rPr>
        <w:t>”，进一步在扩大</w:t>
      </w:r>
      <w:r>
        <w:rPr>
          <w:rFonts w:hint="eastAsia"/>
          <w:color w:val="auto"/>
          <w:highlight w:val="none"/>
          <w:lang w:val="en-US" w:eastAsia="zh-CN"/>
        </w:rPr>
        <w:t>检</w:t>
      </w:r>
      <w:r>
        <w:rPr>
          <w:rFonts w:hint="eastAsia"/>
          <w:color w:val="auto"/>
          <w:highlight w:val="none"/>
        </w:rPr>
        <w:t>测。孕情第一时间发现</w:t>
      </w:r>
      <w:r>
        <w:rPr>
          <w:rFonts w:hint="eastAsia"/>
          <w:color w:val="auto"/>
          <w:highlight w:val="none"/>
          <w:lang w:eastAsia="zh-CN"/>
        </w:rPr>
        <w:t>、</w:t>
      </w:r>
      <w:r>
        <w:rPr>
          <w:rFonts w:hint="eastAsia"/>
          <w:color w:val="auto"/>
          <w:highlight w:val="none"/>
        </w:rPr>
        <w:t>“单阳”家庭管理，感染者规范治疗管理，引</w:t>
      </w:r>
      <w:r>
        <w:rPr>
          <w:rFonts w:hint="eastAsia"/>
          <w:color w:val="auto"/>
          <w:highlight w:val="none"/>
          <w:lang w:val="en-US" w:eastAsia="zh-CN"/>
        </w:rPr>
        <w:t>导</w:t>
      </w:r>
      <w:r>
        <w:rPr>
          <w:rFonts w:hint="eastAsia"/>
          <w:color w:val="auto"/>
          <w:highlight w:val="none"/>
        </w:rPr>
        <w:t>群众养成健康婚育观念等方面发挥更好作用</w:t>
      </w:r>
      <w:r>
        <w:rPr>
          <w:rFonts w:hint="eastAsia"/>
          <w:color w:val="auto"/>
          <w:highlight w:val="none"/>
          <w:lang w:eastAsia="zh-CN"/>
        </w:rPr>
        <w:t>；</w:t>
      </w:r>
      <w:r>
        <w:rPr>
          <w:rFonts w:hint="eastAsia"/>
          <w:color w:val="auto"/>
          <w:highlight w:val="none"/>
        </w:rPr>
        <w:t>启动甘孜州结核病综合防治试点及攻坚战，尽早发现传染源并规范进行健康管理与治疗，降低感染率，提高成功治愈率</w:t>
      </w:r>
      <w:r>
        <w:rPr>
          <w:rFonts w:hint="eastAsia"/>
          <w:color w:val="auto"/>
          <w:highlight w:val="none"/>
          <w:lang w:eastAsia="zh-CN"/>
        </w:rPr>
        <w:t>；</w:t>
      </w:r>
      <w:r>
        <w:rPr>
          <w:rFonts w:hint="eastAsia"/>
          <w:color w:val="auto"/>
          <w:highlight w:val="none"/>
        </w:rPr>
        <w:t>持续推进第二轮包虫病综合防治攻坚战，巩固提升及全面推广“石梁模式”防控成果。</w:t>
      </w:r>
      <w:r>
        <w:rPr>
          <w:rFonts w:hint="eastAsia" w:ascii="仿宋" w:hAnsi="仿宋" w:cs="仿宋_GB2312"/>
          <w:bCs/>
          <w:color w:val="auto"/>
          <w:highlight w:val="none"/>
        </w:rPr>
        <w:t>深入推进“健康甘孜2030”</w:t>
      </w:r>
      <w:r>
        <w:rPr>
          <w:rFonts w:hint="eastAsia" w:ascii="仿宋" w:hAnsi="仿宋" w:cs="仿宋_GB2312"/>
          <w:bCs/>
          <w:color w:val="auto"/>
          <w:highlight w:val="none"/>
          <w:lang w:val="en-US" w:eastAsia="zh-CN"/>
        </w:rPr>
        <w:t>行动计划</w:t>
      </w:r>
      <w:r>
        <w:rPr>
          <w:rFonts w:hint="eastAsia" w:ascii="仿宋" w:hAnsi="仿宋" w:cs="仿宋_GB2312"/>
          <w:bCs/>
          <w:color w:val="auto"/>
          <w:highlight w:val="none"/>
        </w:rPr>
        <w:t>，落实防止返贫监测对象医疗救助政策，减轻脱贫群众医疗负担。</w:t>
      </w:r>
      <w:r>
        <w:rPr>
          <w:rFonts w:hint="eastAsia"/>
          <w:color w:val="auto"/>
          <w:highlight w:val="none"/>
        </w:rPr>
        <w:t>坚持基本标准，巩固提高基本医保、大病保险、医疗救助保障水平，统筹发挥三重保障制度综合梯次减负功能，有效防范因病</w:t>
      </w:r>
      <w:r>
        <w:rPr>
          <w:rFonts w:hint="eastAsia"/>
          <w:color w:val="auto"/>
          <w:highlight w:val="none"/>
          <w:lang w:eastAsia="zh-CN"/>
        </w:rPr>
        <w:t>返（致）贫</w:t>
      </w:r>
      <w:r>
        <w:rPr>
          <w:rFonts w:hint="eastAsia"/>
          <w:color w:val="auto"/>
          <w:highlight w:val="none"/>
        </w:rPr>
        <w:t>风险。</w:t>
      </w:r>
    </w:p>
    <w:p>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color w:val="auto"/>
          <w:highlight w:val="none"/>
        </w:rPr>
      </w:pPr>
      <w:r>
        <w:rPr>
          <w:rFonts w:hint="eastAsia" w:ascii="仿宋" w:hAnsi="仿宋" w:cs="仿宋_GB2312"/>
          <w:b/>
          <w:bCs w:val="0"/>
          <w:color w:val="auto"/>
          <w:highlight w:val="none"/>
          <w:lang w:val="en-US" w:eastAsia="zh-CN"/>
        </w:rPr>
        <w:t>实施医疗服务保障水平提升行动。</w:t>
      </w:r>
      <w:r>
        <w:rPr>
          <w:rFonts w:hint="eastAsia" w:ascii="仿宋" w:hAnsi="仿宋" w:cs="仿宋_GB2312"/>
          <w:bCs/>
          <w:color w:val="auto"/>
          <w:highlight w:val="none"/>
        </w:rPr>
        <w:t>支持华西甘孜医院建设高原病医学研究中心，加快推进甘孜、理塘区域医疗中心建设，有序推进县域医疗</w:t>
      </w:r>
      <w:r>
        <w:rPr>
          <w:rFonts w:hint="eastAsia" w:ascii="仿宋" w:hAnsi="仿宋" w:cs="仿宋_GB2312"/>
          <w:bCs/>
          <w:color w:val="auto"/>
          <w:highlight w:val="none"/>
          <w:lang w:val="en-US" w:eastAsia="zh-CN"/>
        </w:rPr>
        <w:t>卫生</w:t>
      </w:r>
      <w:r>
        <w:rPr>
          <w:rFonts w:hint="eastAsia" w:ascii="仿宋" w:hAnsi="仿宋" w:cs="仿宋_GB2312"/>
          <w:bCs/>
          <w:color w:val="auto"/>
          <w:highlight w:val="none"/>
        </w:rPr>
        <w:t>次中心建设，承担起对周边区域乡镇卫生院的技术指导和辐射带动功能</w:t>
      </w:r>
      <w:r>
        <w:rPr>
          <w:rFonts w:hint="eastAsia" w:ascii="仿宋" w:hAnsi="仿宋" w:cs="仿宋_GB2312"/>
          <w:bCs/>
          <w:color w:val="auto"/>
          <w:highlight w:val="none"/>
          <w:lang w:eastAsia="zh-CN"/>
        </w:rPr>
        <w:t>。</w:t>
      </w:r>
      <w:r>
        <w:rPr>
          <w:rFonts w:hint="eastAsia" w:ascii="仿宋" w:hAnsi="仿宋" w:cs="仿宋_GB2312"/>
          <w:bCs/>
          <w:color w:val="auto"/>
          <w:highlight w:val="none"/>
        </w:rPr>
        <w:t>持续深化医药卫生体制改革，切实加强医疗卫生东西部协作和“传帮带”工程，推进医联体、医共体和远程医疗</w:t>
      </w:r>
      <w:r>
        <w:rPr>
          <w:rFonts w:hint="eastAsia" w:ascii="仿宋" w:hAnsi="仿宋" w:cs="仿宋_GB2312"/>
          <w:bCs/>
          <w:color w:val="auto"/>
          <w:highlight w:val="none"/>
          <w:lang w:val="en-US" w:eastAsia="zh-CN"/>
        </w:rPr>
        <w:t>系统</w:t>
      </w:r>
      <w:r>
        <w:rPr>
          <w:rFonts w:hint="eastAsia" w:ascii="仿宋" w:hAnsi="仿宋" w:cs="仿宋_GB2312"/>
          <w:bCs/>
          <w:color w:val="auto"/>
          <w:highlight w:val="none"/>
        </w:rPr>
        <w:t>建设，构建覆盖城乡现代化的医疗卫生体系</w:t>
      </w:r>
      <w:r>
        <w:rPr>
          <w:rFonts w:hint="eastAsia" w:ascii="仿宋" w:hAnsi="仿宋" w:cs="仿宋_GB2312"/>
          <w:bCs/>
          <w:color w:val="auto"/>
          <w:highlight w:val="none"/>
          <w:lang w:eastAsia="zh-CN"/>
        </w:rPr>
        <w:t>。</w:t>
      </w:r>
      <w:r>
        <w:rPr>
          <w:rFonts w:hint="eastAsia" w:ascii="仿宋" w:hAnsi="仿宋" w:cs="仿宋_GB2312"/>
          <w:bCs/>
          <w:color w:val="auto"/>
          <w:highlight w:val="none"/>
        </w:rPr>
        <w:t>扎实推进“组团式”医疗帮扶，进一步加强“教医再塑甘孜”工程建设</w:t>
      </w:r>
      <w:r>
        <w:rPr>
          <w:rFonts w:hint="eastAsia" w:ascii="仿宋" w:hAnsi="仿宋" w:cs="仿宋_GB2312"/>
          <w:bCs/>
          <w:color w:val="auto"/>
          <w:highlight w:val="none"/>
          <w:lang w:eastAsia="zh-CN"/>
        </w:rPr>
        <w:t>。</w:t>
      </w:r>
      <w:r>
        <w:rPr>
          <w:rFonts w:hint="eastAsia" w:ascii="仿宋" w:hAnsi="仿宋" w:cs="仿宋_GB2312"/>
          <w:bCs/>
          <w:color w:val="auto"/>
          <w:highlight w:val="none"/>
        </w:rPr>
        <w:t>重点围绕川藏铁路建设，切实加强</w:t>
      </w:r>
      <w:r>
        <w:rPr>
          <w:rFonts w:hint="eastAsia" w:ascii="仿宋" w:hAnsi="仿宋" w:cs="仿宋_GB2312"/>
          <w:bCs/>
          <w:color w:val="auto"/>
          <w:highlight w:val="none"/>
          <w:lang w:val="en-US" w:eastAsia="zh-CN"/>
        </w:rPr>
        <w:t>州人民医院、州疾控中心、</w:t>
      </w:r>
      <w:r>
        <w:rPr>
          <w:rFonts w:hint="eastAsia" w:ascii="仿宋" w:hAnsi="仿宋" w:cs="仿宋_GB2312"/>
          <w:bCs/>
          <w:color w:val="auto"/>
          <w:highlight w:val="none"/>
        </w:rPr>
        <w:t>沿线县（市）人民医院、疾控中心和乡（镇）卫生院应急救援能力、重大传染病防治能力和应对</w:t>
      </w:r>
      <w:r>
        <w:rPr>
          <w:rFonts w:hint="eastAsia" w:ascii="仿宋" w:hAnsi="仿宋" w:cs="仿宋_GB2312"/>
          <w:bCs/>
          <w:color w:val="auto"/>
          <w:highlight w:val="none"/>
          <w:lang w:val="en-US" w:eastAsia="zh-CN"/>
        </w:rPr>
        <w:t>突</w:t>
      </w:r>
      <w:r>
        <w:rPr>
          <w:rFonts w:hint="eastAsia" w:ascii="仿宋" w:hAnsi="仿宋" w:cs="仿宋_GB2312"/>
          <w:bCs/>
          <w:color w:val="auto"/>
          <w:highlight w:val="none"/>
        </w:rPr>
        <w:t>发公共卫生事件能力。完善重大传染病防控体系，科学精准抓好新冠肺炎疫情常态化防控</w:t>
      </w:r>
      <w:r>
        <w:rPr>
          <w:rFonts w:hint="eastAsia" w:ascii="仿宋" w:hAnsi="仿宋" w:cs="仿宋_GB2312"/>
          <w:bCs/>
          <w:color w:val="auto"/>
          <w:highlight w:val="none"/>
          <w:lang w:eastAsia="zh-CN"/>
        </w:rPr>
        <w:t>，</w:t>
      </w:r>
      <w:r>
        <w:rPr>
          <w:rFonts w:hint="eastAsia" w:ascii="仿宋" w:hAnsi="仿宋" w:cs="仿宋_GB2312"/>
          <w:bCs/>
          <w:color w:val="auto"/>
          <w:highlight w:val="none"/>
          <w:lang w:val="en-US" w:eastAsia="zh-CN"/>
        </w:rPr>
        <w:t>加强地方病防治</w:t>
      </w:r>
      <w:r>
        <w:rPr>
          <w:rFonts w:hint="eastAsia" w:ascii="仿宋" w:hAnsi="仿宋" w:cs="仿宋_GB2312"/>
          <w:bCs/>
          <w:color w:val="auto"/>
          <w:highlight w:val="none"/>
        </w:rPr>
        <w:t>。加强州、县两级综合医院公共卫生薄弱科室和重点专科建设，</w:t>
      </w:r>
      <w:r>
        <w:rPr>
          <w:rFonts w:hint="eastAsia" w:ascii="仿宋" w:hAnsi="仿宋" w:cs="仿宋_GB2312"/>
          <w:bCs/>
          <w:color w:val="auto"/>
          <w:highlight w:val="none"/>
          <w:lang w:val="en-US" w:eastAsia="zh-CN"/>
        </w:rPr>
        <w:t>提升</w:t>
      </w:r>
      <w:r>
        <w:rPr>
          <w:rFonts w:hint="eastAsia" w:ascii="仿宋" w:hAnsi="仿宋" w:cs="仿宋_GB2312"/>
          <w:bCs/>
          <w:color w:val="auto"/>
          <w:highlight w:val="none"/>
        </w:rPr>
        <w:t>乡镇卫生院、村级卫生室（站）服务能力。积极推进甘孜州藏医院“三</w:t>
      </w:r>
      <w:r>
        <w:rPr>
          <w:rFonts w:hint="eastAsia" w:ascii="仿宋" w:hAnsi="仿宋" w:cs="仿宋_GB2312"/>
          <w:bCs/>
          <w:color w:val="auto"/>
          <w:highlight w:val="none"/>
          <w:lang w:val="en-US" w:eastAsia="zh-CN"/>
        </w:rPr>
        <w:t>级</w:t>
      </w:r>
      <w:r>
        <w:rPr>
          <w:rFonts w:hint="eastAsia" w:ascii="仿宋" w:hAnsi="仿宋" w:cs="仿宋_GB2312"/>
          <w:bCs/>
          <w:color w:val="auto"/>
          <w:highlight w:val="none"/>
        </w:rPr>
        <w:t>”创建和</w:t>
      </w:r>
      <w:r>
        <w:rPr>
          <w:rFonts w:hint="eastAsia" w:ascii="仿宋" w:hAnsi="仿宋" w:cs="仿宋_GB2312"/>
          <w:bCs/>
          <w:color w:val="auto"/>
          <w:highlight w:val="none"/>
          <w:lang w:val="en-US" w:eastAsia="zh-CN"/>
        </w:rPr>
        <w:t>四川</w:t>
      </w:r>
      <w:r>
        <w:rPr>
          <w:rFonts w:hint="eastAsia" w:ascii="仿宋" w:hAnsi="仿宋" w:cs="仿宋_GB2312"/>
          <w:bCs/>
          <w:color w:val="auto"/>
          <w:highlight w:val="none"/>
        </w:rPr>
        <w:t>省藏医院建设</w:t>
      </w:r>
      <w:r>
        <w:rPr>
          <w:rFonts w:hint="eastAsia" w:ascii="仿宋" w:hAnsi="仿宋" w:cs="仿宋_GB2312"/>
          <w:bCs/>
          <w:color w:val="auto"/>
          <w:highlight w:val="none"/>
          <w:lang w:eastAsia="zh-CN"/>
        </w:rPr>
        <w:t>。</w:t>
      </w:r>
      <w:r>
        <w:rPr>
          <w:rFonts w:hint="eastAsia"/>
          <w:color w:val="auto"/>
          <w:highlight w:val="none"/>
        </w:rPr>
        <w:t>持续推广</w:t>
      </w:r>
      <w:r>
        <w:rPr>
          <w:rFonts w:hint="eastAsia"/>
          <w:color w:val="auto"/>
          <w:highlight w:val="none"/>
          <w:lang w:val="en-US" w:eastAsia="zh-CN"/>
        </w:rPr>
        <w:t>脱贫</w:t>
      </w:r>
      <w:r>
        <w:rPr>
          <w:rFonts w:hint="eastAsia"/>
          <w:color w:val="auto"/>
          <w:highlight w:val="none"/>
        </w:rPr>
        <w:t>地区健康促进行动，做好重点慢性病患者健康管理工作。</w:t>
      </w:r>
    </w:p>
    <w:p>
      <w:pPr>
        <w:pStyle w:val="5"/>
        <w:tabs>
          <w:tab w:val="clear" w:pos="0"/>
        </w:tabs>
        <w:suppressAutoHyphens w:val="0"/>
        <w:snapToGrid w:val="0"/>
        <w:spacing w:before="0" w:after="0" w:line="360" w:lineRule="auto"/>
        <w:ind w:firstLine="643" w:firstLineChars="200"/>
        <w:jc w:val="left"/>
        <w:rPr>
          <w:rFonts w:hint="eastAsia" w:ascii="楷体" w:hAnsi="楷体" w:eastAsia="楷体" w:cs="黑体"/>
          <w:bCs w:val="0"/>
          <w:color w:val="auto"/>
          <w:kern w:val="0"/>
          <w:highlight w:val="none"/>
        </w:rPr>
      </w:pPr>
      <w:bookmarkStart w:id="48" w:name="_Toc35"/>
      <w:bookmarkStart w:id="49" w:name="_Toc14691"/>
      <w:bookmarkStart w:id="50" w:name="_Toc10295"/>
      <w:r>
        <w:rPr>
          <w:rFonts w:hint="eastAsia" w:ascii="楷体" w:hAnsi="楷体" w:eastAsia="楷体" w:cs="黑体"/>
          <w:bCs w:val="0"/>
          <w:color w:val="auto"/>
          <w:kern w:val="0"/>
          <w:highlight w:val="none"/>
        </w:rPr>
        <w:t>三、巩固拓展住房安全成果</w:t>
      </w:r>
      <w:bookmarkEnd w:id="48"/>
      <w:bookmarkEnd w:id="49"/>
      <w:bookmarkEnd w:id="50"/>
    </w:p>
    <w:p>
      <w:pPr>
        <w:keepNext w:val="0"/>
        <w:keepLines w:val="0"/>
        <w:pageBreakBefore w:val="0"/>
        <w:widowControl w:val="0"/>
        <w:kinsoku/>
        <w:wordWrap/>
        <w:overflowPunct/>
        <w:topLinePunct w:val="0"/>
        <w:autoSpaceDE/>
        <w:autoSpaceDN/>
        <w:bidi w:val="0"/>
        <w:adjustRightInd/>
        <w:snapToGrid w:val="0"/>
        <w:spacing w:line="360" w:lineRule="auto"/>
        <w:ind w:firstLine="643" w:firstLineChars="200"/>
        <w:textAlignment w:val="auto"/>
        <w:rPr>
          <w:rFonts w:ascii="仿宋" w:hAnsi="仿宋" w:cs="仿宋_GB2312"/>
          <w:bCs/>
          <w:color w:val="auto"/>
          <w:highlight w:val="none"/>
        </w:rPr>
      </w:pPr>
      <w:r>
        <w:rPr>
          <w:rFonts w:hint="eastAsia" w:ascii="仿宋" w:hAnsi="仿宋" w:cs="仿宋_GB2312"/>
          <w:b/>
          <w:bCs/>
          <w:color w:val="auto"/>
          <w:highlight w:val="none"/>
        </w:rPr>
        <w:t>健全农村低收入群体住房安全保障长效机制。</w:t>
      </w:r>
      <w:r>
        <w:rPr>
          <w:rFonts w:hint="eastAsia" w:ascii="仿宋" w:hAnsi="仿宋" w:cs="仿宋_GB2312"/>
          <w:bCs/>
          <w:color w:val="auto"/>
          <w:highlight w:val="none"/>
        </w:rPr>
        <w:t>依据《关于做好农村低收入群体等重点对象住房安全保障工作的实施意见》，持续巩固住房安全保障工作成果，在保持政策稳定性、延续性的基础上调整优化，健全农村低收入群体住房安全保障长效机制。加强</w:t>
      </w:r>
      <w:r>
        <w:rPr>
          <w:rFonts w:hint="eastAsia" w:ascii="仿宋" w:hAnsi="仿宋" w:cs="仿宋_GB2312"/>
          <w:bCs/>
          <w:color w:val="auto"/>
          <w:highlight w:val="none"/>
          <w:lang w:val="en-US" w:eastAsia="zh-Hans"/>
        </w:rPr>
        <w:t>部门</w:t>
      </w:r>
      <w:r>
        <w:rPr>
          <w:rFonts w:hint="eastAsia" w:ascii="仿宋" w:hAnsi="仿宋" w:cs="仿宋_GB2312"/>
          <w:bCs/>
          <w:color w:val="auto"/>
          <w:highlight w:val="none"/>
        </w:rPr>
        <w:t>协调联动和数据互通共享，健全完善农村低收入群体等重点对象住房安全动态监测机制。加大农村住房安全保障信贷支持力度。引导保险机构将人身安全和住房等财产安全纳入保险范围，重点解决返（致）贫监测对象因病因灾因意外伤害等返（致）贫问题。鼓励各县（市）积极采取统建农村集体公租房、修缮加固现有闲置公房等方式，供自筹资金和投工投劳能力弱的特殊困难农户周转使用；鼓励村集体协助盘活农村闲置安全房屋，向符合条件的保障对象进行租赁或置换；鼓励地方政府给予租赁或置换补贴，避免农户因建房而</w:t>
      </w:r>
      <w:r>
        <w:rPr>
          <w:rFonts w:hint="eastAsia" w:ascii="仿宋" w:hAnsi="仿宋" w:cs="仿宋_GB2312"/>
          <w:bCs/>
          <w:color w:val="auto"/>
          <w:highlight w:val="none"/>
          <w:lang w:eastAsia="zh-CN"/>
        </w:rPr>
        <w:t>返（致）贫</w:t>
      </w:r>
      <w:r>
        <w:rPr>
          <w:rFonts w:hint="eastAsia" w:ascii="仿宋" w:hAnsi="仿宋" w:cs="仿宋_GB2312"/>
          <w:bCs/>
          <w:color w:val="auto"/>
          <w:highlight w:val="none"/>
        </w:rPr>
        <w:t>。加强住房安全监管</w:t>
      </w:r>
      <w:r>
        <w:rPr>
          <w:rFonts w:hint="eastAsia" w:ascii="仿宋" w:hAnsi="仿宋" w:cs="仿宋_GB2312"/>
          <w:bCs/>
          <w:color w:val="auto"/>
          <w:highlight w:val="none"/>
          <w:lang w:eastAsia="zh-CN"/>
        </w:rPr>
        <w:t>，</w:t>
      </w:r>
      <w:r>
        <w:rPr>
          <w:rFonts w:hint="eastAsia" w:ascii="仿宋" w:hAnsi="仿宋" w:cs="仿宋_GB2312"/>
          <w:bCs/>
          <w:color w:val="auto"/>
          <w:highlight w:val="none"/>
        </w:rPr>
        <w:t>坚持安全避让原则，避开地质灾害、洪涝灾害区域等危险地段，提升农房建设品质，确保所有保障对象住房安全。</w:t>
      </w:r>
    </w:p>
    <w:p>
      <w:pPr>
        <w:keepNext w:val="0"/>
        <w:keepLines w:val="0"/>
        <w:pageBreakBefore w:val="0"/>
        <w:widowControl w:val="0"/>
        <w:kinsoku/>
        <w:wordWrap/>
        <w:overflowPunct/>
        <w:topLinePunct w:val="0"/>
        <w:autoSpaceDE/>
        <w:autoSpaceDN/>
        <w:bidi w:val="0"/>
        <w:adjustRightInd/>
        <w:snapToGrid w:val="0"/>
        <w:spacing w:line="360" w:lineRule="auto"/>
        <w:ind w:firstLine="643" w:firstLineChars="200"/>
        <w:textAlignment w:val="auto"/>
        <w:rPr>
          <w:rFonts w:hint="eastAsia"/>
          <w:color w:val="auto"/>
          <w:highlight w:val="none"/>
        </w:rPr>
      </w:pPr>
      <w:r>
        <w:rPr>
          <w:rFonts w:hint="eastAsia" w:ascii="仿宋" w:hAnsi="仿宋" w:cs="仿宋_GB2312"/>
          <w:b/>
          <w:bCs w:val="0"/>
          <w:color w:val="auto"/>
          <w:highlight w:val="none"/>
          <w:lang w:val="en-US" w:eastAsia="zh-CN"/>
        </w:rPr>
        <w:t>实施</w:t>
      </w:r>
      <w:r>
        <w:rPr>
          <w:rFonts w:hint="eastAsia" w:ascii="仿宋" w:hAnsi="仿宋" w:cs="仿宋_GB2312"/>
          <w:b/>
          <w:bCs w:val="0"/>
          <w:color w:val="auto"/>
          <w:highlight w:val="none"/>
        </w:rPr>
        <w:t>住房安全保障水平提升行动</w:t>
      </w:r>
      <w:r>
        <w:rPr>
          <w:rFonts w:hint="eastAsia" w:ascii="仿宋" w:hAnsi="仿宋" w:cs="仿宋_GB2312"/>
          <w:b/>
          <w:bCs w:val="0"/>
          <w:color w:val="auto"/>
          <w:highlight w:val="none"/>
          <w:lang w:eastAsia="zh-CN"/>
        </w:rPr>
        <w:t>。</w:t>
      </w:r>
      <w:r>
        <w:rPr>
          <w:rFonts w:hint="eastAsia" w:ascii="仿宋" w:hAnsi="仿宋" w:cs="仿宋_GB2312"/>
          <w:bCs/>
          <w:color w:val="auto"/>
          <w:highlight w:val="none"/>
        </w:rPr>
        <w:t>持续巩固住房安全保障工作成果，做好全州房屋建筑和人员聚集场所安全风险排查整治。实施动态监测，通过农村危房改造、灾后重建、对口援建等多种方式及时解决新发现住房不安全问题</w:t>
      </w:r>
      <w:r>
        <w:rPr>
          <w:rFonts w:hint="eastAsia" w:ascii="仿宋" w:hAnsi="仿宋" w:cs="仿宋_GB2312"/>
          <w:bCs/>
          <w:color w:val="auto"/>
          <w:highlight w:val="none"/>
          <w:lang w:eastAsia="zh-CN"/>
        </w:rPr>
        <w:t>，</w:t>
      </w:r>
      <w:r>
        <w:rPr>
          <w:rFonts w:hint="eastAsia" w:ascii="仿宋" w:hAnsi="仿宋" w:cs="仿宋_GB2312"/>
          <w:bCs/>
          <w:color w:val="auto"/>
          <w:highlight w:val="none"/>
          <w:lang w:val="en-US" w:eastAsia="zh-CN"/>
        </w:rPr>
        <w:t>把受自然</w:t>
      </w:r>
      <w:r>
        <w:rPr>
          <w:rFonts w:hint="eastAsia" w:ascii="仿宋" w:hAnsi="仿宋" w:cs="仿宋_GB2312"/>
          <w:bCs/>
          <w:color w:val="auto"/>
          <w:highlight w:val="none"/>
          <w:lang w:eastAsia="zh-CN"/>
        </w:rPr>
        <w:t>灾害、地质灾害等农户房屋安全作为重点监测内容，符合条件的及时纳入监测对象范围，跟进帮扶措施</w:t>
      </w:r>
      <w:r>
        <w:rPr>
          <w:rFonts w:hint="eastAsia" w:ascii="仿宋" w:hAnsi="仿宋" w:cs="仿宋_GB2312"/>
          <w:bCs/>
          <w:color w:val="auto"/>
          <w:highlight w:val="none"/>
        </w:rPr>
        <w:t>。继续实施农村</w:t>
      </w:r>
      <w:r>
        <w:rPr>
          <w:rFonts w:hint="eastAsia" w:ascii="仿宋" w:hAnsi="仿宋" w:cs="仿宋_GB2312"/>
          <w:bCs/>
          <w:color w:val="auto"/>
          <w:highlight w:val="none"/>
          <w:lang w:val="en-US" w:eastAsia="zh-CN"/>
        </w:rPr>
        <w:t>低收入群体等重点对象农村</w:t>
      </w:r>
      <w:r>
        <w:rPr>
          <w:rFonts w:hint="eastAsia" w:ascii="仿宋" w:hAnsi="仿宋" w:cs="仿宋_GB2312"/>
          <w:bCs/>
          <w:color w:val="auto"/>
          <w:highlight w:val="none"/>
        </w:rPr>
        <w:t>危房改造和地震高烈度设防地区农房抗震改造，以多种形式同步保障低收入人口基本住房安全。</w:t>
      </w:r>
      <w:r>
        <w:rPr>
          <w:rFonts w:hint="eastAsia" w:ascii="仿宋" w:hAnsi="仿宋" w:cs="仿宋_GB2312"/>
          <w:bCs/>
          <w:color w:val="auto"/>
          <w:highlight w:val="none"/>
          <w:lang w:val="en-US" w:eastAsia="zh-Hans"/>
        </w:rPr>
        <w:t>持续</w:t>
      </w:r>
      <w:r>
        <w:rPr>
          <w:rFonts w:hint="eastAsia" w:ascii="仿宋" w:hAnsi="仿宋" w:cs="仿宋_GB2312"/>
          <w:bCs/>
          <w:color w:val="auto"/>
          <w:highlight w:val="none"/>
        </w:rPr>
        <w:t>开展“</w:t>
      </w:r>
      <w:r>
        <w:rPr>
          <w:rFonts w:hint="eastAsia" w:ascii="仿宋" w:hAnsi="仿宋" w:cs="仿宋_GB2312"/>
          <w:bCs/>
          <w:color w:val="auto"/>
          <w:highlight w:val="none"/>
          <w:lang w:val="en-US" w:eastAsia="zh-Hans"/>
        </w:rPr>
        <w:t>民生</w:t>
      </w:r>
      <w:r>
        <w:rPr>
          <w:rFonts w:hint="eastAsia" w:ascii="仿宋" w:hAnsi="仿宋" w:cs="仿宋_GB2312"/>
          <w:bCs/>
          <w:color w:val="auto"/>
          <w:highlight w:val="none"/>
        </w:rPr>
        <w:t>保”保险业务，</w:t>
      </w:r>
      <w:r>
        <w:rPr>
          <w:rFonts w:hint="eastAsia" w:ascii="仿宋" w:hAnsi="仿宋" w:cs="仿宋_GB2312"/>
          <w:bCs/>
          <w:color w:val="auto"/>
          <w:highlight w:val="none"/>
          <w:lang w:val="en-US" w:eastAsia="zh-Hans"/>
        </w:rPr>
        <w:t>将住房等家庭财产安全纳入保险</w:t>
      </w:r>
      <w:r>
        <w:rPr>
          <w:rFonts w:hint="eastAsia" w:ascii="仿宋" w:hAnsi="仿宋" w:cs="仿宋_GB2312"/>
          <w:bCs/>
          <w:color w:val="auto"/>
          <w:highlight w:val="none"/>
        </w:rPr>
        <w:t>范围</w:t>
      </w:r>
      <w:r>
        <w:rPr>
          <w:rFonts w:hint="default" w:ascii="仿宋" w:hAnsi="仿宋" w:cs="仿宋_GB2312"/>
          <w:bCs/>
          <w:color w:val="auto"/>
          <w:highlight w:val="none"/>
        </w:rPr>
        <w:t>，</w:t>
      </w:r>
      <w:r>
        <w:rPr>
          <w:rFonts w:hint="eastAsia" w:ascii="仿宋" w:hAnsi="仿宋" w:cs="仿宋_GB2312"/>
          <w:bCs/>
          <w:color w:val="auto"/>
          <w:highlight w:val="none"/>
        </w:rPr>
        <w:t>实现保险政策与巩固拓展脱贫攻坚成果有机结合。鼓励有条件的脱贫地区开展宜居搬迁工程试点。</w:t>
      </w:r>
    </w:p>
    <w:p>
      <w:pPr>
        <w:pStyle w:val="5"/>
        <w:tabs>
          <w:tab w:val="clear" w:pos="0"/>
        </w:tabs>
        <w:suppressAutoHyphens w:val="0"/>
        <w:snapToGrid w:val="0"/>
        <w:spacing w:before="0" w:after="0" w:line="360" w:lineRule="auto"/>
        <w:ind w:firstLine="643" w:firstLineChars="200"/>
        <w:jc w:val="left"/>
        <w:rPr>
          <w:rFonts w:hint="eastAsia" w:ascii="楷体" w:hAnsi="楷体" w:eastAsia="楷体" w:cs="黑体"/>
          <w:bCs w:val="0"/>
          <w:color w:val="auto"/>
          <w:kern w:val="0"/>
          <w:highlight w:val="none"/>
        </w:rPr>
      </w:pPr>
      <w:bookmarkStart w:id="51" w:name="_Toc937"/>
      <w:bookmarkStart w:id="52" w:name="_Toc3434"/>
      <w:bookmarkStart w:id="53" w:name="_Toc28462"/>
      <w:r>
        <w:rPr>
          <w:rFonts w:hint="eastAsia" w:ascii="楷体" w:hAnsi="楷体" w:eastAsia="楷体" w:cs="黑体"/>
          <w:bCs w:val="0"/>
          <w:color w:val="auto"/>
          <w:kern w:val="0"/>
          <w:highlight w:val="none"/>
        </w:rPr>
        <w:t>四、巩固拓展饮水安全成果</w:t>
      </w:r>
      <w:bookmarkEnd w:id="51"/>
      <w:bookmarkEnd w:id="52"/>
      <w:bookmarkEnd w:id="53"/>
    </w:p>
    <w:p>
      <w:pPr>
        <w:keepNext w:val="0"/>
        <w:keepLines w:val="0"/>
        <w:pageBreakBefore w:val="0"/>
        <w:widowControl w:val="0"/>
        <w:kinsoku/>
        <w:wordWrap/>
        <w:overflowPunct/>
        <w:topLinePunct w:val="0"/>
        <w:autoSpaceDE/>
        <w:autoSpaceDN/>
        <w:bidi w:val="0"/>
        <w:adjustRightInd/>
        <w:spacing w:line="360" w:lineRule="auto"/>
        <w:ind w:firstLine="643" w:firstLineChars="200"/>
        <w:textAlignment w:val="auto"/>
        <w:rPr>
          <w:rFonts w:hint="eastAsia" w:ascii="仿宋" w:hAnsi="仿宋" w:cs="仿宋_GB2312"/>
          <w:b/>
          <w:bCs/>
          <w:color w:val="auto"/>
          <w:highlight w:val="none"/>
        </w:rPr>
      </w:pPr>
      <w:r>
        <w:rPr>
          <w:rFonts w:hint="eastAsia" w:ascii="仿宋" w:hAnsi="仿宋" w:cs="仿宋_GB2312"/>
          <w:b/>
          <w:bCs/>
          <w:color w:val="auto"/>
          <w:highlight w:val="none"/>
        </w:rPr>
        <w:t>建立健全农村饮水安全动态监测和应急保障机制</w:t>
      </w:r>
      <w:r>
        <w:rPr>
          <w:rFonts w:hint="eastAsia" w:ascii="仿宋" w:hAnsi="仿宋" w:cs="仿宋_GB2312"/>
          <w:b w:val="0"/>
          <w:bCs w:val="0"/>
          <w:color w:val="auto"/>
          <w:highlight w:val="none"/>
        </w:rPr>
        <w:t>。成立工作领导小组，明确各县（市）级政府、行政主管部门和运行管理单位的责任，完善运行管理机构、管理办法和运行管理经费“三项制度”，抓好“三项制度”落地落实。建立旬、月、季报制度，同时通过微信、QQ等多种形式及时将推进情况进行通报，实时掌握动态，加强督促。加强对脱贫人口的饮水安全状况监测，确保脱贫人口饮水安全。建立完善供水工程管护机制、饮水问题快速发现和响应机制，着力解决季节性缺水及水质提升等问题，实现农村供水问题动态清零。完善乡村供水应急预案、水价水费形成机制和长效运营机制。</w:t>
      </w:r>
    </w:p>
    <w:p>
      <w:pPr>
        <w:keepNext w:val="0"/>
        <w:keepLines w:val="0"/>
        <w:pageBreakBefore w:val="0"/>
        <w:widowControl w:val="0"/>
        <w:kinsoku/>
        <w:wordWrap/>
        <w:overflowPunct/>
        <w:topLinePunct w:val="0"/>
        <w:autoSpaceDE/>
        <w:autoSpaceDN/>
        <w:bidi w:val="0"/>
        <w:adjustRightInd/>
        <w:spacing w:line="360" w:lineRule="auto"/>
        <w:ind w:firstLine="643" w:firstLineChars="200"/>
        <w:textAlignment w:val="auto"/>
        <w:rPr>
          <w:rFonts w:hint="eastAsia"/>
          <w:color w:val="auto"/>
          <w:highlight w:val="none"/>
          <w:lang w:val="en-US" w:eastAsia="zh-CN"/>
        </w:rPr>
      </w:pPr>
      <w:r>
        <w:rPr>
          <w:rFonts w:hint="eastAsia" w:ascii="仿宋" w:hAnsi="仿宋" w:cs="仿宋_GB2312"/>
          <w:b/>
          <w:bCs/>
          <w:color w:val="auto"/>
          <w:highlight w:val="none"/>
        </w:rPr>
        <w:t>实施农村供水保障行动</w:t>
      </w:r>
      <w:r>
        <w:rPr>
          <w:rFonts w:hint="eastAsia" w:ascii="仿宋" w:hAnsi="仿宋" w:cs="仿宋_GB2312"/>
          <w:b w:val="0"/>
          <w:bCs w:val="0"/>
          <w:color w:val="auto"/>
          <w:highlight w:val="none"/>
        </w:rPr>
        <w:t>。坚持“统一规划、完善机制、政府主导、保障安全”工作原则，全面提升农村供水保障水平，守住农村供水安全底线，持续巩固农村饮水安全攻坚成果与乡村振兴有效衔接。合理规划布局水源地，强化水源保护，常态化开展水源地水质监测，完善水质净化和消毒设施设备，不断提升全州农村饮水水质卫生合格率。统筹整合农村供水工程维修养护补助资金等水利发展资金，持续完善农村供水工程设施网络，提高规模化供水工程覆盖农村人口比例。明确工程管护主体和运行管理方式，落实管护责任和经费，确保长期发挥效益。建立健全供水应急保障措施，防止出现规模性饮水安全问题。完善农村供水工程水费收缴机制，加强用水缴费、节约用水宣传，逐步增强有偿用水意识。</w:t>
      </w:r>
    </w:p>
    <w:tbl>
      <w:tblPr>
        <w:tblStyle w:val="25"/>
        <w:tblW w:w="8859"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85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8859" w:type="dxa"/>
            <w:vAlign w:val="center"/>
          </w:tcPr>
          <w:p>
            <w:pPr>
              <w:pStyle w:val="49"/>
              <w:snapToGrid w:val="0"/>
              <w:spacing w:line="500" w:lineRule="exact"/>
              <w:ind w:firstLine="22" w:firstLineChars="0"/>
              <w:jc w:val="center"/>
              <w:rPr>
                <w:rFonts w:ascii="黑体" w:hAnsi="黑体" w:eastAsia="黑体"/>
                <w:b/>
                <w:bCs/>
                <w:color w:val="auto"/>
                <w:sz w:val="28"/>
                <w:szCs w:val="28"/>
                <w:highlight w:val="none"/>
                <w:shd w:val="clear" w:color="auto" w:fill="FFFFFF"/>
              </w:rPr>
            </w:pPr>
            <w:r>
              <w:rPr>
                <w:rFonts w:hint="eastAsia" w:ascii="黑体" w:hAnsi="黑体" w:eastAsia="黑体"/>
                <w:color w:val="auto"/>
                <w:sz w:val="28"/>
                <w:szCs w:val="28"/>
                <w:highlight w:val="none"/>
                <w:shd w:val="clear" w:color="auto" w:fill="FFFFFF"/>
              </w:rPr>
              <w:t>专栏</w:t>
            </w:r>
            <w:r>
              <w:rPr>
                <w:rFonts w:hint="eastAsia" w:ascii="黑体" w:hAnsi="黑体" w:eastAsia="黑体"/>
                <w:color w:val="auto"/>
                <w:sz w:val="28"/>
                <w:szCs w:val="28"/>
                <w:highlight w:val="none"/>
                <w:shd w:val="clear" w:color="auto" w:fill="FFFFFF"/>
                <w:lang w:val="en-US" w:eastAsia="zh-CN"/>
              </w:rPr>
              <w:t>2</w:t>
            </w:r>
            <w:r>
              <w:rPr>
                <w:rFonts w:hint="eastAsia" w:ascii="黑体" w:hAnsi="黑体" w:eastAsia="黑体"/>
                <w:color w:val="auto"/>
                <w:sz w:val="28"/>
                <w:szCs w:val="28"/>
                <w:highlight w:val="none"/>
                <w:shd w:val="clear" w:color="auto" w:fill="FFFFFF"/>
              </w:rPr>
              <w:t xml:space="preserve">  </w:t>
            </w:r>
            <w:r>
              <w:rPr>
                <w:rFonts w:hint="eastAsia" w:ascii="黑体" w:hAnsi="黑体" w:eastAsia="黑体" w:cs="Times New Roman"/>
                <w:bCs w:val="0"/>
                <w:color w:val="auto"/>
                <w:kern w:val="2"/>
                <w:sz w:val="28"/>
                <w:szCs w:val="28"/>
                <w:highlight w:val="none"/>
                <w:shd w:val="clear" w:color="auto" w:fill="FFFFFF"/>
              </w:rPr>
              <w:t>巩固拓展“三保障”和饮水安全成果</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6" w:hRule="atLeast"/>
          <w:jc w:val="center"/>
        </w:trPr>
        <w:tc>
          <w:tcPr>
            <w:tcW w:w="8859" w:type="dxa"/>
            <w:vAlign w:val="center"/>
          </w:tcPr>
          <w:p>
            <w:pPr>
              <w:pStyle w:val="44"/>
              <w:keepNext w:val="0"/>
              <w:keepLines w:val="0"/>
              <w:pageBreakBefore w:val="0"/>
              <w:widowControl w:val="0"/>
              <w:kinsoku/>
              <w:wordWrap/>
              <w:overflowPunct/>
              <w:topLinePunct w:val="0"/>
              <w:autoSpaceDE/>
              <w:autoSpaceDN/>
              <w:bidi w:val="0"/>
              <w:adjustRightInd/>
              <w:snapToGrid w:val="0"/>
              <w:spacing w:line="360" w:lineRule="auto"/>
              <w:ind w:firstLine="562"/>
              <w:textAlignment w:val="auto"/>
              <w:rPr>
                <w:rFonts w:ascii="仿宋" w:hAnsi="仿宋" w:eastAsia="仿宋"/>
                <w:b/>
                <w:color w:val="auto"/>
                <w:sz w:val="28"/>
                <w:szCs w:val="24"/>
                <w:highlight w:val="none"/>
              </w:rPr>
            </w:pPr>
            <w:r>
              <w:rPr>
                <w:rFonts w:hint="eastAsia" w:ascii="仿宋" w:hAnsi="仿宋" w:eastAsia="仿宋"/>
                <w:b/>
                <w:color w:val="auto"/>
                <w:sz w:val="28"/>
                <w:szCs w:val="24"/>
                <w:highlight w:val="none"/>
              </w:rPr>
              <w:t>01.巩固拓展教育</w:t>
            </w:r>
            <w:r>
              <w:rPr>
                <w:rFonts w:hint="eastAsia" w:ascii="仿宋" w:hAnsi="仿宋" w:eastAsia="仿宋"/>
                <w:b/>
                <w:color w:val="auto"/>
                <w:sz w:val="28"/>
                <w:szCs w:val="24"/>
                <w:highlight w:val="none"/>
                <w:lang w:val="en-US" w:eastAsia="zh-CN"/>
              </w:rPr>
              <w:t>脱贫</w:t>
            </w:r>
            <w:r>
              <w:rPr>
                <w:rFonts w:hint="eastAsia" w:ascii="仿宋" w:hAnsi="仿宋" w:eastAsia="仿宋"/>
                <w:b/>
                <w:color w:val="auto"/>
                <w:sz w:val="28"/>
                <w:szCs w:val="24"/>
                <w:highlight w:val="none"/>
              </w:rPr>
              <w:t>成果</w:t>
            </w:r>
          </w:p>
          <w:p>
            <w:pPr>
              <w:pStyle w:val="44"/>
              <w:keepNext w:val="0"/>
              <w:keepLines w:val="0"/>
              <w:pageBreakBefore w:val="0"/>
              <w:widowControl w:val="0"/>
              <w:kinsoku/>
              <w:wordWrap/>
              <w:overflowPunct/>
              <w:topLinePunct w:val="0"/>
              <w:autoSpaceDE/>
              <w:autoSpaceDN/>
              <w:bidi w:val="0"/>
              <w:adjustRightInd/>
              <w:snapToGrid w:val="0"/>
              <w:spacing w:line="360" w:lineRule="auto"/>
              <w:ind w:firstLine="560"/>
              <w:textAlignment w:val="auto"/>
              <w:rPr>
                <w:rFonts w:hint="default" w:ascii="仿宋" w:hAnsi="仿宋" w:eastAsia="仿宋"/>
                <w:bCs/>
                <w:color w:val="auto"/>
                <w:sz w:val="28"/>
                <w:szCs w:val="24"/>
                <w:highlight w:val="none"/>
                <w:lang w:eastAsia="zh-Hans"/>
              </w:rPr>
            </w:pPr>
            <w:r>
              <w:rPr>
                <w:rFonts w:hint="eastAsia" w:ascii="仿宋" w:hAnsi="仿宋" w:eastAsia="仿宋"/>
                <w:bCs/>
                <w:color w:val="auto"/>
                <w:sz w:val="28"/>
                <w:szCs w:val="24"/>
                <w:highlight w:val="none"/>
              </w:rPr>
              <w:t>继续实施义务教育薄弱环节改善与能力提升</w:t>
            </w:r>
            <w:r>
              <w:rPr>
                <w:rFonts w:hint="eastAsia" w:ascii="仿宋" w:hAnsi="仿宋" w:eastAsia="仿宋"/>
                <w:bCs/>
                <w:color w:val="auto"/>
                <w:sz w:val="28"/>
                <w:szCs w:val="24"/>
                <w:highlight w:val="none"/>
                <w:lang w:val="en-US" w:eastAsia="zh-Hans"/>
              </w:rPr>
              <w:t>工程</w:t>
            </w:r>
            <w:r>
              <w:rPr>
                <w:rFonts w:hint="default" w:ascii="仿宋" w:hAnsi="仿宋" w:eastAsia="仿宋"/>
                <w:bCs/>
                <w:color w:val="auto"/>
                <w:sz w:val="28"/>
                <w:szCs w:val="24"/>
                <w:highlight w:val="none"/>
                <w:lang w:eastAsia="zh-Hans"/>
              </w:rPr>
              <w:t>，</w:t>
            </w:r>
            <w:r>
              <w:rPr>
                <w:rFonts w:hint="eastAsia" w:ascii="仿宋" w:hAnsi="仿宋" w:eastAsia="仿宋"/>
                <w:bCs/>
                <w:color w:val="auto"/>
                <w:sz w:val="28"/>
                <w:szCs w:val="24"/>
                <w:highlight w:val="none"/>
                <w:lang w:val="en-US" w:eastAsia="zh-Hans"/>
              </w:rPr>
              <w:t>加强义务教育学校改善和乡村寄宿制校舍建设</w:t>
            </w:r>
            <w:r>
              <w:rPr>
                <w:rFonts w:hint="eastAsia" w:ascii="仿宋" w:hAnsi="仿宋" w:eastAsia="仿宋"/>
                <w:bCs/>
                <w:color w:val="auto"/>
                <w:sz w:val="28"/>
                <w:szCs w:val="24"/>
                <w:highlight w:val="none"/>
              </w:rPr>
              <w:t>，大力实施教育发展项目。</w:t>
            </w:r>
            <w:r>
              <w:rPr>
                <w:rFonts w:hint="eastAsia" w:ascii="仿宋" w:hAnsi="仿宋" w:eastAsia="仿宋"/>
                <w:bCs/>
                <w:color w:val="auto"/>
                <w:sz w:val="28"/>
                <w:szCs w:val="24"/>
                <w:highlight w:val="none"/>
                <w:lang w:val="en-US" w:eastAsia="zh-Hans"/>
              </w:rPr>
              <w:t>实施</w:t>
            </w:r>
            <w:r>
              <w:rPr>
                <w:rFonts w:hint="eastAsia" w:ascii="仿宋" w:hAnsi="仿宋" w:eastAsia="仿宋"/>
                <w:bCs/>
                <w:color w:val="auto"/>
                <w:sz w:val="28"/>
                <w:szCs w:val="24"/>
                <w:highlight w:val="none"/>
              </w:rPr>
              <w:t>优质学校结对帮扶民族地区中小学校</w:t>
            </w:r>
            <w:r>
              <w:rPr>
                <w:rFonts w:hint="default" w:ascii="仿宋" w:hAnsi="仿宋" w:eastAsia="仿宋"/>
                <w:bCs/>
                <w:color w:val="auto"/>
                <w:sz w:val="28"/>
                <w:szCs w:val="24"/>
                <w:highlight w:val="none"/>
              </w:rPr>
              <w:t>，</w:t>
            </w:r>
            <w:r>
              <w:rPr>
                <w:rFonts w:hint="eastAsia" w:ascii="仿宋" w:hAnsi="仿宋" w:eastAsia="仿宋"/>
                <w:bCs/>
                <w:color w:val="auto"/>
                <w:sz w:val="28"/>
                <w:szCs w:val="24"/>
                <w:highlight w:val="none"/>
                <w:lang w:val="en-US" w:eastAsia="zh-Hans"/>
              </w:rPr>
              <w:t>实现教育教学资源共享</w:t>
            </w:r>
            <w:r>
              <w:rPr>
                <w:rFonts w:hint="default" w:ascii="仿宋" w:hAnsi="仿宋" w:eastAsia="仿宋"/>
                <w:bCs/>
                <w:color w:val="auto"/>
                <w:sz w:val="28"/>
                <w:szCs w:val="24"/>
                <w:highlight w:val="none"/>
                <w:lang w:eastAsia="zh-Hans"/>
              </w:rPr>
              <w:t>。</w:t>
            </w:r>
            <w:r>
              <w:rPr>
                <w:rFonts w:hint="eastAsia" w:ascii="仿宋" w:hAnsi="仿宋" w:eastAsia="仿宋"/>
                <w:bCs/>
                <w:color w:val="auto"/>
                <w:sz w:val="28"/>
                <w:szCs w:val="24"/>
                <w:highlight w:val="none"/>
                <w:lang w:val="en-US" w:eastAsia="zh-Hans"/>
              </w:rPr>
              <w:t>继续实施农村义务教育学生营养改善计划</w:t>
            </w:r>
            <w:r>
              <w:rPr>
                <w:rFonts w:hint="default" w:ascii="仿宋" w:hAnsi="仿宋" w:eastAsia="仿宋"/>
                <w:bCs/>
                <w:color w:val="auto"/>
                <w:sz w:val="28"/>
                <w:szCs w:val="24"/>
                <w:highlight w:val="none"/>
                <w:lang w:eastAsia="zh-Hans"/>
              </w:rPr>
              <w:t>，</w:t>
            </w:r>
            <w:r>
              <w:rPr>
                <w:rFonts w:hint="eastAsia" w:ascii="仿宋" w:hAnsi="仿宋" w:eastAsia="仿宋"/>
                <w:bCs/>
                <w:color w:val="auto"/>
                <w:sz w:val="28"/>
                <w:szCs w:val="24"/>
                <w:highlight w:val="none"/>
                <w:lang w:val="en-US" w:eastAsia="zh-Hans"/>
              </w:rPr>
              <w:t>改善学生营养健康状况</w:t>
            </w:r>
            <w:r>
              <w:rPr>
                <w:rFonts w:hint="default" w:ascii="仿宋" w:hAnsi="仿宋" w:eastAsia="仿宋"/>
                <w:bCs/>
                <w:color w:val="auto"/>
                <w:sz w:val="28"/>
                <w:szCs w:val="24"/>
                <w:highlight w:val="none"/>
                <w:lang w:eastAsia="zh-Hans"/>
              </w:rPr>
              <w:t>。</w:t>
            </w:r>
          </w:p>
          <w:p>
            <w:pPr>
              <w:keepNext w:val="0"/>
              <w:keepLines w:val="0"/>
              <w:pageBreakBefore w:val="0"/>
              <w:widowControl w:val="0"/>
              <w:kinsoku/>
              <w:wordWrap/>
              <w:overflowPunct/>
              <w:topLinePunct w:val="0"/>
              <w:autoSpaceDE/>
              <w:autoSpaceDN/>
              <w:bidi w:val="0"/>
              <w:adjustRightInd/>
              <w:spacing w:line="360" w:lineRule="auto"/>
              <w:ind w:firstLine="562" w:firstLineChars="200"/>
              <w:textAlignment w:val="auto"/>
              <w:rPr>
                <w:rFonts w:ascii="仿宋" w:hAnsi="仿宋"/>
                <w:b/>
                <w:bCs/>
                <w:color w:val="auto"/>
                <w:sz w:val="28"/>
                <w:highlight w:val="none"/>
              </w:rPr>
            </w:pPr>
            <w:r>
              <w:rPr>
                <w:rFonts w:hint="eastAsia" w:ascii="仿宋" w:hAnsi="仿宋"/>
                <w:b/>
                <w:bCs/>
                <w:color w:val="auto"/>
                <w:sz w:val="28"/>
                <w:highlight w:val="none"/>
              </w:rPr>
              <w:t>02.巩固拓展基本医疗成果</w:t>
            </w:r>
          </w:p>
          <w:p>
            <w:pPr>
              <w:pStyle w:val="44"/>
              <w:keepNext w:val="0"/>
              <w:keepLines w:val="0"/>
              <w:pageBreakBefore w:val="0"/>
              <w:widowControl w:val="0"/>
              <w:kinsoku/>
              <w:wordWrap/>
              <w:overflowPunct/>
              <w:topLinePunct w:val="0"/>
              <w:autoSpaceDE/>
              <w:autoSpaceDN/>
              <w:bidi w:val="0"/>
              <w:adjustRightInd/>
              <w:snapToGrid w:val="0"/>
              <w:spacing w:line="360" w:lineRule="auto"/>
              <w:ind w:firstLine="560"/>
              <w:textAlignment w:val="auto"/>
              <w:rPr>
                <w:rFonts w:ascii="仿宋" w:hAnsi="仿宋" w:eastAsia="仿宋"/>
                <w:bCs/>
                <w:color w:val="auto"/>
                <w:sz w:val="28"/>
                <w:szCs w:val="24"/>
                <w:highlight w:val="none"/>
              </w:rPr>
            </w:pPr>
            <w:r>
              <w:rPr>
                <w:rFonts w:hint="eastAsia" w:ascii="仿宋" w:hAnsi="仿宋" w:eastAsia="仿宋"/>
                <w:bCs/>
                <w:color w:val="auto"/>
                <w:sz w:val="28"/>
                <w:szCs w:val="24"/>
                <w:highlight w:val="none"/>
              </w:rPr>
              <w:t>建设南北路区域医疗中心、片区卫生检验检测中心、甘孜新区医疗综合体、</w:t>
            </w:r>
            <w:r>
              <w:rPr>
                <w:rFonts w:hint="eastAsia" w:ascii="仿宋" w:hAnsi="仿宋" w:eastAsia="仿宋"/>
                <w:bCs/>
                <w:color w:val="auto"/>
                <w:sz w:val="28"/>
                <w:szCs w:val="24"/>
                <w:highlight w:val="none"/>
                <w:lang w:eastAsia="zh-CN"/>
              </w:rPr>
              <w:t>泸定</w:t>
            </w:r>
            <w:r>
              <w:rPr>
                <w:rFonts w:hint="eastAsia" w:ascii="仿宋" w:hAnsi="仿宋" w:eastAsia="仿宋"/>
                <w:bCs/>
                <w:color w:val="auto"/>
                <w:sz w:val="28"/>
                <w:szCs w:val="24"/>
                <w:highlight w:val="none"/>
              </w:rPr>
              <w:t>新城南派藏医药传承基地，以中心带动全州18个县（市）医疗服务能力提升；建设22个县域医疗卫生次中心</w:t>
            </w:r>
            <w:r>
              <w:rPr>
                <w:rFonts w:hint="eastAsia" w:ascii="仿宋" w:hAnsi="仿宋" w:eastAsia="仿宋"/>
                <w:bCs/>
                <w:color w:val="auto"/>
                <w:sz w:val="28"/>
                <w:szCs w:val="24"/>
                <w:highlight w:val="none"/>
                <w:lang w:eastAsia="zh-CN"/>
              </w:rPr>
              <w:t>。</w:t>
            </w:r>
            <w:r>
              <w:rPr>
                <w:rFonts w:hint="eastAsia" w:ascii="仿宋" w:hAnsi="仿宋" w:eastAsia="仿宋"/>
                <w:bCs/>
                <w:color w:val="auto"/>
                <w:sz w:val="28"/>
                <w:szCs w:val="24"/>
                <w:highlight w:val="none"/>
              </w:rPr>
              <w:t>对相对贫困人口及监测对象做好家庭医生签约服务应签尽签，重点做好在家的已签约对象中高血压、糖尿病、结核病、严重精神障碍四种慢性病患者的健康服务，全年随访不少于4次。</w:t>
            </w:r>
          </w:p>
          <w:p>
            <w:pPr>
              <w:pStyle w:val="44"/>
              <w:keepNext w:val="0"/>
              <w:keepLines w:val="0"/>
              <w:pageBreakBefore w:val="0"/>
              <w:widowControl w:val="0"/>
              <w:kinsoku/>
              <w:wordWrap/>
              <w:overflowPunct/>
              <w:topLinePunct w:val="0"/>
              <w:autoSpaceDE/>
              <w:autoSpaceDN/>
              <w:bidi w:val="0"/>
              <w:adjustRightInd/>
              <w:snapToGrid w:val="0"/>
              <w:spacing w:line="360" w:lineRule="auto"/>
              <w:ind w:firstLine="562"/>
              <w:textAlignment w:val="auto"/>
              <w:rPr>
                <w:rFonts w:ascii="仿宋" w:hAnsi="仿宋" w:eastAsia="仿宋"/>
                <w:b/>
                <w:color w:val="auto"/>
                <w:sz w:val="28"/>
                <w:szCs w:val="24"/>
                <w:highlight w:val="none"/>
              </w:rPr>
            </w:pPr>
            <w:r>
              <w:rPr>
                <w:rFonts w:hint="eastAsia" w:ascii="仿宋" w:hAnsi="仿宋" w:eastAsia="仿宋"/>
                <w:b/>
                <w:color w:val="auto"/>
                <w:sz w:val="28"/>
                <w:szCs w:val="24"/>
                <w:highlight w:val="none"/>
              </w:rPr>
              <w:t>03.巩固拓展住房安全成果</w:t>
            </w:r>
          </w:p>
          <w:p>
            <w:pPr>
              <w:pStyle w:val="44"/>
              <w:keepNext w:val="0"/>
              <w:keepLines w:val="0"/>
              <w:pageBreakBefore w:val="0"/>
              <w:widowControl w:val="0"/>
              <w:kinsoku/>
              <w:wordWrap/>
              <w:overflowPunct/>
              <w:topLinePunct w:val="0"/>
              <w:autoSpaceDE/>
              <w:autoSpaceDN/>
              <w:bidi w:val="0"/>
              <w:adjustRightInd/>
              <w:snapToGrid w:val="0"/>
              <w:spacing w:line="360" w:lineRule="auto"/>
              <w:ind w:firstLine="560"/>
              <w:textAlignment w:val="auto"/>
              <w:rPr>
                <w:rFonts w:hint="eastAsia" w:ascii="仿宋" w:hAnsi="仿宋" w:eastAsia="仿宋"/>
                <w:bCs/>
                <w:color w:val="auto"/>
                <w:sz w:val="28"/>
                <w:szCs w:val="24"/>
                <w:highlight w:val="none"/>
                <w:lang w:val="en-US" w:eastAsia="zh-CN"/>
              </w:rPr>
            </w:pPr>
            <w:r>
              <w:rPr>
                <w:rFonts w:hint="eastAsia" w:ascii="仿宋" w:hAnsi="仿宋" w:eastAsia="仿宋"/>
                <w:bCs/>
                <w:color w:val="auto"/>
                <w:sz w:val="28"/>
                <w:szCs w:val="24"/>
                <w:highlight w:val="none"/>
              </w:rPr>
              <w:t>支持</w:t>
            </w:r>
            <w:r>
              <w:rPr>
                <w:rFonts w:hint="eastAsia" w:ascii="仿宋" w:hAnsi="仿宋" w:eastAsia="仿宋"/>
                <w:bCs/>
                <w:color w:val="auto"/>
                <w:sz w:val="28"/>
                <w:szCs w:val="24"/>
                <w:highlight w:val="none"/>
                <w:lang w:val="en-US" w:eastAsia="zh-CN"/>
              </w:rPr>
              <w:t>各</w:t>
            </w:r>
            <w:r>
              <w:rPr>
                <w:rFonts w:hint="eastAsia" w:ascii="仿宋" w:hAnsi="仿宋" w:eastAsia="仿宋"/>
                <w:bCs/>
                <w:color w:val="auto"/>
                <w:sz w:val="28"/>
                <w:szCs w:val="24"/>
                <w:highlight w:val="none"/>
              </w:rPr>
              <w:t>县</w:t>
            </w:r>
            <w:r>
              <w:rPr>
                <w:rFonts w:hint="eastAsia" w:ascii="仿宋" w:hAnsi="仿宋" w:eastAsia="仿宋"/>
                <w:bCs/>
                <w:color w:val="auto"/>
                <w:sz w:val="28"/>
                <w:szCs w:val="24"/>
                <w:highlight w:val="none"/>
                <w:lang w:eastAsia="zh-CN"/>
              </w:rPr>
              <w:t>（</w:t>
            </w:r>
            <w:r>
              <w:rPr>
                <w:rFonts w:hint="eastAsia" w:ascii="仿宋" w:hAnsi="仿宋" w:eastAsia="仿宋"/>
                <w:bCs/>
                <w:color w:val="auto"/>
                <w:sz w:val="28"/>
                <w:szCs w:val="24"/>
                <w:highlight w:val="none"/>
                <w:lang w:val="en-US" w:eastAsia="zh-CN"/>
              </w:rPr>
              <w:t>市</w:t>
            </w:r>
            <w:r>
              <w:rPr>
                <w:rFonts w:hint="eastAsia" w:ascii="仿宋" w:hAnsi="仿宋" w:eastAsia="仿宋"/>
                <w:bCs/>
                <w:color w:val="auto"/>
                <w:sz w:val="28"/>
                <w:szCs w:val="24"/>
                <w:highlight w:val="none"/>
                <w:lang w:eastAsia="zh-CN"/>
              </w:rPr>
              <w:t>）</w:t>
            </w:r>
            <w:r>
              <w:rPr>
                <w:rFonts w:hint="eastAsia" w:ascii="仿宋" w:hAnsi="仿宋" w:eastAsia="仿宋"/>
                <w:bCs/>
                <w:color w:val="auto"/>
                <w:sz w:val="28"/>
                <w:szCs w:val="24"/>
                <w:highlight w:val="none"/>
                <w:lang w:val="en-US" w:eastAsia="zh-CN"/>
              </w:rPr>
              <w:t>根据摸底情况</w:t>
            </w:r>
            <w:r>
              <w:rPr>
                <w:rFonts w:hint="eastAsia" w:ascii="仿宋" w:hAnsi="仿宋" w:eastAsia="仿宋"/>
                <w:bCs/>
                <w:color w:val="auto"/>
                <w:sz w:val="28"/>
                <w:szCs w:val="24"/>
                <w:highlight w:val="none"/>
              </w:rPr>
              <w:t>实施</w:t>
            </w:r>
            <w:r>
              <w:rPr>
                <w:rFonts w:hint="eastAsia" w:ascii="仿宋" w:hAnsi="仿宋" w:eastAsia="仿宋"/>
                <w:bCs/>
                <w:color w:val="auto"/>
                <w:sz w:val="28"/>
                <w:szCs w:val="24"/>
                <w:highlight w:val="none"/>
                <w:lang w:val="en-US" w:eastAsia="zh-CN"/>
              </w:rPr>
              <w:t>农村低收入群体等重点对象</w:t>
            </w:r>
            <w:r>
              <w:rPr>
                <w:rFonts w:hint="eastAsia" w:ascii="仿宋" w:hAnsi="仿宋" w:eastAsia="仿宋"/>
                <w:bCs/>
                <w:color w:val="auto"/>
                <w:sz w:val="28"/>
                <w:szCs w:val="24"/>
                <w:highlight w:val="none"/>
              </w:rPr>
              <w:t>C级和D级危房改造和地质灾害隐患农户搬迁，</w:t>
            </w:r>
            <w:r>
              <w:rPr>
                <w:rFonts w:hint="eastAsia" w:ascii="仿宋" w:hAnsi="仿宋" w:eastAsia="仿宋"/>
                <w:bCs/>
                <w:color w:val="auto"/>
                <w:sz w:val="28"/>
                <w:szCs w:val="24"/>
                <w:highlight w:val="none"/>
                <w:lang w:val="en-US" w:eastAsia="zh-Hans"/>
              </w:rPr>
              <w:t>支持</w:t>
            </w:r>
            <w:r>
              <w:rPr>
                <w:rFonts w:hint="eastAsia" w:ascii="仿宋" w:hAnsi="仿宋" w:eastAsia="仿宋"/>
                <w:bCs/>
                <w:color w:val="auto"/>
                <w:sz w:val="28"/>
                <w:szCs w:val="24"/>
                <w:highlight w:val="none"/>
              </w:rPr>
              <w:t>地震高烈度设防地区农房抗震改造</w:t>
            </w:r>
            <w:r>
              <w:rPr>
                <w:rFonts w:hint="default" w:ascii="仿宋" w:hAnsi="仿宋" w:eastAsia="仿宋"/>
                <w:bCs/>
                <w:color w:val="auto"/>
                <w:sz w:val="28"/>
                <w:szCs w:val="24"/>
                <w:highlight w:val="none"/>
              </w:rPr>
              <w:t>，</w:t>
            </w:r>
            <w:r>
              <w:rPr>
                <w:rFonts w:hint="eastAsia" w:ascii="仿宋" w:hAnsi="仿宋" w:eastAsia="仿宋"/>
                <w:bCs/>
                <w:color w:val="auto"/>
                <w:sz w:val="28"/>
                <w:szCs w:val="24"/>
                <w:highlight w:val="none"/>
              </w:rPr>
              <w:t>加强综合防灾减灾能力建设。</w:t>
            </w:r>
            <w:r>
              <w:rPr>
                <w:rFonts w:hint="eastAsia" w:ascii="仿宋" w:hAnsi="仿宋" w:eastAsia="仿宋"/>
                <w:bCs/>
                <w:color w:val="auto"/>
                <w:sz w:val="28"/>
                <w:szCs w:val="24"/>
                <w:highlight w:val="none"/>
                <w:lang w:val="en-US" w:eastAsia="zh-CN"/>
              </w:rPr>
              <w:t>推进</w:t>
            </w:r>
            <w:r>
              <w:rPr>
                <w:rFonts w:hint="eastAsia" w:ascii="仿宋" w:hAnsi="仿宋" w:eastAsia="仿宋"/>
                <w:bCs/>
                <w:color w:val="auto"/>
                <w:sz w:val="28"/>
                <w:szCs w:val="24"/>
                <w:highlight w:val="none"/>
              </w:rPr>
              <w:t>监测户脱贫户住房条件改善项目</w:t>
            </w:r>
            <w:r>
              <w:rPr>
                <w:rFonts w:hint="eastAsia" w:ascii="仿宋" w:hAnsi="仿宋" w:eastAsia="仿宋"/>
                <w:bCs/>
                <w:color w:val="auto"/>
                <w:sz w:val="28"/>
                <w:szCs w:val="24"/>
                <w:highlight w:val="none"/>
                <w:lang w:val="en-US" w:eastAsia="zh-CN"/>
              </w:rPr>
              <w:t>实施。</w:t>
            </w:r>
          </w:p>
          <w:p>
            <w:pPr>
              <w:pStyle w:val="44"/>
              <w:keepNext w:val="0"/>
              <w:keepLines w:val="0"/>
              <w:pageBreakBefore w:val="0"/>
              <w:widowControl w:val="0"/>
              <w:kinsoku/>
              <w:wordWrap/>
              <w:overflowPunct/>
              <w:topLinePunct w:val="0"/>
              <w:autoSpaceDE/>
              <w:autoSpaceDN/>
              <w:bidi w:val="0"/>
              <w:adjustRightInd/>
              <w:snapToGrid w:val="0"/>
              <w:spacing w:line="360" w:lineRule="auto"/>
              <w:ind w:firstLine="560"/>
              <w:textAlignment w:val="auto"/>
              <w:rPr>
                <w:rFonts w:hint="eastAsia" w:ascii="仿宋" w:hAnsi="仿宋" w:eastAsia="仿宋"/>
                <w:b/>
                <w:color w:val="auto"/>
                <w:sz w:val="28"/>
                <w:szCs w:val="24"/>
                <w:highlight w:val="none"/>
                <w:lang w:val="en-US" w:eastAsia="zh-CN"/>
              </w:rPr>
            </w:pPr>
            <w:r>
              <w:rPr>
                <w:rFonts w:hint="eastAsia" w:ascii="仿宋" w:hAnsi="仿宋" w:eastAsia="仿宋"/>
                <w:b/>
                <w:color w:val="auto"/>
                <w:sz w:val="28"/>
                <w:szCs w:val="24"/>
                <w:highlight w:val="none"/>
                <w:lang w:val="en-US" w:eastAsia="zh-CN"/>
              </w:rPr>
              <w:t>04.巩固拓展饮水安全成果</w:t>
            </w:r>
          </w:p>
          <w:p>
            <w:pPr>
              <w:pStyle w:val="44"/>
              <w:keepNext w:val="0"/>
              <w:keepLines w:val="0"/>
              <w:pageBreakBefore w:val="0"/>
              <w:widowControl w:val="0"/>
              <w:kinsoku/>
              <w:wordWrap/>
              <w:overflowPunct/>
              <w:topLinePunct w:val="0"/>
              <w:autoSpaceDE/>
              <w:autoSpaceDN/>
              <w:bidi w:val="0"/>
              <w:adjustRightInd/>
              <w:snapToGrid w:val="0"/>
              <w:spacing w:line="360" w:lineRule="auto"/>
              <w:ind w:firstLine="560"/>
              <w:textAlignment w:val="auto"/>
              <w:rPr>
                <w:rFonts w:hint="default" w:ascii="仿宋" w:hAnsi="仿宋" w:eastAsia="仿宋"/>
                <w:b/>
                <w:color w:val="auto"/>
                <w:sz w:val="28"/>
                <w:szCs w:val="24"/>
                <w:highlight w:val="none"/>
                <w:lang w:val="en-US" w:eastAsia="zh-CN"/>
              </w:rPr>
            </w:pPr>
            <w:r>
              <w:rPr>
                <w:rFonts w:hint="eastAsia" w:ascii="仿宋" w:hAnsi="仿宋" w:eastAsia="仿宋"/>
                <w:bCs/>
                <w:color w:val="auto"/>
                <w:sz w:val="28"/>
                <w:szCs w:val="24"/>
                <w:highlight w:val="none"/>
              </w:rPr>
              <w:t>不断提升全州农村饮水水质卫生合格率，2022年合格率达到90%，2023年合格率达到92%，2024年合格率达到93.5%，2025年合格率达到95%以上。稳步提升全州农村供水入户率，2022年入户率达到83.5%，2023年入户率达到84%，2024年达到入户率84.5%，2025年入户率达到85%。</w:t>
            </w:r>
          </w:p>
        </w:tc>
      </w:tr>
    </w:tbl>
    <w:p>
      <w:pPr>
        <w:pStyle w:val="10"/>
        <w:ind w:left="0" w:leftChars="0" w:firstLine="0" w:firstLineChars="0"/>
        <w:rPr>
          <w:rFonts w:hint="default"/>
          <w:color w:val="auto"/>
          <w:lang w:val="en-US" w:eastAsia="zh-CN"/>
        </w:rPr>
      </w:pPr>
    </w:p>
    <w:p>
      <w:pPr>
        <w:rPr>
          <w:rFonts w:hint="eastAsia" w:ascii="黑体" w:hAnsi="黑体" w:eastAsia="黑体"/>
          <w:b w:val="0"/>
          <w:bCs w:val="0"/>
          <w:color w:val="auto"/>
          <w:kern w:val="2"/>
          <w:sz w:val="32"/>
          <w:szCs w:val="32"/>
          <w:highlight w:val="none"/>
        </w:rPr>
      </w:pPr>
      <w:r>
        <w:rPr>
          <w:rFonts w:hint="eastAsia" w:ascii="楷体" w:hAnsi="楷体" w:eastAsia="楷体" w:cs="楷体_GB2312"/>
          <w:color w:val="auto"/>
          <w:highlight w:val="none"/>
          <w:lang w:val="en-US" w:eastAsia="zh-CN"/>
        </w:rPr>
        <w:br w:type="page"/>
      </w:r>
    </w:p>
    <w:p>
      <w:pPr>
        <w:pStyle w:val="4"/>
        <w:tabs>
          <w:tab w:val="clear" w:pos="0"/>
        </w:tabs>
        <w:suppressAutoHyphens w:val="0"/>
        <w:spacing w:after="240" w:line="578" w:lineRule="auto"/>
        <w:jc w:val="center"/>
        <w:rPr>
          <w:rFonts w:hint="eastAsia" w:ascii="黑体" w:hAnsi="黑体" w:eastAsia="黑体"/>
          <w:b w:val="0"/>
          <w:bCs w:val="0"/>
          <w:color w:val="auto"/>
          <w:kern w:val="2"/>
          <w:sz w:val="32"/>
          <w:szCs w:val="32"/>
          <w:highlight w:val="none"/>
        </w:rPr>
      </w:pPr>
      <w:bookmarkStart w:id="54" w:name="_Toc23000"/>
      <w:bookmarkStart w:id="55" w:name="_Toc18606"/>
      <w:bookmarkStart w:id="56" w:name="_Toc8938"/>
      <w:r>
        <w:rPr>
          <w:rFonts w:hint="eastAsia" w:ascii="黑体" w:hAnsi="黑体" w:eastAsia="黑体"/>
          <w:b w:val="0"/>
          <w:bCs w:val="0"/>
          <w:color w:val="auto"/>
          <w:kern w:val="2"/>
          <w:sz w:val="32"/>
          <w:szCs w:val="32"/>
          <w:highlight w:val="none"/>
        </w:rPr>
        <w:t>第五章  强化易地扶贫搬迁后续扶持</w:t>
      </w:r>
      <w:bookmarkEnd w:id="54"/>
      <w:bookmarkEnd w:id="55"/>
      <w:bookmarkEnd w:id="56"/>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rPr>
          <w:rFonts w:hint="default" w:ascii="仿宋" w:hAnsi="仿宋" w:cs="仿宋_GB2312"/>
          <w:bCs/>
          <w:color w:val="auto"/>
          <w:highlight w:val="none"/>
          <w:lang w:val="en-US" w:eastAsia="zh-CN"/>
        </w:rPr>
      </w:pPr>
      <w:bookmarkStart w:id="57" w:name="_Toc3948"/>
      <w:r>
        <w:rPr>
          <w:rFonts w:hint="eastAsia" w:ascii="仿宋" w:hAnsi="仿宋" w:cs="仿宋_GB2312"/>
          <w:bCs/>
          <w:color w:val="auto"/>
          <w:highlight w:val="none"/>
          <w:lang w:val="en-US" w:eastAsia="zh-CN"/>
        </w:rPr>
        <w:t>落实州、县（市）领导联系指导全州69个易地扶贫搬迁安置点制度，着力抓好易地搬迁后续扶持，分类开展精准帮扶。切实加强搬迁群众就业帮扶，抓好安置点产业发展，拓展安置点群众增收渠道，补齐配套基础设施和公共服务短板，为安置点群众提供便利生活服务，深入推进易地扶贫搬迁安置点乡村治理专项行动，同步推进掉边掉角搬迁户的后续发展和权益保护，全面推进社会融入，实现搬迁群众“有就业、能致富、快融入”目标。</w:t>
      </w:r>
    </w:p>
    <w:p>
      <w:pPr>
        <w:pStyle w:val="5"/>
        <w:tabs>
          <w:tab w:val="clear" w:pos="0"/>
        </w:tabs>
        <w:suppressAutoHyphens w:val="0"/>
        <w:snapToGrid w:val="0"/>
        <w:spacing w:before="0" w:after="0" w:line="360" w:lineRule="auto"/>
        <w:ind w:firstLine="643" w:firstLineChars="200"/>
        <w:jc w:val="left"/>
        <w:rPr>
          <w:rFonts w:hint="default" w:ascii="楷体" w:hAnsi="楷体" w:eastAsia="楷体" w:cs="黑体"/>
          <w:bCs w:val="0"/>
          <w:color w:val="auto"/>
          <w:kern w:val="0"/>
          <w:highlight w:val="none"/>
          <w:lang w:val="en-US" w:eastAsia="zh-CN"/>
        </w:rPr>
      </w:pPr>
      <w:bookmarkStart w:id="58" w:name="_Toc24516"/>
      <w:bookmarkStart w:id="59" w:name="_Toc12929"/>
      <w:bookmarkStart w:id="60" w:name="_Toc19554"/>
      <w:bookmarkStart w:id="61" w:name="_Toc22325"/>
      <w:bookmarkStart w:id="62" w:name="_Toc9423"/>
      <w:bookmarkStart w:id="63" w:name="_Toc28729"/>
      <w:r>
        <w:rPr>
          <w:rFonts w:hint="eastAsia" w:ascii="楷体" w:hAnsi="楷体" w:eastAsia="楷体" w:cs="黑体"/>
          <w:bCs w:val="0"/>
          <w:color w:val="auto"/>
          <w:kern w:val="0"/>
          <w:highlight w:val="none"/>
          <w:lang w:val="en-US" w:eastAsia="zh-CN"/>
        </w:rPr>
        <w:t>一、加强易地扶贫搬迁群众就业</w:t>
      </w:r>
      <w:bookmarkEnd w:id="58"/>
      <w:bookmarkEnd w:id="59"/>
      <w:bookmarkEnd w:id="60"/>
      <w:r>
        <w:rPr>
          <w:rFonts w:hint="eastAsia" w:ascii="楷体" w:hAnsi="楷体" w:eastAsia="楷体" w:cs="黑体"/>
          <w:bCs w:val="0"/>
          <w:color w:val="auto"/>
          <w:kern w:val="0"/>
          <w:highlight w:val="none"/>
          <w:lang w:val="en-US" w:eastAsia="zh-CN"/>
        </w:rPr>
        <w:t>帮扶</w:t>
      </w:r>
      <w:bookmarkEnd w:id="61"/>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rPr>
          <w:rFonts w:hint="eastAsia" w:ascii="仿宋" w:hAnsi="仿宋" w:eastAsia="仿宋" w:cs="仿宋_GB2312"/>
          <w:bCs/>
          <w:color w:val="auto"/>
          <w:highlight w:val="none"/>
          <w:lang w:eastAsia="zh-CN"/>
        </w:rPr>
      </w:pPr>
      <w:bookmarkStart w:id="64" w:name="_Toc62661915"/>
      <w:r>
        <w:rPr>
          <w:rFonts w:hint="eastAsia" w:ascii="仿宋" w:hAnsi="仿宋" w:cs="仿宋_GB2312"/>
          <w:bCs/>
          <w:color w:val="auto"/>
          <w:highlight w:val="none"/>
        </w:rPr>
        <w:t>实施就业协作帮扶专项行动，按照当地产业发展方向和基础设施</w:t>
      </w:r>
      <w:r>
        <w:rPr>
          <w:rFonts w:hint="eastAsia" w:ascii="仿宋" w:hAnsi="仿宋" w:cs="仿宋_GB2312"/>
          <w:bCs/>
          <w:color w:val="auto"/>
          <w:highlight w:val="none"/>
          <w:lang w:eastAsia="zh-CN"/>
        </w:rPr>
        <w:t>建设工程</w:t>
      </w:r>
      <w:r>
        <w:rPr>
          <w:rFonts w:hint="eastAsia" w:ascii="仿宋" w:hAnsi="仿宋" w:cs="仿宋_GB2312"/>
          <w:bCs/>
          <w:color w:val="auto"/>
          <w:highlight w:val="none"/>
        </w:rPr>
        <w:t>，分类实施就业技能培训、创业培训、民族手工艺培训等培训项目。鼓励青壮年劳动力就读技工院校，参加职业技能培训，引导符合培训条件的重点群体结合培训意愿接受必要的职业技能培训。鼓励有条件的地方搭建网络培训平台，拓宽搬迁群众获得技能渠道。</w:t>
      </w:r>
      <w:r>
        <w:rPr>
          <w:rFonts w:hint="eastAsia" w:ascii="仿宋" w:hAnsi="仿宋" w:cs="仿宋_GB2312"/>
          <w:bCs/>
          <w:color w:val="auto"/>
          <w:highlight w:val="none"/>
          <w:lang w:val="en-US" w:eastAsia="zh-Hans"/>
        </w:rPr>
        <w:t>实施搬迁后扶促农增收行动</w:t>
      </w:r>
      <w:r>
        <w:rPr>
          <w:rFonts w:hint="default" w:ascii="仿宋" w:hAnsi="仿宋" w:cs="仿宋_GB2312"/>
          <w:bCs/>
          <w:color w:val="auto"/>
          <w:highlight w:val="none"/>
          <w:lang w:eastAsia="zh-Hans"/>
        </w:rPr>
        <w:t>，</w:t>
      </w:r>
      <w:r>
        <w:rPr>
          <w:rFonts w:hint="eastAsia" w:ascii="仿宋" w:hAnsi="仿宋" w:cs="仿宋_GB2312"/>
          <w:bCs/>
          <w:color w:val="auto"/>
          <w:highlight w:val="none"/>
        </w:rPr>
        <w:t>进一步完善搬迁劳动力“一库五名单”，强化就业监测和零就业家庭预警。强化组织协调和对接能力，以原深度贫困地区、大中型</w:t>
      </w:r>
      <w:r>
        <w:rPr>
          <w:rFonts w:hint="eastAsia" w:ascii="仿宋" w:hAnsi="仿宋" w:cs="仿宋_GB2312"/>
          <w:bCs/>
          <w:color w:val="auto"/>
          <w:highlight w:val="none"/>
          <w:lang w:eastAsia="zh-CN"/>
        </w:rPr>
        <w:t>安置点</w:t>
      </w:r>
      <w:r>
        <w:rPr>
          <w:rFonts w:hint="eastAsia" w:ascii="仿宋" w:hAnsi="仿宋" w:cs="仿宋_GB2312"/>
          <w:bCs/>
          <w:color w:val="auto"/>
          <w:highlight w:val="none"/>
        </w:rPr>
        <w:t>为重点，依托东西部劳务协作、省内对口帮扶机制，加强输出输入地信息对接，建立就业需求、岗位供给“两张清单”，通过专场招聘、线上招聘、远程面试等活动，实现搬迁群众转移就业。</w:t>
      </w:r>
      <w:r>
        <w:rPr>
          <w:rFonts w:hint="eastAsia" w:ascii="仿宋" w:hAnsi="仿宋" w:cs="仿宋_GB2312"/>
          <w:bCs/>
          <w:color w:val="auto"/>
          <w:highlight w:val="none"/>
          <w:lang w:val="en-US" w:eastAsia="zh-CN"/>
        </w:rPr>
        <w:t>对掉边掉角搬迁户</w:t>
      </w:r>
      <w:r>
        <w:rPr>
          <w:rFonts w:hint="eastAsia" w:ascii="仿宋" w:hAnsi="仿宋" w:cs="仿宋_GB2312"/>
          <w:bCs/>
          <w:color w:val="auto"/>
          <w:highlight w:val="none"/>
        </w:rPr>
        <w:t>针对性开展就业帮扶</w:t>
      </w:r>
      <w:r>
        <w:rPr>
          <w:rFonts w:hint="eastAsia" w:ascii="仿宋" w:hAnsi="仿宋" w:cs="仿宋_GB2312"/>
          <w:bCs/>
          <w:color w:val="auto"/>
          <w:highlight w:val="none"/>
          <w:lang w:eastAsia="zh-CN"/>
        </w:rPr>
        <w:t>。</w:t>
      </w:r>
      <w:r>
        <w:rPr>
          <w:rFonts w:hint="eastAsia" w:ascii="仿宋" w:hAnsi="仿宋" w:cs="仿宋_GB2312"/>
          <w:bCs/>
          <w:color w:val="auto"/>
          <w:highlight w:val="none"/>
        </w:rPr>
        <w:t>规范和落实覆盖搬迁群众的产业园区、帮扶车间、新型农业经营主体等利益联结机制</w:t>
      </w:r>
      <w:r>
        <w:rPr>
          <w:rFonts w:hint="eastAsia" w:ascii="仿宋" w:hAnsi="仿宋" w:cs="仿宋_GB2312"/>
          <w:bCs/>
          <w:color w:val="auto"/>
          <w:highlight w:val="none"/>
          <w:lang w:eastAsia="zh-CN"/>
        </w:rPr>
        <w:t>，支持园区、帮扶车间、企业等农业生产经营主体吸纳搬迁劳动力就业</w:t>
      </w:r>
      <w:r>
        <w:rPr>
          <w:rFonts w:hint="eastAsia" w:ascii="仿宋" w:hAnsi="仿宋" w:cs="仿宋_GB2312"/>
          <w:bCs/>
          <w:color w:val="auto"/>
          <w:highlight w:val="none"/>
        </w:rPr>
        <w:t>。在基层社会管理、公共服务方面安排一定比例岗位用于吸纳搬迁劳动力就业。多渠道开发公益性（类）岗位，优先安排</w:t>
      </w:r>
      <w:r>
        <w:rPr>
          <w:rFonts w:hint="eastAsia" w:ascii="仿宋" w:hAnsi="仿宋" w:cs="仿宋_GB2312"/>
          <w:bCs/>
          <w:color w:val="auto"/>
          <w:highlight w:val="none"/>
          <w:lang w:eastAsia="zh-CN"/>
        </w:rPr>
        <w:t>安置点</w:t>
      </w:r>
      <w:r>
        <w:rPr>
          <w:rFonts w:hint="eastAsia" w:ascii="仿宋" w:hAnsi="仿宋" w:cs="仿宋_GB2312"/>
          <w:bCs/>
          <w:color w:val="auto"/>
          <w:highlight w:val="none"/>
        </w:rPr>
        <w:t>无法外出、无业可扶、容易返贫且有能力胜任工作的搬迁群众。健全按需设岗、以岗聘任、在岗领补、有序退岗的管理机制。</w:t>
      </w:r>
    </w:p>
    <w:bookmarkEnd w:id="64"/>
    <w:p>
      <w:pPr>
        <w:pStyle w:val="5"/>
        <w:tabs>
          <w:tab w:val="clear" w:pos="0"/>
        </w:tabs>
        <w:suppressAutoHyphens w:val="0"/>
        <w:snapToGrid w:val="0"/>
        <w:spacing w:before="0" w:after="0" w:line="360" w:lineRule="auto"/>
        <w:ind w:firstLine="643" w:firstLineChars="200"/>
        <w:jc w:val="left"/>
        <w:rPr>
          <w:rFonts w:hint="eastAsia" w:ascii="楷体" w:hAnsi="楷体" w:eastAsia="楷体" w:cs="黑体"/>
          <w:bCs w:val="0"/>
          <w:color w:val="auto"/>
          <w:kern w:val="0"/>
          <w:highlight w:val="none"/>
          <w:lang w:val="en-US" w:eastAsia="zh-CN"/>
        </w:rPr>
      </w:pPr>
      <w:bookmarkStart w:id="65" w:name="_Toc18449"/>
      <w:bookmarkStart w:id="66" w:name="_Toc14551"/>
      <w:bookmarkStart w:id="67" w:name="_Toc28334"/>
      <w:bookmarkStart w:id="68" w:name="_Toc20285"/>
      <w:r>
        <w:rPr>
          <w:rFonts w:hint="eastAsia" w:ascii="楷体" w:hAnsi="楷体" w:eastAsia="楷体" w:cs="黑体"/>
          <w:bCs w:val="0"/>
          <w:color w:val="auto"/>
          <w:kern w:val="0"/>
          <w:highlight w:val="none"/>
          <w:lang w:val="en-US" w:eastAsia="zh-CN"/>
        </w:rPr>
        <w:t>二、突出抓好安置点产业发展</w:t>
      </w:r>
      <w:bookmarkEnd w:id="65"/>
      <w:bookmarkEnd w:id="66"/>
      <w:bookmarkEnd w:id="67"/>
      <w:bookmarkEnd w:id="68"/>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rPr>
          <w:rFonts w:ascii="仿宋" w:hAnsi="仿宋" w:cs="仿宋_GB2312"/>
          <w:bCs/>
          <w:color w:val="auto"/>
          <w:highlight w:val="none"/>
        </w:rPr>
      </w:pPr>
      <w:bookmarkStart w:id="69" w:name="_Toc62661916"/>
      <w:r>
        <w:rPr>
          <w:rFonts w:hint="default" w:ascii="仿宋" w:hAnsi="仿宋" w:cs="仿宋_GB2312"/>
          <w:bCs/>
          <w:color w:val="auto"/>
          <w:highlight w:val="none"/>
        </w:rPr>
        <w:t>分年度实施易地扶贫搬迁后续扶持项目，提前纳入项目库管理。</w:t>
      </w:r>
      <w:r>
        <w:rPr>
          <w:rFonts w:hint="eastAsia" w:ascii="仿宋" w:hAnsi="仿宋" w:cs="仿宋_GB2312"/>
          <w:bCs/>
          <w:color w:val="auto"/>
          <w:highlight w:val="none"/>
        </w:rPr>
        <w:t>实施户办产业小庭院、村级特色示范园、集中</w:t>
      </w:r>
      <w:r>
        <w:rPr>
          <w:rFonts w:hint="eastAsia" w:ascii="仿宋" w:hAnsi="仿宋" w:cs="仿宋_GB2312"/>
          <w:bCs/>
          <w:color w:val="auto"/>
          <w:highlight w:val="none"/>
          <w:lang w:eastAsia="zh-CN"/>
        </w:rPr>
        <w:t>安置点</w:t>
      </w:r>
      <w:r>
        <w:rPr>
          <w:rFonts w:hint="eastAsia" w:ascii="仿宋" w:hAnsi="仿宋" w:cs="仿宋_GB2312"/>
          <w:bCs/>
          <w:color w:val="auto"/>
          <w:highlight w:val="none"/>
        </w:rPr>
        <w:t>产业园区“三园联动”，拓展搬迁户增收渠道。完善全产业链支持措施，在</w:t>
      </w:r>
      <w:r>
        <w:rPr>
          <w:rFonts w:hint="eastAsia" w:ascii="仿宋" w:hAnsi="仿宋" w:cs="仿宋_GB2312"/>
          <w:bCs/>
          <w:color w:val="auto"/>
          <w:highlight w:val="none"/>
          <w:lang w:eastAsia="zh-CN"/>
        </w:rPr>
        <w:t>安置点</w:t>
      </w:r>
      <w:r>
        <w:rPr>
          <w:rFonts w:hint="eastAsia" w:ascii="仿宋" w:hAnsi="仿宋" w:cs="仿宋_GB2312"/>
          <w:bCs/>
          <w:color w:val="auto"/>
          <w:highlight w:val="none"/>
        </w:rPr>
        <w:t>逐步培育农民合作社、家庭农场等新型农业经营主体，完善利益联结机制，带动搬迁群众发展产业、稳定增收。盘活利用搬迁群众原有土地和乡村闲置厂房、废弃地等集体建设用地，推进农村资源变资产、资金变股金、农民变股东。注重</w:t>
      </w:r>
      <w:r>
        <w:rPr>
          <w:rFonts w:hint="eastAsia" w:ascii="仿宋" w:hAnsi="仿宋" w:cs="仿宋_GB2312"/>
          <w:bCs/>
          <w:color w:val="auto"/>
          <w:highlight w:val="none"/>
          <w:lang w:eastAsia="zh-CN"/>
        </w:rPr>
        <w:t>安置点</w:t>
      </w:r>
      <w:r>
        <w:rPr>
          <w:rFonts w:hint="eastAsia" w:ascii="仿宋" w:hAnsi="仿宋" w:cs="仿宋_GB2312"/>
          <w:bCs/>
          <w:color w:val="auto"/>
          <w:highlight w:val="none"/>
        </w:rPr>
        <w:t>产业后续长期培育，加大招商引资力度，用好各类政策资金，推动后续扶持一二三产业融合发展。支持基础条件好、资源优的</w:t>
      </w:r>
      <w:r>
        <w:rPr>
          <w:rFonts w:hint="eastAsia" w:ascii="仿宋" w:hAnsi="仿宋" w:cs="仿宋_GB2312"/>
          <w:bCs/>
          <w:color w:val="auto"/>
          <w:highlight w:val="none"/>
          <w:lang w:eastAsia="zh-CN"/>
        </w:rPr>
        <w:t>安置点</w:t>
      </w:r>
      <w:r>
        <w:rPr>
          <w:rFonts w:hint="eastAsia" w:ascii="仿宋" w:hAnsi="仿宋" w:cs="仿宋_GB2312"/>
          <w:bCs/>
          <w:color w:val="auto"/>
          <w:highlight w:val="none"/>
        </w:rPr>
        <w:t>大力发展休闲农业和乡村旅游，完善旅游基础设施和配套服务设施，打造一批休闲农庄、</w:t>
      </w:r>
      <w:r>
        <w:rPr>
          <w:rFonts w:hint="eastAsia" w:ascii="仿宋" w:hAnsi="仿宋" w:cs="仿宋_GB2312"/>
          <w:bCs/>
          <w:color w:val="auto"/>
          <w:highlight w:val="none"/>
          <w:lang w:val="en-US" w:eastAsia="zh-Hans"/>
        </w:rPr>
        <w:t>藏式民宿</w:t>
      </w:r>
      <w:r>
        <w:rPr>
          <w:rFonts w:hint="eastAsia" w:ascii="仿宋" w:hAnsi="仿宋" w:cs="仿宋_GB2312"/>
          <w:bCs/>
          <w:color w:val="auto"/>
          <w:highlight w:val="none"/>
        </w:rPr>
        <w:t>等休闲业态。支持易地扶贫搬迁户因地制宜开发文创旅游商品，提高农副产品附加值，加大宣传推介，打造乡村旅游品牌。用好大数据，支持有意愿企业、农民合作社和搬迁群众开办网上商店，通过线上线下结合，与企业、种养大户、龙头企业等建立直采直供关系，不断拓宽农副产品销售渠道。加快物流配送体系建设，支持邮政、供销合作社等在有条件的易地扶贫搬迁安置点建立服务网点。在发展特色产业时，注重延长产业链条，促进资源节约和循环利用。鼓励和引导搬迁群众开办超市、理发店、餐饮店等。统筹利用电子商务进农村综合示范政策，鼓励搬迁群众通过创办网店、参与快递物流等方式实现创业就业。</w:t>
      </w:r>
    </w:p>
    <w:bookmarkEnd w:id="69"/>
    <w:p>
      <w:pPr>
        <w:pStyle w:val="5"/>
        <w:tabs>
          <w:tab w:val="clear" w:pos="0"/>
        </w:tabs>
        <w:suppressAutoHyphens w:val="0"/>
        <w:snapToGrid w:val="0"/>
        <w:spacing w:before="0" w:after="0" w:line="360" w:lineRule="auto"/>
        <w:ind w:firstLine="643" w:firstLineChars="200"/>
        <w:jc w:val="left"/>
        <w:rPr>
          <w:rFonts w:hint="eastAsia" w:ascii="楷体" w:hAnsi="楷体" w:eastAsia="楷体" w:cs="黑体"/>
          <w:bCs w:val="0"/>
          <w:color w:val="auto"/>
          <w:kern w:val="0"/>
          <w:highlight w:val="none"/>
        </w:rPr>
      </w:pPr>
      <w:bookmarkStart w:id="70" w:name="_Toc14964"/>
      <w:r>
        <w:rPr>
          <w:rFonts w:hint="eastAsia" w:ascii="楷体" w:hAnsi="楷体" w:eastAsia="楷体" w:cs="黑体"/>
          <w:bCs w:val="0"/>
          <w:color w:val="auto"/>
          <w:kern w:val="0"/>
          <w:highlight w:val="none"/>
          <w:lang w:val="en-US" w:eastAsia="zh-CN"/>
        </w:rPr>
        <w:t>三、</w:t>
      </w:r>
      <w:r>
        <w:rPr>
          <w:rFonts w:hint="eastAsia" w:ascii="楷体" w:hAnsi="楷体" w:eastAsia="楷体" w:cs="黑体"/>
          <w:bCs w:val="0"/>
          <w:color w:val="auto"/>
          <w:kern w:val="0"/>
          <w:highlight w:val="none"/>
        </w:rPr>
        <w:t>完善提升</w:t>
      </w:r>
      <w:r>
        <w:rPr>
          <w:rFonts w:hint="eastAsia" w:ascii="楷体" w:hAnsi="楷体" w:eastAsia="楷体" w:cs="黑体"/>
          <w:bCs w:val="0"/>
          <w:color w:val="auto"/>
          <w:kern w:val="0"/>
          <w:highlight w:val="none"/>
          <w:lang w:eastAsia="zh-CN"/>
        </w:rPr>
        <w:t>安置点</w:t>
      </w:r>
      <w:r>
        <w:rPr>
          <w:rFonts w:hint="eastAsia" w:ascii="楷体" w:hAnsi="楷体" w:eastAsia="楷体" w:cs="黑体"/>
          <w:bCs w:val="0"/>
          <w:color w:val="auto"/>
          <w:kern w:val="0"/>
          <w:highlight w:val="none"/>
        </w:rPr>
        <w:t>配套基础设施和公共服务设施</w:t>
      </w:r>
      <w:bookmarkEnd w:id="57"/>
      <w:bookmarkEnd w:id="62"/>
      <w:bookmarkEnd w:id="63"/>
      <w:bookmarkEnd w:id="70"/>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rPr>
          <w:rFonts w:ascii="仿宋" w:hAnsi="仿宋" w:cs="仿宋_GB2312"/>
          <w:bCs/>
          <w:color w:val="auto"/>
          <w:highlight w:val="none"/>
        </w:rPr>
      </w:pPr>
      <w:bookmarkStart w:id="71" w:name="_Toc62661914"/>
      <w:bookmarkStart w:id="72" w:name="_Toc4512"/>
      <w:r>
        <w:rPr>
          <w:rFonts w:hint="eastAsia" w:ascii="仿宋" w:hAnsi="仿宋" w:cs="仿宋_GB2312"/>
          <w:bCs/>
          <w:color w:val="auto"/>
          <w:highlight w:val="none"/>
          <w:lang w:val="en-US" w:eastAsia="zh-CN"/>
        </w:rPr>
        <w:t>做好易地搬迁</w:t>
      </w:r>
      <w:r>
        <w:rPr>
          <w:rFonts w:hint="eastAsia" w:ascii="仿宋" w:hAnsi="仿宋" w:cs="仿宋_GB2312"/>
          <w:bCs/>
          <w:color w:val="auto"/>
          <w:highlight w:val="none"/>
          <w:lang w:eastAsia="zh-CN"/>
        </w:rPr>
        <w:t>安置点</w:t>
      </w:r>
      <w:r>
        <w:rPr>
          <w:rFonts w:hint="eastAsia" w:ascii="仿宋" w:hAnsi="仿宋" w:cs="仿宋_GB2312"/>
          <w:bCs/>
          <w:color w:val="auto"/>
          <w:highlight w:val="none"/>
          <w:lang w:val="en-US" w:eastAsia="zh-CN"/>
        </w:rPr>
        <w:t>和掉边掉角搬迁农户</w:t>
      </w:r>
      <w:r>
        <w:rPr>
          <w:rFonts w:hint="eastAsia" w:ascii="仿宋" w:hAnsi="仿宋" w:cs="仿宋_GB2312"/>
          <w:bCs/>
          <w:color w:val="auto"/>
          <w:highlight w:val="none"/>
        </w:rPr>
        <w:t>基础设施</w:t>
      </w:r>
      <w:r>
        <w:rPr>
          <w:rFonts w:hint="eastAsia" w:ascii="仿宋" w:hAnsi="仿宋" w:cs="仿宋_GB2312"/>
          <w:bCs/>
          <w:color w:val="auto"/>
          <w:highlight w:val="none"/>
          <w:lang w:val="en-US" w:eastAsia="zh-CN"/>
        </w:rPr>
        <w:t>配套及后续扶持工作</w:t>
      </w:r>
      <w:r>
        <w:rPr>
          <w:rFonts w:hint="eastAsia" w:ascii="仿宋" w:hAnsi="仿宋" w:cs="仿宋_GB2312"/>
          <w:bCs/>
          <w:color w:val="auto"/>
          <w:highlight w:val="none"/>
          <w:lang w:eastAsia="zh-CN"/>
        </w:rPr>
        <w:t>，提高通路、通水、通电、通网等基础设施保障能力，确保搬迁农户“三保障”能力不低于当地脱贫户水平。</w:t>
      </w:r>
      <w:r>
        <w:rPr>
          <w:rFonts w:hint="eastAsia" w:ascii="仿宋" w:hAnsi="仿宋" w:cs="仿宋_GB2312"/>
          <w:bCs/>
          <w:color w:val="auto"/>
          <w:highlight w:val="none"/>
        </w:rPr>
        <w:t>将</w:t>
      </w:r>
      <w:r>
        <w:rPr>
          <w:rFonts w:hint="eastAsia" w:ascii="仿宋" w:hAnsi="仿宋" w:cs="仿宋_GB2312"/>
          <w:bCs/>
          <w:color w:val="auto"/>
          <w:highlight w:val="none"/>
          <w:lang w:eastAsia="zh-CN"/>
        </w:rPr>
        <w:t>安置点</w:t>
      </w:r>
      <w:r>
        <w:rPr>
          <w:rFonts w:hint="eastAsia" w:ascii="仿宋" w:hAnsi="仿宋" w:cs="仿宋_GB2312"/>
          <w:bCs/>
          <w:color w:val="auto"/>
          <w:highlight w:val="none"/>
        </w:rPr>
        <w:t>已建成的配套基础设施纳入迁入地统一管理，落实维护管理责任和经费保障。</w:t>
      </w:r>
      <w:r>
        <w:rPr>
          <w:rFonts w:hint="eastAsia" w:ascii="仿宋" w:hAnsi="仿宋" w:cs="仿宋_GB2312"/>
          <w:bCs/>
          <w:color w:val="auto"/>
          <w:highlight w:val="none"/>
          <w:lang w:val="en-US" w:eastAsia="zh-CN"/>
        </w:rPr>
        <w:t>补齐公共服务短板，</w:t>
      </w:r>
      <w:r>
        <w:rPr>
          <w:rFonts w:hint="eastAsia" w:ascii="仿宋" w:hAnsi="仿宋" w:cs="仿宋_GB2312"/>
          <w:bCs/>
          <w:color w:val="auto"/>
          <w:highlight w:val="none"/>
        </w:rPr>
        <w:t>将</w:t>
      </w:r>
      <w:r>
        <w:rPr>
          <w:rFonts w:hint="eastAsia" w:ascii="仿宋" w:hAnsi="仿宋" w:cs="仿宋_GB2312"/>
          <w:bCs/>
          <w:color w:val="auto"/>
          <w:highlight w:val="none"/>
          <w:lang w:eastAsia="zh-CN"/>
        </w:rPr>
        <w:t>安置点</w:t>
      </w:r>
      <w:r>
        <w:rPr>
          <w:rFonts w:hint="eastAsia" w:ascii="仿宋" w:hAnsi="仿宋" w:cs="仿宋_GB2312"/>
          <w:bCs/>
          <w:color w:val="auto"/>
          <w:highlight w:val="none"/>
        </w:rPr>
        <w:t>教育、医疗、养老、体育文化等公共服务设施纳入国土空间规划。完善</w:t>
      </w:r>
      <w:r>
        <w:rPr>
          <w:rFonts w:hint="eastAsia" w:ascii="仿宋" w:hAnsi="仿宋" w:cs="仿宋_GB2312"/>
          <w:bCs/>
          <w:color w:val="auto"/>
          <w:highlight w:val="none"/>
          <w:lang w:eastAsia="zh-CN"/>
        </w:rPr>
        <w:t>安置点</w:t>
      </w:r>
      <w:r>
        <w:rPr>
          <w:rFonts w:hint="eastAsia" w:ascii="仿宋" w:hAnsi="仿宋" w:cs="仿宋_GB2312"/>
          <w:bCs/>
          <w:color w:val="auto"/>
          <w:highlight w:val="none"/>
        </w:rPr>
        <w:t>学校基础设施建设，改善学位、床位等基础办学条件。合理设置医疗机构，加强医疗设备和医护人员配备，实行网格化医疗卫生服务。将小微型</w:t>
      </w:r>
      <w:r>
        <w:rPr>
          <w:rFonts w:hint="eastAsia" w:ascii="仿宋" w:hAnsi="仿宋" w:cs="仿宋_GB2312"/>
          <w:bCs/>
          <w:color w:val="auto"/>
          <w:highlight w:val="none"/>
          <w:lang w:eastAsia="zh-CN"/>
        </w:rPr>
        <w:t>安置点</w:t>
      </w:r>
      <w:r>
        <w:rPr>
          <w:rFonts w:hint="eastAsia" w:ascii="仿宋" w:hAnsi="仿宋" w:cs="仿宋_GB2312"/>
          <w:bCs/>
          <w:color w:val="auto"/>
          <w:highlight w:val="none"/>
        </w:rPr>
        <w:t>和分散安置户纳入迁入地基本公共服务保障范围。新建和提升改造文化活动室（广场）、公共体育场、社区健身中心、健身步道等文体设施，全面实施综合服务设施“补短板”达标行动，把</w:t>
      </w:r>
      <w:r>
        <w:rPr>
          <w:rFonts w:hint="eastAsia" w:ascii="仿宋" w:hAnsi="仿宋" w:cs="仿宋_GB2312"/>
          <w:bCs/>
          <w:color w:val="auto"/>
          <w:highlight w:val="none"/>
          <w:lang w:eastAsia="zh-CN"/>
        </w:rPr>
        <w:t>安置点</w:t>
      </w:r>
      <w:r>
        <w:rPr>
          <w:rFonts w:hint="eastAsia" w:ascii="仿宋" w:hAnsi="仿宋" w:cs="仿宋_GB2312"/>
          <w:bCs/>
          <w:color w:val="auto"/>
          <w:highlight w:val="none"/>
        </w:rPr>
        <w:t>建设成为安居乐业的幸福家园。在大中型</w:t>
      </w:r>
      <w:r>
        <w:rPr>
          <w:rFonts w:hint="eastAsia" w:ascii="仿宋" w:hAnsi="仿宋" w:cs="仿宋_GB2312"/>
          <w:bCs/>
          <w:color w:val="auto"/>
          <w:highlight w:val="none"/>
          <w:lang w:eastAsia="zh-CN"/>
        </w:rPr>
        <w:t>安置点</w:t>
      </w:r>
      <w:r>
        <w:rPr>
          <w:rFonts w:hint="eastAsia" w:ascii="仿宋" w:hAnsi="仿宋" w:cs="仿宋_GB2312"/>
          <w:bCs/>
          <w:color w:val="auto"/>
          <w:highlight w:val="none"/>
        </w:rPr>
        <w:t>依托社区党群服务中心，提供户籍管理、就业、就学、就医和社保、法律咨询等“一站式”服务。健全</w:t>
      </w:r>
      <w:r>
        <w:rPr>
          <w:rFonts w:hint="eastAsia" w:ascii="仿宋" w:hAnsi="仿宋" w:cs="仿宋_GB2312"/>
          <w:bCs/>
          <w:color w:val="auto"/>
          <w:highlight w:val="none"/>
          <w:lang w:eastAsia="zh-CN"/>
        </w:rPr>
        <w:t>安置点</w:t>
      </w:r>
      <w:r>
        <w:rPr>
          <w:rFonts w:hint="eastAsia" w:ascii="仿宋" w:hAnsi="仿宋" w:cs="仿宋_GB2312"/>
          <w:bCs/>
          <w:color w:val="auto"/>
          <w:highlight w:val="none"/>
        </w:rPr>
        <w:t>生活配套服务设施，统筹建设综合超市、农贸市场、社区药电商网点、公交站点、红白喜事场所</w:t>
      </w:r>
      <w:r>
        <w:rPr>
          <w:rFonts w:hint="eastAsia" w:ascii="仿宋" w:hAnsi="仿宋" w:cs="仿宋_GB2312"/>
          <w:bCs/>
          <w:color w:val="auto"/>
          <w:highlight w:val="none"/>
          <w:lang w:eastAsia="zh-CN"/>
        </w:rPr>
        <w:t>、</w:t>
      </w:r>
      <w:r>
        <w:rPr>
          <w:rFonts w:hint="eastAsia" w:ascii="仿宋" w:hAnsi="仿宋" w:cs="仿宋_GB2312"/>
          <w:bCs/>
          <w:color w:val="auto"/>
          <w:highlight w:val="none"/>
          <w:lang w:val="en-US" w:eastAsia="zh-CN"/>
        </w:rPr>
        <w:t>应急避难场所</w:t>
      </w:r>
      <w:r>
        <w:rPr>
          <w:rFonts w:hint="eastAsia" w:ascii="仿宋" w:hAnsi="仿宋" w:cs="仿宋_GB2312"/>
          <w:bCs/>
          <w:color w:val="auto"/>
          <w:highlight w:val="none"/>
        </w:rPr>
        <w:t>等设施，推动邮政、快递、电信、燃气、电力等公共事业服务和银行网点等尽快覆盖安置社区，打造“一刻钟便民生活圈”。</w:t>
      </w:r>
    </w:p>
    <w:bookmarkEnd w:id="71"/>
    <w:bookmarkEnd w:id="72"/>
    <w:p>
      <w:pPr>
        <w:pStyle w:val="5"/>
        <w:tabs>
          <w:tab w:val="clear" w:pos="0"/>
        </w:tabs>
        <w:suppressAutoHyphens w:val="0"/>
        <w:snapToGrid w:val="0"/>
        <w:spacing w:before="0" w:after="0" w:line="360" w:lineRule="auto"/>
        <w:ind w:firstLine="643" w:firstLineChars="200"/>
        <w:jc w:val="left"/>
        <w:rPr>
          <w:rFonts w:hint="eastAsia" w:ascii="楷体" w:hAnsi="楷体" w:eastAsia="楷体" w:cs="黑体"/>
          <w:bCs w:val="0"/>
          <w:color w:val="auto"/>
          <w:kern w:val="0"/>
          <w:highlight w:val="none"/>
          <w:lang w:val="en-US" w:eastAsia="zh-CN"/>
        </w:rPr>
      </w:pPr>
      <w:bookmarkStart w:id="73" w:name="_Toc21366"/>
      <w:bookmarkStart w:id="74" w:name="_Toc26560"/>
      <w:bookmarkStart w:id="75" w:name="_Toc28178"/>
      <w:bookmarkStart w:id="76" w:name="_Toc26368"/>
      <w:r>
        <w:rPr>
          <w:rFonts w:hint="eastAsia" w:ascii="楷体" w:hAnsi="楷体" w:eastAsia="楷体" w:cs="黑体"/>
          <w:bCs w:val="0"/>
          <w:color w:val="auto"/>
          <w:kern w:val="0"/>
          <w:highlight w:val="none"/>
          <w:lang w:val="en-US" w:eastAsia="zh-CN"/>
        </w:rPr>
        <w:t>四、全面推进社会融入</w:t>
      </w:r>
      <w:bookmarkEnd w:id="73"/>
      <w:bookmarkEnd w:id="74"/>
      <w:bookmarkEnd w:id="75"/>
      <w:bookmarkEnd w:id="76"/>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rPr>
          <w:rFonts w:hint="eastAsia" w:ascii="仿宋" w:hAnsi="仿宋" w:cs="仿宋_GB2312"/>
          <w:bCs/>
          <w:color w:val="auto"/>
          <w:highlight w:val="none"/>
          <w:lang w:eastAsia="zh-CN"/>
        </w:rPr>
      </w:pPr>
      <w:r>
        <w:rPr>
          <w:rFonts w:hint="eastAsia" w:ascii="仿宋" w:hAnsi="仿宋" w:cs="仿宋_GB2312"/>
          <w:bCs/>
          <w:color w:val="auto"/>
          <w:highlight w:val="none"/>
        </w:rPr>
        <w:t>大力实施安置点规范化建设</w:t>
      </w:r>
      <w:r>
        <w:rPr>
          <w:rFonts w:hint="eastAsia" w:ascii="仿宋" w:hAnsi="仿宋" w:cs="仿宋_GB2312"/>
          <w:bCs/>
          <w:color w:val="auto"/>
          <w:highlight w:val="none"/>
          <w:lang w:eastAsia="zh-CN"/>
        </w:rPr>
        <w:t>，</w:t>
      </w:r>
      <w:r>
        <w:rPr>
          <w:rFonts w:hint="eastAsia" w:ascii="仿宋" w:hAnsi="仿宋" w:cs="仿宋_GB2312"/>
          <w:bCs/>
          <w:color w:val="auto"/>
          <w:highlight w:val="none"/>
        </w:rPr>
        <w:t>加强</w:t>
      </w:r>
      <w:r>
        <w:rPr>
          <w:rFonts w:hint="eastAsia" w:ascii="仿宋" w:hAnsi="仿宋" w:cs="仿宋_GB2312"/>
          <w:bCs/>
          <w:color w:val="auto"/>
          <w:highlight w:val="none"/>
          <w:lang w:eastAsia="zh-CN"/>
        </w:rPr>
        <w:t>安置点</w:t>
      </w:r>
      <w:r>
        <w:rPr>
          <w:rFonts w:hint="eastAsia" w:ascii="仿宋" w:hAnsi="仿宋" w:cs="仿宋_GB2312"/>
          <w:bCs/>
          <w:color w:val="auto"/>
          <w:highlight w:val="none"/>
        </w:rPr>
        <w:t>基层党组织建设，健全党组织议事规则，及时讨论决定涉及本</w:t>
      </w:r>
      <w:r>
        <w:rPr>
          <w:rFonts w:hint="eastAsia" w:ascii="仿宋" w:hAnsi="仿宋" w:cs="仿宋_GB2312"/>
          <w:bCs/>
          <w:color w:val="auto"/>
          <w:highlight w:val="none"/>
          <w:lang w:eastAsia="zh-CN"/>
        </w:rPr>
        <w:t>安置点</w:t>
      </w:r>
      <w:r>
        <w:rPr>
          <w:rFonts w:hint="eastAsia" w:ascii="仿宋" w:hAnsi="仿宋" w:cs="仿宋_GB2312"/>
          <w:bCs/>
          <w:color w:val="auto"/>
          <w:highlight w:val="none"/>
        </w:rPr>
        <w:t>社会建设、社区治理等重大事项、重要问题，注重从搬迁群众中发展党员，不断提升基层党组织凝聚力、战斗力。</w:t>
      </w:r>
      <w:r>
        <w:rPr>
          <w:rFonts w:hint="eastAsia" w:ascii="仿宋" w:hAnsi="仿宋" w:cs="仿宋_GB2312"/>
          <w:bCs/>
          <w:color w:val="auto"/>
          <w:highlight w:val="none"/>
          <w:lang w:val="en-US" w:eastAsia="zh-CN"/>
        </w:rPr>
        <w:t>推进</w:t>
      </w:r>
      <w:r>
        <w:rPr>
          <w:rFonts w:hint="eastAsia" w:ascii="仿宋" w:hAnsi="仿宋" w:cs="仿宋_GB2312"/>
          <w:bCs/>
          <w:color w:val="auto"/>
          <w:highlight w:val="none"/>
        </w:rPr>
        <w:t>“党建引领</w:t>
      </w:r>
      <w:r>
        <w:rPr>
          <w:rFonts w:hint="eastAsia" w:ascii="仿宋" w:hAnsi="仿宋" w:cs="仿宋_GB2312"/>
          <w:bCs/>
          <w:color w:val="auto"/>
          <w:highlight w:val="none"/>
          <w:lang w:eastAsia="zh-CN"/>
        </w:rPr>
        <w:t>＋</w:t>
      </w:r>
      <w:r>
        <w:rPr>
          <w:rFonts w:hint="eastAsia" w:ascii="仿宋" w:hAnsi="仿宋" w:cs="仿宋_GB2312"/>
          <w:bCs/>
          <w:color w:val="auto"/>
          <w:highlight w:val="none"/>
        </w:rPr>
        <w:t>综合服务</w:t>
      </w:r>
      <w:r>
        <w:rPr>
          <w:rFonts w:hint="eastAsia" w:ascii="仿宋" w:hAnsi="仿宋" w:cs="仿宋_GB2312"/>
          <w:bCs/>
          <w:color w:val="auto"/>
          <w:highlight w:val="none"/>
          <w:lang w:eastAsia="zh-CN"/>
        </w:rPr>
        <w:t>＋</w:t>
      </w:r>
      <w:r>
        <w:rPr>
          <w:rFonts w:hint="eastAsia" w:ascii="仿宋" w:hAnsi="仿宋" w:cs="仿宋_GB2312"/>
          <w:bCs/>
          <w:color w:val="auto"/>
          <w:highlight w:val="none"/>
        </w:rPr>
        <w:t>综合保障</w:t>
      </w:r>
      <w:r>
        <w:rPr>
          <w:rFonts w:hint="eastAsia" w:ascii="仿宋" w:hAnsi="仿宋" w:cs="仿宋_GB2312"/>
          <w:bCs/>
          <w:color w:val="auto"/>
          <w:highlight w:val="none"/>
          <w:lang w:eastAsia="zh-CN"/>
        </w:rPr>
        <w:t>＋</w:t>
      </w:r>
      <w:r>
        <w:rPr>
          <w:rFonts w:hint="eastAsia" w:ascii="仿宋" w:hAnsi="仿宋" w:cs="仿宋_GB2312"/>
          <w:bCs/>
          <w:color w:val="auto"/>
          <w:highlight w:val="none"/>
        </w:rPr>
        <w:t>科技赋能”的社区治理</w:t>
      </w:r>
      <w:r>
        <w:rPr>
          <w:rFonts w:hint="eastAsia" w:ascii="仿宋" w:hAnsi="仿宋" w:cs="仿宋_GB2312"/>
          <w:bCs/>
          <w:color w:val="auto"/>
          <w:highlight w:val="none"/>
          <w:lang w:val="en-US" w:eastAsia="zh-CN"/>
        </w:rPr>
        <w:t>新模式</w:t>
      </w:r>
      <w:r>
        <w:rPr>
          <w:rFonts w:hint="eastAsia" w:ascii="仿宋" w:hAnsi="仿宋" w:cs="仿宋_GB2312"/>
          <w:bCs/>
          <w:color w:val="auto"/>
          <w:highlight w:val="none"/>
        </w:rPr>
        <w:t>，增强社区服务功能，促进搬迁群众融入新社区。全力推进易地扶贫搬迁安置点乡村治理专项行动</w:t>
      </w:r>
      <w:r>
        <w:rPr>
          <w:rFonts w:hint="eastAsia" w:ascii="仿宋" w:hAnsi="仿宋" w:cs="仿宋_GB2312"/>
          <w:bCs/>
          <w:color w:val="auto"/>
          <w:highlight w:val="none"/>
          <w:lang w:eastAsia="zh-CN"/>
        </w:rPr>
        <w:t>，切实发挥第一书记和驻村队员在乡村治理、建强基层党组织、为民办事服务等方面作用，健全易地扶贫搬迁集中安置区（社区）治理工作机制。加强“一站式”社区综合便民服务设施建设</w:t>
      </w:r>
      <w:r>
        <w:rPr>
          <w:rFonts w:hint="eastAsia" w:ascii="仿宋" w:hAnsi="仿宋" w:cs="仿宋_GB2312"/>
          <w:bCs/>
          <w:color w:val="auto"/>
          <w:highlight w:val="none"/>
        </w:rPr>
        <w:t>，切实解决搬迁群众办事、就医、托幼等难题</w:t>
      </w:r>
      <w:r>
        <w:rPr>
          <w:rFonts w:hint="eastAsia" w:ascii="仿宋" w:hAnsi="仿宋" w:cs="仿宋_GB2312"/>
          <w:bCs/>
          <w:color w:val="auto"/>
          <w:highlight w:val="none"/>
          <w:lang w:eastAsia="zh-CN"/>
        </w:rPr>
        <w:t>。全面开展“育新风”行动，推进新民风建设，引导搬迁群众摒弃薄养厚葬、人情攀比、戒杀生等陋习。</w:t>
      </w:r>
      <w:r>
        <w:rPr>
          <w:rFonts w:hint="eastAsia" w:ascii="仿宋" w:hAnsi="仿宋" w:cs="仿宋_GB2312"/>
          <w:bCs/>
          <w:color w:val="auto"/>
          <w:highlight w:val="none"/>
          <w:lang w:val="en-US" w:eastAsia="zh-CN"/>
        </w:rPr>
        <w:t>开展</w:t>
      </w:r>
      <w:r>
        <w:rPr>
          <w:rFonts w:hint="eastAsia" w:ascii="仿宋" w:hAnsi="仿宋" w:cs="仿宋_GB2312"/>
          <w:bCs/>
          <w:color w:val="auto"/>
          <w:highlight w:val="none"/>
          <w:lang w:eastAsia="zh-CN"/>
        </w:rPr>
        <w:t>“平安社区”“平安网格”创建活动。依托道德讲堂、群众大会等形式，开展感恩奋进教育、公民道德规范教育、法制教育、科学文化教育等活动。在集中安置点发布身边好人榜、五星级文明户光荣榜，大力宣传勤劳致富典型人物事迹，用身边教育身边人，引导搬迁群众树立自立自强、不等不靠思想。持续强化集中安置点防止返贫监测帮扶，及时消除返贫致贫风险。开展城镇基本生活技能培训，组织党员领导干部与搬迁群众“一对一”“一对多”结对，帮助搬迁群众尽快</w:t>
      </w:r>
      <w:r>
        <w:rPr>
          <w:rFonts w:hint="eastAsia" w:ascii="仿宋" w:hAnsi="仿宋" w:cs="仿宋_GB2312"/>
          <w:bCs/>
          <w:color w:val="auto"/>
          <w:highlight w:val="none"/>
          <w:lang w:val="en-US" w:eastAsia="zh-CN"/>
        </w:rPr>
        <w:t>融入当地社区</w:t>
      </w:r>
      <w:r>
        <w:rPr>
          <w:rFonts w:hint="eastAsia" w:ascii="仿宋" w:hAnsi="仿宋" w:cs="仿宋_GB2312"/>
          <w:bCs/>
          <w:color w:val="auto"/>
          <w:highlight w:val="none"/>
          <w:lang w:eastAsia="zh-CN"/>
        </w:rPr>
        <w:t>，增强归属感。</w:t>
      </w:r>
    </w:p>
    <w:tbl>
      <w:tblPr>
        <w:tblStyle w:val="25"/>
        <w:tblW w:w="8859"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85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8859" w:type="dxa"/>
            <w:vAlign w:val="center"/>
          </w:tcPr>
          <w:p>
            <w:pPr>
              <w:pStyle w:val="49"/>
              <w:snapToGrid w:val="0"/>
              <w:spacing w:line="500" w:lineRule="exact"/>
              <w:ind w:firstLine="22" w:firstLineChars="0"/>
              <w:jc w:val="center"/>
              <w:rPr>
                <w:rFonts w:ascii="黑体" w:hAnsi="黑体" w:eastAsia="黑体"/>
                <w:b/>
                <w:bCs/>
                <w:color w:val="auto"/>
                <w:sz w:val="28"/>
                <w:szCs w:val="28"/>
                <w:highlight w:val="none"/>
                <w:shd w:val="clear" w:color="auto" w:fill="FFFFFF"/>
              </w:rPr>
            </w:pPr>
            <w:r>
              <w:rPr>
                <w:rFonts w:hint="eastAsia" w:ascii="黑体" w:hAnsi="黑体" w:eastAsia="黑体"/>
                <w:color w:val="auto"/>
                <w:sz w:val="28"/>
                <w:szCs w:val="28"/>
                <w:highlight w:val="none"/>
                <w:shd w:val="clear" w:color="auto" w:fill="FFFFFF"/>
              </w:rPr>
              <w:t>专栏</w:t>
            </w:r>
            <w:r>
              <w:rPr>
                <w:rFonts w:hint="eastAsia" w:ascii="黑体" w:hAnsi="黑体" w:eastAsia="黑体"/>
                <w:color w:val="auto"/>
                <w:sz w:val="28"/>
                <w:szCs w:val="28"/>
                <w:highlight w:val="none"/>
                <w:shd w:val="clear" w:color="auto" w:fill="FFFFFF"/>
                <w:lang w:val="en-US" w:eastAsia="zh-CN"/>
              </w:rPr>
              <w:t>3</w:t>
            </w:r>
            <w:r>
              <w:rPr>
                <w:rFonts w:hint="eastAsia" w:ascii="黑体" w:hAnsi="黑体" w:eastAsia="黑体"/>
                <w:color w:val="auto"/>
                <w:sz w:val="28"/>
                <w:szCs w:val="28"/>
                <w:highlight w:val="none"/>
                <w:shd w:val="clear" w:color="auto" w:fill="FFFFFF"/>
              </w:rPr>
              <w:t xml:space="preserve">  </w:t>
            </w:r>
            <w:r>
              <w:rPr>
                <w:rFonts w:hint="eastAsia" w:ascii="黑体" w:hAnsi="黑体" w:eastAsia="黑体" w:cs="Times New Roman"/>
                <w:bCs w:val="0"/>
                <w:color w:val="auto"/>
                <w:kern w:val="2"/>
                <w:sz w:val="28"/>
                <w:szCs w:val="28"/>
                <w:highlight w:val="none"/>
                <w:shd w:val="clear" w:color="auto" w:fill="FFFFFF"/>
              </w:rPr>
              <w:t>强化易地扶贫搬迁后续扶持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6" w:hRule="atLeast"/>
          <w:jc w:val="center"/>
        </w:trPr>
        <w:tc>
          <w:tcPr>
            <w:tcW w:w="8859" w:type="dxa"/>
            <w:vAlign w:val="center"/>
          </w:tcPr>
          <w:p>
            <w:pPr>
              <w:pStyle w:val="44"/>
              <w:keepNext w:val="0"/>
              <w:keepLines w:val="0"/>
              <w:pageBreakBefore w:val="0"/>
              <w:widowControl w:val="0"/>
              <w:kinsoku/>
              <w:wordWrap/>
              <w:overflowPunct/>
              <w:topLinePunct w:val="0"/>
              <w:autoSpaceDE/>
              <w:autoSpaceDN/>
              <w:bidi w:val="0"/>
              <w:adjustRightInd/>
              <w:snapToGrid w:val="0"/>
              <w:ind w:firstLine="562"/>
              <w:textAlignment w:val="auto"/>
              <w:rPr>
                <w:rFonts w:hint="eastAsia" w:ascii="仿宋" w:hAnsi="仿宋" w:eastAsia="仿宋"/>
                <w:b/>
                <w:color w:val="auto"/>
                <w:sz w:val="28"/>
                <w:szCs w:val="24"/>
                <w:highlight w:val="none"/>
                <w:lang w:eastAsia="zh-CN"/>
              </w:rPr>
            </w:pPr>
            <w:r>
              <w:rPr>
                <w:rFonts w:hint="eastAsia" w:ascii="仿宋" w:hAnsi="仿宋" w:eastAsia="仿宋"/>
                <w:b/>
                <w:color w:val="auto"/>
                <w:sz w:val="28"/>
                <w:szCs w:val="24"/>
                <w:highlight w:val="none"/>
              </w:rPr>
              <w:t>0</w:t>
            </w:r>
            <w:r>
              <w:rPr>
                <w:rFonts w:hint="eastAsia" w:ascii="仿宋" w:hAnsi="仿宋" w:eastAsia="仿宋"/>
                <w:b/>
                <w:color w:val="auto"/>
                <w:sz w:val="28"/>
                <w:szCs w:val="24"/>
                <w:highlight w:val="none"/>
                <w:lang w:val="en-US" w:eastAsia="zh-CN"/>
              </w:rPr>
              <w:t>1</w:t>
            </w:r>
            <w:r>
              <w:rPr>
                <w:rFonts w:hint="eastAsia" w:ascii="仿宋" w:hAnsi="仿宋" w:eastAsia="仿宋"/>
                <w:b/>
                <w:color w:val="auto"/>
                <w:sz w:val="28"/>
                <w:szCs w:val="24"/>
                <w:highlight w:val="none"/>
              </w:rPr>
              <w:t>.</w:t>
            </w:r>
            <w:r>
              <w:rPr>
                <w:rFonts w:hint="eastAsia" w:ascii="仿宋" w:hAnsi="仿宋" w:eastAsia="仿宋"/>
                <w:b/>
                <w:color w:val="auto"/>
                <w:sz w:val="28"/>
                <w:szCs w:val="24"/>
                <w:highlight w:val="none"/>
                <w:lang w:val="en-US" w:eastAsia="zh-CN"/>
              </w:rPr>
              <w:t>促进搬迁群众</w:t>
            </w:r>
            <w:r>
              <w:rPr>
                <w:rFonts w:hint="eastAsia" w:ascii="仿宋" w:hAnsi="仿宋" w:eastAsia="仿宋"/>
                <w:b/>
                <w:color w:val="auto"/>
                <w:sz w:val="28"/>
                <w:szCs w:val="24"/>
                <w:highlight w:val="none"/>
              </w:rPr>
              <w:t>就业</w:t>
            </w:r>
            <w:r>
              <w:rPr>
                <w:rFonts w:hint="eastAsia" w:ascii="仿宋" w:hAnsi="仿宋" w:eastAsia="仿宋"/>
                <w:b/>
                <w:color w:val="auto"/>
                <w:sz w:val="28"/>
                <w:szCs w:val="24"/>
                <w:highlight w:val="none"/>
                <w:lang w:val="en-US" w:eastAsia="zh-CN"/>
              </w:rPr>
              <w:t>增收</w:t>
            </w:r>
          </w:p>
          <w:p>
            <w:pPr>
              <w:pStyle w:val="44"/>
              <w:keepNext w:val="0"/>
              <w:keepLines w:val="0"/>
              <w:pageBreakBefore w:val="0"/>
              <w:widowControl w:val="0"/>
              <w:kinsoku/>
              <w:wordWrap/>
              <w:overflowPunct/>
              <w:topLinePunct w:val="0"/>
              <w:autoSpaceDE/>
              <w:autoSpaceDN/>
              <w:bidi w:val="0"/>
              <w:adjustRightInd/>
              <w:snapToGrid w:val="0"/>
              <w:ind w:firstLine="560"/>
              <w:textAlignment w:val="auto"/>
              <w:rPr>
                <w:rFonts w:ascii="仿宋" w:hAnsi="仿宋" w:eastAsia="仿宋"/>
                <w:bCs/>
                <w:color w:val="auto"/>
                <w:sz w:val="28"/>
                <w:szCs w:val="24"/>
                <w:highlight w:val="none"/>
              </w:rPr>
            </w:pPr>
            <w:r>
              <w:rPr>
                <w:rFonts w:hint="eastAsia" w:ascii="仿宋" w:hAnsi="仿宋" w:eastAsia="仿宋"/>
                <w:bCs/>
                <w:color w:val="auto"/>
                <w:sz w:val="28"/>
                <w:szCs w:val="24"/>
                <w:highlight w:val="none"/>
                <w:lang w:eastAsia="zh-CN"/>
              </w:rPr>
              <w:t>通过大力开展技能培训、发展富民特色产业、加大就业促进力度、促进就地就近就业、大力推广以工代赈方式、扶持创业带动就业和统筹用好乡村公益性岗位。对未就业搬迁劳动力，</w:t>
            </w:r>
            <w:r>
              <w:rPr>
                <w:rFonts w:hint="eastAsia" w:ascii="仿宋" w:hAnsi="仿宋" w:eastAsia="仿宋"/>
                <w:bCs/>
                <w:color w:val="auto"/>
                <w:sz w:val="28"/>
                <w:szCs w:val="24"/>
                <w:highlight w:val="none"/>
              </w:rPr>
              <w:t>落实至少1次职业指导，3次核实岗位信息、1次免费培训的“131”搬迁群众就业帮扶体系，动态实现有劳动力的搬迁家庭至少1人就业</w:t>
            </w:r>
            <w:r>
              <w:rPr>
                <w:rFonts w:hint="eastAsia" w:ascii="仿宋" w:hAnsi="仿宋" w:eastAsia="仿宋"/>
                <w:bCs/>
                <w:color w:val="auto"/>
                <w:sz w:val="28"/>
                <w:szCs w:val="24"/>
                <w:highlight w:val="none"/>
                <w:lang w:eastAsia="zh-CN"/>
              </w:rPr>
              <w:t>，对家庭人口多且劳动力多的搬迁家庭，帮助其家庭实现更多人就业</w:t>
            </w:r>
            <w:r>
              <w:rPr>
                <w:rFonts w:hint="eastAsia" w:ascii="仿宋" w:hAnsi="仿宋" w:eastAsia="仿宋"/>
                <w:bCs/>
                <w:color w:val="auto"/>
                <w:sz w:val="28"/>
                <w:szCs w:val="24"/>
                <w:highlight w:val="none"/>
              </w:rPr>
              <w:t>。在800人以上安置点及其周边培育1个以上对口吸纳搬迁劳动力的农牧民合作社、种养大户、家庭农牧场、农村电商等经营主体，新增就地就近就业群众100人以上。</w:t>
            </w:r>
          </w:p>
          <w:p>
            <w:pPr>
              <w:pStyle w:val="44"/>
              <w:keepNext w:val="0"/>
              <w:keepLines w:val="0"/>
              <w:pageBreakBefore w:val="0"/>
              <w:widowControl w:val="0"/>
              <w:kinsoku/>
              <w:wordWrap/>
              <w:overflowPunct/>
              <w:topLinePunct w:val="0"/>
              <w:autoSpaceDE/>
              <w:autoSpaceDN/>
              <w:bidi w:val="0"/>
              <w:adjustRightInd/>
              <w:snapToGrid w:val="0"/>
              <w:ind w:firstLine="562"/>
              <w:textAlignment w:val="auto"/>
              <w:rPr>
                <w:rFonts w:ascii="仿宋" w:hAnsi="仿宋" w:eastAsia="仿宋"/>
                <w:b/>
                <w:color w:val="auto"/>
                <w:sz w:val="28"/>
                <w:szCs w:val="24"/>
                <w:highlight w:val="none"/>
              </w:rPr>
            </w:pPr>
            <w:r>
              <w:rPr>
                <w:rFonts w:hint="eastAsia" w:ascii="仿宋" w:hAnsi="仿宋" w:eastAsia="仿宋"/>
                <w:b/>
                <w:color w:val="auto"/>
                <w:sz w:val="28"/>
                <w:szCs w:val="24"/>
                <w:highlight w:val="none"/>
              </w:rPr>
              <w:t>0</w:t>
            </w:r>
            <w:r>
              <w:rPr>
                <w:rFonts w:hint="eastAsia" w:ascii="仿宋" w:hAnsi="仿宋" w:eastAsia="仿宋"/>
                <w:b/>
                <w:color w:val="auto"/>
                <w:sz w:val="28"/>
                <w:szCs w:val="24"/>
                <w:highlight w:val="none"/>
                <w:lang w:val="en-US" w:eastAsia="zh-CN"/>
              </w:rPr>
              <w:t>2</w:t>
            </w:r>
            <w:r>
              <w:rPr>
                <w:rFonts w:hint="eastAsia" w:ascii="仿宋" w:hAnsi="仿宋" w:eastAsia="仿宋"/>
                <w:b/>
                <w:color w:val="auto"/>
                <w:sz w:val="28"/>
                <w:szCs w:val="24"/>
                <w:highlight w:val="none"/>
              </w:rPr>
              <w:t>.完善</w:t>
            </w:r>
            <w:r>
              <w:rPr>
                <w:rFonts w:hint="eastAsia" w:ascii="仿宋" w:hAnsi="仿宋" w:eastAsia="仿宋"/>
                <w:b/>
                <w:color w:val="auto"/>
                <w:sz w:val="28"/>
                <w:szCs w:val="24"/>
                <w:highlight w:val="none"/>
                <w:lang w:val="en-US" w:eastAsia="zh-CN"/>
              </w:rPr>
              <w:t>安置点</w:t>
            </w:r>
            <w:r>
              <w:rPr>
                <w:rFonts w:hint="eastAsia" w:ascii="仿宋" w:hAnsi="仿宋" w:eastAsia="仿宋"/>
                <w:b/>
                <w:color w:val="auto"/>
                <w:sz w:val="28"/>
                <w:szCs w:val="24"/>
                <w:highlight w:val="none"/>
              </w:rPr>
              <w:t>配套设施和公共服务</w:t>
            </w:r>
          </w:p>
          <w:p>
            <w:pPr>
              <w:pStyle w:val="44"/>
              <w:keepNext w:val="0"/>
              <w:keepLines w:val="0"/>
              <w:pageBreakBefore w:val="0"/>
              <w:widowControl w:val="0"/>
              <w:kinsoku/>
              <w:wordWrap/>
              <w:overflowPunct/>
              <w:topLinePunct w:val="0"/>
              <w:autoSpaceDE/>
              <w:autoSpaceDN/>
              <w:bidi w:val="0"/>
              <w:adjustRightInd/>
              <w:snapToGrid w:val="0"/>
              <w:ind w:firstLine="560"/>
              <w:textAlignment w:val="auto"/>
              <w:rPr>
                <w:rFonts w:ascii="仿宋" w:hAnsi="仿宋" w:eastAsia="仿宋"/>
                <w:bCs/>
                <w:color w:val="auto"/>
                <w:sz w:val="28"/>
                <w:szCs w:val="24"/>
                <w:highlight w:val="none"/>
              </w:rPr>
            </w:pPr>
            <w:r>
              <w:rPr>
                <w:rFonts w:hint="eastAsia" w:ascii="仿宋" w:hAnsi="仿宋" w:eastAsia="仿宋"/>
                <w:bCs/>
                <w:color w:val="auto"/>
                <w:sz w:val="28"/>
                <w:szCs w:val="24"/>
                <w:highlight w:val="none"/>
                <w:lang w:val="en-US" w:eastAsia="zh-Hans"/>
              </w:rPr>
              <w:t>完善安置点路水电气讯等基础设施，实施标准化便民服务室、党群服务中心等项目。完善综合服务设施，新建易地扶贫群众文体活动广场。优化安置点学校点位布局，合理配套建设安置点医疗机构</w:t>
            </w:r>
            <w:r>
              <w:rPr>
                <w:rFonts w:hint="eastAsia" w:ascii="仿宋" w:hAnsi="仿宋" w:eastAsia="仿宋"/>
                <w:bCs/>
                <w:color w:val="auto"/>
                <w:sz w:val="28"/>
                <w:szCs w:val="24"/>
                <w:highlight w:val="none"/>
              </w:rPr>
              <w:t>。</w:t>
            </w:r>
          </w:p>
          <w:p>
            <w:pPr>
              <w:pStyle w:val="44"/>
              <w:keepNext w:val="0"/>
              <w:keepLines w:val="0"/>
              <w:pageBreakBefore w:val="0"/>
              <w:widowControl w:val="0"/>
              <w:kinsoku/>
              <w:wordWrap/>
              <w:overflowPunct/>
              <w:topLinePunct w:val="0"/>
              <w:autoSpaceDE/>
              <w:autoSpaceDN/>
              <w:bidi w:val="0"/>
              <w:adjustRightInd/>
              <w:snapToGrid w:val="0"/>
              <w:ind w:firstLine="562"/>
              <w:textAlignment w:val="auto"/>
              <w:rPr>
                <w:rFonts w:ascii="仿宋" w:hAnsi="仿宋" w:eastAsia="仿宋"/>
                <w:b/>
                <w:color w:val="auto"/>
                <w:sz w:val="28"/>
                <w:szCs w:val="24"/>
                <w:highlight w:val="none"/>
              </w:rPr>
            </w:pPr>
            <w:r>
              <w:rPr>
                <w:rFonts w:hint="eastAsia" w:ascii="仿宋" w:hAnsi="仿宋" w:eastAsia="仿宋"/>
                <w:b/>
                <w:color w:val="auto"/>
                <w:sz w:val="28"/>
                <w:szCs w:val="24"/>
                <w:highlight w:val="none"/>
              </w:rPr>
              <w:t>03.提升</w:t>
            </w:r>
            <w:r>
              <w:rPr>
                <w:rFonts w:hint="eastAsia" w:ascii="仿宋" w:hAnsi="仿宋" w:eastAsia="仿宋"/>
                <w:b/>
                <w:color w:val="auto"/>
                <w:sz w:val="28"/>
                <w:szCs w:val="24"/>
                <w:highlight w:val="none"/>
                <w:lang w:eastAsia="zh-CN"/>
              </w:rPr>
              <w:t>安置点</w:t>
            </w:r>
            <w:r>
              <w:rPr>
                <w:rFonts w:hint="eastAsia" w:ascii="仿宋" w:hAnsi="仿宋" w:eastAsia="仿宋"/>
                <w:b/>
                <w:color w:val="auto"/>
                <w:sz w:val="28"/>
                <w:szCs w:val="24"/>
                <w:highlight w:val="none"/>
              </w:rPr>
              <w:t>治理水平</w:t>
            </w:r>
          </w:p>
          <w:p>
            <w:pPr>
              <w:pStyle w:val="44"/>
              <w:keepNext w:val="0"/>
              <w:keepLines w:val="0"/>
              <w:pageBreakBefore w:val="0"/>
              <w:widowControl w:val="0"/>
              <w:kinsoku/>
              <w:wordWrap/>
              <w:overflowPunct/>
              <w:topLinePunct w:val="0"/>
              <w:autoSpaceDE/>
              <w:autoSpaceDN/>
              <w:bidi w:val="0"/>
              <w:adjustRightInd/>
              <w:snapToGrid w:val="0"/>
              <w:spacing w:line="360" w:lineRule="auto"/>
              <w:ind w:firstLine="560"/>
              <w:textAlignment w:val="auto"/>
              <w:rPr>
                <w:rFonts w:hint="default" w:ascii="仿宋" w:hAnsi="仿宋" w:eastAsia="仿宋"/>
                <w:b/>
                <w:color w:val="auto"/>
                <w:sz w:val="28"/>
                <w:szCs w:val="24"/>
                <w:highlight w:val="none"/>
                <w:lang w:val="en-US" w:eastAsia="zh-CN"/>
              </w:rPr>
            </w:pPr>
            <w:r>
              <w:rPr>
                <w:rFonts w:hint="eastAsia" w:ascii="仿宋" w:hAnsi="仿宋" w:eastAsia="仿宋"/>
                <w:bCs/>
                <w:color w:val="auto"/>
                <w:sz w:val="28"/>
                <w:szCs w:val="24"/>
                <w:highlight w:val="none"/>
              </w:rPr>
              <w:t>深入推进易地扶贫搬迁安置点乡村治理专项行动</w:t>
            </w:r>
            <w:r>
              <w:rPr>
                <w:rFonts w:hint="default" w:ascii="仿宋" w:hAnsi="仿宋" w:eastAsia="仿宋"/>
                <w:bCs/>
                <w:color w:val="auto"/>
                <w:sz w:val="28"/>
                <w:szCs w:val="24"/>
                <w:highlight w:val="none"/>
              </w:rPr>
              <w:t>，</w:t>
            </w:r>
            <w:r>
              <w:rPr>
                <w:rFonts w:hint="eastAsia" w:ascii="仿宋" w:hAnsi="仿宋" w:eastAsia="仿宋"/>
                <w:bCs/>
                <w:color w:val="auto"/>
                <w:sz w:val="28"/>
                <w:szCs w:val="24"/>
                <w:highlight w:val="none"/>
              </w:rPr>
              <w:t>培养吸纳一批搬迁群众进入基层治理组织，积极引导搬迁群众参与社区治理。</w:t>
            </w:r>
            <w:r>
              <w:rPr>
                <w:rFonts w:hint="eastAsia" w:ascii="仿宋" w:hAnsi="仿宋" w:eastAsia="仿宋"/>
                <w:bCs/>
                <w:color w:val="auto"/>
                <w:sz w:val="28"/>
                <w:szCs w:val="24"/>
                <w:highlight w:val="none"/>
                <w:lang w:val="en-US" w:eastAsia="zh-CN"/>
              </w:rPr>
              <w:t>进一步加强对安置点搬迁群众法制意识的培训，强化对搬迁群众乡村治理各类政策的宣传力度</w:t>
            </w:r>
            <w:r>
              <w:rPr>
                <w:rFonts w:hint="eastAsia" w:ascii="仿宋" w:hAnsi="仿宋" w:eastAsia="仿宋"/>
                <w:bCs/>
                <w:color w:val="auto"/>
                <w:sz w:val="28"/>
                <w:szCs w:val="24"/>
                <w:highlight w:val="none"/>
              </w:rPr>
              <w:t>。党组织下自治、法治、德治相结合的安置点治理体系不断健全完善，政府、市场、社会</w:t>
            </w:r>
            <w:r>
              <w:rPr>
                <w:rFonts w:hint="eastAsia" w:ascii="仿宋" w:hAnsi="仿宋" w:eastAsia="仿宋"/>
                <w:bCs/>
                <w:color w:val="auto"/>
                <w:sz w:val="28"/>
                <w:szCs w:val="24"/>
                <w:highlight w:val="none"/>
                <w:lang w:val="en-US" w:eastAsia="zh-CN"/>
              </w:rPr>
              <w:t>多</w:t>
            </w:r>
            <w:r>
              <w:rPr>
                <w:rFonts w:hint="eastAsia" w:ascii="仿宋" w:hAnsi="仿宋" w:eastAsia="仿宋"/>
                <w:bCs/>
                <w:color w:val="auto"/>
                <w:sz w:val="28"/>
                <w:szCs w:val="24"/>
                <w:highlight w:val="none"/>
              </w:rPr>
              <w:t>方参与的安置点服务格局基本建立，搬迁群众社会融入进一步实现，获得感、幸福感、安全感进一步提升。</w:t>
            </w:r>
          </w:p>
        </w:tc>
      </w:tr>
    </w:tbl>
    <w:p>
      <w:pPr>
        <w:pStyle w:val="10"/>
        <w:rPr>
          <w:color w:val="auto"/>
        </w:rPr>
      </w:pPr>
    </w:p>
    <w:p>
      <w:pPr>
        <w:pStyle w:val="4"/>
        <w:tabs>
          <w:tab w:val="clear" w:pos="0"/>
        </w:tabs>
        <w:suppressAutoHyphens w:val="0"/>
        <w:spacing w:after="240" w:line="578" w:lineRule="auto"/>
        <w:jc w:val="both"/>
        <w:rPr>
          <w:rFonts w:hint="eastAsia" w:ascii="黑体" w:hAnsi="黑体" w:eastAsia="黑体"/>
          <w:b w:val="0"/>
          <w:bCs w:val="0"/>
          <w:color w:val="auto"/>
          <w:kern w:val="2"/>
          <w:sz w:val="32"/>
          <w:szCs w:val="32"/>
          <w:highlight w:val="none"/>
        </w:rPr>
        <w:sectPr>
          <w:pgSz w:w="11906" w:h="16838"/>
          <w:pgMar w:top="1440" w:right="1800" w:bottom="1440" w:left="1800" w:header="851" w:footer="992" w:gutter="0"/>
          <w:pgNumType w:fmt="decimal"/>
          <w:cols w:space="425" w:num="1"/>
          <w:docGrid w:type="lines" w:linePitch="312" w:charSpace="0"/>
        </w:sectPr>
      </w:pPr>
    </w:p>
    <w:p>
      <w:pPr>
        <w:pStyle w:val="4"/>
        <w:tabs>
          <w:tab w:val="clear" w:pos="0"/>
        </w:tabs>
        <w:suppressAutoHyphens w:val="0"/>
        <w:spacing w:after="240" w:line="578" w:lineRule="auto"/>
        <w:jc w:val="center"/>
        <w:rPr>
          <w:rFonts w:hint="default" w:ascii="黑体" w:hAnsi="黑体" w:eastAsia="黑体"/>
          <w:b w:val="0"/>
          <w:bCs w:val="0"/>
          <w:color w:val="auto"/>
          <w:kern w:val="2"/>
          <w:sz w:val="32"/>
          <w:szCs w:val="32"/>
          <w:highlight w:val="none"/>
          <w:lang w:val="en-US" w:eastAsia="zh-CN"/>
        </w:rPr>
      </w:pPr>
      <w:bookmarkStart w:id="77" w:name="_Toc31285"/>
      <w:bookmarkStart w:id="78" w:name="_Toc15402"/>
      <w:bookmarkStart w:id="79" w:name="_Toc7781"/>
      <w:r>
        <w:rPr>
          <w:rFonts w:hint="eastAsia" w:ascii="黑体" w:hAnsi="黑体" w:eastAsia="黑体"/>
          <w:b w:val="0"/>
          <w:bCs w:val="0"/>
          <w:color w:val="auto"/>
          <w:kern w:val="2"/>
          <w:sz w:val="32"/>
          <w:szCs w:val="32"/>
          <w:highlight w:val="none"/>
        </w:rPr>
        <w:t>第</w:t>
      </w:r>
      <w:r>
        <w:rPr>
          <w:rFonts w:hint="eastAsia" w:ascii="黑体" w:hAnsi="黑体" w:eastAsia="黑体"/>
          <w:b w:val="0"/>
          <w:bCs w:val="0"/>
          <w:color w:val="auto"/>
          <w:kern w:val="2"/>
          <w:sz w:val="32"/>
          <w:szCs w:val="32"/>
          <w:highlight w:val="none"/>
          <w:lang w:val="en-US" w:eastAsia="zh-CN"/>
        </w:rPr>
        <w:t>六</w:t>
      </w:r>
      <w:r>
        <w:rPr>
          <w:rFonts w:hint="eastAsia" w:ascii="黑体" w:hAnsi="黑体" w:eastAsia="黑体"/>
          <w:b w:val="0"/>
          <w:bCs w:val="0"/>
          <w:color w:val="auto"/>
          <w:kern w:val="2"/>
          <w:sz w:val="32"/>
          <w:szCs w:val="32"/>
          <w:highlight w:val="none"/>
        </w:rPr>
        <w:t xml:space="preserve">章 </w:t>
      </w:r>
      <w:r>
        <w:rPr>
          <w:rFonts w:ascii="黑体" w:hAnsi="黑体" w:eastAsia="黑体"/>
          <w:b w:val="0"/>
          <w:bCs w:val="0"/>
          <w:color w:val="auto"/>
          <w:kern w:val="2"/>
          <w:sz w:val="32"/>
          <w:szCs w:val="32"/>
          <w:highlight w:val="none"/>
        </w:rPr>
        <w:t xml:space="preserve"> </w:t>
      </w:r>
      <w:r>
        <w:rPr>
          <w:rFonts w:hint="eastAsia" w:ascii="黑体" w:hAnsi="黑体" w:eastAsia="黑体"/>
          <w:b w:val="0"/>
          <w:bCs w:val="0"/>
          <w:color w:val="auto"/>
          <w:kern w:val="2"/>
          <w:sz w:val="32"/>
          <w:szCs w:val="32"/>
          <w:highlight w:val="none"/>
        </w:rPr>
        <w:t>提升</w:t>
      </w:r>
      <w:r>
        <w:rPr>
          <w:rFonts w:hint="eastAsia" w:ascii="黑体" w:hAnsi="黑体" w:eastAsia="黑体"/>
          <w:b w:val="0"/>
          <w:bCs w:val="0"/>
          <w:color w:val="auto"/>
          <w:kern w:val="2"/>
          <w:sz w:val="32"/>
          <w:szCs w:val="32"/>
          <w:highlight w:val="none"/>
          <w:lang w:val="en-US" w:eastAsia="zh-CN"/>
        </w:rPr>
        <w:t>乡村</w:t>
      </w:r>
      <w:r>
        <w:rPr>
          <w:rFonts w:hint="eastAsia" w:ascii="黑体" w:hAnsi="黑体" w:eastAsia="黑体"/>
          <w:b w:val="0"/>
          <w:bCs w:val="0"/>
          <w:color w:val="auto"/>
          <w:kern w:val="2"/>
          <w:sz w:val="32"/>
          <w:szCs w:val="32"/>
          <w:highlight w:val="none"/>
        </w:rPr>
        <w:t>富民特色产业</w:t>
      </w:r>
      <w:bookmarkEnd w:id="77"/>
      <w:bookmarkEnd w:id="78"/>
      <w:r>
        <w:rPr>
          <w:rFonts w:hint="eastAsia" w:ascii="黑体" w:hAnsi="黑体" w:eastAsia="黑体"/>
          <w:b w:val="0"/>
          <w:bCs w:val="0"/>
          <w:color w:val="auto"/>
          <w:kern w:val="2"/>
          <w:sz w:val="32"/>
          <w:szCs w:val="32"/>
          <w:highlight w:val="none"/>
          <w:lang w:eastAsia="zh-CN"/>
        </w:rPr>
        <w:t>，</w:t>
      </w:r>
      <w:r>
        <w:rPr>
          <w:rFonts w:hint="eastAsia" w:ascii="黑体" w:hAnsi="黑体" w:eastAsia="黑体"/>
          <w:b w:val="0"/>
          <w:bCs w:val="0"/>
          <w:color w:val="auto"/>
          <w:kern w:val="2"/>
          <w:sz w:val="32"/>
          <w:szCs w:val="32"/>
          <w:highlight w:val="none"/>
          <w:lang w:val="en-US" w:eastAsia="zh-CN"/>
        </w:rPr>
        <w:t>推进脱贫人口稳岗就业</w:t>
      </w:r>
      <w:bookmarkEnd w:id="79"/>
    </w:p>
    <w:p>
      <w:pPr>
        <w:keepNext w:val="0"/>
        <w:keepLines w:val="0"/>
        <w:pageBreakBefore w:val="0"/>
        <w:widowControl w:val="0"/>
        <w:kinsoku/>
        <w:wordWrap/>
        <w:overflowPunct/>
        <w:topLinePunct w:val="0"/>
        <w:autoSpaceDE/>
        <w:autoSpaceDN/>
        <w:bidi w:val="0"/>
        <w:adjustRightInd/>
        <w:snapToGrid w:val="0"/>
        <w:ind w:firstLine="640" w:firstLineChars="200"/>
        <w:textAlignment w:val="auto"/>
        <w:rPr>
          <w:rFonts w:hint="default" w:ascii="仿宋" w:hAnsi="仿宋" w:cs="仿宋_GB2312"/>
          <w:bCs/>
          <w:color w:val="auto"/>
          <w:highlight w:val="none"/>
          <w:lang w:val="en-US" w:eastAsia="zh-CN"/>
        </w:rPr>
      </w:pPr>
      <w:r>
        <w:rPr>
          <w:rFonts w:hint="eastAsia" w:ascii="仿宋" w:hAnsi="仿宋" w:cs="仿宋_GB2312"/>
          <w:bCs/>
          <w:color w:val="auto"/>
          <w:highlight w:val="none"/>
          <w:lang w:val="en-US" w:eastAsia="zh-CN"/>
        </w:rPr>
        <w:t>立足州域资源禀赋和市场需求，</w:t>
      </w:r>
      <w:r>
        <w:rPr>
          <w:rFonts w:hint="eastAsia" w:ascii="仿宋" w:hAnsi="仿宋" w:cs="仿宋_GB2312"/>
          <w:b w:val="0"/>
          <w:bCs/>
          <w:color w:val="auto"/>
          <w:highlight w:val="none"/>
          <w:lang w:val="en-US" w:eastAsia="zh-CN"/>
        </w:rPr>
        <w:t>树立大食物观，构建多元化食物供给体系，</w:t>
      </w:r>
      <w:r>
        <w:rPr>
          <w:rFonts w:hint="eastAsia" w:ascii="仿宋" w:hAnsi="仿宋" w:cs="仿宋_GB2312"/>
          <w:bCs/>
          <w:color w:val="auto"/>
          <w:highlight w:val="none"/>
          <w:lang w:val="en-US" w:eastAsia="zh-CN"/>
        </w:rPr>
        <w:t>围绕“三江六带”</w:t>
      </w:r>
      <w:r>
        <w:rPr>
          <w:rFonts w:hint="eastAsia" w:ascii="仿宋" w:hAnsi="仿宋" w:cs="仿宋_GB2312"/>
          <w:b w:val="0"/>
          <w:bCs/>
          <w:color w:val="auto"/>
          <w:highlight w:val="none"/>
          <w:lang w:val="en-US" w:eastAsia="zh-CN"/>
        </w:rPr>
        <w:t>现代农业产业带，依托现代农业“10＋2”产业体系，</w:t>
      </w:r>
      <w:r>
        <w:rPr>
          <w:rFonts w:hint="eastAsia" w:ascii="仿宋" w:hAnsi="仿宋" w:cs="仿宋_GB2312"/>
          <w:bCs/>
          <w:color w:val="auto"/>
          <w:highlight w:val="none"/>
        </w:rPr>
        <w:t>大力发展</w:t>
      </w:r>
      <w:r>
        <w:rPr>
          <w:rFonts w:hint="eastAsia" w:ascii="仿宋" w:hAnsi="仿宋" w:cs="仿宋_GB2312"/>
          <w:bCs/>
          <w:color w:val="auto"/>
          <w:highlight w:val="none"/>
          <w:lang w:val="en-US" w:eastAsia="zh-CN"/>
        </w:rPr>
        <w:t>高原特色农牧业</w:t>
      </w:r>
      <w:r>
        <w:rPr>
          <w:rFonts w:hint="eastAsia" w:ascii="仿宋" w:hAnsi="仿宋" w:cs="仿宋_GB2312"/>
          <w:bCs/>
          <w:color w:val="auto"/>
          <w:highlight w:val="none"/>
        </w:rPr>
        <w:t>，</w:t>
      </w:r>
      <w:r>
        <w:rPr>
          <w:rFonts w:hint="eastAsia" w:ascii="仿宋" w:hAnsi="仿宋" w:cs="仿宋_GB2312"/>
          <w:bCs/>
          <w:color w:val="auto"/>
          <w:highlight w:val="none"/>
          <w:lang w:val="en-US" w:eastAsia="zh-CN"/>
        </w:rPr>
        <w:t>实施</w:t>
      </w:r>
      <w:r>
        <w:rPr>
          <w:rFonts w:hint="eastAsia" w:ascii="仿宋" w:hAnsi="仿宋" w:cs="仿宋_GB2312"/>
          <w:bCs/>
          <w:color w:val="auto"/>
          <w:highlight w:val="none"/>
        </w:rPr>
        <w:t>高质量庭院经济</w:t>
      </w:r>
      <w:r>
        <w:rPr>
          <w:rFonts w:hint="eastAsia" w:ascii="仿宋" w:hAnsi="仿宋" w:cs="仿宋_GB2312"/>
          <w:bCs/>
          <w:color w:val="auto"/>
          <w:highlight w:val="none"/>
          <w:lang w:val="en-US" w:eastAsia="zh-CN"/>
        </w:rPr>
        <w:t>强农增收行动</w:t>
      </w:r>
      <w:r>
        <w:rPr>
          <w:rFonts w:hint="eastAsia" w:ascii="仿宋" w:hAnsi="仿宋" w:cs="仿宋_GB2312"/>
          <w:bCs/>
          <w:color w:val="auto"/>
          <w:highlight w:val="none"/>
          <w:lang w:eastAsia="zh-CN"/>
        </w:rPr>
        <w:t>，</w:t>
      </w:r>
      <w:r>
        <w:rPr>
          <w:rFonts w:hint="eastAsia" w:ascii="仿宋" w:hAnsi="仿宋" w:cs="仿宋_GB2312"/>
          <w:bCs/>
          <w:color w:val="auto"/>
          <w:highlight w:val="none"/>
        </w:rPr>
        <w:t>梯次建设现代农（林）业园区，建立联农带农利益联结机制，提升甘孜富民特色产业，为脱贫群众创造更多就业增收机会，促进农牧民稳定持续增收。</w:t>
      </w:r>
    </w:p>
    <w:p>
      <w:pPr>
        <w:pStyle w:val="5"/>
        <w:tabs>
          <w:tab w:val="clear" w:pos="0"/>
        </w:tabs>
        <w:suppressAutoHyphens w:val="0"/>
        <w:snapToGrid w:val="0"/>
        <w:spacing w:before="0" w:after="0" w:line="360" w:lineRule="auto"/>
        <w:ind w:firstLine="643" w:firstLineChars="200"/>
        <w:jc w:val="left"/>
        <w:rPr>
          <w:rFonts w:hint="eastAsia" w:ascii="楷体" w:hAnsi="楷体" w:eastAsia="楷体" w:cs="黑体"/>
          <w:bCs w:val="0"/>
          <w:color w:val="auto"/>
          <w:kern w:val="0"/>
          <w:highlight w:val="none"/>
        </w:rPr>
      </w:pPr>
      <w:bookmarkStart w:id="80" w:name="_Toc32620"/>
      <w:bookmarkStart w:id="81" w:name="_Toc3467"/>
      <w:bookmarkStart w:id="82" w:name="_Toc6964"/>
      <w:r>
        <w:rPr>
          <w:rFonts w:hint="eastAsia" w:ascii="楷体" w:hAnsi="楷体" w:eastAsia="楷体" w:cs="黑体"/>
          <w:bCs w:val="0"/>
          <w:color w:val="auto"/>
          <w:kern w:val="0"/>
          <w:highlight w:val="none"/>
        </w:rPr>
        <w:t>一、持续培育</w:t>
      </w:r>
      <w:r>
        <w:rPr>
          <w:rFonts w:hint="eastAsia" w:ascii="楷体" w:hAnsi="楷体" w:eastAsia="楷体" w:cs="黑体"/>
          <w:bCs w:val="0"/>
          <w:color w:val="auto"/>
          <w:kern w:val="0"/>
          <w:highlight w:val="none"/>
          <w:lang w:val="en-US" w:eastAsia="zh-CN"/>
        </w:rPr>
        <w:t>壮大</w:t>
      </w:r>
      <w:r>
        <w:rPr>
          <w:rFonts w:hint="eastAsia" w:ascii="楷体" w:hAnsi="楷体" w:eastAsia="楷体" w:cs="黑体"/>
          <w:bCs w:val="0"/>
          <w:color w:val="auto"/>
          <w:kern w:val="0"/>
          <w:highlight w:val="none"/>
        </w:rPr>
        <w:t>高原特色</w:t>
      </w:r>
      <w:r>
        <w:rPr>
          <w:rFonts w:hint="eastAsia" w:ascii="楷体" w:hAnsi="楷体" w:eastAsia="楷体" w:cs="黑体"/>
          <w:bCs w:val="0"/>
          <w:color w:val="auto"/>
          <w:kern w:val="0"/>
          <w:highlight w:val="none"/>
          <w:lang w:val="en-US" w:eastAsia="zh-CN"/>
        </w:rPr>
        <w:t>农牧</w:t>
      </w:r>
      <w:r>
        <w:rPr>
          <w:rFonts w:hint="eastAsia" w:ascii="楷体" w:hAnsi="楷体" w:eastAsia="楷体" w:cs="黑体"/>
          <w:bCs w:val="0"/>
          <w:color w:val="auto"/>
          <w:kern w:val="0"/>
          <w:highlight w:val="none"/>
        </w:rPr>
        <w:t>业</w:t>
      </w:r>
      <w:bookmarkEnd w:id="80"/>
      <w:bookmarkEnd w:id="81"/>
      <w:bookmarkEnd w:id="82"/>
    </w:p>
    <w:p>
      <w:pPr>
        <w:keepNext w:val="0"/>
        <w:keepLines w:val="0"/>
        <w:pageBreakBefore w:val="0"/>
        <w:widowControl w:val="0"/>
        <w:kinsoku/>
        <w:wordWrap/>
        <w:overflowPunct/>
        <w:topLinePunct w:val="0"/>
        <w:autoSpaceDE/>
        <w:autoSpaceDN/>
        <w:bidi w:val="0"/>
        <w:adjustRightInd/>
        <w:snapToGrid w:val="0"/>
        <w:ind w:firstLine="643" w:firstLineChars="200"/>
        <w:textAlignment w:val="auto"/>
        <w:rPr>
          <w:rFonts w:hint="default" w:ascii="仿宋" w:hAnsi="仿宋" w:cs="仿宋_GB2312"/>
          <w:b w:val="0"/>
          <w:bCs/>
          <w:color w:val="auto"/>
          <w:highlight w:val="none"/>
          <w:lang w:val="en-US" w:eastAsia="zh-CN"/>
        </w:rPr>
      </w:pPr>
      <w:r>
        <w:rPr>
          <w:rFonts w:hint="eastAsia" w:ascii="仿宋" w:hAnsi="仿宋" w:cs="仿宋_GB2312"/>
          <w:b/>
          <w:bCs w:val="0"/>
          <w:color w:val="auto"/>
          <w:highlight w:val="none"/>
          <w:lang w:val="en-US" w:eastAsia="zh-CN"/>
        </w:rPr>
        <w:t>壮大脱贫地区特色产业</w:t>
      </w:r>
      <w:r>
        <w:rPr>
          <w:rFonts w:hint="eastAsia" w:ascii="仿宋" w:hAnsi="仿宋" w:cs="仿宋_GB2312"/>
          <w:b w:val="0"/>
          <w:bCs/>
          <w:color w:val="auto"/>
          <w:highlight w:val="none"/>
          <w:lang w:val="en-US" w:eastAsia="zh-CN"/>
        </w:rPr>
        <w:t>。全面落实粮食安全党政同责，稳定提升粮食综合生产能力的总体要求，围绕“三高地带</w:t>
      </w:r>
      <w:r>
        <w:rPr>
          <w:rStyle w:val="30"/>
          <w:rFonts w:hint="eastAsia" w:ascii="仿宋" w:hAnsi="仿宋" w:cs="仿宋_GB2312"/>
          <w:b w:val="0"/>
          <w:bCs/>
          <w:color w:val="auto"/>
          <w:highlight w:val="none"/>
          <w:lang w:val="en-US" w:eastAsia="zh-CN"/>
        </w:rPr>
        <w:footnoteReference w:id="2"/>
      </w:r>
      <w:r>
        <w:rPr>
          <w:rFonts w:hint="eastAsia" w:ascii="仿宋" w:hAnsi="仿宋" w:cs="仿宋_GB2312"/>
          <w:b w:val="0"/>
          <w:bCs/>
          <w:color w:val="auto"/>
          <w:highlight w:val="none"/>
          <w:lang w:val="en-US" w:eastAsia="zh-CN"/>
        </w:rPr>
        <w:t>”与“三江六带”现代农业产业带</w:t>
      </w:r>
      <w:r>
        <w:rPr>
          <w:rStyle w:val="30"/>
          <w:rFonts w:hint="eastAsia" w:ascii="仿宋" w:hAnsi="仿宋" w:cs="仿宋_GB2312"/>
          <w:b w:val="0"/>
          <w:bCs/>
          <w:color w:val="auto"/>
          <w:highlight w:val="none"/>
          <w:lang w:val="en-US" w:eastAsia="zh-CN"/>
        </w:rPr>
        <w:footnoteReference w:id="3"/>
      </w:r>
      <w:r>
        <w:rPr>
          <w:rFonts w:hint="eastAsia" w:ascii="仿宋" w:hAnsi="仿宋" w:cs="仿宋_GB2312"/>
          <w:b w:val="0"/>
          <w:bCs/>
          <w:color w:val="auto"/>
          <w:highlight w:val="none"/>
          <w:lang w:val="en-US" w:eastAsia="zh-CN"/>
        </w:rPr>
        <w:t>，聚焦重点帮扶村、低收入村和无稳定主导产业带动的村，推动脱贫县编制实施产业发展规划，统筹分类推进脱贫地区产业后续长期培育，逐年稳步提高衔接资金用于产业的比重，衔接资金优先支持脱贫户、监测户、低收入户发展到户产业，持续发挥好脱贫人口小额信贷、“富民贷”等金融政策到户产业帮扶作用。建立脱贫地区年度产业扶持项目清单，与巩固拓展脱贫攻坚成果和乡村振兴项目库实现共建、共享、共用。</w:t>
      </w:r>
    </w:p>
    <w:p>
      <w:pPr>
        <w:keepNext w:val="0"/>
        <w:keepLines w:val="0"/>
        <w:pageBreakBefore w:val="0"/>
        <w:widowControl w:val="0"/>
        <w:kinsoku/>
        <w:wordWrap/>
        <w:overflowPunct/>
        <w:topLinePunct w:val="0"/>
        <w:autoSpaceDE/>
        <w:autoSpaceDN/>
        <w:bidi w:val="0"/>
        <w:adjustRightInd/>
        <w:snapToGrid w:val="0"/>
        <w:ind w:firstLine="643" w:firstLineChars="200"/>
        <w:textAlignment w:val="auto"/>
        <w:rPr>
          <w:rFonts w:hint="default" w:ascii="仿宋" w:hAnsi="仿宋" w:eastAsia="仿宋" w:cs="仿宋_GB2312"/>
          <w:b/>
          <w:bCs w:val="0"/>
          <w:color w:val="auto"/>
          <w:highlight w:val="none"/>
          <w:lang w:val="en-US" w:eastAsia="zh-CN"/>
        </w:rPr>
      </w:pPr>
      <w:r>
        <w:rPr>
          <w:rFonts w:hint="eastAsia" w:ascii="仿宋" w:hAnsi="仿宋" w:cs="仿宋_GB2312"/>
          <w:b/>
          <w:bCs w:val="0"/>
          <w:color w:val="auto"/>
          <w:highlight w:val="none"/>
          <w:lang w:val="en-US" w:eastAsia="zh-CN"/>
        </w:rPr>
        <w:t>实施高原特色农牧业提升行动</w:t>
      </w:r>
      <w:r>
        <w:rPr>
          <w:rFonts w:hint="eastAsia" w:ascii="仿宋" w:hAnsi="仿宋" w:cs="仿宋_GB2312"/>
          <w:bCs/>
          <w:color w:val="auto"/>
          <w:highlight w:val="none"/>
          <w:lang w:val="en-US" w:eastAsia="zh-CN"/>
        </w:rPr>
        <w:t>。</w:t>
      </w:r>
      <w:r>
        <w:rPr>
          <w:rFonts w:hint="eastAsia" w:ascii="仿宋" w:hAnsi="仿宋" w:cs="仿宋_GB2312"/>
          <w:bCs/>
          <w:color w:val="auto"/>
          <w:highlight w:val="none"/>
        </w:rPr>
        <w:t>立足“三江六带”流域空间布局、资源禀赋，打造高原现代农牧业基地，建设三江六带现代农业产业带，</w:t>
      </w:r>
      <w:r>
        <w:rPr>
          <w:rFonts w:hint="eastAsia" w:ascii="仿宋" w:hAnsi="仿宋" w:cs="仿宋_GB2312"/>
          <w:bCs/>
          <w:color w:val="auto"/>
          <w:highlight w:val="none"/>
          <w:lang w:val="en-US" w:eastAsia="zh-CN"/>
        </w:rPr>
        <w:t>建设牦牛产业集群。</w:t>
      </w:r>
      <w:r>
        <w:rPr>
          <w:rFonts w:hint="eastAsia" w:ascii="仿宋" w:hAnsi="仿宋" w:cs="仿宋_GB2312"/>
          <w:b w:val="0"/>
          <w:bCs/>
          <w:color w:val="auto"/>
          <w:highlight w:val="none"/>
          <w:lang w:val="en-US" w:eastAsia="zh-CN"/>
        </w:rPr>
        <w:t>依托高标准农田建设、产业提质增效绿色发展、循环利用工程等项目，以“川西北高原粮仓”为建设目标，推进18个县（市）建设一批生态、绿色、标准、高效的粮油、牦牛、藏猪、蔬菜、道地中药材、饲草料等标准化产业基地。在产业基础配套上建设一批区域性良种繁育基地。推进“一控两减三基本”项目建设，开展农作物病虫害统防统治工作，确保农产品质量安全。引导新型经营主体按照“有标采标、无标创标、全程贯标”的要求，着力构建现代农业全产业链标准化体系，辐射带动小农户开展标准化生产。</w:t>
      </w:r>
    </w:p>
    <w:p>
      <w:pPr>
        <w:keepNext w:val="0"/>
        <w:keepLines w:val="0"/>
        <w:pageBreakBefore w:val="0"/>
        <w:widowControl w:val="0"/>
        <w:kinsoku/>
        <w:wordWrap/>
        <w:overflowPunct/>
        <w:topLinePunct w:val="0"/>
        <w:autoSpaceDE/>
        <w:autoSpaceDN/>
        <w:bidi w:val="0"/>
        <w:adjustRightInd/>
        <w:snapToGrid w:val="0"/>
        <w:ind w:firstLine="643" w:firstLineChars="200"/>
        <w:textAlignment w:val="auto"/>
        <w:rPr>
          <w:rFonts w:hint="default" w:ascii="仿宋" w:hAnsi="仿宋" w:cs="仿宋_GB2312"/>
          <w:b w:val="0"/>
          <w:bCs/>
          <w:color w:val="auto"/>
          <w:highlight w:val="none"/>
          <w:lang w:val="en-US" w:eastAsia="zh-CN"/>
        </w:rPr>
      </w:pPr>
      <w:r>
        <w:rPr>
          <w:rFonts w:hint="eastAsia" w:ascii="仿宋" w:hAnsi="仿宋" w:cs="仿宋_GB2312"/>
          <w:b/>
          <w:bCs w:val="0"/>
          <w:color w:val="auto"/>
          <w:highlight w:val="none"/>
          <w:lang w:val="en-US" w:eastAsia="zh-CN"/>
        </w:rPr>
        <w:t>实施高质量庭院经济强农增收行动</w:t>
      </w:r>
      <w:r>
        <w:rPr>
          <w:rFonts w:hint="eastAsia" w:ascii="仿宋" w:hAnsi="仿宋" w:cs="仿宋_GB2312"/>
          <w:b w:val="0"/>
          <w:bCs/>
          <w:color w:val="auto"/>
          <w:highlight w:val="none"/>
          <w:lang w:val="en-US" w:eastAsia="zh-CN"/>
        </w:rPr>
        <w:t>。鼓励和引导脱贫户、监测户在符合用地政策前提下，利用房前屋后、房顶地下等闲置土地、空间及资源资产，发展小种植、小养殖、小田园、小加工、小商贸等“五小”经济。开展家庭试点，鼓励农牧民发展庭院特色种植、养殖，应用适合庭院种植的蔬菜、林果、花卉等品种，</w:t>
      </w:r>
      <w:r>
        <w:rPr>
          <w:rFonts w:hint="eastAsia" w:ascii="仿宋" w:hAnsi="仿宋" w:cs="仿宋_GB2312"/>
          <w:bCs/>
          <w:color w:val="auto"/>
          <w:highlight w:val="none"/>
        </w:rPr>
        <w:t>加大新品种、新技术试验推广，形成与大田作物差异化、互补性发展，填补市场空缺，提高种植效益，确保质量安全</w:t>
      </w:r>
      <w:r>
        <w:rPr>
          <w:rFonts w:hint="eastAsia" w:ascii="仿宋" w:hAnsi="仿宋" w:cs="仿宋_GB2312"/>
          <w:bCs/>
          <w:color w:val="auto"/>
          <w:highlight w:val="none"/>
          <w:lang w:eastAsia="zh-CN"/>
        </w:rPr>
        <w:t>；</w:t>
      </w:r>
      <w:r>
        <w:rPr>
          <w:rFonts w:hint="eastAsia" w:ascii="仿宋" w:hAnsi="仿宋" w:cs="仿宋_GB2312"/>
          <w:b w:val="0"/>
          <w:bCs/>
          <w:color w:val="auto"/>
          <w:highlight w:val="none"/>
          <w:lang w:val="en-US" w:eastAsia="zh-CN"/>
        </w:rPr>
        <w:t>应用适合庭院养殖的家禽、家畜等优良品种，优化养殖结构，应用养殖新技术、新模式，强化兽药、饲料及饲料添加剂等农业投入品科学使用指导，提高养殖效益。丰富群众“菜篮子”“果盘子”，实现降低生活支出促增收目标。立足甘孜乡村特色资源，发展庭院特色手工、休闲旅游、生产生活服务等，支持农牧民发展民居接待，实行文旅、农旅、牧旅结合，提供文化体验、观光游览和休闲度假等服务，拓宽增收途径。</w:t>
      </w:r>
    </w:p>
    <w:p>
      <w:pPr>
        <w:keepNext w:val="0"/>
        <w:keepLines w:val="0"/>
        <w:pageBreakBefore w:val="0"/>
        <w:widowControl w:val="0"/>
        <w:kinsoku/>
        <w:wordWrap/>
        <w:overflowPunct/>
        <w:topLinePunct w:val="0"/>
        <w:autoSpaceDE/>
        <w:autoSpaceDN/>
        <w:bidi w:val="0"/>
        <w:adjustRightInd/>
        <w:snapToGrid w:val="0"/>
        <w:ind w:firstLine="643" w:firstLineChars="200"/>
        <w:textAlignment w:val="auto"/>
        <w:rPr>
          <w:rFonts w:hint="default" w:ascii="仿宋" w:hAnsi="仿宋" w:cs="仿宋_GB2312"/>
          <w:b w:val="0"/>
          <w:bCs/>
          <w:color w:val="auto"/>
          <w:highlight w:val="none"/>
          <w:lang w:val="en-US" w:eastAsia="zh-CN"/>
        </w:rPr>
      </w:pPr>
      <w:r>
        <w:rPr>
          <w:rFonts w:hint="eastAsia" w:ascii="仿宋" w:hAnsi="仿宋" w:cs="仿宋_GB2312"/>
          <w:b/>
          <w:bCs w:val="0"/>
          <w:color w:val="auto"/>
          <w:highlight w:val="none"/>
          <w:lang w:val="en-US" w:eastAsia="zh-CN"/>
        </w:rPr>
        <w:t>推进农文旅融合发展</w:t>
      </w:r>
      <w:r>
        <w:rPr>
          <w:rFonts w:hint="eastAsia" w:ascii="仿宋" w:hAnsi="仿宋" w:cs="仿宋_GB2312"/>
          <w:b w:val="0"/>
          <w:bCs/>
          <w:color w:val="auto"/>
          <w:highlight w:val="none"/>
          <w:lang w:val="en-US" w:eastAsia="zh-CN"/>
        </w:rPr>
        <w:t>。依托农村特色资源，推进农业与旅游、文化、教育、康养、体育等深度融合，大力发展休闲农业、乡村旅游、文化体验、健康养老、农村电商、文旅研学等新产业新业态。推进脱贫地区乡村文化和旅游产业提质增效和转型升级行动，深入挖掘农村非物质文化遗产与特色自然景观资源，对有价值的传统文化村落、古民宅和民族特色村镇等进行适度开发，打造推出一批精品文化遗产旅游景区、景点和线路。加大唐卡、民族金属手工艺、石刻、牛羊绒编织等产品开发力度，建设乡村特色文化产业基地，开展农耕文化与历史文化相结合的研学教育行动，建设教育劳动实践基地。实施乡村休闲旅游精品工程，大力开发休闲度假游、观光避暑游、自驾骑行游、民俗文化游、康养休闲游、红色文化体验游等特色旅游产品，积极推进种养循环经济试点示范和田园综合体试点建设，拓展农牧业发展新模式。改造提升一批美丽休闲乡村、农业主题公园，支持创建一批乡村振兴先行示范村、天府旅游名镇、天府旅游名村，着力完善旅游配套设施和服务功能，加大品牌宣传力度，打响甘孜“五张名片”。</w:t>
      </w:r>
    </w:p>
    <w:p>
      <w:pPr>
        <w:keepNext w:val="0"/>
        <w:keepLines w:val="0"/>
        <w:pageBreakBefore w:val="0"/>
        <w:widowControl w:val="0"/>
        <w:kinsoku/>
        <w:wordWrap/>
        <w:overflowPunct/>
        <w:topLinePunct w:val="0"/>
        <w:autoSpaceDE/>
        <w:autoSpaceDN/>
        <w:bidi w:val="0"/>
        <w:adjustRightInd/>
        <w:snapToGrid w:val="0"/>
        <w:ind w:firstLine="643" w:firstLineChars="200"/>
        <w:textAlignment w:val="auto"/>
        <w:rPr>
          <w:rFonts w:hint="default" w:ascii="仿宋" w:hAnsi="仿宋" w:eastAsia="仿宋" w:cs="仿宋_GB2312"/>
          <w:bCs/>
          <w:color w:val="auto"/>
          <w:highlight w:val="none"/>
          <w:lang w:val="en-US" w:eastAsia="zh-CN"/>
        </w:rPr>
      </w:pPr>
      <w:r>
        <w:rPr>
          <w:rFonts w:hint="eastAsia" w:ascii="仿宋" w:hAnsi="仿宋" w:cs="仿宋_GB2312"/>
          <w:b/>
          <w:bCs w:val="0"/>
          <w:color w:val="auto"/>
          <w:highlight w:val="none"/>
          <w:lang w:val="en-US" w:eastAsia="zh-CN"/>
        </w:rPr>
        <w:t>培育创建现代农（林）业园区</w:t>
      </w:r>
      <w:r>
        <w:rPr>
          <w:rFonts w:hint="eastAsia" w:ascii="仿宋" w:hAnsi="仿宋" w:cs="仿宋_GB2312"/>
          <w:bCs/>
          <w:color w:val="auto"/>
          <w:highlight w:val="none"/>
          <w:lang w:val="en-US" w:eastAsia="zh-CN"/>
        </w:rPr>
        <w:t>。以完善二、三产业为重点，健全脱贫地区优势特色产业生产链条，推动产业园区化发展。围绕</w:t>
      </w:r>
      <w:r>
        <w:rPr>
          <w:rFonts w:hint="eastAsia" w:ascii="仿宋" w:hAnsi="仿宋" w:cs="仿宋_GB2312"/>
          <w:bCs/>
          <w:color w:val="auto"/>
          <w:highlight w:val="none"/>
        </w:rPr>
        <w:t>“1</w:t>
      </w:r>
      <w:r>
        <w:rPr>
          <w:rFonts w:hint="eastAsia" w:ascii="仿宋" w:hAnsi="仿宋" w:cs="仿宋_GB2312"/>
          <w:bCs/>
          <w:color w:val="auto"/>
          <w:highlight w:val="none"/>
          <w:lang w:eastAsia="zh-CN"/>
        </w:rPr>
        <w:t>＋</w:t>
      </w:r>
      <w:r>
        <w:rPr>
          <w:rFonts w:hint="eastAsia" w:ascii="仿宋" w:hAnsi="仿宋" w:cs="仿宋_GB2312"/>
          <w:bCs/>
          <w:color w:val="auto"/>
          <w:highlight w:val="none"/>
          <w:lang w:val="en-US" w:eastAsia="zh-CN"/>
        </w:rPr>
        <w:t>10</w:t>
      </w:r>
      <w:r>
        <w:rPr>
          <w:rFonts w:hint="eastAsia" w:ascii="仿宋" w:hAnsi="仿宋" w:cs="仿宋_GB2312"/>
          <w:bCs/>
          <w:color w:val="auto"/>
          <w:highlight w:val="none"/>
          <w:lang w:eastAsia="zh-CN"/>
        </w:rPr>
        <w:t>＋</w:t>
      </w:r>
      <w:r>
        <w:rPr>
          <w:rFonts w:hint="eastAsia" w:ascii="仿宋" w:hAnsi="仿宋" w:cs="仿宋_GB2312"/>
          <w:bCs/>
          <w:color w:val="auto"/>
          <w:highlight w:val="none"/>
          <w:lang w:val="en-US" w:eastAsia="zh-CN"/>
        </w:rPr>
        <w:t>30</w:t>
      </w:r>
      <w:r>
        <w:rPr>
          <w:rFonts w:hint="eastAsia" w:ascii="仿宋" w:hAnsi="仿宋" w:cs="仿宋_GB2312"/>
          <w:bCs/>
          <w:color w:val="auto"/>
          <w:highlight w:val="none"/>
          <w:lang w:eastAsia="zh-CN"/>
        </w:rPr>
        <w:t>＋</w:t>
      </w:r>
      <w:r>
        <w:rPr>
          <w:rFonts w:hint="eastAsia" w:ascii="仿宋" w:hAnsi="仿宋" w:cs="仿宋_GB2312"/>
          <w:bCs/>
          <w:color w:val="auto"/>
          <w:highlight w:val="none"/>
        </w:rPr>
        <w:t>N”梯级高原生态特色现代农</w:t>
      </w:r>
      <w:r>
        <w:rPr>
          <w:rFonts w:hint="eastAsia" w:ascii="仿宋" w:hAnsi="仿宋" w:cs="仿宋_GB2312"/>
          <w:bCs/>
          <w:color w:val="auto"/>
          <w:highlight w:val="none"/>
          <w:lang w:eastAsia="zh-CN"/>
        </w:rPr>
        <w:t>（</w:t>
      </w:r>
      <w:r>
        <w:rPr>
          <w:rFonts w:hint="eastAsia" w:ascii="仿宋" w:hAnsi="仿宋" w:cs="仿宋_GB2312"/>
          <w:bCs/>
          <w:color w:val="auto"/>
          <w:highlight w:val="none"/>
          <w:lang w:val="en-US" w:eastAsia="zh-CN"/>
        </w:rPr>
        <w:t>林</w:t>
      </w:r>
      <w:r>
        <w:rPr>
          <w:rFonts w:hint="eastAsia" w:ascii="仿宋" w:hAnsi="仿宋" w:cs="仿宋_GB2312"/>
          <w:bCs/>
          <w:color w:val="auto"/>
          <w:highlight w:val="none"/>
          <w:lang w:eastAsia="zh-CN"/>
        </w:rPr>
        <w:t>）</w:t>
      </w:r>
      <w:r>
        <w:rPr>
          <w:rFonts w:hint="eastAsia" w:ascii="仿宋" w:hAnsi="仿宋" w:cs="仿宋_GB2312"/>
          <w:bCs/>
          <w:color w:val="auto"/>
          <w:highlight w:val="none"/>
        </w:rPr>
        <w:t>业园区发展格局</w:t>
      </w:r>
      <w:r>
        <w:rPr>
          <w:rFonts w:hint="eastAsia" w:ascii="仿宋" w:hAnsi="仿宋" w:cs="仿宋_GB2312"/>
          <w:bCs/>
          <w:color w:val="auto"/>
          <w:highlight w:val="none"/>
          <w:lang w:eastAsia="zh-CN"/>
        </w:rPr>
        <w:t>，</w:t>
      </w:r>
      <w:r>
        <w:rPr>
          <w:rFonts w:hint="eastAsia" w:ascii="仿宋" w:hAnsi="仿宋" w:cs="仿宋_GB2312"/>
          <w:bCs/>
          <w:color w:val="auto"/>
          <w:highlight w:val="none"/>
          <w:lang w:val="en-US" w:eastAsia="zh-CN"/>
        </w:rPr>
        <w:t>支持脱贫地区建设</w:t>
      </w:r>
      <w:r>
        <w:rPr>
          <w:rFonts w:hint="eastAsia" w:ascii="仿宋" w:hAnsi="仿宋" w:cs="仿宋_GB2312"/>
          <w:bCs/>
          <w:color w:val="auto"/>
          <w:highlight w:val="none"/>
        </w:rPr>
        <w:t>现代农</w:t>
      </w:r>
      <w:r>
        <w:rPr>
          <w:rFonts w:hint="eastAsia" w:ascii="仿宋" w:hAnsi="仿宋" w:cs="仿宋_GB2312"/>
          <w:bCs/>
          <w:color w:val="auto"/>
          <w:highlight w:val="none"/>
          <w:lang w:eastAsia="zh-CN"/>
        </w:rPr>
        <w:t>（</w:t>
      </w:r>
      <w:r>
        <w:rPr>
          <w:rFonts w:hint="eastAsia" w:ascii="仿宋" w:hAnsi="仿宋" w:cs="仿宋_GB2312"/>
          <w:bCs/>
          <w:color w:val="auto"/>
          <w:highlight w:val="none"/>
          <w:lang w:val="en-US" w:eastAsia="zh-CN"/>
        </w:rPr>
        <w:t>林</w:t>
      </w:r>
      <w:r>
        <w:rPr>
          <w:rFonts w:hint="eastAsia" w:ascii="仿宋" w:hAnsi="仿宋" w:cs="仿宋_GB2312"/>
          <w:bCs/>
          <w:color w:val="auto"/>
          <w:highlight w:val="none"/>
          <w:lang w:eastAsia="zh-CN"/>
        </w:rPr>
        <w:t>）</w:t>
      </w:r>
      <w:r>
        <w:rPr>
          <w:rFonts w:hint="eastAsia" w:ascii="仿宋" w:hAnsi="仿宋" w:cs="仿宋_GB2312"/>
          <w:bCs/>
          <w:color w:val="auto"/>
          <w:highlight w:val="none"/>
        </w:rPr>
        <w:t>业园区、农业科技园区、农村产业融合发展示范园。</w:t>
      </w:r>
      <w:r>
        <w:rPr>
          <w:rFonts w:hint="eastAsia" w:ascii="仿宋" w:hAnsi="仿宋" w:cs="仿宋_GB2312"/>
          <w:bCs/>
          <w:color w:val="auto"/>
          <w:highlight w:val="none"/>
          <w:lang w:val="en-US" w:eastAsia="zh-CN"/>
        </w:rPr>
        <w:t>支持脱贫地区依托优势特色产业，开展农产品精深加工提升行动，建设特色农产品加工园区，提升产业链价值和农产品附加值，推动脱贫地区由卖原字号向卖制成品或半成品转变，把“增加值”更多留在县域。</w:t>
      </w:r>
    </w:p>
    <w:p>
      <w:pPr>
        <w:pStyle w:val="5"/>
        <w:tabs>
          <w:tab w:val="clear" w:pos="0"/>
        </w:tabs>
        <w:suppressAutoHyphens w:val="0"/>
        <w:snapToGrid w:val="0"/>
        <w:spacing w:before="0" w:after="0" w:line="360" w:lineRule="auto"/>
        <w:ind w:firstLine="643" w:firstLineChars="200"/>
        <w:jc w:val="left"/>
        <w:rPr>
          <w:rFonts w:hint="eastAsia" w:ascii="楷体" w:hAnsi="楷体" w:eastAsia="楷体" w:cs="黑体"/>
          <w:bCs w:val="0"/>
          <w:color w:val="auto"/>
          <w:kern w:val="0"/>
          <w:highlight w:val="none"/>
        </w:rPr>
      </w:pPr>
      <w:bookmarkStart w:id="83" w:name="_Toc27269"/>
      <w:bookmarkStart w:id="84" w:name="_Toc31480"/>
      <w:bookmarkStart w:id="85" w:name="_Toc23237"/>
      <w:r>
        <w:rPr>
          <w:rFonts w:hint="eastAsia" w:ascii="楷体" w:hAnsi="楷体" w:eastAsia="楷体" w:cs="黑体"/>
          <w:bCs w:val="0"/>
          <w:color w:val="auto"/>
          <w:kern w:val="0"/>
          <w:highlight w:val="none"/>
          <w:lang w:val="en-US" w:eastAsia="zh-CN"/>
        </w:rPr>
        <w:t>二</w:t>
      </w:r>
      <w:r>
        <w:rPr>
          <w:rFonts w:hint="eastAsia" w:ascii="楷体" w:hAnsi="楷体" w:eastAsia="楷体" w:cs="黑体"/>
          <w:bCs w:val="0"/>
          <w:color w:val="auto"/>
          <w:kern w:val="0"/>
          <w:highlight w:val="none"/>
        </w:rPr>
        <w:t>、强化产业服务支撑与利益联结</w:t>
      </w:r>
      <w:bookmarkEnd w:id="83"/>
      <w:bookmarkEnd w:id="84"/>
      <w:bookmarkEnd w:id="85"/>
    </w:p>
    <w:p>
      <w:pPr>
        <w:snapToGrid w:val="0"/>
        <w:ind w:firstLine="643" w:firstLineChars="200"/>
        <w:rPr>
          <w:rFonts w:hint="default" w:ascii="仿宋" w:hAnsi="仿宋" w:cs="仿宋_GB2312"/>
          <w:b w:val="0"/>
          <w:bCs/>
          <w:color w:val="auto"/>
          <w:highlight w:val="none"/>
          <w:lang w:val="en-US" w:eastAsia="zh-CN"/>
        </w:rPr>
      </w:pPr>
      <w:r>
        <w:rPr>
          <w:rFonts w:hint="eastAsia" w:ascii="仿宋" w:hAnsi="仿宋" w:cs="仿宋_GB2312"/>
          <w:b/>
          <w:bCs w:val="0"/>
          <w:color w:val="auto"/>
          <w:highlight w:val="none"/>
          <w:lang w:val="en-US" w:eastAsia="zh-CN"/>
        </w:rPr>
        <w:t>完善农牧产业基础设施</w:t>
      </w:r>
      <w:r>
        <w:rPr>
          <w:rFonts w:hint="eastAsia" w:ascii="仿宋" w:hAnsi="仿宋" w:cs="仿宋_GB2312"/>
          <w:b w:val="0"/>
          <w:bCs/>
          <w:color w:val="auto"/>
          <w:highlight w:val="none"/>
          <w:lang w:val="en-US" w:eastAsia="zh-CN"/>
        </w:rPr>
        <w:t>。完善脱贫地区农田水利、道路、电力等产业配套基础设施，鼓励农村道路与脱贫地区产业园区、旅游景区、乡村旅游重点村一体化开发。支持脱贫地区太阳能提灌站、山坪塘、蓄水池、田间渠系等中小型水利设施建设。落实藏粮于地、藏粮于技战略，实施耕地保护与提升工程，坚守耕地红线，加大高标准农田建设力度。加快农产品产地市场、仓储保鲜、烘干冷链物流基础设施建设，打造高效衔接农产品产销的冷链物流通道网络。支持农产品产地初加工点、农产品仓储保鲜库、冷链运输车、农产品仓储物流中心等项目建设。推进智能温室等设施农业建设，推广运用现代农牧业机械装备，对生产薄弱环节机具，按农机购置补贴政策要求适当提高补贴额测算比例。支持“五良融合”产业宜机化改造项目、农机购置额外补贴项目建设。加强脱贫地区智慧农业基础设施建设，加快发展数字农业。鼓励有条件的地方发展分布式、集中式、异地建设光伏发电产业，持续发挥村级光伏电站带农增收作用。</w:t>
      </w:r>
    </w:p>
    <w:p>
      <w:pPr>
        <w:snapToGrid w:val="0"/>
        <w:ind w:firstLine="643" w:firstLineChars="200"/>
        <w:rPr>
          <w:rFonts w:hint="eastAsia" w:ascii="仿宋" w:hAnsi="仿宋" w:cs="仿宋_GB2312"/>
          <w:b w:val="0"/>
          <w:bCs/>
          <w:color w:val="auto"/>
          <w:highlight w:val="none"/>
          <w:lang w:val="en-US" w:eastAsia="zh-CN"/>
        </w:rPr>
      </w:pPr>
      <w:r>
        <w:rPr>
          <w:rFonts w:hint="eastAsia" w:ascii="仿宋" w:hAnsi="仿宋" w:cs="仿宋_GB2312"/>
          <w:b/>
          <w:bCs w:val="0"/>
          <w:color w:val="auto"/>
          <w:highlight w:val="none"/>
          <w:lang w:val="en-US" w:eastAsia="zh-CN"/>
        </w:rPr>
        <w:t>健全技术服务机制</w:t>
      </w:r>
      <w:r>
        <w:rPr>
          <w:rFonts w:hint="eastAsia" w:ascii="仿宋" w:hAnsi="仿宋" w:cs="仿宋_GB2312"/>
          <w:b w:val="0"/>
          <w:bCs/>
          <w:color w:val="auto"/>
          <w:highlight w:val="none"/>
          <w:lang w:val="en-US" w:eastAsia="zh-CN"/>
        </w:rPr>
        <w:t>。深化基层农技推广体系改革与建设，强化农技推广机构公益性职责履行，推动农业科技社会化服务发展，加大优质品种和先进适用技术示范展示和推广力度，加快信息化服务手段普及应用，大力提升农技推广服务效能。全面实施农技推广服务特聘计划，建立农技推广“县管乡用、下沉到村”的新机制，探索推广“技物结合”“技术托管”“农资＋”“互联网＋”等技术服务模式，支持供销社、农业服务公司、农民合作社等社会化科技服务力量，为脱贫户、监测户、小农户提供代耕代种、机收机播、产销对接、技术咨询等全程技术服务。</w:t>
      </w:r>
      <w:r>
        <w:rPr>
          <w:rFonts w:hint="eastAsia" w:ascii="仿宋" w:hAnsi="仿宋" w:cs="仿宋_GB2312"/>
          <w:bCs/>
          <w:color w:val="auto"/>
          <w:highlight w:val="none"/>
        </w:rPr>
        <w:t>强化农业科技支撑</w:t>
      </w:r>
      <w:r>
        <w:rPr>
          <w:rFonts w:hint="eastAsia" w:ascii="仿宋" w:hAnsi="仿宋" w:cs="仿宋_GB2312"/>
          <w:bCs/>
          <w:color w:val="auto"/>
          <w:highlight w:val="none"/>
          <w:lang w:eastAsia="zh-CN"/>
        </w:rPr>
        <w:t>，</w:t>
      </w:r>
      <w:r>
        <w:rPr>
          <w:rFonts w:hint="eastAsia" w:ascii="仿宋" w:hAnsi="仿宋" w:cs="仿宋_GB2312"/>
          <w:bCs/>
          <w:color w:val="auto"/>
          <w:highlight w:val="none"/>
        </w:rPr>
        <w:t>加强高原节水灌溉、设施栽培、良种繁育、绿色防控、畜种改良、种草贮草、标准化养殖等</w:t>
      </w:r>
      <w:r>
        <w:rPr>
          <w:rFonts w:hint="eastAsia" w:ascii="仿宋" w:hAnsi="仿宋" w:cs="仿宋_GB2312"/>
          <w:bCs/>
          <w:color w:val="auto"/>
          <w:highlight w:val="none"/>
          <w:lang w:val="en-US" w:eastAsia="zh-CN"/>
        </w:rPr>
        <w:t>方面的</w:t>
      </w:r>
      <w:r>
        <w:rPr>
          <w:rFonts w:hint="eastAsia" w:ascii="仿宋" w:hAnsi="仿宋" w:cs="仿宋_GB2312"/>
          <w:bCs/>
          <w:color w:val="auto"/>
          <w:highlight w:val="none"/>
        </w:rPr>
        <w:t>农业科技技术攻关，加速新品种、新技术、新模式、新工艺</w:t>
      </w:r>
      <w:r>
        <w:rPr>
          <w:rFonts w:hint="eastAsia" w:ascii="仿宋" w:hAnsi="仿宋" w:cs="仿宋_GB2312"/>
          <w:bCs/>
          <w:color w:val="auto"/>
          <w:highlight w:val="none"/>
          <w:lang w:val="en-US" w:eastAsia="zh-CN"/>
        </w:rPr>
        <w:t>等</w:t>
      </w:r>
      <w:r>
        <w:rPr>
          <w:rFonts w:hint="eastAsia" w:ascii="仿宋" w:hAnsi="仿宋" w:cs="仿宋_GB2312"/>
          <w:bCs/>
          <w:color w:val="auto"/>
          <w:highlight w:val="none"/>
        </w:rPr>
        <w:t>农业科技成果转化</w:t>
      </w:r>
      <w:r>
        <w:rPr>
          <w:rFonts w:hint="eastAsia" w:ascii="仿宋" w:hAnsi="仿宋" w:cs="仿宋_GB2312"/>
          <w:bCs/>
          <w:color w:val="auto"/>
          <w:highlight w:val="none"/>
          <w:lang w:eastAsia="zh-CN"/>
        </w:rPr>
        <w:t>，</w:t>
      </w:r>
      <w:r>
        <w:rPr>
          <w:rFonts w:hint="eastAsia" w:ascii="仿宋" w:hAnsi="仿宋" w:cs="仿宋_GB2312"/>
          <w:bCs/>
          <w:color w:val="auto"/>
          <w:highlight w:val="none"/>
        </w:rPr>
        <w:t>提升农业科技服务能力</w:t>
      </w:r>
      <w:r>
        <w:rPr>
          <w:rFonts w:hint="eastAsia" w:ascii="仿宋" w:hAnsi="仿宋" w:cs="仿宋_GB2312"/>
          <w:bCs/>
          <w:color w:val="auto"/>
          <w:highlight w:val="none"/>
          <w:lang w:eastAsia="zh-CN"/>
        </w:rPr>
        <w:t>，</w:t>
      </w:r>
      <w:r>
        <w:rPr>
          <w:rFonts w:hint="eastAsia" w:ascii="仿宋" w:hAnsi="仿宋" w:cs="仿宋_GB2312"/>
          <w:b w:val="0"/>
          <w:bCs/>
          <w:color w:val="auto"/>
          <w:highlight w:val="none"/>
          <w:lang w:val="en-US" w:eastAsia="zh-CN"/>
        </w:rPr>
        <w:t>深入推行科技特派员制度，建设科技兴村在线平台，推进线上线下相结合科技服务。充分利用好四川农业科学院、州农科所等高校院所的资源和信息优势，实施“科技下乡万里行”等重点帮扶行动，采取“人才＋团队＋项目”模式，开展组团式、点对点帮扶，为全面推进乡村振兴提供强有力的智力支撑和人才保障。</w:t>
      </w:r>
    </w:p>
    <w:p>
      <w:pPr>
        <w:snapToGrid w:val="0"/>
        <w:ind w:firstLine="643" w:firstLineChars="200"/>
        <w:rPr>
          <w:rFonts w:hint="default" w:ascii="仿宋" w:hAnsi="仿宋" w:cs="仿宋_GB2312"/>
          <w:b w:val="0"/>
          <w:bCs/>
          <w:color w:val="auto"/>
          <w:highlight w:val="none"/>
          <w:lang w:val="en-US" w:eastAsia="zh-CN"/>
        </w:rPr>
      </w:pPr>
      <w:r>
        <w:rPr>
          <w:rFonts w:hint="eastAsia" w:ascii="仿宋" w:hAnsi="仿宋" w:cs="仿宋_GB2312"/>
          <w:b/>
          <w:bCs w:val="0"/>
          <w:color w:val="auto"/>
          <w:highlight w:val="none"/>
          <w:lang w:val="en-US" w:eastAsia="zh-CN"/>
        </w:rPr>
        <w:t>健全产销衔接机制</w:t>
      </w:r>
      <w:r>
        <w:rPr>
          <w:rFonts w:hint="eastAsia" w:ascii="仿宋" w:hAnsi="仿宋" w:cs="仿宋_GB2312"/>
          <w:b w:val="0"/>
          <w:bCs/>
          <w:color w:val="auto"/>
          <w:highlight w:val="none"/>
          <w:lang w:val="en-US" w:eastAsia="zh-CN"/>
        </w:rPr>
        <w:t>。加大农产品品牌塑造，引进、培育扶持加工龙头企业，培育创建知名品牌。围绕打造“有机之州”的总体目标，用好“天府乡村”“圣洁甘孜”公益品牌，支持脱贫地区积极开展绿色、有机、地理标志农产品认证，推行食用农产品达标合格证制度。加快“亚克甘孜”区域牦牛品牌建设，擦亮“圣洁甘孜”区域公用品牌，构建“区域公用品牌+重点企业自主品牌+重要农产品品牌”体系，加强质量安全溯源管理，提高质量效益和核心竞争力，提高脱贫地区农产品销售规模。开展农产品产销对接活动，组织脱贫地区涉农新型经营主体参加各类展示展销</w:t>
      </w:r>
      <w:r>
        <w:rPr>
          <w:rFonts w:hint="default" w:ascii="仿宋" w:hAnsi="仿宋" w:cs="仿宋_GB2312"/>
          <w:b w:val="0"/>
          <w:bCs/>
          <w:color w:val="auto"/>
          <w:highlight w:val="none"/>
          <w:lang w:val="en-US" w:eastAsia="zh-CN"/>
        </w:rPr>
        <w:t>活动，搭建线上线下产销对接平台，组织农产品生产和流通主体交流衔接。</w:t>
      </w:r>
      <w:r>
        <w:rPr>
          <w:rFonts w:hint="eastAsia" w:ascii="仿宋" w:hAnsi="仿宋" w:cs="仿宋_GB2312"/>
          <w:b w:val="0"/>
          <w:bCs/>
          <w:color w:val="auto"/>
          <w:highlight w:val="none"/>
          <w:lang w:val="en-US" w:eastAsia="zh-CN"/>
        </w:rPr>
        <w:t>通过股权投资、订单采购等方式引导流通主体与生产主体建立稳定利益联结关系，打造产销共同体。大力实施消费帮扶，</w:t>
      </w:r>
      <w:r>
        <w:rPr>
          <w:rFonts w:hint="default" w:ascii="仿宋" w:hAnsi="仿宋" w:cs="仿宋_GB2312"/>
          <w:b w:val="0"/>
          <w:bCs/>
          <w:color w:val="auto"/>
          <w:highlight w:val="none"/>
          <w:lang w:val="en-US" w:eastAsia="zh-CN"/>
        </w:rPr>
        <w:t>继续做好脱贫地区帮扶产品认定，做大做实农产品销售专区专柜专馆和定向直供直销渠道，推动农产品</w:t>
      </w:r>
      <w:r>
        <w:rPr>
          <w:rFonts w:hint="eastAsia" w:ascii="仿宋" w:hAnsi="仿宋" w:cs="仿宋_GB2312"/>
          <w:b w:val="0"/>
          <w:bCs/>
          <w:color w:val="auto"/>
          <w:highlight w:val="none"/>
          <w:lang w:val="en-US" w:eastAsia="zh-CN"/>
        </w:rPr>
        <w:t>走出去</w:t>
      </w:r>
      <w:r>
        <w:rPr>
          <w:rFonts w:hint="default" w:ascii="仿宋" w:hAnsi="仿宋" w:cs="仿宋_GB2312"/>
          <w:b w:val="0"/>
          <w:bCs/>
          <w:color w:val="auto"/>
          <w:highlight w:val="none"/>
          <w:lang w:val="en-US" w:eastAsia="zh-CN"/>
        </w:rPr>
        <w:t>。</w:t>
      </w:r>
      <w:r>
        <w:rPr>
          <w:rFonts w:hint="eastAsia" w:ascii="仿宋" w:hAnsi="仿宋" w:cs="仿宋_GB2312"/>
          <w:b w:val="0"/>
          <w:bCs/>
          <w:color w:val="auto"/>
          <w:highlight w:val="none"/>
          <w:lang w:val="en-US" w:eastAsia="zh-CN"/>
        </w:rPr>
        <w:t>实施“互联网＋”农产品出村进城工程，利用国家电子商务进农村综合示范县项目建设，推动线上线下融合，推进特色农产品积极参加川货全国行、惠民购物全川行、万企出国门、圣洁甘孜全国行等市场渠道和活动，提升甘孜农产品品牌影响力和传播力。支持有条件的地方创建消费帮扶示范县，持续带动脱贫地区农产品销售。</w:t>
      </w:r>
    </w:p>
    <w:p>
      <w:pPr>
        <w:snapToGrid w:val="0"/>
        <w:ind w:firstLine="643" w:firstLineChars="200"/>
        <w:rPr>
          <w:rFonts w:hint="eastAsia" w:ascii="仿宋" w:hAnsi="仿宋" w:cs="仿宋_GB2312"/>
          <w:b w:val="0"/>
          <w:bCs/>
          <w:color w:val="auto"/>
          <w:highlight w:val="none"/>
          <w:lang w:val="en-US" w:eastAsia="zh-CN"/>
        </w:rPr>
      </w:pPr>
      <w:r>
        <w:rPr>
          <w:rFonts w:hint="eastAsia" w:ascii="仿宋" w:hAnsi="仿宋" w:cs="仿宋_GB2312"/>
          <w:b/>
          <w:bCs w:val="0"/>
          <w:color w:val="auto"/>
          <w:highlight w:val="none"/>
          <w:lang w:val="en-US" w:eastAsia="zh-CN"/>
        </w:rPr>
        <w:t>健全利益联结机制</w:t>
      </w:r>
      <w:r>
        <w:rPr>
          <w:rFonts w:hint="eastAsia" w:ascii="仿宋" w:hAnsi="仿宋" w:cs="仿宋_GB2312"/>
          <w:b w:val="0"/>
          <w:bCs/>
          <w:color w:val="auto"/>
          <w:highlight w:val="none"/>
          <w:lang w:val="en-US" w:eastAsia="zh-CN"/>
        </w:rPr>
        <w:t>。培育新型农牧业经营主体，完善小农户与农业经营主体利益联结机制，支持新型经营主体通过就业带动、保底分红、股份合作等多种形式建立稳定的利益联结，让脱贫户进一步合理分享全产业链增值收益。</w:t>
      </w:r>
      <w:r>
        <w:rPr>
          <w:rFonts w:hint="eastAsia" w:cs="Times New Roman"/>
          <w:color w:val="auto"/>
          <w:sz w:val="32"/>
          <w:szCs w:val="32"/>
        </w:rPr>
        <w:t>鼓励倡导致富带头人帮助脱贫群众发展种养业和二</w:t>
      </w:r>
      <w:r>
        <w:rPr>
          <w:rFonts w:hint="eastAsia" w:cs="Times New Roman"/>
          <w:color w:val="auto"/>
          <w:sz w:val="32"/>
          <w:szCs w:val="32"/>
          <w:lang w:eastAsia="zh-CN"/>
        </w:rPr>
        <w:t>、</w:t>
      </w:r>
      <w:r>
        <w:rPr>
          <w:rFonts w:hint="eastAsia" w:cs="Times New Roman"/>
          <w:color w:val="auto"/>
          <w:sz w:val="32"/>
          <w:szCs w:val="32"/>
        </w:rPr>
        <w:t>三产业，建立大户带小户、先富带后富机制，</w:t>
      </w:r>
      <w:r>
        <w:rPr>
          <w:rFonts w:hint="eastAsia" w:cs="Times New Roman"/>
          <w:color w:val="auto"/>
          <w:sz w:val="32"/>
          <w:szCs w:val="32"/>
          <w:lang w:val="en-US" w:eastAsia="zh-CN"/>
        </w:rPr>
        <w:t>每年</w:t>
      </w:r>
      <w:r>
        <w:rPr>
          <w:rFonts w:hint="eastAsia" w:cs="Times New Roman"/>
          <w:color w:val="auto"/>
          <w:sz w:val="32"/>
          <w:szCs w:val="32"/>
        </w:rPr>
        <w:t>遴选农村致富带头人，给予政策整合扶持、优质资源倾斜、发展资金奖励等支持，充分发挥农村致富带头人的引领作用。建立农村集体经济运行新机制，</w:t>
      </w:r>
      <w:r>
        <w:rPr>
          <w:rFonts w:hint="eastAsia" w:cs="Times New Roman"/>
          <w:color w:val="auto"/>
          <w:sz w:val="32"/>
          <w:szCs w:val="32"/>
          <w:lang w:val="en-US" w:eastAsia="zh-CN"/>
        </w:rPr>
        <w:t>完善“园区＋集体经济组织＋企业＋农民合作社＋农户”“企业＋农民合作社＋农户”“集体经济组织＋农户”等联农带农发展模式，可安排衔接资金和涉农整合资金予以支持</w:t>
      </w:r>
      <w:r>
        <w:rPr>
          <w:rFonts w:hint="eastAsia" w:cs="Times New Roman"/>
          <w:color w:val="auto"/>
          <w:sz w:val="32"/>
          <w:szCs w:val="32"/>
        </w:rPr>
        <w:t>。</w:t>
      </w:r>
      <w:r>
        <w:rPr>
          <w:rFonts w:hint="eastAsia" w:cs="Times New Roman"/>
          <w:color w:val="auto"/>
          <w:sz w:val="32"/>
          <w:szCs w:val="32"/>
          <w:lang w:val="en-US" w:eastAsia="zh-CN"/>
        </w:rPr>
        <w:t>鼓励</w:t>
      </w:r>
      <w:r>
        <w:rPr>
          <w:rFonts w:hint="eastAsia" w:cs="Times New Roman"/>
          <w:color w:val="auto"/>
          <w:sz w:val="32"/>
          <w:szCs w:val="32"/>
        </w:rPr>
        <w:t>农村集体经济组织</w:t>
      </w:r>
      <w:r>
        <w:rPr>
          <w:rFonts w:hint="eastAsia" w:cs="Times New Roman"/>
          <w:color w:val="auto"/>
          <w:sz w:val="32"/>
          <w:szCs w:val="32"/>
          <w:lang w:val="en-US" w:eastAsia="zh-CN"/>
        </w:rPr>
        <w:t>培育股份合作、资源合作、资金入股、租赁经营、飞地模式、托管代理等集体经济发展新路径，壮大集体经济实力</w:t>
      </w:r>
      <w:r>
        <w:rPr>
          <w:rFonts w:hint="eastAsia" w:cs="Times New Roman"/>
          <w:color w:val="auto"/>
          <w:sz w:val="32"/>
          <w:szCs w:val="32"/>
        </w:rPr>
        <w:t>。把发展新型集体经济与扶贫项目资产、合并村资产盘活等结合起来，推动资源变资产、资金变股金、农民变股东。</w:t>
      </w:r>
      <w:r>
        <w:rPr>
          <w:rFonts w:hint="eastAsia" w:ascii="仿宋" w:hAnsi="仿宋" w:cs="仿宋_GB2312"/>
          <w:b w:val="0"/>
          <w:bCs/>
          <w:color w:val="auto"/>
          <w:highlight w:val="none"/>
          <w:lang w:val="en-US" w:eastAsia="zh-CN"/>
        </w:rPr>
        <w:t>鼓励脱贫地区根据产业发展和农业生产经营特点，优化到户产业帮扶政策，保持政策延续性。</w:t>
      </w:r>
    </w:p>
    <w:p>
      <w:pPr>
        <w:pStyle w:val="5"/>
        <w:tabs>
          <w:tab w:val="clear" w:pos="0"/>
        </w:tabs>
        <w:suppressAutoHyphens w:val="0"/>
        <w:snapToGrid w:val="0"/>
        <w:spacing w:before="0" w:after="0" w:line="360" w:lineRule="auto"/>
        <w:ind w:firstLine="643" w:firstLineChars="200"/>
        <w:jc w:val="left"/>
        <w:rPr>
          <w:rFonts w:hint="eastAsia" w:ascii="楷体" w:hAnsi="楷体" w:eastAsia="楷体" w:cs="黑体"/>
          <w:bCs w:val="0"/>
          <w:color w:val="auto"/>
          <w:kern w:val="0"/>
          <w:highlight w:val="none"/>
        </w:rPr>
      </w:pPr>
      <w:bookmarkStart w:id="86" w:name="_Toc21254"/>
      <w:bookmarkStart w:id="87" w:name="_Toc31119"/>
      <w:bookmarkStart w:id="88" w:name="_Toc7305"/>
      <w:r>
        <w:rPr>
          <w:rFonts w:hint="eastAsia" w:ascii="楷体" w:hAnsi="楷体" w:eastAsia="楷体" w:cs="黑体"/>
          <w:bCs w:val="0"/>
          <w:color w:val="auto"/>
          <w:kern w:val="0"/>
          <w:highlight w:val="none"/>
          <w:lang w:val="en-US" w:eastAsia="zh-CN"/>
        </w:rPr>
        <w:t>三</w:t>
      </w:r>
      <w:r>
        <w:rPr>
          <w:rFonts w:hint="eastAsia" w:ascii="楷体" w:hAnsi="楷体" w:eastAsia="楷体" w:cs="黑体"/>
          <w:bCs w:val="0"/>
          <w:color w:val="auto"/>
          <w:kern w:val="0"/>
          <w:highlight w:val="none"/>
        </w:rPr>
        <w:t>、持续推进脱贫人口稳岗就业</w:t>
      </w:r>
      <w:bookmarkEnd w:id="86"/>
      <w:bookmarkEnd w:id="87"/>
      <w:bookmarkEnd w:id="88"/>
    </w:p>
    <w:p>
      <w:pPr>
        <w:keepNext w:val="0"/>
        <w:keepLines w:val="0"/>
        <w:pageBreakBefore w:val="0"/>
        <w:widowControl w:val="0"/>
        <w:kinsoku/>
        <w:wordWrap/>
        <w:overflowPunct/>
        <w:topLinePunct w:val="0"/>
        <w:autoSpaceDE/>
        <w:autoSpaceDN/>
        <w:bidi w:val="0"/>
        <w:adjustRightInd/>
        <w:snapToGrid w:val="0"/>
        <w:spacing w:line="360" w:lineRule="auto"/>
        <w:ind w:firstLine="643" w:firstLineChars="200"/>
        <w:textAlignment w:val="auto"/>
        <w:rPr>
          <w:rFonts w:hint="eastAsia" w:ascii="仿宋" w:hAnsi="仿宋" w:cs="仿宋_GB2312"/>
          <w:b w:val="0"/>
          <w:bCs w:val="0"/>
          <w:color w:val="auto"/>
          <w:highlight w:val="none"/>
          <w:lang w:val="en-US" w:eastAsia="zh-CN"/>
        </w:rPr>
      </w:pPr>
      <w:r>
        <w:rPr>
          <w:rFonts w:hint="eastAsia" w:ascii="仿宋" w:hAnsi="仿宋" w:cs="仿宋_GB2312"/>
          <w:b/>
          <w:bCs/>
          <w:color w:val="auto"/>
          <w:highlight w:val="none"/>
          <w:lang w:val="en-US" w:eastAsia="zh-CN"/>
        </w:rPr>
        <w:t>稳定脱贫人口外出务工</w:t>
      </w:r>
      <w:r>
        <w:rPr>
          <w:rFonts w:hint="eastAsia" w:ascii="仿宋" w:hAnsi="仿宋" w:cs="仿宋_GB2312"/>
          <w:b w:val="0"/>
          <w:bCs w:val="0"/>
          <w:color w:val="auto"/>
          <w:highlight w:val="none"/>
          <w:lang w:val="en-US" w:eastAsia="zh-CN"/>
        </w:rPr>
        <w:t>。建立州、县（市）、乡、村四级书记抓就业工作机制，推进脱贫人口稳岗就业，防止脱贫群众规模性失业。继续发挥东西部协作、传统外出务工大省等资源优势，建立脱贫人口、监测对象劳动力数据库，“1对1”“多对1”开展岗位推介和对接，实现有脱贫劳动力家庭至少一人就业。健全有组织劳务输出工作机制，将脱贫人口、农村低收入人口、残疾人、就业困难人群、重点人群作为优先保障对象，为外出务工人员提供便利出行服务。支持企业吸纳脱贫人口就业，按规定落实社保补贴、岗位补贴、培训补贴等政策。建立“四库一清单”，支持各县（市）举办就业招聘会，实行岗位与求职者信息双向精准推送。推行“互联网＋就业”模式，完善东西部劳务协作精准对接机制和劳动力转移就业服务体系，持续运用四川e就业、甘孜就业招聘平台、甘孜公共招聘网、甘孜人社微信公众号等网络平台，开展互联网招聘，大力推广远程面试，提供线上线下一体化服务。培育、创建、树立一批县域特色劳务品牌，借助品牌效应扩大劳务输出规模，提升劳务输出质量，持续推进人力资源服务促就业和助力乡村振兴行动。</w:t>
      </w:r>
    </w:p>
    <w:p>
      <w:pPr>
        <w:keepNext w:val="0"/>
        <w:keepLines w:val="0"/>
        <w:pageBreakBefore w:val="0"/>
        <w:widowControl w:val="0"/>
        <w:kinsoku/>
        <w:wordWrap/>
        <w:overflowPunct/>
        <w:topLinePunct w:val="0"/>
        <w:autoSpaceDE/>
        <w:autoSpaceDN/>
        <w:bidi w:val="0"/>
        <w:adjustRightInd/>
        <w:snapToGrid w:val="0"/>
        <w:spacing w:line="360" w:lineRule="auto"/>
        <w:ind w:firstLine="643" w:firstLineChars="200"/>
        <w:textAlignment w:val="auto"/>
        <w:rPr>
          <w:rFonts w:hint="default" w:ascii="仿宋" w:hAnsi="仿宋" w:eastAsia="仿宋" w:cs="仿宋_GB2312"/>
          <w:bCs/>
          <w:color w:val="auto"/>
          <w:highlight w:val="none"/>
          <w:lang w:val="en-US" w:eastAsia="zh-CN"/>
        </w:rPr>
      </w:pPr>
      <w:r>
        <w:rPr>
          <w:rFonts w:hint="eastAsia" w:ascii="仿宋" w:hAnsi="仿宋" w:cs="仿宋_GB2312"/>
          <w:b/>
          <w:bCs/>
          <w:color w:val="auto"/>
          <w:highlight w:val="none"/>
          <w:lang w:val="en-US" w:eastAsia="zh-CN"/>
        </w:rPr>
        <w:t>促进就地就近就业。</w:t>
      </w:r>
      <w:r>
        <w:rPr>
          <w:rFonts w:hint="eastAsia" w:ascii="仿宋" w:hAnsi="仿宋" w:cs="仿宋_GB2312"/>
          <w:b w:val="0"/>
          <w:bCs w:val="0"/>
          <w:color w:val="auto"/>
          <w:highlight w:val="none"/>
          <w:lang w:val="en-US" w:eastAsia="zh-CN"/>
        </w:rPr>
        <w:t>通过支持发展产业、扶持就业载体、鼓励返乡创业、拓展灵活就业、用好公益岗位等措施，为脱贫人口提供更多就业和培训机会。支持各类经营主体按要求积极推荐认定就业帮扶基地，支持帮扶车间和市场主体优先吸纳脱贫人口、监测对象、低收入人口就业。实施以工代赈助农增收行动，</w:t>
      </w:r>
      <w:r>
        <w:rPr>
          <w:rFonts w:hint="eastAsia" w:ascii="仿宋" w:hAnsi="仿宋" w:cs="仿宋_GB2312"/>
          <w:bCs/>
          <w:color w:val="auto"/>
          <w:highlight w:val="none"/>
        </w:rPr>
        <w:t>在农村人居环境、小型水利、乡村道路、农田整治、水土保持、产业园区、林业草原基础设施等涉农项目建设和管护时广泛</w:t>
      </w:r>
      <w:r>
        <w:rPr>
          <w:rFonts w:hint="eastAsia" w:ascii="仿宋" w:hAnsi="仿宋" w:cs="仿宋_GB2312"/>
          <w:bCs/>
          <w:color w:val="auto"/>
          <w:highlight w:val="none"/>
          <w:lang w:val="en-US" w:eastAsia="zh-CN"/>
        </w:rPr>
        <w:t>推广</w:t>
      </w:r>
      <w:r>
        <w:rPr>
          <w:rFonts w:hint="eastAsia" w:ascii="仿宋" w:hAnsi="仿宋" w:cs="仿宋_GB2312"/>
          <w:bCs/>
          <w:color w:val="auto"/>
          <w:highlight w:val="none"/>
        </w:rPr>
        <w:t>以工代赈方式。</w:t>
      </w:r>
      <w:r>
        <w:rPr>
          <w:rFonts w:hint="eastAsia" w:ascii="仿宋" w:hAnsi="仿宋" w:cs="仿宋_GB2312"/>
          <w:bCs/>
          <w:color w:val="auto"/>
          <w:highlight w:val="none"/>
          <w:lang w:val="en-US" w:eastAsia="zh-CN"/>
        </w:rPr>
        <w:t>延续跨省务工交通补贴、有组织化输出激励、就业基地奖补等支持措施，因地制宜发展特色食品、制造、手工业等乡土产业，增加脱贫人口就近就业岗位。</w:t>
      </w:r>
      <w:r>
        <w:rPr>
          <w:rFonts w:hint="eastAsia" w:ascii="仿宋" w:hAnsi="仿宋" w:cs="仿宋_GB2312"/>
          <w:bCs/>
          <w:color w:val="auto"/>
          <w:highlight w:val="none"/>
        </w:rPr>
        <w:t>鼓励开发生态护林草员、交通协管、防疫员</w:t>
      </w:r>
      <w:r>
        <w:rPr>
          <w:rFonts w:hint="eastAsia" w:ascii="仿宋" w:hAnsi="仿宋" w:cs="仿宋_GB2312"/>
          <w:bCs/>
          <w:color w:val="auto"/>
          <w:highlight w:val="none"/>
          <w:lang w:eastAsia="zh-CN"/>
        </w:rPr>
        <w:t>、</w:t>
      </w:r>
      <w:r>
        <w:rPr>
          <w:rFonts w:hint="eastAsia" w:ascii="仿宋" w:hAnsi="仿宋" w:cs="仿宋_GB2312"/>
          <w:bCs/>
          <w:color w:val="auto"/>
          <w:highlight w:val="none"/>
          <w:lang w:val="en-US" w:eastAsia="zh-CN"/>
        </w:rPr>
        <w:t>地质灾害隐患监测员等多种形式的乡村</w:t>
      </w:r>
      <w:r>
        <w:rPr>
          <w:rFonts w:hint="eastAsia" w:ascii="仿宋" w:hAnsi="仿宋" w:cs="仿宋_GB2312"/>
          <w:bCs/>
          <w:color w:val="auto"/>
          <w:highlight w:val="none"/>
        </w:rPr>
        <w:t>公益岗位</w:t>
      </w:r>
      <w:r>
        <w:rPr>
          <w:rFonts w:hint="eastAsia" w:ascii="仿宋" w:hAnsi="仿宋" w:cs="仿宋_GB2312"/>
          <w:bCs/>
          <w:color w:val="auto"/>
          <w:highlight w:val="none"/>
          <w:lang w:eastAsia="zh-CN"/>
        </w:rPr>
        <w:t>，</w:t>
      </w:r>
      <w:r>
        <w:rPr>
          <w:rFonts w:hint="eastAsia" w:ascii="仿宋" w:hAnsi="仿宋" w:cs="仿宋_GB2312"/>
          <w:bCs/>
          <w:color w:val="auto"/>
          <w:highlight w:val="none"/>
        </w:rPr>
        <w:t>优先安置脱贫人口、边缘易致贫户及突发严重困难户，帮助弱劳动力、半劳动力等就业困难群体就业，健全按需设岗、以岗聘任、在岗领补、有序退岗的管理机制</w:t>
      </w:r>
      <w:r>
        <w:rPr>
          <w:rFonts w:hint="eastAsia" w:ascii="仿宋" w:hAnsi="仿宋" w:cs="仿宋_GB2312"/>
          <w:bCs/>
          <w:color w:val="auto"/>
          <w:highlight w:val="none"/>
          <w:lang w:eastAsia="zh-CN"/>
        </w:rPr>
        <w:t>，</w:t>
      </w:r>
      <w:r>
        <w:rPr>
          <w:rFonts w:hint="eastAsia" w:ascii="仿宋" w:hAnsi="仿宋" w:cs="仿宋_GB2312"/>
          <w:bCs/>
          <w:color w:val="auto"/>
          <w:highlight w:val="none"/>
          <w:lang w:val="en-US" w:eastAsia="zh-CN"/>
        </w:rPr>
        <w:t>让</w:t>
      </w:r>
      <w:r>
        <w:rPr>
          <w:rFonts w:hint="eastAsia" w:ascii="仿宋" w:hAnsi="仿宋" w:cs="仿宋_GB2312"/>
          <w:bCs/>
          <w:color w:val="auto"/>
          <w:highlight w:val="none"/>
        </w:rPr>
        <w:t>有劳动能力脱贫人口参与到</w:t>
      </w:r>
      <w:r>
        <w:rPr>
          <w:rFonts w:hint="eastAsia" w:ascii="仿宋" w:hAnsi="仿宋" w:cs="仿宋_GB2312"/>
          <w:bCs/>
          <w:color w:val="auto"/>
          <w:highlight w:val="none"/>
          <w:lang w:val="en-US" w:eastAsia="zh-CN"/>
        </w:rPr>
        <w:t>乡村振兴建设中。</w:t>
      </w:r>
    </w:p>
    <w:p>
      <w:pPr>
        <w:keepNext w:val="0"/>
        <w:keepLines w:val="0"/>
        <w:pageBreakBefore w:val="0"/>
        <w:widowControl w:val="0"/>
        <w:kinsoku/>
        <w:wordWrap/>
        <w:overflowPunct/>
        <w:topLinePunct w:val="0"/>
        <w:autoSpaceDE/>
        <w:autoSpaceDN/>
        <w:bidi w:val="0"/>
        <w:adjustRightInd/>
        <w:snapToGrid w:val="0"/>
        <w:spacing w:line="360" w:lineRule="auto"/>
        <w:ind w:firstLine="643" w:firstLineChars="200"/>
        <w:textAlignment w:val="auto"/>
        <w:rPr>
          <w:rFonts w:hint="eastAsia" w:ascii="仿宋" w:hAnsi="仿宋" w:cs="仿宋_GB2312"/>
          <w:bCs/>
          <w:color w:val="auto"/>
          <w:highlight w:val="none"/>
        </w:rPr>
      </w:pPr>
      <w:r>
        <w:rPr>
          <w:rFonts w:hint="eastAsia" w:ascii="仿宋" w:hAnsi="仿宋" w:cs="仿宋_GB2312"/>
          <w:b/>
          <w:bCs/>
          <w:color w:val="auto"/>
          <w:highlight w:val="none"/>
          <w:lang w:val="en-US" w:eastAsia="zh-CN"/>
        </w:rPr>
        <w:t>加大技能培训帮扶。</w:t>
      </w:r>
      <w:r>
        <w:rPr>
          <w:rFonts w:hint="eastAsia" w:ascii="仿宋" w:hAnsi="仿宋" w:cs="仿宋_GB2312"/>
          <w:b w:val="0"/>
          <w:bCs w:val="0"/>
          <w:color w:val="auto"/>
          <w:highlight w:val="none"/>
          <w:lang w:val="en-US" w:eastAsia="zh-CN"/>
        </w:rPr>
        <w:t>加大</w:t>
      </w:r>
      <w:r>
        <w:rPr>
          <w:rFonts w:hint="eastAsia" w:ascii="仿宋" w:hAnsi="仿宋" w:cs="仿宋_GB2312"/>
          <w:bCs/>
          <w:color w:val="auto"/>
          <w:highlight w:val="none"/>
          <w:lang w:val="en-US" w:eastAsia="zh-CN"/>
        </w:rPr>
        <w:t>培训基地建设、培训资源整合调度等指导力度，</w:t>
      </w:r>
      <w:r>
        <w:rPr>
          <w:rFonts w:hint="eastAsia" w:ascii="仿宋" w:hAnsi="仿宋" w:cs="仿宋_GB2312"/>
          <w:bCs/>
          <w:color w:val="auto"/>
          <w:highlight w:val="none"/>
        </w:rPr>
        <w:t>以市场用工为导向，结合民族手工艺传承和群众生产生活需求，针对性制定培训内容，</w:t>
      </w:r>
      <w:r>
        <w:rPr>
          <w:rFonts w:hint="eastAsia"/>
          <w:color w:val="auto"/>
        </w:rPr>
        <w:t>大力实施脱贫群众职业技能培训行动，开展实用性强的技能培训，培养培育一批“大师工作室”“康巴艺人”等技术能手。实施“雨露计划+”就业促进行动，引导脱贫家庭（防止返贫监测对象家庭）新成长劳动力接受中、高等职业院校和技术院校教育，开展劳务品牌、就业技能、实用技术和返乡创业、农村致富带头人等培训，提升技能水平和就业创业能力。</w:t>
      </w:r>
      <w:r>
        <w:rPr>
          <w:rFonts w:hint="eastAsia" w:ascii="仿宋" w:hAnsi="仿宋" w:cs="仿宋_GB2312"/>
          <w:bCs/>
          <w:color w:val="auto"/>
          <w:highlight w:val="none"/>
          <w:lang w:val="en-US" w:eastAsia="zh-CN"/>
        </w:rPr>
        <w:t>按规定落实培训补贴，给予脱贫人口培训期间生活补助</w:t>
      </w:r>
      <w:r>
        <w:rPr>
          <w:rFonts w:hint="eastAsia" w:ascii="仿宋" w:hAnsi="仿宋" w:cs="仿宋_GB2312"/>
          <w:bCs/>
          <w:color w:val="auto"/>
          <w:highlight w:val="none"/>
        </w:rPr>
        <w:t>。</w:t>
      </w:r>
    </w:p>
    <w:p>
      <w:pPr>
        <w:pStyle w:val="2"/>
        <w:rPr>
          <w:rFonts w:hint="eastAsia" w:ascii="仿宋" w:hAnsi="仿宋" w:cs="仿宋_GB2312"/>
          <w:bCs/>
          <w:color w:val="auto"/>
          <w:highlight w:val="none"/>
        </w:rPr>
      </w:pPr>
    </w:p>
    <w:p>
      <w:pPr>
        <w:pStyle w:val="2"/>
        <w:rPr>
          <w:rFonts w:hint="eastAsia" w:ascii="仿宋" w:hAnsi="仿宋" w:cs="仿宋_GB2312"/>
          <w:bCs/>
          <w:color w:val="auto"/>
          <w:highlight w:val="none"/>
        </w:rPr>
      </w:pPr>
    </w:p>
    <w:p>
      <w:pPr>
        <w:pStyle w:val="2"/>
        <w:rPr>
          <w:rFonts w:hint="default" w:ascii="仿宋" w:hAnsi="仿宋" w:cs="仿宋_GB2312"/>
          <w:bCs/>
          <w:color w:val="auto"/>
          <w:highlight w:val="none"/>
          <w:lang w:val="en-US" w:eastAsia="zh-CN"/>
        </w:rPr>
      </w:pPr>
    </w:p>
    <w:tbl>
      <w:tblPr>
        <w:tblStyle w:val="25"/>
        <w:tblW w:w="8859"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85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8859" w:type="dxa"/>
            <w:vAlign w:val="center"/>
          </w:tcPr>
          <w:p>
            <w:pPr>
              <w:pStyle w:val="49"/>
              <w:snapToGrid w:val="0"/>
              <w:spacing w:line="500" w:lineRule="exact"/>
              <w:ind w:firstLine="22" w:firstLineChars="0"/>
              <w:jc w:val="center"/>
              <w:rPr>
                <w:rFonts w:ascii="黑体" w:hAnsi="黑体" w:eastAsia="黑体"/>
                <w:b/>
                <w:bCs/>
                <w:color w:val="auto"/>
                <w:sz w:val="28"/>
                <w:szCs w:val="28"/>
                <w:highlight w:val="none"/>
                <w:shd w:val="clear" w:color="auto" w:fill="FFFFFF"/>
              </w:rPr>
            </w:pPr>
            <w:r>
              <w:rPr>
                <w:rFonts w:hint="eastAsia" w:ascii="黑体" w:hAnsi="黑体" w:eastAsia="黑体"/>
                <w:color w:val="auto"/>
                <w:sz w:val="28"/>
                <w:szCs w:val="28"/>
                <w:highlight w:val="none"/>
                <w:shd w:val="clear" w:color="auto" w:fill="FFFFFF"/>
              </w:rPr>
              <w:t>专栏</w:t>
            </w:r>
            <w:r>
              <w:rPr>
                <w:rFonts w:hint="eastAsia" w:ascii="黑体" w:hAnsi="黑体" w:eastAsia="黑体"/>
                <w:color w:val="auto"/>
                <w:sz w:val="28"/>
                <w:szCs w:val="28"/>
                <w:highlight w:val="none"/>
                <w:shd w:val="clear" w:color="auto" w:fill="FFFFFF"/>
                <w:lang w:val="en-US" w:eastAsia="zh-CN"/>
              </w:rPr>
              <w:t>4</w:t>
            </w:r>
            <w:r>
              <w:rPr>
                <w:rFonts w:hint="eastAsia" w:ascii="黑体" w:hAnsi="黑体" w:eastAsia="黑体"/>
                <w:color w:val="auto"/>
                <w:sz w:val="28"/>
                <w:szCs w:val="28"/>
                <w:highlight w:val="none"/>
                <w:shd w:val="clear" w:color="auto" w:fill="FFFFFF"/>
              </w:rPr>
              <w:t xml:space="preserve">  提升乡村富民特色产业，推进脱贫人口稳岗就业</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717" w:hRule="atLeast"/>
          <w:jc w:val="center"/>
        </w:trPr>
        <w:tc>
          <w:tcPr>
            <w:tcW w:w="8859" w:type="dxa"/>
            <w:vAlign w:val="center"/>
          </w:tcPr>
          <w:p>
            <w:pPr>
              <w:pStyle w:val="44"/>
              <w:snapToGrid w:val="0"/>
              <w:ind w:firstLine="562"/>
              <w:rPr>
                <w:rFonts w:ascii="仿宋" w:hAnsi="仿宋" w:eastAsia="仿宋"/>
                <w:b/>
                <w:color w:val="auto"/>
                <w:sz w:val="28"/>
                <w:szCs w:val="24"/>
                <w:highlight w:val="none"/>
              </w:rPr>
            </w:pPr>
            <w:r>
              <w:rPr>
                <w:rFonts w:hint="eastAsia" w:ascii="仿宋" w:hAnsi="仿宋" w:eastAsia="仿宋"/>
                <w:b/>
                <w:color w:val="auto"/>
                <w:sz w:val="28"/>
                <w:szCs w:val="24"/>
                <w:highlight w:val="none"/>
              </w:rPr>
              <w:t>01.高原特色</w:t>
            </w:r>
            <w:r>
              <w:rPr>
                <w:rFonts w:hint="eastAsia" w:ascii="仿宋" w:hAnsi="仿宋" w:eastAsia="仿宋"/>
                <w:b/>
                <w:color w:val="auto"/>
                <w:sz w:val="28"/>
                <w:szCs w:val="24"/>
                <w:highlight w:val="none"/>
                <w:lang w:val="en-US" w:eastAsia="zh-CN"/>
              </w:rPr>
              <w:t>农牧</w:t>
            </w:r>
            <w:r>
              <w:rPr>
                <w:rFonts w:hint="eastAsia" w:ascii="仿宋" w:hAnsi="仿宋" w:eastAsia="仿宋"/>
                <w:b/>
                <w:color w:val="auto"/>
                <w:sz w:val="28"/>
                <w:szCs w:val="24"/>
                <w:highlight w:val="none"/>
              </w:rPr>
              <w:t>业提升行动</w:t>
            </w:r>
          </w:p>
          <w:p>
            <w:pPr>
              <w:pStyle w:val="44"/>
              <w:snapToGrid w:val="0"/>
              <w:ind w:firstLine="560"/>
              <w:rPr>
                <w:rFonts w:ascii="仿宋" w:hAnsi="仿宋" w:eastAsia="仿宋"/>
                <w:bCs/>
                <w:color w:val="auto"/>
                <w:sz w:val="28"/>
                <w:szCs w:val="24"/>
                <w:highlight w:val="none"/>
              </w:rPr>
            </w:pPr>
            <w:r>
              <w:rPr>
                <w:rFonts w:hint="eastAsia" w:ascii="仿宋" w:hAnsi="仿宋" w:eastAsia="仿宋"/>
                <w:bCs/>
                <w:color w:val="auto"/>
                <w:sz w:val="28"/>
                <w:szCs w:val="24"/>
                <w:highlight w:val="none"/>
              </w:rPr>
              <w:t>围绕现代农业“10</w:t>
            </w:r>
            <w:r>
              <w:rPr>
                <w:rFonts w:hint="eastAsia" w:ascii="仿宋" w:hAnsi="仿宋" w:eastAsia="仿宋"/>
                <w:bCs/>
                <w:color w:val="auto"/>
                <w:sz w:val="28"/>
                <w:szCs w:val="24"/>
                <w:highlight w:val="none"/>
                <w:lang w:eastAsia="zh-CN"/>
              </w:rPr>
              <w:t>＋</w:t>
            </w:r>
            <w:r>
              <w:rPr>
                <w:rFonts w:hint="eastAsia" w:ascii="仿宋" w:hAnsi="仿宋" w:eastAsia="仿宋"/>
                <w:bCs/>
                <w:color w:val="auto"/>
                <w:sz w:val="28"/>
                <w:szCs w:val="24"/>
                <w:highlight w:val="none"/>
              </w:rPr>
              <w:t>2”产业体系，夯实</w:t>
            </w:r>
            <w:r>
              <w:rPr>
                <w:rFonts w:hint="eastAsia" w:ascii="仿宋" w:hAnsi="仿宋" w:eastAsia="仿宋"/>
                <w:bCs/>
                <w:color w:val="auto"/>
                <w:sz w:val="28"/>
                <w:szCs w:val="24"/>
                <w:highlight w:val="none"/>
                <w:lang w:val="en-US" w:eastAsia="zh-CN"/>
              </w:rPr>
              <w:t>脱贫地区</w:t>
            </w:r>
            <w:r>
              <w:rPr>
                <w:rFonts w:hint="eastAsia" w:ascii="仿宋" w:hAnsi="仿宋" w:eastAsia="仿宋"/>
                <w:bCs/>
                <w:color w:val="auto"/>
                <w:sz w:val="28"/>
                <w:szCs w:val="24"/>
                <w:highlight w:val="none"/>
              </w:rPr>
              <w:t>现有产业基础，推进</w:t>
            </w:r>
            <w:r>
              <w:rPr>
                <w:rFonts w:hint="eastAsia" w:ascii="仿宋" w:hAnsi="仿宋" w:eastAsia="仿宋"/>
                <w:bCs/>
                <w:color w:val="auto"/>
                <w:sz w:val="28"/>
                <w:szCs w:val="24"/>
                <w:highlight w:val="none"/>
                <w:lang w:val="en-US" w:eastAsia="zh-CN"/>
              </w:rPr>
              <w:t>优质粮油、绿色蔬菜、特色水果、中药材等</w:t>
            </w:r>
            <w:r>
              <w:rPr>
                <w:rFonts w:hint="eastAsia" w:ascii="仿宋" w:hAnsi="仿宋" w:eastAsia="仿宋"/>
                <w:bCs/>
                <w:color w:val="auto"/>
                <w:sz w:val="28"/>
                <w:szCs w:val="24"/>
                <w:highlight w:val="none"/>
              </w:rPr>
              <w:t>产业基地建设</w:t>
            </w:r>
            <w:r>
              <w:rPr>
                <w:rFonts w:hint="eastAsia" w:ascii="仿宋" w:hAnsi="仿宋" w:eastAsia="仿宋"/>
                <w:bCs/>
                <w:color w:val="auto"/>
                <w:sz w:val="28"/>
                <w:szCs w:val="24"/>
                <w:highlight w:val="none"/>
                <w:lang w:val="en-US" w:eastAsia="zh-CN"/>
              </w:rPr>
              <w:t>和</w:t>
            </w:r>
            <w:r>
              <w:rPr>
                <w:rFonts w:hint="eastAsia" w:ascii="仿宋" w:hAnsi="仿宋" w:eastAsia="仿宋"/>
                <w:bCs/>
                <w:color w:val="auto"/>
                <w:sz w:val="28"/>
                <w:szCs w:val="24"/>
                <w:highlight w:val="none"/>
              </w:rPr>
              <w:t>国家级牦牛特色产业集群</w:t>
            </w:r>
            <w:r>
              <w:rPr>
                <w:rFonts w:hint="eastAsia" w:ascii="仿宋" w:hAnsi="仿宋" w:eastAsia="仿宋"/>
                <w:bCs/>
                <w:color w:val="auto"/>
                <w:sz w:val="28"/>
                <w:szCs w:val="24"/>
                <w:highlight w:val="none"/>
                <w:lang w:val="en-US" w:eastAsia="zh-CN"/>
              </w:rPr>
              <w:t>项目建设，打造一批省星级级现代农业产业园</w:t>
            </w:r>
            <w:r>
              <w:rPr>
                <w:rFonts w:hint="eastAsia" w:ascii="仿宋" w:hAnsi="仿宋" w:eastAsia="仿宋"/>
                <w:bCs/>
                <w:color w:val="auto"/>
                <w:sz w:val="28"/>
                <w:szCs w:val="24"/>
                <w:highlight w:val="none"/>
              </w:rPr>
              <w:t>、农村产业融合发展示范园、省级农业科技园区。实施全产业链建设工程，支持</w:t>
            </w:r>
            <w:r>
              <w:rPr>
                <w:rFonts w:hint="eastAsia" w:ascii="仿宋" w:hAnsi="仿宋" w:eastAsia="仿宋"/>
                <w:bCs/>
                <w:color w:val="auto"/>
                <w:sz w:val="28"/>
                <w:szCs w:val="24"/>
                <w:highlight w:val="none"/>
                <w:lang w:val="en-US" w:eastAsia="zh-CN"/>
              </w:rPr>
              <w:t>各县（市）按需</w:t>
            </w:r>
            <w:r>
              <w:rPr>
                <w:rFonts w:hint="eastAsia" w:ascii="仿宋" w:hAnsi="仿宋" w:eastAsia="仿宋"/>
                <w:bCs/>
                <w:color w:val="auto"/>
                <w:sz w:val="28"/>
                <w:szCs w:val="24"/>
                <w:highlight w:val="none"/>
              </w:rPr>
              <w:t>建设农村电商站点项目。</w:t>
            </w:r>
          </w:p>
          <w:p>
            <w:pPr>
              <w:pStyle w:val="44"/>
              <w:snapToGrid w:val="0"/>
              <w:ind w:firstLine="562"/>
              <w:rPr>
                <w:rFonts w:ascii="仿宋" w:hAnsi="仿宋" w:eastAsia="仿宋"/>
                <w:b/>
                <w:color w:val="auto"/>
                <w:sz w:val="28"/>
                <w:szCs w:val="24"/>
                <w:highlight w:val="none"/>
              </w:rPr>
            </w:pPr>
            <w:r>
              <w:rPr>
                <w:rFonts w:hint="eastAsia" w:ascii="仿宋" w:hAnsi="仿宋" w:eastAsia="仿宋"/>
                <w:b/>
                <w:color w:val="auto"/>
                <w:sz w:val="28"/>
                <w:szCs w:val="24"/>
                <w:highlight w:val="none"/>
              </w:rPr>
              <w:t>02.现代农业园区建设行动</w:t>
            </w:r>
          </w:p>
          <w:p>
            <w:pPr>
              <w:pStyle w:val="44"/>
              <w:snapToGrid w:val="0"/>
              <w:ind w:firstLine="560"/>
              <w:rPr>
                <w:rFonts w:ascii="仿宋" w:hAnsi="仿宋" w:eastAsia="仿宋"/>
                <w:bCs/>
                <w:color w:val="auto"/>
                <w:sz w:val="28"/>
                <w:szCs w:val="24"/>
                <w:highlight w:val="none"/>
              </w:rPr>
            </w:pPr>
            <w:r>
              <w:rPr>
                <w:rFonts w:hint="eastAsia" w:ascii="仿宋" w:hAnsi="仿宋" w:eastAsia="仿宋"/>
                <w:bCs/>
                <w:color w:val="auto"/>
                <w:sz w:val="28"/>
                <w:szCs w:val="24"/>
                <w:highlight w:val="none"/>
              </w:rPr>
              <w:t>围绕现代农业“10</w:t>
            </w:r>
            <w:r>
              <w:rPr>
                <w:rFonts w:hint="eastAsia" w:ascii="仿宋" w:hAnsi="仿宋" w:eastAsia="仿宋"/>
                <w:bCs/>
                <w:color w:val="auto"/>
                <w:sz w:val="28"/>
                <w:szCs w:val="24"/>
                <w:highlight w:val="none"/>
                <w:lang w:eastAsia="zh-CN"/>
              </w:rPr>
              <w:t>＋</w:t>
            </w:r>
            <w:r>
              <w:rPr>
                <w:rFonts w:hint="eastAsia" w:ascii="仿宋" w:hAnsi="仿宋" w:eastAsia="仿宋"/>
                <w:bCs/>
                <w:color w:val="auto"/>
                <w:sz w:val="28"/>
                <w:szCs w:val="24"/>
                <w:highlight w:val="none"/>
              </w:rPr>
              <w:t>2”产业体系，开展全州现代农业园区申报项目，到2025年，建设国家级现代农</w:t>
            </w:r>
            <w:r>
              <w:rPr>
                <w:rFonts w:hint="eastAsia" w:ascii="仿宋" w:hAnsi="仿宋" w:eastAsia="仿宋"/>
                <w:bCs/>
                <w:color w:val="auto"/>
                <w:sz w:val="28"/>
                <w:szCs w:val="24"/>
                <w:highlight w:val="none"/>
                <w:lang w:eastAsia="zh-CN"/>
              </w:rPr>
              <w:t>（</w:t>
            </w:r>
            <w:r>
              <w:rPr>
                <w:rFonts w:hint="eastAsia" w:ascii="仿宋" w:hAnsi="仿宋" w:eastAsia="仿宋"/>
                <w:bCs/>
                <w:color w:val="auto"/>
                <w:sz w:val="28"/>
                <w:szCs w:val="24"/>
                <w:highlight w:val="none"/>
                <w:lang w:val="en-US" w:eastAsia="zh-CN"/>
              </w:rPr>
              <w:t>林</w:t>
            </w:r>
            <w:r>
              <w:rPr>
                <w:rFonts w:hint="eastAsia" w:ascii="仿宋" w:hAnsi="仿宋" w:eastAsia="仿宋"/>
                <w:bCs/>
                <w:color w:val="auto"/>
                <w:sz w:val="28"/>
                <w:szCs w:val="24"/>
                <w:highlight w:val="none"/>
                <w:lang w:eastAsia="zh-CN"/>
              </w:rPr>
              <w:t>）</w:t>
            </w:r>
            <w:r>
              <w:rPr>
                <w:rFonts w:hint="eastAsia" w:ascii="仿宋" w:hAnsi="仿宋" w:eastAsia="仿宋"/>
                <w:bCs/>
                <w:color w:val="auto"/>
                <w:sz w:val="28"/>
                <w:szCs w:val="24"/>
                <w:highlight w:val="none"/>
              </w:rPr>
              <w:t>业产业园1个、省级现代农</w:t>
            </w:r>
            <w:r>
              <w:rPr>
                <w:rFonts w:hint="eastAsia" w:ascii="仿宋" w:hAnsi="仿宋" w:eastAsia="仿宋"/>
                <w:bCs/>
                <w:color w:val="auto"/>
                <w:sz w:val="28"/>
                <w:szCs w:val="24"/>
                <w:highlight w:val="none"/>
                <w:lang w:eastAsia="zh-CN"/>
              </w:rPr>
              <w:t>（</w:t>
            </w:r>
            <w:r>
              <w:rPr>
                <w:rFonts w:hint="eastAsia" w:ascii="仿宋" w:hAnsi="仿宋" w:eastAsia="仿宋"/>
                <w:bCs/>
                <w:color w:val="auto"/>
                <w:sz w:val="28"/>
                <w:szCs w:val="24"/>
                <w:highlight w:val="none"/>
                <w:lang w:val="en-US" w:eastAsia="zh-CN"/>
              </w:rPr>
              <w:t>林</w:t>
            </w:r>
            <w:r>
              <w:rPr>
                <w:rFonts w:hint="eastAsia" w:ascii="仿宋" w:hAnsi="仿宋" w:eastAsia="仿宋"/>
                <w:bCs/>
                <w:color w:val="auto"/>
                <w:sz w:val="28"/>
                <w:szCs w:val="24"/>
                <w:highlight w:val="none"/>
                <w:lang w:eastAsia="zh-CN"/>
              </w:rPr>
              <w:t>）</w:t>
            </w:r>
            <w:r>
              <w:rPr>
                <w:rFonts w:hint="eastAsia" w:ascii="仿宋" w:hAnsi="仿宋" w:eastAsia="仿宋"/>
                <w:bCs/>
                <w:color w:val="auto"/>
                <w:sz w:val="28"/>
                <w:szCs w:val="24"/>
                <w:highlight w:val="none"/>
              </w:rPr>
              <w:t>业园区</w:t>
            </w:r>
            <w:r>
              <w:rPr>
                <w:rFonts w:hint="eastAsia" w:ascii="仿宋" w:hAnsi="仿宋" w:eastAsia="仿宋"/>
                <w:bCs/>
                <w:color w:val="auto"/>
                <w:sz w:val="28"/>
                <w:szCs w:val="24"/>
                <w:highlight w:val="none"/>
                <w:lang w:val="en-US" w:eastAsia="zh-CN"/>
              </w:rPr>
              <w:t>10</w:t>
            </w:r>
            <w:r>
              <w:rPr>
                <w:rFonts w:hint="eastAsia" w:ascii="仿宋" w:hAnsi="仿宋" w:eastAsia="仿宋"/>
                <w:bCs/>
                <w:color w:val="auto"/>
                <w:sz w:val="28"/>
                <w:szCs w:val="24"/>
                <w:highlight w:val="none"/>
              </w:rPr>
              <w:t>个、州级现代农</w:t>
            </w:r>
            <w:r>
              <w:rPr>
                <w:rFonts w:hint="eastAsia" w:ascii="仿宋" w:hAnsi="仿宋" w:eastAsia="仿宋"/>
                <w:bCs/>
                <w:color w:val="auto"/>
                <w:sz w:val="28"/>
                <w:szCs w:val="24"/>
                <w:highlight w:val="none"/>
                <w:lang w:eastAsia="zh-CN"/>
              </w:rPr>
              <w:t>（</w:t>
            </w:r>
            <w:r>
              <w:rPr>
                <w:rFonts w:hint="eastAsia" w:ascii="仿宋" w:hAnsi="仿宋" w:eastAsia="仿宋"/>
                <w:bCs/>
                <w:color w:val="auto"/>
                <w:sz w:val="28"/>
                <w:szCs w:val="24"/>
                <w:highlight w:val="none"/>
                <w:lang w:val="en-US" w:eastAsia="zh-CN"/>
              </w:rPr>
              <w:t>林</w:t>
            </w:r>
            <w:r>
              <w:rPr>
                <w:rFonts w:hint="eastAsia" w:ascii="仿宋" w:hAnsi="仿宋" w:eastAsia="仿宋"/>
                <w:bCs/>
                <w:color w:val="auto"/>
                <w:sz w:val="28"/>
                <w:szCs w:val="24"/>
                <w:highlight w:val="none"/>
                <w:lang w:eastAsia="zh-CN"/>
              </w:rPr>
              <w:t>）</w:t>
            </w:r>
            <w:r>
              <w:rPr>
                <w:rFonts w:hint="eastAsia" w:ascii="仿宋" w:hAnsi="仿宋" w:eastAsia="仿宋"/>
                <w:bCs/>
                <w:color w:val="auto"/>
                <w:sz w:val="28"/>
                <w:szCs w:val="24"/>
                <w:highlight w:val="none"/>
              </w:rPr>
              <w:t>业园区</w:t>
            </w:r>
            <w:r>
              <w:rPr>
                <w:rFonts w:hint="eastAsia" w:ascii="仿宋" w:hAnsi="仿宋" w:eastAsia="仿宋"/>
                <w:bCs/>
                <w:color w:val="auto"/>
                <w:sz w:val="28"/>
                <w:szCs w:val="24"/>
                <w:highlight w:val="none"/>
                <w:lang w:val="en-US" w:eastAsia="zh-CN"/>
              </w:rPr>
              <w:t>30</w:t>
            </w:r>
            <w:r>
              <w:rPr>
                <w:rFonts w:hint="eastAsia" w:ascii="仿宋" w:hAnsi="仿宋" w:eastAsia="仿宋"/>
                <w:bCs/>
                <w:color w:val="auto"/>
                <w:sz w:val="28"/>
                <w:szCs w:val="24"/>
                <w:highlight w:val="none"/>
              </w:rPr>
              <w:t>个、县级现代农</w:t>
            </w:r>
            <w:r>
              <w:rPr>
                <w:rFonts w:hint="eastAsia" w:ascii="仿宋" w:hAnsi="仿宋" w:eastAsia="仿宋"/>
                <w:bCs/>
                <w:color w:val="auto"/>
                <w:sz w:val="28"/>
                <w:szCs w:val="24"/>
                <w:highlight w:val="none"/>
                <w:lang w:eastAsia="zh-CN"/>
              </w:rPr>
              <w:t>（</w:t>
            </w:r>
            <w:r>
              <w:rPr>
                <w:rFonts w:hint="eastAsia" w:ascii="仿宋" w:hAnsi="仿宋" w:eastAsia="仿宋"/>
                <w:bCs/>
                <w:color w:val="auto"/>
                <w:sz w:val="28"/>
                <w:szCs w:val="24"/>
                <w:highlight w:val="none"/>
                <w:lang w:val="en-US" w:eastAsia="zh-CN"/>
              </w:rPr>
              <w:t>林</w:t>
            </w:r>
            <w:r>
              <w:rPr>
                <w:rFonts w:hint="eastAsia" w:ascii="仿宋" w:hAnsi="仿宋" w:eastAsia="仿宋"/>
                <w:bCs/>
                <w:color w:val="auto"/>
                <w:sz w:val="28"/>
                <w:szCs w:val="24"/>
                <w:highlight w:val="none"/>
                <w:lang w:eastAsia="zh-CN"/>
              </w:rPr>
              <w:t>）</w:t>
            </w:r>
            <w:r>
              <w:rPr>
                <w:rFonts w:hint="eastAsia" w:ascii="仿宋" w:hAnsi="仿宋" w:eastAsia="仿宋"/>
                <w:bCs/>
                <w:color w:val="auto"/>
                <w:sz w:val="28"/>
                <w:szCs w:val="24"/>
                <w:highlight w:val="none"/>
              </w:rPr>
              <w:t>业园区N个。</w:t>
            </w:r>
          </w:p>
          <w:p>
            <w:pPr>
              <w:pStyle w:val="44"/>
              <w:snapToGrid w:val="0"/>
              <w:ind w:firstLine="562"/>
              <w:rPr>
                <w:rFonts w:ascii="仿宋" w:hAnsi="仿宋" w:eastAsia="仿宋"/>
                <w:b/>
                <w:color w:val="auto"/>
                <w:sz w:val="28"/>
                <w:szCs w:val="24"/>
                <w:highlight w:val="none"/>
              </w:rPr>
            </w:pPr>
            <w:r>
              <w:rPr>
                <w:rFonts w:hint="eastAsia" w:ascii="仿宋" w:hAnsi="仿宋" w:eastAsia="仿宋"/>
                <w:b/>
                <w:color w:val="auto"/>
                <w:sz w:val="28"/>
                <w:szCs w:val="24"/>
                <w:highlight w:val="none"/>
              </w:rPr>
              <w:t>03.农产品加工业提升行动</w:t>
            </w:r>
          </w:p>
          <w:p>
            <w:pPr>
              <w:pStyle w:val="44"/>
              <w:snapToGrid w:val="0"/>
              <w:ind w:firstLine="560"/>
              <w:rPr>
                <w:rFonts w:ascii="仿宋" w:hAnsi="仿宋" w:eastAsia="仿宋"/>
                <w:bCs/>
                <w:color w:val="auto"/>
                <w:sz w:val="28"/>
                <w:szCs w:val="24"/>
                <w:highlight w:val="none"/>
              </w:rPr>
            </w:pPr>
            <w:r>
              <w:rPr>
                <w:rFonts w:hint="eastAsia" w:ascii="仿宋" w:hAnsi="仿宋" w:eastAsia="仿宋"/>
                <w:bCs/>
                <w:color w:val="auto"/>
                <w:sz w:val="28"/>
                <w:szCs w:val="24"/>
                <w:highlight w:val="none"/>
              </w:rPr>
              <w:t>实施加工链建设工程。支持</w:t>
            </w:r>
            <w:r>
              <w:rPr>
                <w:rFonts w:hint="eastAsia" w:ascii="仿宋" w:hAnsi="仿宋" w:eastAsia="仿宋"/>
                <w:bCs/>
                <w:color w:val="auto"/>
                <w:sz w:val="28"/>
                <w:szCs w:val="24"/>
                <w:highlight w:val="none"/>
                <w:lang w:val="en-US" w:eastAsia="zh-CN"/>
              </w:rPr>
              <w:t>脱贫地区建设</w:t>
            </w:r>
            <w:r>
              <w:rPr>
                <w:rFonts w:hint="eastAsia" w:ascii="仿宋" w:hAnsi="仿宋" w:eastAsia="仿宋"/>
                <w:bCs/>
                <w:color w:val="auto"/>
                <w:sz w:val="28"/>
                <w:szCs w:val="24"/>
                <w:highlight w:val="none"/>
              </w:rPr>
              <w:t>农产品产地初加工点</w:t>
            </w:r>
            <w:r>
              <w:rPr>
                <w:rFonts w:hint="eastAsia" w:ascii="仿宋" w:hAnsi="仿宋" w:eastAsia="仿宋"/>
                <w:bCs/>
                <w:color w:val="auto"/>
                <w:sz w:val="28"/>
                <w:szCs w:val="24"/>
                <w:highlight w:val="none"/>
                <w:lang w:eastAsia="zh-CN"/>
              </w:rPr>
              <w:t>、</w:t>
            </w:r>
            <w:r>
              <w:rPr>
                <w:rFonts w:hint="eastAsia" w:ascii="仿宋" w:hAnsi="仿宋" w:eastAsia="仿宋"/>
                <w:bCs/>
                <w:color w:val="auto"/>
                <w:sz w:val="28"/>
                <w:szCs w:val="24"/>
                <w:highlight w:val="none"/>
              </w:rPr>
              <w:t>果蔬商品化处理点</w:t>
            </w:r>
            <w:r>
              <w:rPr>
                <w:rFonts w:hint="eastAsia" w:ascii="仿宋" w:hAnsi="仿宋" w:eastAsia="仿宋"/>
                <w:bCs/>
                <w:color w:val="auto"/>
                <w:sz w:val="28"/>
                <w:szCs w:val="24"/>
                <w:highlight w:val="none"/>
                <w:lang w:eastAsia="zh-CN"/>
              </w:rPr>
              <w:t>、加工厂</w:t>
            </w:r>
            <w:r>
              <w:rPr>
                <w:rFonts w:hint="eastAsia" w:ascii="仿宋" w:hAnsi="仿宋" w:eastAsia="仿宋"/>
                <w:bCs/>
                <w:color w:val="auto"/>
                <w:sz w:val="28"/>
                <w:szCs w:val="24"/>
                <w:highlight w:val="none"/>
                <w:lang w:val="en-US" w:eastAsia="zh-CN"/>
              </w:rPr>
              <w:t>等</w:t>
            </w:r>
            <w:r>
              <w:rPr>
                <w:rFonts w:hint="eastAsia" w:ascii="仿宋" w:hAnsi="仿宋" w:eastAsia="仿宋"/>
                <w:bCs/>
                <w:color w:val="auto"/>
                <w:sz w:val="28"/>
                <w:szCs w:val="24"/>
                <w:highlight w:val="none"/>
              </w:rPr>
              <w:t>项目。实施仓储冷链建设工程，支持</w:t>
            </w:r>
            <w:r>
              <w:rPr>
                <w:rFonts w:hint="eastAsia" w:ascii="仿宋" w:hAnsi="仿宋" w:eastAsia="仿宋"/>
                <w:bCs/>
                <w:color w:val="auto"/>
                <w:sz w:val="28"/>
                <w:szCs w:val="24"/>
                <w:highlight w:val="none"/>
                <w:lang w:val="en-US" w:eastAsia="zh-CN"/>
              </w:rPr>
              <w:t>脱贫地区建设</w:t>
            </w:r>
            <w:r>
              <w:rPr>
                <w:rFonts w:hint="eastAsia" w:ascii="仿宋" w:hAnsi="仿宋" w:eastAsia="仿宋"/>
                <w:bCs/>
                <w:color w:val="auto"/>
                <w:sz w:val="28"/>
                <w:szCs w:val="24"/>
                <w:highlight w:val="none"/>
              </w:rPr>
              <w:t>农产品仓储保鲜库、冷链运输车、仓储物流中心等项目。</w:t>
            </w:r>
          </w:p>
          <w:p>
            <w:pPr>
              <w:pStyle w:val="44"/>
              <w:snapToGrid w:val="0"/>
              <w:ind w:firstLine="562"/>
              <w:rPr>
                <w:rFonts w:ascii="仿宋" w:hAnsi="仿宋" w:eastAsia="仿宋"/>
                <w:b/>
                <w:color w:val="auto"/>
                <w:sz w:val="28"/>
                <w:szCs w:val="24"/>
                <w:highlight w:val="none"/>
              </w:rPr>
            </w:pPr>
            <w:r>
              <w:rPr>
                <w:rFonts w:hint="eastAsia" w:ascii="仿宋" w:hAnsi="仿宋" w:eastAsia="仿宋"/>
                <w:b/>
                <w:color w:val="auto"/>
                <w:sz w:val="28"/>
                <w:szCs w:val="24"/>
                <w:highlight w:val="none"/>
              </w:rPr>
              <w:t>04.品牌建设行动</w:t>
            </w:r>
          </w:p>
          <w:p>
            <w:pPr>
              <w:pStyle w:val="44"/>
              <w:snapToGrid w:val="0"/>
              <w:ind w:firstLine="560"/>
              <w:rPr>
                <w:rFonts w:ascii="仿宋" w:hAnsi="仿宋" w:eastAsia="仿宋"/>
                <w:bCs/>
                <w:color w:val="auto"/>
                <w:sz w:val="28"/>
                <w:szCs w:val="24"/>
                <w:highlight w:val="none"/>
              </w:rPr>
            </w:pPr>
            <w:r>
              <w:rPr>
                <w:rFonts w:hint="eastAsia" w:ascii="仿宋" w:hAnsi="仿宋" w:eastAsia="仿宋"/>
                <w:bCs/>
                <w:color w:val="auto"/>
                <w:sz w:val="28"/>
                <w:szCs w:val="24"/>
                <w:highlight w:val="none"/>
              </w:rPr>
              <w:t>以现代农业园区为载体，围绕现代农业</w:t>
            </w:r>
            <w:r>
              <w:rPr>
                <w:rFonts w:hint="eastAsia" w:ascii="Times New Roman" w:hAnsi="Times New Roman" w:eastAsia="仿宋"/>
                <w:bCs/>
                <w:color w:val="auto"/>
                <w:sz w:val="28"/>
                <w:szCs w:val="24"/>
                <w:highlight w:val="none"/>
              </w:rPr>
              <w:t>“10</w:t>
            </w:r>
            <w:r>
              <w:rPr>
                <w:rFonts w:hint="eastAsia" w:ascii="Times New Roman" w:hAnsi="Times New Roman" w:eastAsia="仿宋"/>
                <w:bCs/>
                <w:color w:val="auto"/>
                <w:sz w:val="28"/>
                <w:szCs w:val="24"/>
                <w:highlight w:val="none"/>
                <w:lang w:eastAsia="zh-CN"/>
              </w:rPr>
              <w:t>＋</w:t>
            </w:r>
            <w:r>
              <w:rPr>
                <w:rFonts w:hint="eastAsia" w:ascii="Times New Roman" w:hAnsi="Times New Roman" w:eastAsia="仿宋"/>
                <w:bCs/>
                <w:color w:val="auto"/>
                <w:sz w:val="28"/>
                <w:szCs w:val="24"/>
                <w:highlight w:val="none"/>
              </w:rPr>
              <w:t>2”</w:t>
            </w:r>
            <w:r>
              <w:rPr>
                <w:rFonts w:hint="eastAsia" w:ascii="仿宋" w:hAnsi="仿宋" w:eastAsia="仿宋"/>
                <w:bCs/>
                <w:color w:val="auto"/>
                <w:sz w:val="28"/>
                <w:szCs w:val="24"/>
                <w:highlight w:val="none"/>
              </w:rPr>
              <w:t>产业体系，实施农产品质量认证项目，开展“区域公共品牌”“三品一标”创建项目。到</w:t>
            </w:r>
            <w:r>
              <w:rPr>
                <w:rFonts w:hint="eastAsia" w:ascii="Times New Roman" w:hAnsi="Times New Roman" w:eastAsia="仿宋"/>
                <w:color w:val="auto"/>
                <w:sz w:val="28"/>
                <w:szCs w:val="28"/>
                <w:highlight w:val="none"/>
              </w:rPr>
              <w:t>2025</w:t>
            </w:r>
            <w:r>
              <w:rPr>
                <w:rFonts w:hint="eastAsia" w:ascii="仿宋" w:hAnsi="仿宋" w:eastAsia="仿宋"/>
                <w:bCs/>
                <w:color w:val="auto"/>
                <w:sz w:val="28"/>
                <w:szCs w:val="24"/>
                <w:highlight w:val="none"/>
              </w:rPr>
              <w:t>年，全州“三品一标”累计登记认证力争达</w:t>
            </w:r>
            <w:r>
              <w:rPr>
                <w:rFonts w:hint="eastAsia" w:ascii="Times New Roman" w:hAnsi="Times New Roman" w:eastAsia="仿宋"/>
                <w:color w:val="auto"/>
                <w:sz w:val="28"/>
                <w:szCs w:val="28"/>
                <w:highlight w:val="none"/>
              </w:rPr>
              <w:t>225</w:t>
            </w:r>
            <w:r>
              <w:rPr>
                <w:rFonts w:hint="eastAsia" w:ascii="仿宋" w:hAnsi="仿宋" w:eastAsia="仿宋"/>
                <w:bCs/>
                <w:color w:val="auto"/>
                <w:sz w:val="28"/>
                <w:szCs w:val="24"/>
                <w:highlight w:val="none"/>
              </w:rPr>
              <w:t>个。</w:t>
            </w:r>
          </w:p>
          <w:p>
            <w:pPr>
              <w:pStyle w:val="44"/>
              <w:snapToGrid w:val="0"/>
              <w:ind w:firstLine="562"/>
              <w:rPr>
                <w:rFonts w:hint="eastAsia" w:ascii="仿宋" w:hAnsi="仿宋" w:eastAsia="仿宋"/>
                <w:b/>
                <w:color w:val="auto"/>
                <w:sz w:val="28"/>
                <w:szCs w:val="24"/>
                <w:highlight w:val="none"/>
                <w:lang w:val="en-US" w:eastAsia="zh-CN"/>
              </w:rPr>
            </w:pPr>
            <w:r>
              <w:rPr>
                <w:rFonts w:hint="eastAsia" w:ascii="仿宋" w:hAnsi="仿宋" w:eastAsia="仿宋"/>
                <w:b/>
                <w:color w:val="auto"/>
                <w:sz w:val="28"/>
                <w:szCs w:val="24"/>
                <w:highlight w:val="none"/>
              </w:rPr>
              <w:t>05.新产业新业态</w:t>
            </w:r>
            <w:r>
              <w:rPr>
                <w:rFonts w:hint="eastAsia" w:ascii="仿宋" w:hAnsi="仿宋" w:eastAsia="仿宋"/>
                <w:b/>
                <w:color w:val="auto"/>
                <w:sz w:val="28"/>
                <w:szCs w:val="24"/>
                <w:highlight w:val="none"/>
                <w:lang w:val="en-US" w:eastAsia="zh-CN"/>
              </w:rPr>
              <w:t>建设</w:t>
            </w:r>
          </w:p>
          <w:p>
            <w:pPr>
              <w:pStyle w:val="44"/>
              <w:snapToGrid w:val="0"/>
              <w:ind w:firstLine="560"/>
              <w:rPr>
                <w:rFonts w:hint="default" w:ascii="仿宋" w:hAnsi="仿宋" w:eastAsia="仿宋"/>
                <w:bCs/>
                <w:color w:val="auto"/>
                <w:sz w:val="28"/>
                <w:szCs w:val="24"/>
                <w:highlight w:val="none"/>
                <w:lang w:val="en-US" w:eastAsia="zh-CN"/>
              </w:rPr>
            </w:pPr>
            <w:r>
              <w:rPr>
                <w:rFonts w:hint="eastAsia" w:ascii="仿宋" w:hAnsi="仿宋" w:eastAsia="仿宋"/>
                <w:bCs/>
                <w:color w:val="auto"/>
                <w:sz w:val="28"/>
                <w:szCs w:val="24"/>
                <w:highlight w:val="none"/>
              </w:rPr>
              <w:t>在18个县（市）旅游重点发展区域以及317、318国道沿线处，</w:t>
            </w:r>
            <w:r>
              <w:rPr>
                <w:rFonts w:hint="eastAsia" w:ascii="仿宋" w:hAnsi="仿宋" w:eastAsia="仿宋"/>
                <w:bCs/>
                <w:color w:val="auto"/>
                <w:sz w:val="28"/>
                <w:szCs w:val="24"/>
                <w:highlight w:val="none"/>
                <w:lang w:val="en-US" w:eastAsia="zh-CN"/>
              </w:rPr>
              <w:t>实施休闲农业、乡村旅游、文化体验、健康养老</w:t>
            </w:r>
            <w:r>
              <w:rPr>
                <w:rFonts w:hint="eastAsia" w:ascii="仿宋" w:hAnsi="仿宋" w:eastAsia="仿宋"/>
                <w:bCs/>
                <w:color w:val="auto"/>
                <w:sz w:val="28"/>
                <w:szCs w:val="24"/>
                <w:highlight w:val="none"/>
              </w:rPr>
              <w:t>等</w:t>
            </w:r>
            <w:r>
              <w:rPr>
                <w:rFonts w:hint="eastAsia" w:ascii="仿宋" w:hAnsi="仿宋" w:eastAsia="仿宋"/>
                <w:bCs/>
                <w:color w:val="auto"/>
                <w:sz w:val="28"/>
                <w:szCs w:val="24"/>
                <w:highlight w:val="none"/>
                <w:lang w:val="en-US" w:eastAsia="zh-CN"/>
              </w:rPr>
              <w:t>新业态</w:t>
            </w:r>
            <w:r>
              <w:rPr>
                <w:rFonts w:hint="eastAsia" w:ascii="仿宋" w:hAnsi="仿宋" w:eastAsia="仿宋"/>
                <w:bCs/>
                <w:color w:val="auto"/>
                <w:sz w:val="28"/>
                <w:szCs w:val="24"/>
                <w:highlight w:val="none"/>
              </w:rPr>
              <w:t>建设项目。</w:t>
            </w:r>
            <w:r>
              <w:rPr>
                <w:rFonts w:hint="eastAsia" w:ascii="仿宋" w:hAnsi="仿宋" w:eastAsia="仿宋"/>
                <w:bCs/>
                <w:color w:val="auto"/>
                <w:sz w:val="28"/>
                <w:szCs w:val="24"/>
                <w:highlight w:val="none"/>
                <w:lang w:val="en-US" w:eastAsia="zh-CN"/>
              </w:rPr>
              <w:t>配套完善景区步游道、观景平台、标识标牌、风貌改造、景区公路养护、旅游景区厕所改建等旅游基础设施建设项目。</w:t>
            </w:r>
          </w:p>
          <w:p>
            <w:pPr>
              <w:pStyle w:val="44"/>
              <w:snapToGrid w:val="0"/>
              <w:ind w:firstLine="562"/>
              <w:rPr>
                <w:rFonts w:hint="default" w:ascii="仿宋" w:hAnsi="仿宋" w:eastAsia="仿宋"/>
                <w:b/>
                <w:color w:val="auto"/>
                <w:sz w:val="28"/>
                <w:szCs w:val="24"/>
                <w:highlight w:val="none"/>
                <w:lang w:val="en-US" w:eastAsia="zh-CN"/>
              </w:rPr>
            </w:pPr>
            <w:r>
              <w:rPr>
                <w:rFonts w:hint="eastAsia" w:ascii="仿宋" w:hAnsi="仿宋" w:eastAsia="仿宋"/>
                <w:b/>
                <w:color w:val="auto"/>
                <w:sz w:val="28"/>
                <w:szCs w:val="24"/>
                <w:highlight w:val="none"/>
              </w:rPr>
              <w:t>06.</w:t>
            </w:r>
            <w:r>
              <w:rPr>
                <w:rFonts w:hint="eastAsia" w:ascii="仿宋" w:hAnsi="仿宋" w:eastAsia="仿宋"/>
                <w:b/>
                <w:color w:val="auto"/>
                <w:sz w:val="28"/>
                <w:szCs w:val="24"/>
                <w:highlight w:val="none"/>
                <w:lang w:val="en-US" w:eastAsia="zh-CN"/>
              </w:rPr>
              <w:t>产业支撑建设</w:t>
            </w:r>
          </w:p>
          <w:p>
            <w:pPr>
              <w:pStyle w:val="44"/>
              <w:snapToGrid w:val="0"/>
              <w:ind w:firstLine="560"/>
              <w:rPr>
                <w:rFonts w:hint="eastAsia" w:ascii="仿宋" w:hAnsi="仿宋" w:eastAsia="仿宋"/>
                <w:bCs/>
                <w:color w:val="auto"/>
                <w:sz w:val="28"/>
                <w:szCs w:val="24"/>
                <w:highlight w:val="none"/>
                <w:lang w:eastAsia="zh-CN"/>
              </w:rPr>
            </w:pPr>
            <w:r>
              <w:rPr>
                <w:rFonts w:hint="eastAsia" w:ascii="仿宋" w:hAnsi="仿宋" w:eastAsia="仿宋"/>
                <w:bCs/>
                <w:color w:val="auto"/>
                <w:sz w:val="28"/>
                <w:szCs w:val="24"/>
                <w:highlight w:val="none"/>
                <w:lang w:val="en-US" w:eastAsia="zh-CN"/>
              </w:rPr>
              <w:t>开展脱贫地区新型经营主体培育，壮大村集体经济。支持脱贫地区建设农机推广机制、新技术服务模式推广、“科技下乡万里行”行动、农机推广特聘计划、科技特派员服务团、在线服务科技服务平台等项目。</w:t>
            </w:r>
          </w:p>
        </w:tc>
      </w:tr>
    </w:tbl>
    <w:p>
      <w:pPr>
        <w:pStyle w:val="10"/>
        <w:ind w:left="0" w:leftChars="0" w:firstLine="0" w:firstLineChars="0"/>
        <w:rPr>
          <w:rFonts w:hint="eastAsia" w:ascii="仿宋" w:hAnsi="仿宋" w:cs="仿宋_GB2312"/>
          <w:bCs/>
          <w:color w:val="auto"/>
          <w:highlight w:val="none"/>
        </w:rPr>
      </w:pPr>
    </w:p>
    <w:p>
      <w:pPr>
        <w:rPr>
          <w:rFonts w:hint="eastAsia"/>
          <w:color w:val="auto"/>
        </w:rPr>
        <w:sectPr>
          <w:pgSz w:w="11906" w:h="16838"/>
          <w:pgMar w:top="1440" w:right="1800" w:bottom="1440" w:left="1800" w:header="851" w:footer="992" w:gutter="0"/>
          <w:pgNumType w:fmt="decimal"/>
          <w:cols w:space="425" w:num="1"/>
          <w:docGrid w:type="lines" w:linePitch="312" w:charSpace="0"/>
        </w:sectPr>
      </w:pPr>
    </w:p>
    <w:p>
      <w:pPr>
        <w:pStyle w:val="4"/>
        <w:tabs>
          <w:tab w:val="clear" w:pos="0"/>
        </w:tabs>
        <w:suppressAutoHyphens w:val="0"/>
        <w:spacing w:after="240" w:line="578" w:lineRule="auto"/>
        <w:jc w:val="center"/>
        <w:rPr>
          <w:rFonts w:ascii="黑体" w:hAnsi="黑体" w:eastAsia="黑体"/>
          <w:b w:val="0"/>
          <w:bCs w:val="0"/>
          <w:color w:val="auto"/>
          <w:kern w:val="2"/>
          <w:sz w:val="32"/>
          <w:szCs w:val="32"/>
          <w:highlight w:val="none"/>
        </w:rPr>
      </w:pPr>
      <w:bookmarkStart w:id="89" w:name="_Toc2440"/>
      <w:bookmarkStart w:id="90" w:name="_Toc31399"/>
      <w:bookmarkStart w:id="91" w:name="_Toc11669"/>
      <w:r>
        <w:rPr>
          <w:rFonts w:hint="eastAsia" w:ascii="黑体" w:hAnsi="黑体" w:eastAsia="黑体"/>
          <w:b w:val="0"/>
          <w:bCs w:val="0"/>
          <w:color w:val="auto"/>
          <w:kern w:val="2"/>
          <w:sz w:val="32"/>
          <w:szCs w:val="32"/>
          <w:highlight w:val="none"/>
        </w:rPr>
        <w:t>第</w:t>
      </w:r>
      <w:r>
        <w:rPr>
          <w:rFonts w:hint="eastAsia" w:ascii="黑体" w:hAnsi="黑体" w:eastAsia="黑体"/>
          <w:b w:val="0"/>
          <w:bCs w:val="0"/>
          <w:color w:val="auto"/>
          <w:kern w:val="2"/>
          <w:sz w:val="32"/>
          <w:szCs w:val="32"/>
          <w:highlight w:val="none"/>
          <w:lang w:val="en-US" w:eastAsia="zh-CN"/>
        </w:rPr>
        <w:t>七</w:t>
      </w:r>
      <w:r>
        <w:rPr>
          <w:rFonts w:hint="eastAsia" w:ascii="黑体" w:hAnsi="黑体" w:eastAsia="黑体"/>
          <w:b w:val="0"/>
          <w:bCs w:val="0"/>
          <w:color w:val="auto"/>
          <w:kern w:val="2"/>
          <w:sz w:val="32"/>
          <w:szCs w:val="32"/>
          <w:highlight w:val="none"/>
        </w:rPr>
        <w:t xml:space="preserve">章 </w:t>
      </w:r>
      <w:r>
        <w:rPr>
          <w:rFonts w:ascii="黑体" w:hAnsi="黑体" w:eastAsia="黑体"/>
          <w:b w:val="0"/>
          <w:bCs w:val="0"/>
          <w:color w:val="auto"/>
          <w:kern w:val="2"/>
          <w:sz w:val="32"/>
          <w:szCs w:val="32"/>
          <w:highlight w:val="none"/>
        </w:rPr>
        <w:t xml:space="preserve"> </w:t>
      </w:r>
      <w:r>
        <w:rPr>
          <w:rFonts w:hint="eastAsia" w:ascii="黑体" w:hAnsi="黑体" w:eastAsia="黑体"/>
          <w:b w:val="0"/>
          <w:bCs w:val="0"/>
          <w:color w:val="auto"/>
          <w:kern w:val="2"/>
          <w:sz w:val="32"/>
          <w:szCs w:val="32"/>
          <w:highlight w:val="none"/>
        </w:rPr>
        <w:t>开展“圣洁甘孜</w:t>
      </w:r>
      <w:r>
        <w:rPr>
          <w:rFonts w:hint="eastAsia" w:ascii="黑体" w:hAnsi="黑体" w:eastAsia="黑体"/>
          <w:b w:val="0"/>
          <w:bCs w:val="0"/>
          <w:color w:val="auto"/>
          <w:kern w:val="2"/>
          <w:sz w:val="32"/>
          <w:szCs w:val="32"/>
          <w:highlight w:val="none"/>
          <w:lang w:val="en-US" w:eastAsia="zh-CN"/>
        </w:rPr>
        <w:t>·</w:t>
      </w:r>
      <w:r>
        <w:rPr>
          <w:rFonts w:hint="eastAsia" w:ascii="黑体" w:hAnsi="黑体" w:eastAsia="黑体"/>
          <w:b w:val="0"/>
          <w:bCs w:val="0"/>
          <w:color w:val="auto"/>
          <w:kern w:val="2"/>
          <w:sz w:val="32"/>
          <w:szCs w:val="32"/>
          <w:highlight w:val="none"/>
        </w:rPr>
        <w:t>美丽乡村”行动，推进宜居</w:t>
      </w:r>
      <w:r>
        <w:rPr>
          <w:rFonts w:hint="eastAsia" w:ascii="黑体" w:hAnsi="黑体" w:eastAsia="黑体"/>
          <w:b w:val="0"/>
          <w:bCs w:val="0"/>
          <w:color w:val="auto"/>
          <w:kern w:val="2"/>
          <w:sz w:val="32"/>
          <w:szCs w:val="32"/>
          <w:highlight w:val="none"/>
          <w:lang w:val="en-US" w:eastAsia="zh-CN"/>
        </w:rPr>
        <w:t>宜美和美</w:t>
      </w:r>
      <w:r>
        <w:rPr>
          <w:rFonts w:hint="eastAsia" w:ascii="黑体" w:hAnsi="黑体" w:eastAsia="黑体"/>
          <w:b w:val="0"/>
          <w:bCs w:val="0"/>
          <w:color w:val="auto"/>
          <w:kern w:val="2"/>
          <w:sz w:val="32"/>
          <w:szCs w:val="32"/>
          <w:highlight w:val="none"/>
        </w:rPr>
        <w:t>乡村建设</w:t>
      </w:r>
      <w:bookmarkEnd w:id="89"/>
      <w:bookmarkEnd w:id="90"/>
      <w:bookmarkEnd w:id="91"/>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rPr>
          <w:rFonts w:hint="default" w:ascii="仿宋" w:hAnsi="仿宋" w:cs="仿宋_GB2312"/>
          <w:bCs/>
          <w:color w:val="auto"/>
          <w:highlight w:val="none"/>
          <w:lang w:val="en-US" w:eastAsia="zh-CN"/>
        </w:rPr>
      </w:pPr>
      <w:r>
        <w:rPr>
          <w:rFonts w:hint="eastAsia" w:ascii="仿宋" w:hAnsi="仿宋" w:cs="仿宋_GB2312"/>
          <w:bCs/>
          <w:color w:val="auto"/>
          <w:highlight w:val="none"/>
          <w:lang w:val="en-US" w:eastAsia="zh-CN"/>
        </w:rPr>
        <w:t>做好两项改革“后半篇”文章，有序推进“多规合一”实用性村庄规划编制，统筹资源要素，开展“圣洁甘孜·美丽乡村”行动，实施乡村振兴“双百工程”，加强乡村基础设施建设，持续改善人居环境，推动乡村生态建设，加强公共文化服务体系，提升乡村治理水平，推进乡村建设信息采集、录入、维护等工作。</w:t>
      </w:r>
    </w:p>
    <w:p>
      <w:pPr>
        <w:pStyle w:val="5"/>
        <w:tabs>
          <w:tab w:val="clear" w:pos="0"/>
        </w:tabs>
        <w:suppressAutoHyphens w:val="0"/>
        <w:snapToGrid w:val="0"/>
        <w:spacing w:before="0" w:after="0" w:line="360" w:lineRule="auto"/>
        <w:ind w:firstLine="643" w:firstLineChars="200"/>
        <w:jc w:val="left"/>
        <w:rPr>
          <w:rFonts w:hint="eastAsia" w:ascii="楷体" w:hAnsi="楷体" w:eastAsia="楷体" w:cs="黑体"/>
          <w:bCs w:val="0"/>
          <w:color w:val="auto"/>
          <w:kern w:val="0"/>
          <w:highlight w:val="none"/>
        </w:rPr>
      </w:pPr>
      <w:bookmarkStart w:id="92" w:name="_Toc27186"/>
      <w:bookmarkStart w:id="93" w:name="_Toc853"/>
      <w:bookmarkStart w:id="94" w:name="_Toc516"/>
      <w:r>
        <w:rPr>
          <w:rFonts w:hint="eastAsia" w:ascii="楷体" w:hAnsi="楷体" w:eastAsia="楷体" w:cs="黑体"/>
          <w:bCs w:val="0"/>
          <w:color w:val="auto"/>
          <w:kern w:val="0"/>
          <w:highlight w:val="none"/>
        </w:rPr>
        <w:t>一、加强乡村基础设施建设</w:t>
      </w:r>
      <w:bookmarkEnd w:id="92"/>
      <w:bookmarkEnd w:id="93"/>
      <w:bookmarkEnd w:id="94"/>
    </w:p>
    <w:p>
      <w:pPr>
        <w:keepNext w:val="0"/>
        <w:keepLines w:val="0"/>
        <w:pageBreakBefore w:val="0"/>
        <w:widowControl w:val="0"/>
        <w:kinsoku/>
        <w:wordWrap/>
        <w:overflowPunct/>
        <w:topLinePunct w:val="0"/>
        <w:autoSpaceDE/>
        <w:autoSpaceDN/>
        <w:bidi w:val="0"/>
        <w:adjustRightInd/>
        <w:snapToGrid w:val="0"/>
        <w:spacing w:line="360" w:lineRule="auto"/>
        <w:ind w:firstLine="643" w:firstLineChars="200"/>
        <w:textAlignment w:val="auto"/>
        <w:rPr>
          <w:rFonts w:hint="default" w:ascii="仿宋" w:hAnsi="仿宋" w:cs="仿宋_GB2312"/>
          <w:b w:val="0"/>
          <w:bCs/>
          <w:color w:val="auto"/>
          <w:highlight w:val="none"/>
          <w:lang w:val="en-US" w:eastAsia="zh-CN"/>
        </w:rPr>
      </w:pPr>
      <w:r>
        <w:rPr>
          <w:rFonts w:hint="eastAsia" w:ascii="仿宋" w:hAnsi="仿宋" w:cs="仿宋_GB2312"/>
          <w:b/>
          <w:bCs w:val="0"/>
          <w:color w:val="auto"/>
          <w:highlight w:val="none"/>
          <w:lang w:val="en-US" w:eastAsia="zh-CN"/>
        </w:rPr>
        <w:t>推进农村交通物流设施建设</w:t>
      </w:r>
      <w:r>
        <w:rPr>
          <w:rFonts w:hint="eastAsia" w:ascii="仿宋" w:hAnsi="仿宋" w:cs="仿宋_GB2312"/>
          <w:b w:val="0"/>
          <w:bCs/>
          <w:color w:val="auto"/>
          <w:highlight w:val="none"/>
          <w:lang w:val="en-US" w:eastAsia="zh-CN"/>
        </w:rPr>
        <w:t>。全面推进“四好农村路”建设，继续重点培育创建省级示范县，交通建设项目向通组入户倾斜。推进撤并建制村畅通工程和自然村（组）通硬化路建设，推动农村路网深度覆盖。健全完善“路长制”运行长效机制，推动专群结合、有路必养的农村道路养护机制建设，支持18个县（市）实施道路安防提升工程，鼓励村集体和村民参与村内道路养护，农村公路列养率达100%，持续改善脱贫地区脱贫人口的生产生活出行条件。推动城市公共交通线路向周边农村延伸，鼓励有条件的镇村发展公交，实现18个县乡村客运“金通工程”全覆盖。加快构建农村物流基础设施骨干网络，推动商贸、邮政、快递、供销、运输等企业加大农村地区设施网络布局。加快完善农村商贸物流基础设施末端网络，鼓励有条件的地区建设面向农村地区的共同配送中心。</w:t>
      </w:r>
    </w:p>
    <w:p>
      <w:pPr>
        <w:keepNext w:val="0"/>
        <w:keepLines w:val="0"/>
        <w:pageBreakBefore w:val="0"/>
        <w:widowControl w:val="0"/>
        <w:kinsoku/>
        <w:wordWrap/>
        <w:overflowPunct/>
        <w:topLinePunct w:val="0"/>
        <w:autoSpaceDE/>
        <w:autoSpaceDN/>
        <w:bidi w:val="0"/>
        <w:adjustRightInd/>
        <w:snapToGrid w:val="0"/>
        <w:spacing w:line="360" w:lineRule="auto"/>
        <w:ind w:firstLine="643" w:firstLineChars="200"/>
        <w:textAlignment w:val="auto"/>
        <w:rPr>
          <w:rFonts w:hint="default" w:ascii="仿宋" w:hAnsi="仿宋" w:eastAsia="仿宋"/>
          <w:b w:val="0"/>
          <w:bCs w:val="0"/>
          <w:color w:val="auto"/>
          <w:highlight w:val="none"/>
          <w:lang w:val="en-US" w:eastAsia="zh-CN"/>
        </w:rPr>
      </w:pPr>
      <w:r>
        <w:rPr>
          <w:rFonts w:hint="eastAsia" w:ascii="仿宋" w:hAnsi="仿宋"/>
          <w:b/>
          <w:bCs/>
          <w:color w:val="auto"/>
          <w:highlight w:val="none"/>
          <w:lang w:val="en-US" w:eastAsia="zh-CN"/>
        </w:rPr>
        <w:t>推进农村水利设施建设。</w:t>
      </w:r>
      <w:r>
        <w:rPr>
          <w:rFonts w:hint="eastAsia" w:ascii="仿宋" w:hAnsi="仿宋"/>
          <w:b w:val="0"/>
          <w:bCs w:val="0"/>
          <w:color w:val="auto"/>
          <w:highlight w:val="none"/>
        </w:rPr>
        <w:t>加强</w:t>
      </w:r>
      <w:r>
        <w:rPr>
          <w:rFonts w:hint="eastAsia" w:ascii="仿宋" w:hAnsi="仿宋"/>
          <w:b w:val="0"/>
          <w:bCs w:val="0"/>
          <w:color w:val="auto"/>
          <w:highlight w:val="none"/>
          <w:lang w:val="en-US" w:eastAsia="zh-CN"/>
        </w:rPr>
        <w:t>脱贫地区</w:t>
      </w:r>
      <w:r>
        <w:rPr>
          <w:rFonts w:hint="eastAsia" w:ascii="仿宋" w:hAnsi="仿宋"/>
          <w:b w:val="0"/>
          <w:bCs w:val="0"/>
          <w:color w:val="auto"/>
          <w:highlight w:val="none"/>
        </w:rPr>
        <w:t>农村防洪工程建设</w:t>
      </w:r>
      <w:r>
        <w:rPr>
          <w:rFonts w:hint="eastAsia" w:ascii="仿宋" w:hAnsi="仿宋"/>
          <w:b w:val="0"/>
          <w:bCs w:val="0"/>
          <w:color w:val="auto"/>
          <w:highlight w:val="none"/>
          <w:lang w:eastAsia="zh-CN"/>
        </w:rPr>
        <w:t>。</w:t>
      </w:r>
      <w:r>
        <w:rPr>
          <w:rFonts w:hint="eastAsia" w:ascii="仿宋" w:hAnsi="仿宋"/>
          <w:b w:val="0"/>
          <w:bCs w:val="0"/>
          <w:color w:val="auto"/>
          <w:highlight w:val="none"/>
        </w:rPr>
        <w:t>防范水库垮坝、中小河流洪水、山洪灾害等风险，充分发挥骨干水利工程防灾减灾作用，完善抗旱水源工程体系</w:t>
      </w:r>
      <w:r>
        <w:rPr>
          <w:rFonts w:hint="eastAsia" w:ascii="仿宋" w:hAnsi="仿宋"/>
          <w:b w:val="0"/>
          <w:bCs w:val="0"/>
          <w:color w:val="auto"/>
          <w:highlight w:val="none"/>
          <w:lang w:eastAsia="zh-CN"/>
        </w:rPr>
        <w:t>，</w:t>
      </w:r>
      <w:r>
        <w:rPr>
          <w:rFonts w:hint="eastAsia" w:ascii="仿宋" w:hAnsi="仿宋"/>
          <w:b w:val="0"/>
          <w:bCs w:val="0"/>
          <w:color w:val="auto"/>
          <w:highlight w:val="none"/>
        </w:rPr>
        <w:t>提升防汛抗旱能力</w:t>
      </w:r>
      <w:r>
        <w:rPr>
          <w:rFonts w:hint="eastAsia" w:ascii="仿宋" w:hAnsi="仿宋"/>
          <w:b w:val="0"/>
          <w:bCs w:val="0"/>
          <w:color w:val="auto"/>
          <w:highlight w:val="none"/>
          <w:lang w:eastAsia="zh-CN"/>
        </w:rPr>
        <w:t>，</w:t>
      </w:r>
      <w:r>
        <w:rPr>
          <w:rFonts w:hint="eastAsia" w:ascii="仿宋" w:hAnsi="仿宋"/>
          <w:b w:val="0"/>
          <w:bCs w:val="0"/>
          <w:color w:val="auto"/>
          <w:highlight w:val="none"/>
          <w:lang w:val="en-US" w:eastAsia="zh-CN"/>
        </w:rPr>
        <w:t>支持脱贫地区河流治理项目和灌区改造项目建设</w:t>
      </w:r>
      <w:r>
        <w:rPr>
          <w:rFonts w:hint="eastAsia" w:ascii="仿宋" w:hAnsi="仿宋"/>
          <w:b w:val="0"/>
          <w:bCs w:val="0"/>
          <w:color w:val="auto"/>
          <w:highlight w:val="none"/>
        </w:rPr>
        <w:t>。巩固提升农村饮水安全保障水平，</w:t>
      </w:r>
      <w:r>
        <w:rPr>
          <w:rFonts w:hint="eastAsia" w:ascii="仿宋" w:hAnsi="仿宋"/>
          <w:b w:val="0"/>
          <w:bCs w:val="0"/>
          <w:color w:val="auto"/>
          <w:highlight w:val="none"/>
          <w:lang w:val="en-US" w:eastAsia="zh-CN"/>
        </w:rPr>
        <w:t>加快推进脱贫地区规模水厂和供水水源工程建设，实施农村供水设施升级改造工程，加强农村供水设施运行维护。支持各县（市）农村饮水工程提升改造项目建设。实施水美乡村建设项目，持续推进“智慧水利”建设，利用物联网、云计算等新兴技术，不断提升水利工程建设管理质量。到2025年，全州农村自来水普及率达88％以上。</w:t>
      </w:r>
    </w:p>
    <w:p>
      <w:pPr>
        <w:keepNext w:val="0"/>
        <w:keepLines w:val="0"/>
        <w:pageBreakBefore w:val="0"/>
        <w:widowControl w:val="0"/>
        <w:kinsoku/>
        <w:wordWrap/>
        <w:overflowPunct/>
        <w:topLinePunct w:val="0"/>
        <w:autoSpaceDE/>
        <w:autoSpaceDN/>
        <w:bidi w:val="0"/>
        <w:adjustRightInd/>
        <w:snapToGrid w:val="0"/>
        <w:spacing w:line="360" w:lineRule="auto"/>
        <w:ind w:firstLine="643" w:firstLineChars="200"/>
        <w:textAlignment w:val="auto"/>
        <w:rPr>
          <w:rFonts w:hint="eastAsia" w:ascii="仿宋" w:hAnsi="仿宋"/>
          <w:b w:val="0"/>
          <w:bCs w:val="0"/>
          <w:color w:val="auto"/>
          <w:highlight w:val="none"/>
          <w:lang w:val="en-US" w:eastAsia="zh-CN"/>
        </w:rPr>
      </w:pPr>
      <w:r>
        <w:rPr>
          <w:rFonts w:hint="eastAsia" w:ascii="仿宋" w:hAnsi="仿宋"/>
          <w:b/>
          <w:bCs/>
          <w:color w:val="auto"/>
          <w:highlight w:val="none"/>
          <w:lang w:val="en-US" w:eastAsia="zh-CN"/>
        </w:rPr>
        <w:t>实施数字乡村工程建设</w:t>
      </w:r>
      <w:r>
        <w:rPr>
          <w:rFonts w:hint="eastAsia" w:ascii="仿宋" w:hAnsi="仿宋"/>
          <w:b w:val="0"/>
          <w:bCs w:val="0"/>
          <w:color w:val="auto"/>
          <w:highlight w:val="none"/>
          <w:lang w:val="en-US" w:eastAsia="zh-CN"/>
        </w:rPr>
        <w:t>。</w:t>
      </w:r>
      <w:r>
        <w:rPr>
          <w:rFonts w:hint="eastAsia" w:ascii="仿宋" w:hAnsi="仿宋"/>
          <w:b w:val="0"/>
          <w:bCs w:val="0"/>
          <w:color w:val="auto"/>
          <w:highlight w:val="none"/>
        </w:rPr>
        <w:t>持续巩固脱贫攻坚成果，不断提升农村电网基础设施配套，提升农村电网供电能力和供电质量</w:t>
      </w:r>
      <w:r>
        <w:rPr>
          <w:rFonts w:hint="eastAsia" w:ascii="仿宋" w:hAnsi="仿宋"/>
          <w:b w:val="0"/>
          <w:bCs w:val="0"/>
          <w:color w:val="auto"/>
          <w:highlight w:val="none"/>
          <w:lang w:eastAsia="zh-CN"/>
        </w:rPr>
        <w:t>。</w:t>
      </w:r>
      <w:r>
        <w:rPr>
          <w:rFonts w:hint="eastAsia" w:ascii="仿宋" w:hAnsi="仿宋"/>
          <w:b w:val="0"/>
          <w:bCs w:val="0"/>
          <w:color w:val="auto"/>
          <w:highlight w:val="none"/>
          <w:lang w:val="en-US" w:eastAsia="zh-CN"/>
        </w:rPr>
        <w:t>加快推进脱贫地区农村宽带网络和4G以上移动通信网络覆盖，支持4G基站和5G基站建设，提升农村通信网络覆盖率。推进“智慧广电”网络乡村建设，加快物联网、地理信息、智能设备等现代信息技术与农村生产生活的全面深度融合，深化农业农村大数据创新应用。推进基层信息服务站点建设，强化信息服务应用推广，推行“互联网+政务”运行模式，推进教育、医疗、就业、社保等城乡信息服务均等化、便捷化继续推进信息进村入户工程，强化信息进村入户的运营指导，打造益农信息示范社、标杆社。大力发展农村电商，提升农牧民手机、电脑等信息终端的应用技能。推动“互联网+”农产品出村进城工程试点工作开展。推进数字乡村试点县建设。</w:t>
      </w:r>
    </w:p>
    <w:p>
      <w:pPr>
        <w:keepNext w:val="0"/>
        <w:keepLines w:val="0"/>
        <w:pageBreakBefore w:val="0"/>
        <w:widowControl w:val="0"/>
        <w:kinsoku/>
        <w:wordWrap/>
        <w:overflowPunct/>
        <w:topLinePunct w:val="0"/>
        <w:autoSpaceDE/>
        <w:autoSpaceDN/>
        <w:bidi w:val="0"/>
        <w:adjustRightInd/>
        <w:snapToGrid w:val="0"/>
        <w:spacing w:line="360" w:lineRule="auto"/>
        <w:ind w:firstLine="643" w:firstLineChars="200"/>
        <w:textAlignment w:val="auto"/>
        <w:rPr>
          <w:rFonts w:hint="eastAsia" w:ascii="仿宋" w:hAnsi="仿宋" w:cs="仿宋_GB2312"/>
          <w:b w:val="0"/>
          <w:bCs/>
          <w:color w:val="auto"/>
          <w:highlight w:val="none"/>
          <w:lang w:val="en-US" w:eastAsia="zh-CN"/>
        </w:rPr>
      </w:pPr>
      <w:r>
        <w:rPr>
          <w:rFonts w:hint="eastAsia" w:ascii="仿宋" w:hAnsi="仿宋" w:cs="仿宋_GB2312"/>
          <w:b/>
          <w:bCs/>
          <w:color w:val="auto"/>
          <w:highlight w:val="none"/>
          <w:lang w:val="en-US" w:eastAsia="zh-CN"/>
        </w:rPr>
        <w:t>实施乡村清洁能源和综合服务设施提升。</w:t>
      </w:r>
      <w:r>
        <w:rPr>
          <w:rFonts w:hint="eastAsia" w:ascii="仿宋" w:hAnsi="仿宋" w:cs="仿宋_GB2312"/>
          <w:b w:val="0"/>
          <w:bCs/>
          <w:color w:val="auto"/>
          <w:highlight w:val="none"/>
          <w:lang w:val="en-US" w:eastAsia="zh-CN"/>
        </w:rPr>
        <w:t>加强乡村清洁能源建设。完善农村能源供给网络，推进脱贫地区电网、输送水电和光伏电源等农村清洁能源稳步开发。加快推进农作物秸秆能源化利用工程。积极开展农村可再生能源试点示范建设，推进农村清洁能源行业可持续发展。完善村级综合服务设施。加强村级组织活动场所和文化活动场所、便民服务中心等综合服务设施建设，进一步提高村级综合服务设施覆盖率。加快推进脱贫地区基层应急广播体系。因地制宜建设乡村应急避难场所，加强消防设施建设，开展村级公共服务设施无障碍建设和改造。</w:t>
      </w:r>
    </w:p>
    <w:p>
      <w:pPr>
        <w:pStyle w:val="5"/>
        <w:tabs>
          <w:tab w:val="clear" w:pos="0"/>
        </w:tabs>
        <w:suppressAutoHyphens w:val="0"/>
        <w:snapToGrid w:val="0"/>
        <w:spacing w:before="0" w:after="0" w:line="360" w:lineRule="auto"/>
        <w:ind w:firstLine="643" w:firstLineChars="200"/>
        <w:jc w:val="left"/>
        <w:rPr>
          <w:rFonts w:hint="default" w:ascii="楷体" w:hAnsi="楷体" w:eastAsia="楷体" w:cs="黑体"/>
          <w:bCs w:val="0"/>
          <w:color w:val="auto"/>
          <w:kern w:val="0"/>
          <w:highlight w:val="none"/>
          <w:lang w:val="en-US" w:eastAsia="zh-CN"/>
        </w:rPr>
      </w:pPr>
      <w:bookmarkStart w:id="95" w:name="_Toc8924"/>
      <w:r>
        <w:rPr>
          <w:rFonts w:hint="eastAsia" w:ascii="楷体" w:hAnsi="楷体" w:eastAsia="楷体" w:cs="黑体"/>
          <w:bCs w:val="0"/>
          <w:color w:val="auto"/>
          <w:kern w:val="0"/>
          <w:highlight w:val="none"/>
          <w:lang w:val="en-US" w:eastAsia="zh-CN"/>
        </w:rPr>
        <w:t>二</w:t>
      </w:r>
      <w:r>
        <w:rPr>
          <w:rFonts w:hint="eastAsia" w:ascii="楷体" w:hAnsi="楷体" w:eastAsia="楷体" w:cs="黑体"/>
          <w:bCs w:val="0"/>
          <w:color w:val="auto"/>
          <w:kern w:val="0"/>
          <w:highlight w:val="none"/>
        </w:rPr>
        <w:t>、</w:t>
      </w:r>
      <w:r>
        <w:rPr>
          <w:rFonts w:hint="eastAsia" w:ascii="楷体" w:hAnsi="楷体" w:eastAsia="楷体" w:cs="黑体"/>
          <w:bCs w:val="0"/>
          <w:color w:val="auto"/>
          <w:kern w:val="0"/>
          <w:highlight w:val="none"/>
          <w:lang w:val="en-US" w:eastAsia="zh-CN"/>
        </w:rPr>
        <w:t>持续改善农村人居环境</w:t>
      </w:r>
      <w:bookmarkEnd w:id="95"/>
    </w:p>
    <w:p>
      <w:pPr>
        <w:keepNext w:val="0"/>
        <w:keepLines w:val="0"/>
        <w:pageBreakBefore w:val="0"/>
        <w:widowControl w:val="0"/>
        <w:kinsoku/>
        <w:wordWrap/>
        <w:overflowPunct/>
        <w:topLinePunct w:val="0"/>
        <w:autoSpaceDE/>
        <w:autoSpaceDN/>
        <w:bidi w:val="0"/>
        <w:adjustRightInd/>
        <w:snapToGrid w:val="0"/>
        <w:spacing w:line="360" w:lineRule="auto"/>
        <w:ind w:firstLine="643" w:firstLineChars="200"/>
        <w:textAlignment w:val="auto"/>
        <w:rPr>
          <w:rFonts w:hint="default" w:ascii="仿宋" w:hAnsi="仿宋" w:cs="仿宋_GB2312"/>
          <w:b w:val="0"/>
          <w:bCs w:val="0"/>
          <w:color w:val="auto"/>
          <w:highlight w:val="none"/>
          <w:lang w:val="en-US" w:eastAsia="zh-CN"/>
        </w:rPr>
      </w:pPr>
      <w:r>
        <w:rPr>
          <w:rFonts w:hint="eastAsia" w:ascii="仿宋" w:hAnsi="仿宋" w:cs="仿宋_GB2312"/>
          <w:b/>
          <w:bCs/>
          <w:color w:val="auto"/>
          <w:highlight w:val="none"/>
          <w:lang w:val="en-US" w:eastAsia="zh-CN"/>
        </w:rPr>
        <w:t>实施农村“厕所革命”行动</w:t>
      </w:r>
      <w:r>
        <w:rPr>
          <w:rFonts w:hint="eastAsia" w:ascii="仿宋" w:hAnsi="仿宋" w:cs="仿宋_GB2312"/>
          <w:b w:val="0"/>
          <w:bCs w:val="0"/>
          <w:color w:val="auto"/>
          <w:highlight w:val="none"/>
          <w:lang w:val="en-US" w:eastAsia="zh-CN"/>
        </w:rPr>
        <w:t>。立足高原高寒实际，按照“先易后难、数量服从质量”的原则，坚持宜水则水，宜旱则旱，分海拔实施农村“厕所革命”整村推进项目，补齐农村人居环境整治短板，到2025年农村卫生厕所普及率达75%以上。以县域为单位编制农村“厕所革命”专项实施方案，建立健全农村厕所革命技术支撑服务体系。加强与科研机构和企业合作，深入研究高寒牧区农村户厕建设模式，提供可复制、可推广的新技术、新产品，攻克高寒牧区无害化卫生厕所技术难关。支持各县（市）因地制宜推广使用“水冲式＋三格化粪池”“双坑交替式”“免水冲免清掏卫生厕所（旱厕）”“一厕两用”“旱改卫”等模式改造厕所。鼓励实施“厕污共治”，因地制宜推进厕所粪污分散处理、集中处理与纳入污水管网统一处理。积极推进农村厕所粪污资源化利用，逐步推动就地就近消纳、综合利用。合理规划布局农村公共厕所，加快建设乡村景区旅游厕所。</w:t>
      </w:r>
    </w:p>
    <w:p>
      <w:pPr>
        <w:keepNext w:val="0"/>
        <w:keepLines w:val="0"/>
        <w:pageBreakBefore w:val="0"/>
        <w:widowControl w:val="0"/>
        <w:kinsoku/>
        <w:wordWrap/>
        <w:overflowPunct/>
        <w:topLinePunct w:val="0"/>
        <w:autoSpaceDE/>
        <w:autoSpaceDN/>
        <w:bidi w:val="0"/>
        <w:adjustRightInd/>
        <w:snapToGrid w:val="0"/>
        <w:spacing w:line="360" w:lineRule="auto"/>
        <w:ind w:firstLine="643" w:firstLineChars="200"/>
        <w:textAlignment w:val="auto"/>
        <w:rPr>
          <w:rFonts w:hint="default" w:ascii="仿宋" w:hAnsi="仿宋" w:cs="仿宋_GB2312"/>
          <w:b w:val="0"/>
          <w:bCs w:val="0"/>
          <w:color w:val="auto"/>
          <w:highlight w:val="none"/>
          <w:lang w:val="en-US" w:eastAsia="zh-CN"/>
        </w:rPr>
      </w:pPr>
      <w:bookmarkStart w:id="96" w:name="_Toc26290"/>
      <w:bookmarkStart w:id="97" w:name="_Toc26511"/>
      <w:r>
        <w:rPr>
          <w:rFonts w:hint="eastAsia" w:ascii="仿宋" w:hAnsi="仿宋" w:cs="仿宋_GB2312"/>
          <w:b/>
          <w:bCs/>
          <w:color w:val="auto"/>
          <w:highlight w:val="none"/>
          <w:lang w:val="en-US" w:eastAsia="zh-CN"/>
        </w:rPr>
        <w:t>实施农村生活垃圾治理行动</w:t>
      </w:r>
      <w:r>
        <w:rPr>
          <w:rFonts w:hint="eastAsia" w:ascii="仿宋" w:hAnsi="仿宋" w:cs="仿宋_GB2312"/>
          <w:b w:val="0"/>
          <w:bCs w:val="0"/>
          <w:color w:val="auto"/>
          <w:highlight w:val="none"/>
          <w:lang w:val="en-US" w:eastAsia="zh-CN"/>
        </w:rPr>
        <w:t>。全面推行全域无垃圾行动，积极探索具有高原特色的农牧区生活垃圾分类方式，建立健全全州农牧区生活垃圾收集、转运和处置体系，大力推进生活垃圾就地分类减量和资源化利用，构建村庄保洁长效机制。持续推进非正规生活垃圾堆放点整治工作。支持脱贫地区以乡镇或行政村为单位建设农村有机废弃物综合处置利用设施，加强农村再生资源回收利用网络服务全覆盖。探索建立农村生活垃圾收费制度，推广城乡环卫一体化运营模式。到2025年，农村生活垃圾收转运处置体系全覆盖，100%的行政村生活垃圾得到有效治理。</w:t>
      </w:r>
    </w:p>
    <w:p>
      <w:pPr>
        <w:keepNext w:val="0"/>
        <w:keepLines w:val="0"/>
        <w:pageBreakBefore w:val="0"/>
        <w:widowControl w:val="0"/>
        <w:kinsoku/>
        <w:wordWrap/>
        <w:overflowPunct/>
        <w:topLinePunct w:val="0"/>
        <w:autoSpaceDE/>
        <w:autoSpaceDN/>
        <w:bidi w:val="0"/>
        <w:adjustRightInd/>
        <w:snapToGrid w:val="0"/>
        <w:spacing w:line="360" w:lineRule="auto"/>
        <w:ind w:firstLine="643" w:firstLineChars="200"/>
        <w:textAlignment w:val="auto"/>
        <w:rPr>
          <w:rFonts w:hint="eastAsia" w:ascii="仿宋" w:hAnsi="仿宋" w:cs="仿宋_GB2312"/>
          <w:b w:val="0"/>
          <w:bCs w:val="0"/>
          <w:color w:val="auto"/>
          <w:highlight w:val="none"/>
          <w:lang w:val="en-US" w:eastAsia="zh-CN"/>
        </w:rPr>
      </w:pPr>
      <w:r>
        <w:rPr>
          <w:rFonts w:hint="eastAsia" w:ascii="仿宋" w:hAnsi="仿宋" w:cs="仿宋_GB2312"/>
          <w:b/>
          <w:bCs/>
          <w:color w:val="auto"/>
          <w:highlight w:val="none"/>
          <w:lang w:val="en-US" w:eastAsia="zh-CN"/>
        </w:rPr>
        <w:t>实施农村生活污水治理行动</w:t>
      </w:r>
      <w:r>
        <w:rPr>
          <w:rFonts w:hint="eastAsia" w:ascii="仿宋" w:hAnsi="仿宋" w:cs="仿宋_GB2312"/>
          <w:b w:val="0"/>
          <w:bCs w:val="0"/>
          <w:color w:val="auto"/>
          <w:highlight w:val="none"/>
          <w:lang w:val="en-US" w:eastAsia="zh-CN"/>
        </w:rPr>
        <w:t>。持续开展农村生活污水“千村示范工程”，积极探索符合脱贫地区特点，选择操作简单、运行稳定、易于推广的农村生活污水处理技术和设施设备，对靠近城镇的村庄，将管网纳入城镇污水处理系统，对其他农村地区推广小型化、低成本、易维护的分散式生活污水处理设施，逐步实现污水处理厂站设施对乡镇政府驻地全覆盖。推进农村生活污水资源化利用，继续开展农村黑臭水体治理工作。到2025年，全州60％左右的行政村生活污水得到有效处理。</w:t>
      </w:r>
    </w:p>
    <w:p>
      <w:pPr>
        <w:keepNext w:val="0"/>
        <w:keepLines w:val="0"/>
        <w:pageBreakBefore w:val="0"/>
        <w:widowControl w:val="0"/>
        <w:kinsoku/>
        <w:wordWrap/>
        <w:overflowPunct/>
        <w:topLinePunct w:val="0"/>
        <w:autoSpaceDE/>
        <w:autoSpaceDN/>
        <w:bidi w:val="0"/>
        <w:adjustRightInd/>
        <w:snapToGrid w:val="0"/>
        <w:spacing w:line="360" w:lineRule="auto"/>
        <w:ind w:firstLine="643" w:firstLineChars="200"/>
        <w:textAlignment w:val="auto"/>
        <w:rPr>
          <w:rFonts w:hint="eastAsia" w:ascii="仿宋" w:hAnsi="仿宋" w:cs="仿宋_GB2312"/>
          <w:b w:val="0"/>
          <w:bCs w:val="0"/>
          <w:color w:val="auto"/>
          <w:highlight w:val="none"/>
          <w:lang w:val="en-US" w:eastAsia="zh-CN"/>
        </w:rPr>
      </w:pPr>
      <w:r>
        <w:rPr>
          <w:rFonts w:hint="eastAsia" w:ascii="仿宋" w:hAnsi="仿宋" w:cs="仿宋_GB2312"/>
          <w:b/>
          <w:bCs/>
          <w:color w:val="auto"/>
          <w:highlight w:val="none"/>
          <w:lang w:val="en-US" w:eastAsia="zh-CN"/>
        </w:rPr>
        <w:t>实施村容村貌提升行动</w:t>
      </w:r>
      <w:r>
        <w:rPr>
          <w:rFonts w:hint="eastAsia" w:ascii="仿宋" w:hAnsi="仿宋" w:cs="仿宋_GB2312"/>
          <w:b w:val="0"/>
          <w:bCs w:val="0"/>
          <w:color w:val="auto"/>
          <w:highlight w:val="none"/>
          <w:lang w:val="en-US" w:eastAsia="zh-CN"/>
        </w:rPr>
        <w:t>。有序推进“多规合一”实用性村庄规划编制。强化农房风貌管控，依据村庄总体风貌定位，采用乡土材料、乡土工艺，融合民族传统历史文化元素，合理运用现代加固材料、木结构等建材，因地制宜推广现代建造。严格按程序审批各类建筑，新建、扩建、改建、重建、修缮和装饰装修建（构）筑物的，应当符合村庄发展规划，保持建筑高度、体量、形态、色彩以及构造装饰与村落传统风貌协调一致。加快推进传统村落集中连片保护利用示范州建设，加大历史文化名镇名村、乡村历史文化建筑保护力度，加强古村落、古民居保护利用。持续推进农村危房改造和农房抗震改造。开展农村绿化、美化工程，实施城乡庭院及节点绿化。大力发展庭院经济，将改善院落环境和发展休闲旅游相结合。建立健全脱贫地区农村人居环境长效管护机制，加大卫生防疫、健康科普宣传，引导农牧民群众养成良好的卫生习惯。鼓励农牧民通过公益岗位等形式参与建设和管护。</w:t>
      </w:r>
    </w:p>
    <w:p>
      <w:pPr>
        <w:keepNext w:val="0"/>
        <w:keepLines w:val="0"/>
        <w:pageBreakBefore w:val="0"/>
        <w:widowControl w:val="0"/>
        <w:kinsoku/>
        <w:wordWrap/>
        <w:overflowPunct/>
        <w:topLinePunct w:val="0"/>
        <w:autoSpaceDE/>
        <w:autoSpaceDN/>
        <w:bidi w:val="0"/>
        <w:adjustRightInd/>
        <w:snapToGrid w:val="0"/>
        <w:spacing w:line="360" w:lineRule="auto"/>
        <w:ind w:firstLine="643" w:firstLineChars="200"/>
        <w:textAlignment w:val="auto"/>
        <w:rPr>
          <w:rFonts w:hint="default" w:ascii="仿宋" w:hAnsi="仿宋" w:cs="仿宋_GB2312"/>
          <w:b/>
          <w:bCs/>
          <w:color w:val="auto"/>
          <w:highlight w:val="none"/>
          <w:lang w:val="en-US" w:eastAsia="zh-CN"/>
        </w:rPr>
      </w:pPr>
      <w:r>
        <w:rPr>
          <w:rFonts w:hint="eastAsia" w:ascii="仿宋" w:hAnsi="仿宋" w:cs="仿宋_GB2312"/>
          <w:b/>
          <w:bCs/>
          <w:color w:val="auto"/>
          <w:highlight w:val="none"/>
          <w:lang w:val="en-US" w:eastAsia="zh-CN"/>
        </w:rPr>
        <w:t>实施面源污染治理行动</w:t>
      </w:r>
      <w:r>
        <w:rPr>
          <w:rFonts w:hint="eastAsia" w:ascii="仿宋" w:hAnsi="仿宋" w:cs="仿宋_GB2312"/>
          <w:b w:val="0"/>
          <w:bCs w:val="0"/>
          <w:color w:val="auto"/>
          <w:highlight w:val="none"/>
          <w:lang w:val="en-US" w:eastAsia="zh-CN"/>
        </w:rPr>
        <w:t>。坚持减量化、资源化、无害化，持续开展化肥减量增效示范、有机肥替代化肥试点，集成推广测土配方施肥、水肥一体等环境友好型技术。继续开展畜禽规模养殖场标准化创建，大力推广干湿分离、雨污分流、堆积发酵、沼气发酵等畜禽粪污资源化利用技术，提倡水泡粪、发酵床等处理方式，建立种养循环体系，探索畜禽养殖废弃物资源化利用社会化服务。持续开展水产生态健康养殖技术，加强水产养殖尾水治理和循环利用。鼓励推广使用可降解农膜，推广农膜减量替代技术，实行农业投入品废弃物回收处理，废旧农膜回收率达85%以上。持续加强秸秆综合利用，秸秆综合利用率稳定在90%以上。</w:t>
      </w:r>
    </w:p>
    <w:p>
      <w:pPr>
        <w:pStyle w:val="5"/>
        <w:tabs>
          <w:tab w:val="clear" w:pos="0"/>
        </w:tabs>
        <w:suppressAutoHyphens w:val="0"/>
        <w:snapToGrid w:val="0"/>
        <w:spacing w:before="0" w:after="0" w:line="360" w:lineRule="auto"/>
        <w:ind w:firstLine="643" w:firstLineChars="200"/>
        <w:jc w:val="left"/>
        <w:rPr>
          <w:rFonts w:hint="eastAsia" w:ascii="楷体" w:hAnsi="楷体" w:eastAsia="楷体" w:cs="黑体"/>
          <w:bCs w:val="0"/>
          <w:color w:val="auto"/>
          <w:kern w:val="0"/>
          <w:highlight w:val="none"/>
        </w:rPr>
      </w:pPr>
      <w:bookmarkStart w:id="98" w:name="_Toc18041"/>
      <w:r>
        <w:rPr>
          <w:rFonts w:hint="eastAsia" w:ascii="楷体" w:hAnsi="楷体" w:eastAsia="楷体" w:cs="黑体"/>
          <w:bCs w:val="0"/>
          <w:color w:val="auto"/>
          <w:kern w:val="0"/>
          <w:highlight w:val="none"/>
          <w:lang w:val="en-US" w:eastAsia="zh-CN"/>
        </w:rPr>
        <w:t>三</w:t>
      </w:r>
      <w:r>
        <w:rPr>
          <w:rFonts w:hint="eastAsia" w:ascii="楷体" w:hAnsi="楷体" w:eastAsia="楷体" w:cs="黑体"/>
          <w:bCs w:val="0"/>
          <w:color w:val="auto"/>
          <w:kern w:val="0"/>
          <w:highlight w:val="none"/>
        </w:rPr>
        <w:t>、推动</w:t>
      </w:r>
      <w:r>
        <w:rPr>
          <w:rFonts w:hint="eastAsia" w:ascii="楷体" w:hAnsi="楷体" w:eastAsia="楷体" w:cs="黑体"/>
          <w:bCs w:val="0"/>
          <w:color w:val="auto"/>
          <w:kern w:val="0"/>
          <w:highlight w:val="none"/>
          <w:lang w:val="en-US" w:eastAsia="zh-CN"/>
        </w:rPr>
        <w:t>乡村</w:t>
      </w:r>
      <w:r>
        <w:rPr>
          <w:rFonts w:hint="eastAsia" w:ascii="楷体" w:hAnsi="楷体" w:eastAsia="楷体" w:cs="黑体"/>
          <w:bCs w:val="0"/>
          <w:color w:val="auto"/>
          <w:kern w:val="0"/>
          <w:highlight w:val="none"/>
        </w:rPr>
        <w:t>生态建设</w:t>
      </w:r>
      <w:bookmarkEnd w:id="96"/>
      <w:bookmarkEnd w:id="97"/>
      <w:bookmarkEnd w:id="98"/>
    </w:p>
    <w:p>
      <w:pPr>
        <w:keepNext w:val="0"/>
        <w:keepLines w:val="0"/>
        <w:pageBreakBefore w:val="0"/>
        <w:widowControl w:val="0"/>
        <w:kinsoku/>
        <w:wordWrap/>
        <w:overflowPunct/>
        <w:topLinePunct w:val="0"/>
        <w:autoSpaceDE/>
        <w:autoSpaceDN/>
        <w:bidi w:val="0"/>
        <w:adjustRightInd/>
        <w:snapToGrid w:val="0"/>
        <w:ind w:firstLine="643" w:firstLineChars="200"/>
        <w:textAlignment w:val="auto"/>
        <w:rPr>
          <w:rFonts w:hint="default" w:ascii="仿宋" w:hAnsi="仿宋" w:cs="仿宋_GB2312"/>
          <w:b w:val="0"/>
          <w:bCs/>
          <w:color w:val="auto"/>
          <w:highlight w:val="none"/>
          <w:lang w:val="en-US" w:eastAsia="zh-CN"/>
        </w:rPr>
      </w:pPr>
      <w:r>
        <w:rPr>
          <w:rFonts w:hint="eastAsia" w:ascii="仿宋" w:hAnsi="仿宋" w:cs="仿宋_GB2312"/>
          <w:b/>
          <w:bCs w:val="0"/>
          <w:color w:val="auto"/>
          <w:highlight w:val="none"/>
          <w:lang w:val="en-US" w:eastAsia="zh-CN"/>
        </w:rPr>
        <w:t>改善乡村生态环境</w:t>
      </w:r>
      <w:r>
        <w:rPr>
          <w:rFonts w:hint="eastAsia" w:ascii="仿宋" w:hAnsi="仿宋" w:cs="仿宋_GB2312"/>
          <w:b w:val="0"/>
          <w:bCs/>
          <w:color w:val="auto"/>
          <w:highlight w:val="none"/>
          <w:lang w:val="en-US" w:eastAsia="zh-CN"/>
        </w:rPr>
        <w:t>。加强脱贫地区乡村生态保护与修复。统筹山水林田湖草沙冰系统治理，开展土地综合整治，实施生态廊道建设，增强生态系统的连通性和完整性。开展废弃矿山生态修复，推进绿色矿山建设。开展水土流失综合防治，提高水土保持能力。开展土地沙化、石漠化治理，修复退化生态系统。建立自然保护地体系，严守生态保护红线。加强珍稀濒危动植物栖息地保护，维护生物多样性。加强重要河湖湿地保护修复，完善生态廊道建设。推进退化林草植被恢复，提升生态系统服务功能。支持泥石流清淤修复加固、滑坡治理等地质灾害监测治理项目建设，支持集体公益林森林生态效益补偿、天然商品林停伐管护补助、水毁堤防修复等生态系统保护修复项目建设。筑牢生态安全屏障。实施国土绿化行动，加大天然林保护修复，继续巩固退耕还林还草成果，推动森林质量精准提升。保护和恢复乡村河湖、湿地，积极开展脱贫地区农村水生态修复，落实河（湖）长制，推广生态河塘、生态渠道、生态河道治理，连通河湖水系，实施河湖库塘清淤工程，建设田园景观。继续推进草原防灾减灾、鼠虫草害防治、严重退化沙化草原治理。提升气象为农服务能力，加强乡村防灾减灾能力建设。实施生物多样性保护重大工程。加强野生动植物保护，强化外来入侵物种风险评估、监测预警与综合防控。注重以珍稀濒危野生动植物为代表，对其栖息地进行保护和适当修复，扩大生态空间，构建生态保护网络，维持森林、湿地、草原等自然生态系统的健康循环。健全生态环境监测体系，推进生态环境综合执法建设。</w:t>
      </w:r>
    </w:p>
    <w:p>
      <w:pPr>
        <w:keepNext w:val="0"/>
        <w:keepLines w:val="0"/>
        <w:pageBreakBefore w:val="0"/>
        <w:widowControl w:val="0"/>
        <w:kinsoku/>
        <w:wordWrap/>
        <w:overflowPunct/>
        <w:topLinePunct w:val="0"/>
        <w:autoSpaceDE/>
        <w:autoSpaceDN/>
        <w:bidi w:val="0"/>
        <w:adjustRightInd/>
        <w:snapToGrid w:val="0"/>
        <w:ind w:firstLine="643" w:firstLineChars="200"/>
        <w:textAlignment w:val="auto"/>
        <w:rPr>
          <w:rFonts w:hint="eastAsia" w:ascii="仿宋" w:hAnsi="仿宋" w:cs="仿宋_GB2312"/>
          <w:b w:val="0"/>
          <w:bCs/>
          <w:color w:val="auto"/>
          <w:highlight w:val="none"/>
          <w:lang w:val="en-US" w:eastAsia="zh-CN"/>
        </w:rPr>
      </w:pPr>
      <w:r>
        <w:rPr>
          <w:rFonts w:hint="eastAsia" w:ascii="仿宋" w:hAnsi="仿宋" w:cs="仿宋_GB2312"/>
          <w:b/>
          <w:bCs w:val="0"/>
          <w:color w:val="auto"/>
          <w:highlight w:val="none"/>
          <w:lang w:val="en-US" w:eastAsia="zh-CN"/>
        </w:rPr>
        <w:t>发展乡村生态经济</w:t>
      </w:r>
      <w:r>
        <w:rPr>
          <w:rFonts w:hint="eastAsia" w:ascii="仿宋" w:hAnsi="仿宋" w:cs="仿宋_GB2312"/>
          <w:b w:val="0"/>
          <w:bCs/>
          <w:color w:val="auto"/>
          <w:highlight w:val="none"/>
          <w:lang w:val="en-US" w:eastAsia="zh-CN"/>
        </w:rPr>
        <w:t>。大力推动乡村产业生态化。严格乡村产业环境准入，建立乡村产业环境准入负面清单和绿色发展分类综合评价制度，制定差异化激励和约束政策措施。引导企业绿色低碳发展，完善环境基础设施。支持农产品加工园区循环化改造，推进清洁生产和节能减排。调整优化农业生产结构，加强重点农产品产地生态环境监管，强化绿色食品、有机产品、地理标志产品认证和管理，打响“圣洁甘孜”农产品品牌，增加绿色优质农产品供给。有序推进乡村生态产业化。充分发挥甘孜州脱贫地区生态优势，严守生态保护红线，大力挖掘生态涵养、休闲观光、文化体验、健康养老等生态功能，利用“生态＋文化＋产业”等模式，推进生态资源与旅游、文化、康养等产业融合，探索乡村“两山”转化路径模式，建设乡村生态经济发展的示范样板。</w:t>
      </w:r>
    </w:p>
    <w:p>
      <w:pPr>
        <w:keepNext w:val="0"/>
        <w:keepLines w:val="0"/>
        <w:pageBreakBefore w:val="0"/>
        <w:widowControl w:val="0"/>
        <w:kinsoku/>
        <w:wordWrap/>
        <w:overflowPunct/>
        <w:topLinePunct w:val="0"/>
        <w:autoSpaceDE/>
        <w:autoSpaceDN/>
        <w:bidi w:val="0"/>
        <w:adjustRightInd/>
        <w:snapToGrid w:val="0"/>
        <w:ind w:firstLine="643" w:firstLineChars="200"/>
        <w:textAlignment w:val="auto"/>
        <w:rPr>
          <w:rFonts w:hint="default" w:ascii="仿宋" w:hAnsi="仿宋" w:cs="仿宋_GB2312"/>
          <w:bCs/>
          <w:color w:val="auto"/>
          <w:highlight w:val="none"/>
          <w:lang w:val="en-US" w:eastAsia="zh-CN"/>
        </w:rPr>
      </w:pPr>
      <w:r>
        <w:rPr>
          <w:rFonts w:hint="eastAsia" w:ascii="仿宋" w:hAnsi="仿宋" w:cs="仿宋_GB2312"/>
          <w:b/>
          <w:bCs w:val="0"/>
          <w:color w:val="auto"/>
          <w:highlight w:val="none"/>
          <w:lang w:val="en-US" w:eastAsia="zh-CN"/>
        </w:rPr>
        <w:t>弘扬乡村生态文化</w:t>
      </w:r>
      <w:r>
        <w:rPr>
          <w:rFonts w:hint="eastAsia" w:ascii="仿宋" w:hAnsi="仿宋" w:cs="仿宋_GB2312"/>
          <w:bCs/>
          <w:color w:val="auto"/>
          <w:highlight w:val="none"/>
        </w:rPr>
        <w:t>。</w:t>
      </w:r>
      <w:r>
        <w:rPr>
          <w:rFonts w:hint="eastAsia" w:ascii="仿宋" w:hAnsi="仿宋" w:cs="仿宋_GB2312"/>
          <w:bCs/>
          <w:color w:val="auto"/>
          <w:highlight w:val="none"/>
          <w:lang w:val="en-US" w:eastAsia="zh-CN"/>
        </w:rPr>
        <w:t>大力培育乡村生态文化。牢固树立绿水青山就是金山银山的理念，</w:t>
      </w:r>
      <w:r>
        <w:rPr>
          <w:rFonts w:hint="eastAsia" w:ascii="仿宋" w:hAnsi="仿宋" w:cs="仿宋_GB2312"/>
          <w:b w:val="0"/>
          <w:bCs/>
          <w:color w:val="auto"/>
          <w:highlight w:val="none"/>
          <w:lang w:val="en-US" w:eastAsia="zh-CN"/>
        </w:rPr>
        <w:t>协调好资源利用与环境保护的关系，持续推进新时代文明实践中心示范点建设。</w:t>
      </w:r>
      <w:r>
        <w:rPr>
          <w:rFonts w:hint="eastAsia" w:ascii="仿宋" w:hAnsi="仿宋" w:cs="仿宋_GB2312"/>
          <w:bCs/>
          <w:color w:val="auto"/>
          <w:highlight w:val="none"/>
          <w:lang w:val="en-US" w:eastAsia="zh-CN"/>
        </w:rPr>
        <w:t>深入挖掘甘孜乡村生态文化底蕴，弘扬优秀传统文化，培育生态道德，将生态文化培育作为文明城市、文明村镇和文明单位（社区）创建的重要内容，推动生态文明成为全州共识。加强生态文化宣传教育。将生态文化教育纳入国民教育体系，开展多种形式的资源环境州情教育。加大公众对生态文化的科普教育，将绿色低碳理念有机融入文艺作品，制作文创产品和公益广告，持续开展世界地球日、世界环境日、全国节能宣传周、全国低碳日、</w:t>
      </w:r>
      <w:r>
        <w:rPr>
          <w:rFonts w:hint="eastAsia" w:ascii="仿宋" w:hAnsi="仿宋" w:cs="仿宋_GB2312"/>
          <w:b w:val="0"/>
          <w:bCs/>
          <w:color w:val="auto"/>
          <w:highlight w:val="none"/>
          <w:lang w:val="en-US" w:eastAsia="zh-CN"/>
        </w:rPr>
        <w:t>植树节</w:t>
      </w:r>
      <w:r>
        <w:rPr>
          <w:rFonts w:hint="eastAsia" w:ascii="仿宋" w:hAnsi="仿宋" w:cs="仿宋_GB2312"/>
          <w:bCs/>
          <w:color w:val="auto"/>
          <w:highlight w:val="none"/>
          <w:lang w:val="en-US" w:eastAsia="zh-CN"/>
        </w:rPr>
        <w:t>等主题活动，</w:t>
      </w:r>
      <w:r>
        <w:rPr>
          <w:rFonts w:hint="eastAsia" w:ascii="仿宋" w:hAnsi="仿宋" w:cs="仿宋_GB2312"/>
          <w:b w:val="0"/>
          <w:bCs/>
          <w:color w:val="auto"/>
          <w:highlight w:val="none"/>
          <w:lang w:val="en-US" w:eastAsia="zh-CN"/>
        </w:rPr>
        <w:t>宣传弘扬尊重自然、顺应自然、保护自然的生态文明理念，</w:t>
      </w:r>
      <w:r>
        <w:rPr>
          <w:rFonts w:hint="eastAsia" w:ascii="仿宋" w:hAnsi="仿宋" w:cs="仿宋_GB2312"/>
          <w:bCs/>
          <w:color w:val="auto"/>
          <w:highlight w:val="none"/>
          <w:lang w:val="en-US" w:eastAsia="zh-CN"/>
        </w:rPr>
        <w:t>增强社会公众绿色低碳意识</w:t>
      </w:r>
      <w:r>
        <w:rPr>
          <w:rFonts w:hint="eastAsia" w:ascii="仿宋" w:hAnsi="仿宋" w:cs="仿宋_GB2312"/>
          <w:b w:val="0"/>
          <w:bCs/>
          <w:color w:val="auto"/>
          <w:highlight w:val="none"/>
          <w:lang w:val="en-US" w:eastAsia="zh-CN"/>
        </w:rPr>
        <w:t>。推广绿色低碳生活方式。增强全民节约意识、环保意识、生态意识，倡导简约适度、绿色低碳、文明健康的生活方式，大力发展绿色消费，推广绿色低碳产品。提升绿色产品在政府采购中的比例。</w:t>
      </w:r>
    </w:p>
    <w:p>
      <w:pPr>
        <w:pStyle w:val="5"/>
        <w:tabs>
          <w:tab w:val="clear" w:pos="0"/>
        </w:tabs>
        <w:suppressAutoHyphens w:val="0"/>
        <w:snapToGrid w:val="0"/>
        <w:spacing w:before="0" w:after="0" w:line="360" w:lineRule="auto"/>
        <w:ind w:firstLine="643" w:firstLineChars="200"/>
        <w:jc w:val="left"/>
        <w:rPr>
          <w:rFonts w:hint="eastAsia" w:ascii="楷体" w:hAnsi="楷体" w:eastAsia="楷体" w:cs="黑体"/>
          <w:bCs w:val="0"/>
          <w:color w:val="auto"/>
          <w:kern w:val="0"/>
          <w:highlight w:val="none"/>
        </w:rPr>
      </w:pPr>
      <w:bookmarkStart w:id="99" w:name="_Toc6563"/>
      <w:bookmarkStart w:id="100" w:name="_Toc2144"/>
      <w:bookmarkStart w:id="101" w:name="_Toc5484"/>
      <w:bookmarkStart w:id="102" w:name="_Toc32764"/>
      <w:bookmarkStart w:id="103" w:name="_Toc23932"/>
      <w:r>
        <w:rPr>
          <w:rFonts w:hint="eastAsia" w:ascii="楷体" w:hAnsi="楷体" w:eastAsia="楷体" w:cs="黑体"/>
          <w:bCs w:val="0"/>
          <w:color w:val="auto"/>
          <w:kern w:val="0"/>
          <w:highlight w:val="none"/>
          <w:lang w:val="en-US" w:eastAsia="zh-CN"/>
        </w:rPr>
        <w:t>四</w:t>
      </w:r>
      <w:r>
        <w:rPr>
          <w:rFonts w:hint="eastAsia" w:ascii="楷体" w:hAnsi="楷体" w:eastAsia="楷体" w:cs="黑体"/>
          <w:bCs w:val="0"/>
          <w:color w:val="auto"/>
          <w:kern w:val="0"/>
          <w:highlight w:val="none"/>
        </w:rPr>
        <w:t>、加强公共文化服务体系建设</w:t>
      </w:r>
      <w:bookmarkEnd w:id="99"/>
      <w:bookmarkEnd w:id="100"/>
      <w:bookmarkEnd w:id="101"/>
    </w:p>
    <w:p>
      <w:pPr>
        <w:keepNext w:val="0"/>
        <w:keepLines w:val="0"/>
        <w:pageBreakBefore w:val="0"/>
        <w:widowControl w:val="0"/>
        <w:kinsoku/>
        <w:wordWrap/>
        <w:overflowPunct/>
        <w:topLinePunct w:val="0"/>
        <w:autoSpaceDE/>
        <w:autoSpaceDN/>
        <w:bidi w:val="0"/>
        <w:adjustRightInd/>
        <w:snapToGrid w:val="0"/>
        <w:ind w:firstLine="643" w:firstLineChars="200"/>
        <w:textAlignment w:val="auto"/>
        <w:rPr>
          <w:rFonts w:hint="eastAsia" w:ascii="仿宋" w:hAnsi="仿宋" w:cs="仿宋_GB2312"/>
          <w:bCs/>
          <w:color w:val="auto"/>
          <w:highlight w:val="none"/>
          <w:lang w:val="en-US" w:eastAsia="zh-CN"/>
        </w:rPr>
      </w:pPr>
      <w:r>
        <w:rPr>
          <w:rFonts w:hint="eastAsia" w:ascii="仿宋" w:hAnsi="仿宋" w:cs="仿宋_GB2312"/>
          <w:b/>
          <w:bCs w:val="0"/>
          <w:color w:val="auto"/>
          <w:highlight w:val="none"/>
          <w:lang w:val="en-US" w:eastAsia="zh-CN"/>
        </w:rPr>
        <w:t>提高公共文化服务水平</w:t>
      </w:r>
      <w:r>
        <w:rPr>
          <w:rFonts w:hint="eastAsia" w:ascii="仿宋" w:hAnsi="仿宋" w:cs="仿宋_GB2312"/>
          <w:bCs/>
          <w:color w:val="auto"/>
          <w:highlight w:val="none"/>
        </w:rPr>
        <w:t>。围绕做好两项改革“后半篇”文章，实施乡村文化振兴“百千万”工程，开展乡村文化振兴样板村镇建设，</w:t>
      </w:r>
      <w:r>
        <w:rPr>
          <w:rFonts w:hint="eastAsia" w:ascii="仿宋" w:hAnsi="仿宋" w:cs="仿宋_GB2312"/>
          <w:bCs/>
          <w:color w:val="auto"/>
          <w:highlight w:val="none"/>
          <w:lang w:val="en-US" w:eastAsia="zh-CN"/>
        </w:rPr>
        <w:t>完善城乡公共文化服务网络，提升博物馆、图书馆、文化馆服务功能，</w:t>
      </w:r>
      <w:r>
        <w:rPr>
          <w:rFonts w:hint="eastAsia" w:ascii="仿宋" w:hAnsi="仿宋" w:cs="仿宋_GB2312"/>
          <w:bCs/>
          <w:color w:val="auto"/>
          <w:highlight w:val="none"/>
        </w:rPr>
        <w:t>推进中心乡镇公共文化服务提质增效</w:t>
      </w:r>
      <w:r>
        <w:rPr>
          <w:rFonts w:hint="eastAsia" w:ascii="仿宋" w:hAnsi="仿宋" w:cs="仿宋_GB2312"/>
          <w:bCs/>
          <w:color w:val="auto"/>
          <w:highlight w:val="none"/>
          <w:lang w:eastAsia="zh-CN"/>
        </w:rPr>
        <w:t>，</w:t>
      </w:r>
      <w:r>
        <w:rPr>
          <w:rFonts w:hint="eastAsia" w:ascii="仿宋" w:hAnsi="仿宋" w:cs="仿宋_GB2312"/>
          <w:bCs/>
          <w:color w:val="auto"/>
          <w:highlight w:val="none"/>
          <w:lang w:val="en-US" w:eastAsia="zh-CN"/>
        </w:rPr>
        <w:t>加强基层综合文化服务中心、乡镇数字电影院、农家书屋、公共阅报栏、乡镇健身中心、多功能运动场等乡村文化体育设施建设，全面提升乡镇公共文化设施综合服务能力。加大送文化下乡力度，支持开发利用乡村传统文化，推进县级融媒体中心提档升级，全面实施“坚定信心跟党走红色基因根植”工程“延媒行动”，提升县融媒体传播力影响力感染力引领力。开展“魅力乡镇”竞演等群众性文化活动，利用“互联网＋公共文化服务”模式，实施广播电视村村通、农村电影放映、信息共享等文化惠民工程建设，免费开放公共文化设施，开展“四下乡”“文化进万家”等活动，支持举办传统节庆活动和民俗活动，为群众提供更有营养的精神食粮。</w:t>
      </w:r>
    </w:p>
    <w:p>
      <w:pPr>
        <w:keepNext w:val="0"/>
        <w:keepLines w:val="0"/>
        <w:pageBreakBefore w:val="0"/>
        <w:widowControl w:val="0"/>
        <w:kinsoku/>
        <w:wordWrap/>
        <w:overflowPunct/>
        <w:topLinePunct w:val="0"/>
        <w:autoSpaceDE/>
        <w:autoSpaceDN/>
        <w:bidi w:val="0"/>
        <w:adjustRightInd/>
        <w:snapToGrid w:val="0"/>
        <w:ind w:firstLine="643" w:firstLineChars="200"/>
        <w:textAlignment w:val="auto"/>
        <w:rPr>
          <w:rFonts w:hint="eastAsia" w:ascii="仿宋" w:hAnsi="仿宋" w:cs="仿宋_GB2312"/>
          <w:b w:val="0"/>
          <w:bCs/>
          <w:color w:val="auto"/>
          <w:highlight w:val="none"/>
          <w:lang w:val="en-US" w:eastAsia="zh-CN"/>
        </w:rPr>
      </w:pPr>
      <w:r>
        <w:rPr>
          <w:rFonts w:hint="eastAsia" w:ascii="仿宋" w:hAnsi="仿宋" w:cs="仿宋_GB2312"/>
          <w:b/>
          <w:bCs w:val="0"/>
          <w:color w:val="auto"/>
          <w:highlight w:val="none"/>
          <w:lang w:val="en-US" w:eastAsia="zh-CN"/>
        </w:rPr>
        <w:t>加强乡村文化传承与保护</w:t>
      </w:r>
      <w:r>
        <w:rPr>
          <w:rFonts w:hint="eastAsia" w:ascii="仿宋" w:hAnsi="仿宋" w:cs="仿宋_GB2312"/>
          <w:bCs/>
          <w:color w:val="auto"/>
          <w:highlight w:val="none"/>
          <w:lang w:val="en-US" w:eastAsia="zh-CN"/>
        </w:rPr>
        <w:t>。开展乡村文脉保护传承、最美古镇和非遗特色镇村、街区创建行动，实施农耕文化和牧场文化传承保护工程，建设优秀特色农牧文化展示区。支持特色村寨提升项目。支持因地制宜、因陋就简建设乡史、村史馆，开展民间文化艺术之乡创建。</w:t>
      </w:r>
      <w:r>
        <w:rPr>
          <w:rFonts w:hint="eastAsia" w:ascii="仿宋" w:hAnsi="仿宋" w:cs="仿宋_GB2312"/>
          <w:b w:val="0"/>
          <w:bCs/>
          <w:color w:val="auto"/>
          <w:highlight w:val="none"/>
          <w:lang w:val="en-US" w:eastAsia="zh-CN"/>
        </w:rPr>
        <w:t>实施中华优秀传统文化传承发展工程，加强文物古籍保护、研究、利用，强化重要文化和自然遗产、非物质文化遗产系统性保护，推动丹巴古碉群、德格印经院世界文化遗产申报。加大民族优秀传统手工艺保护和传承，建设非物质文化遗产传承基地、传习所等。加大红色文化、康巴文化、民族民俗文化、茶马古道文化保护开发，加快推进长征国家文化公园建设，实施四川历史文化名人传承创新工程，积极申报康巴文化生态保护实验区。开展康巴文化调查发掘和整理研究，打造甘孜文化产业品牌，推进茶马古道、丝绸之路南亚廊道等文化线路保护利用，促进文化和旅游、生态深度融合。</w:t>
      </w:r>
    </w:p>
    <w:p>
      <w:pPr>
        <w:pStyle w:val="5"/>
        <w:tabs>
          <w:tab w:val="clear" w:pos="0"/>
        </w:tabs>
        <w:suppressAutoHyphens w:val="0"/>
        <w:snapToGrid w:val="0"/>
        <w:spacing w:before="0" w:after="0" w:line="360" w:lineRule="auto"/>
        <w:ind w:firstLine="643" w:firstLineChars="200"/>
        <w:jc w:val="left"/>
        <w:rPr>
          <w:rFonts w:hint="eastAsia" w:ascii="楷体" w:hAnsi="楷体" w:eastAsia="楷体" w:cs="黑体"/>
          <w:bCs w:val="0"/>
          <w:color w:val="auto"/>
          <w:kern w:val="0"/>
          <w:highlight w:val="none"/>
        </w:rPr>
      </w:pPr>
      <w:bookmarkStart w:id="104" w:name="_Toc16098"/>
      <w:r>
        <w:rPr>
          <w:rFonts w:hint="eastAsia" w:ascii="楷体" w:hAnsi="楷体" w:eastAsia="楷体" w:cs="黑体"/>
          <w:bCs w:val="0"/>
          <w:color w:val="auto"/>
          <w:kern w:val="0"/>
          <w:highlight w:val="none"/>
          <w:lang w:val="en-US" w:eastAsia="zh-CN"/>
        </w:rPr>
        <w:t>五</w:t>
      </w:r>
      <w:r>
        <w:rPr>
          <w:rFonts w:hint="eastAsia" w:ascii="楷体" w:hAnsi="楷体" w:eastAsia="楷体" w:cs="黑体"/>
          <w:bCs w:val="0"/>
          <w:color w:val="auto"/>
          <w:kern w:val="0"/>
          <w:highlight w:val="none"/>
        </w:rPr>
        <w:t>、提升乡村治理水平</w:t>
      </w:r>
      <w:bookmarkEnd w:id="102"/>
      <w:bookmarkEnd w:id="103"/>
      <w:bookmarkEnd w:id="104"/>
    </w:p>
    <w:p>
      <w:pPr>
        <w:keepNext w:val="0"/>
        <w:keepLines w:val="0"/>
        <w:pageBreakBefore w:val="0"/>
        <w:widowControl w:val="0"/>
        <w:kinsoku/>
        <w:wordWrap/>
        <w:overflowPunct/>
        <w:topLinePunct w:val="0"/>
        <w:autoSpaceDE/>
        <w:autoSpaceDN/>
        <w:bidi w:val="0"/>
        <w:adjustRightInd/>
        <w:snapToGrid w:val="0"/>
        <w:ind w:firstLine="643" w:firstLineChars="200"/>
        <w:textAlignment w:val="auto"/>
        <w:rPr>
          <w:rFonts w:hint="eastAsia" w:ascii="仿宋" w:hAnsi="仿宋" w:eastAsia="仿宋" w:cs="仿宋_GB2312"/>
          <w:bCs/>
          <w:color w:val="auto"/>
          <w:highlight w:val="none"/>
          <w:lang w:eastAsia="zh-CN"/>
        </w:rPr>
      </w:pPr>
      <w:r>
        <w:rPr>
          <w:rFonts w:hint="eastAsia" w:ascii="仿宋" w:hAnsi="仿宋" w:cs="仿宋_GB2312"/>
          <w:b/>
          <w:bCs w:val="0"/>
          <w:color w:val="auto"/>
          <w:highlight w:val="none"/>
        </w:rPr>
        <w:t>健全乡村治理体系</w:t>
      </w:r>
      <w:r>
        <w:rPr>
          <w:rFonts w:hint="eastAsia" w:ascii="仿宋" w:hAnsi="仿宋" w:cs="仿宋_GB2312"/>
          <w:bCs/>
          <w:color w:val="auto"/>
          <w:highlight w:val="none"/>
        </w:rPr>
        <w:t>。建立健全党委领导、政府负责、社会协同、公众参与、</w:t>
      </w:r>
      <w:r>
        <w:rPr>
          <w:rFonts w:hint="eastAsia" w:ascii="仿宋" w:hAnsi="仿宋" w:cs="仿宋_GB2312"/>
          <w:bCs/>
          <w:color w:val="auto"/>
          <w:highlight w:val="none"/>
          <w:lang w:eastAsia="zh-CN"/>
        </w:rPr>
        <w:t>“</w:t>
      </w:r>
      <w:r>
        <w:rPr>
          <w:rFonts w:hint="eastAsia" w:ascii="仿宋" w:hAnsi="仿宋" w:cs="仿宋_GB2312"/>
          <w:bCs/>
          <w:color w:val="auto"/>
          <w:highlight w:val="none"/>
          <w:lang w:val="en-US" w:eastAsia="zh-CN"/>
        </w:rPr>
        <w:t>三治融合</w:t>
      </w:r>
      <w:r>
        <w:rPr>
          <w:rFonts w:hint="eastAsia" w:ascii="仿宋" w:hAnsi="仿宋" w:cs="仿宋_GB2312"/>
          <w:bCs/>
          <w:color w:val="auto"/>
          <w:highlight w:val="none"/>
          <w:lang w:eastAsia="zh-CN"/>
        </w:rPr>
        <w:t>”</w:t>
      </w:r>
      <w:r>
        <w:rPr>
          <w:rFonts w:hint="eastAsia" w:ascii="仿宋" w:hAnsi="仿宋" w:cs="仿宋_GB2312"/>
          <w:bCs/>
          <w:color w:val="auto"/>
          <w:highlight w:val="none"/>
        </w:rPr>
        <w:t>的</w:t>
      </w:r>
      <w:r>
        <w:rPr>
          <w:rFonts w:hint="eastAsia" w:ascii="仿宋" w:hAnsi="仿宋" w:cs="仿宋_GB2312"/>
          <w:bCs/>
          <w:color w:val="auto"/>
          <w:highlight w:val="none"/>
          <w:lang w:val="en-US" w:eastAsia="zh-CN"/>
        </w:rPr>
        <w:t>村级</w:t>
      </w:r>
      <w:r>
        <w:rPr>
          <w:rFonts w:hint="eastAsia" w:ascii="仿宋" w:hAnsi="仿宋" w:cs="仿宋_GB2312"/>
          <w:bCs/>
          <w:color w:val="auto"/>
          <w:highlight w:val="none"/>
        </w:rPr>
        <w:t>治理</w:t>
      </w:r>
      <w:r>
        <w:rPr>
          <w:rFonts w:hint="eastAsia" w:ascii="仿宋" w:hAnsi="仿宋" w:cs="仿宋_GB2312"/>
          <w:bCs/>
          <w:color w:val="auto"/>
          <w:highlight w:val="none"/>
          <w:lang w:val="en-US" w:eastAsia="zh-CN"/>
        </w:rPr>
        <w:t>组织</w:t>
      </w:r>
      <w:r>
        <w:rPr>
          <w:rFonts w:hint="eastAsia" w:ascii="仿宋" w:hAnsi="仿宋" w:cs="仿宋_GB2312"/>
          <w:bCs/>
          <w:color w:val="auto"/>
          <w:highlight w:val="none"/>
        </w:rPr>
        <w:t>体系。加强农村基层党组织标准化规范化建设，推进农牧区基层党建示范创评活动，强力整顿软乡弱村，扎实抓好农民工党建工作，严格党的组织生活基本制度。选优配强乡镇领导班子、村“两委”成员，州县联动5年内对乡镇领导班子、村“两委”成员进行全覆盖培训。</w:t>
      </w:r>
      <w:r>
        <w:rPr>
          <w:rFonts w:hint="eastAsia" w:ascii="仿宋" w:hAnsi="仿宋" w:cs="仿宋_GB2312"/>
          <w:bCs/>
          <w:color w:val="auto"/>
          <w:highlight w:val="none"/>
          <w:lang w:eastAsia="zh-CN"/>
        </w:rPr>
        <w:t>持续整顿软弱涣散基层党组织，开展“四好”乡镇领导班子创建和先进村党组织评先定级活动，</w:t>
      </w:r>
      <w:r>
        <w:rPr>
          <w:rFonts w:hint="eastAsia" w:ascii="仿宋" w:hAnsi="仿宋" w:cs="仿宋_GB2312"/>
          <w:bCs/>
          <w:color w:val="auto"/>
          <w:highlight w:val="none"/>
        </w:rPr>
        <w:t>把基层党组织带头人培育成致富带头人，把致富带头人培育成基层党组织带头人，提高</w:t>
      </w:r>
      <w:r>
        <w:rPr>
          <w:rFonts w:hint="eastAsia" w:ascii="仿宋" w:hAnsi="仿宋" w:cs="仿宋_GB2312"/>
          <w:bCs/>
          <w:color w:val="auto"/>
          <w:highlight w:val="none"/>
          <w:lang w:val="en-US" w:eastAsia="zh-CN"/>
        </w:rPr>
        <w:t>村干部</w:t>
      </w:r>
      <w:r>
        <w:rPr>
          <w:rFonts w:hint="eastAsia" w:ascii="仿宋" w:hAnsi="仿宋" w:cs="仿宋_GB2312"/>
          <w:bCs/>
          <w:color w:val="auto"/>
          <w:highlight w:val="none"/>
        </w:rPr>
        <w:t>致富带富能力。加大致富能手、外出务工经商人员、本乡本土大学毕业生、复员退伍军人、机关企事业单位优秀党员干部到村任职力度</w:t>
      </w:r>
      <w:r>
        <w:rPr>
          <w:rFonts w:hint="eastAsia" w:ascii="仿宋" w:hAnsi="仿宋" w:cs="仿宋_GB2312"/>
          <w:bCs/>
          <w:color w:val="auto"/>
          <w:highlight w:val="none"/>
          <w:lang w:eastAsia="zh-CN"/>
        </w:rPr>
        <w:t>。</w:t>
      </w:r>
      <w:r>
        <w:rPr>
          <w:rFonts w:hint="eastAsia" w:ascii="仿宋" w:hAnsi="仿宋" w:cs="仿宋_GB2312"/>
          <w:bCs/>
          <w:color w:val="auto"/>
          <w:highlight w:val="none"/>
          <w:lang w:val="en-US" w:eastAsia="zh-CN"/>
        </w:rPr>
        <w:t>推进涉农领域“放管服”改革向乡村延伸，完善“四级一体化”政务服务体系，不断完善</w:t>
      </w:r>
      <w:r>
        <w:rPr>
          <w:rFonts w:hint="eastAsia" w:ascii="仿宋" w:hAnsi="仿宋" w:cs="仿宋_GB2312"/>
          <w:bCs/>
          <w:color w:val="auto"/>
          <w:highlight w:val="none"/>
          <w:lang w:eastAsia="zh-CN"/>
        </w:rPr>
        <w:t>清单制、积分制</w:t>
      </w:r>
      <w:r>
        <w:rPr>
          <w:rFonts w:hint="eastAsia" w:ascii="仿宋" w:hAnsi="仿宋" w:cs="仿宋_GB2312"/>
          <w:bCs/>
          <w:color w:val="auto"/>
          <w:highlight w:val="none"/>
          <w:lang w:val="en-US" w:eastAsia="zh-CN"/>
        </w:rPr>
        <w:t>的</w:t>
      </w:r>
      <w:r>
        <w:rPr>
          <w:rFonts w:hint="eastAsia" w:ascii="仿宋" w:hAnsi="仿宋" w:cs="仿宋_GB2312"/>
          <w:bCs/>
          <w:color w:val="auto"/>
          <w:highlight w:val="none"/>
          <w:lang w:eastAsia="zh-CN"/>
        </w:rPr>
        <w:t>治理</w:t>
      </w:r>
      <w:r>
        <w:rPr>
          <w:rFonts w:hint="eastAsia" w:ascii="仿宋" w:hAnsi="仿宋" w:cs="仿宋_GB2312"/>
          <w:bCs/>
          <w:color w:val="auto"/>
          <w:highlight w:val="none"/>
          <w:lang w:val="en-US" w:eastAsia="zh-CN"/>
        </w:rPr>
        <w:t>机制</w:t>
      </w:r>
      <w:r>
        <w:rPr>
          <w:rFonts w:hint="eastAsia" w:ascii="仿宋" w:hAnsi="仿宋" w:cs="仿宋_GB2312"/>
          <w:bCs/>
          <w:color w:val="auto"/>
          <w:highlight w:val="none"/>
          <w:lang w:eastAsia="zh-CN"/>
        </w:rPr>
        <w:t>，激发农民参与村级公共事务的积极性，深化乡村网络综合治理体系建设。提高乡村治理数字化水平，推进乡村信息统一采集、资源互联共享，提升乡村治理效率。健全村民议事协商制度，引导社会力量积极参与乡村治理。</w:t>
      </w:r>
    </w:p>
    <w:p>
      <w:pPr>
        <w:keepNext w:val="0"/>
        <w:keepLines w:val="0"/>
        <w:pageBreakBefore w:val="0"/>
        <w:widowControl w:val="0"/>
        <w:kinsoku/>
        <w:wordWrap/>
        <w:overflowPunct/>
        <w:topLinePunct w:val="0"/>
        <w:autoSpaceDE/>
        <w:autoSpaceDN/>
        <w:bidi w:val="0"/>
        <w:adjustRightInd/>
        <w:snapToGrid w:val="0"/>
        <w:ind w:firstLine="643" w:firstLineChars="200"/>
        <w:textAlignment w:val="auto"/>
        <w:rPr>
          <w:rFonts w:hint="eastAsia" w:ascii="仿宋" w:hAnsi="仿宋" w:cs="仿宋_GB2312"/>
          <w:bCs/>
          <w:color w:val="auto"/>
          <w:highlight w:val="none"/>
          <w:lang w:val="en-US" w:eastAsia="zh-CN"/>
        </w:rPr>
      </w:pPr>
      <w:r>
        <w:rPr>
          <w:rFonts w:hint="eastAsia" w:ascii="仿宋" w:hAnsi="仿宋" w:cs="仿宋_GB2312"/>
          <w:b/>
          <w:bCs w:val="0"/>
          <w:color w:val="auto"/>
          <w:highlight w:val="none"/>
          <w:lang w:val="en-US" w:eastAsia="zh-CN"/>
        </w:rPr>
        <w:t>推进平安法治乡村建设</w:t>
      </w:r>
      <w:r>
        <w:rPr>
          <w:rFonts w:hint="eastAsia" w:ascii="仿宋" w:hAnsi="仿宋" w:cs="仿宋_GB2312"/>
          <w:bCs/>
          <w:color w:val="auto"/>
          <w:highlight w:val="none"/>
          <w:lang w:val="en-US" w:eastAsia="zh-CN"/>
        </w:rPr>
        <w:t>。深入推进平安乡村建设，建立健全农村地区扫黑除恶常态化机制，加强县乡村应急管理和消防安全体系建设。加快农村“天网工程”“雪亮工程”建设，推进群防群治“红袖套”队伍建设，健全网格化“三级”服务管理体系，配齐配强“专兼合一”的网格员队伍，提高预测预警预防各类风险能力。积极创建国家及省级乡村治理示范村镇，宣传推广试点示范成果经验。常态化推进农村地区扫黑除恶、缉枪治爆、矛盾纠纷排查、农村安全专项整治和“法律进乡村”等工作，加强公共法律服务中心（站、室）、热线、网络平台建设，深化“爱之家”禁毒防艾法律服务工作站能力建设和服务效能及“六无”平安村建设。</w:t>
      </w:r>
    </w:p>
    <w:p>
      <w:pPr>
        <w:keepNext w:val="0"/>
        <w:keepLines w:val="0"/>
        <w:pageBreakBefore w:val="0"/>
        <w:widowControl w:val="0"/>
        <w:kinsoku/>
        <w:wordWrap/>
        <w:overflowPunct/>
        <w:topLinePunct w:val="0"/>
        <w:autoSpaceDE/>
        <w:autoSpaceDN/>
        <w:bidi w:val="0"/>
        <w:adjustRightInd/>
        <w:snapToGrid w:val="0"/>
        <w:ind w:firstLine="643" w:firstLineChars="200"/>
        <w:textAlignment w:val="auto"/>
        <w:rPr>
          <w:rFonts w:hint="eastAsia" w:ascii="仿宋" w:hAnsi="仿宋" w:cs="仿宋_GB2312"/>
          <w:bCs/>
          <w:color w:val="auto"/>
          <w:highlight w:val="none"/>
          <w:lang w:val="en-US" w:eastAsia="zh-CN"/>
        </w:rPr>
      </w:pPr>
      <w:r>
        <w:rPr>
          <w:rFonts w:hint="eastAsia" w:ascii="仿宋" w:hAnsi="仿宋" w:cs="仿宋_GB2312"/>
          <w:b/>
          <w:bCs w:val="0"/>
          <w:color w:val="auto"/>
          <w:highlight w:val="none"/>
          <w:lang w:val="en-US" w:eastAsia="zh-CN"/>
        </w:rPr>
        <w:t>培育和践行社会主义核心价值观</w:t>
      </w:r>
      <w:r>
        <w:rPr>
          <w:rFonts w:hint="eastAsia" w:ascii="仿宋" w:hAnsi="仿宋" w:cs="仿宋_GB2312"/>
          <w:bCs/>
          <w:color w:val="auto"/>
          <w:highlight w:val="none"/>
          <w:lang w:val="en-US" w:eastAsia="zh-CN"/>
        </w:rPr>
        <w:t>。推进农村精神文明建设。深入开展习近平新时代中国特色社会主义思想学习教育，持续开展社会主义核心价值观“七进”活动。推动理想信念教育常态化制度化，持续深化润育工程“五大行动”，“树、推”宣传先进典型，弘扬时代新风，推进新时代文明实践中心建设，全力打造宣传群众、教育群众、关心群众、服务群众的指挥中心、服务中心、信仰中心。加强农村思想道德建设。深入开展“铸牢中华民族共同体意识民族团结进家庭”实践行动，动员全州社会各界和各族群众广泛参与家庭文明建设。弘扬以爱国主义为核心的民族精神，践行社会主义核心价值观，引领各族群众和每个家庭树立正确的国家观、历史观、民族观、文化观、宗教观，增强“五个认同”。全面加强家庭、家教、家风建设，引领各族群众和每个家庭培植良好家风，遵守社会公德和职业道德，养成良好的家庭美德和个人品德。引导各族群众和每个家庭巩固脱贫攻坚成果，做好脱贫攻坚与乡村振兴有效衔接，积极发挥对口支援帮扶作用，搭建平台，鼓励家庭成员通过企业招聘、学校招生等渠道外出发展，持续推进广泛交往、全面交流、深度交融，引领全州干部群众家庭积极争创“民族团结进步示范家庭”。</w:t>
      </w:r>
    </w:p>
    <w:tbl>
      <w:tblPr>
        <w:tblStyle w:val="25"/>
        <w:tblW w:w="9034"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03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09" w:hRule="atLeast"/>
          <w:jc w:val="center"/>
        </w:trPr>
        <w:tc>
          <w:tcPr>
            <w:tcW w:w="9034" w:type="dxa"/>
            <w:vAlign w:val="center"/>
          </w:tcPr>
          <w:p>
            <w:pPr>
              <w:pStyle w:val="49"/>
              <w:snapToGrid w:val="0"/>
              <w:spacing w:line="500" w:lineRule="exact"/>
              <w:ind w:firstLine="22" w:firstLineChars="0"/>
              <w:jc w:val="center"/>
              <w:rPr>
                <w:rFonts w:ascii="黑体" w:hAnsi="黑体" w:eastAsia="黑体"/>
                <w:b/>
                <w:bCs/>
                <w:color w:val="auto"/>
                <w:sz w:val="28"/>
                <w:szCs w:val="28"/>
                <w:highlight w:val="none"/>
                <w:shd w:val="clear" w:color="auto" w:fill="FFFFFF"/>
              </w:rPr>
            </w:pPr>
            <w:r>
              <w:rPr>
                <w:rFonts w:hint="eastAsia" w:ascii="黑体" w:hAnsi="黑体" w:eastAsia="黑体"/>
                <w:color w:val="auto"/>
                <w:sz w:val="28"/>
                <w:szCs w:val="28"/>
                <w:highlight w:val="none"/>
                <w:shd w:val="clear" w:color="auto" w:fill="FFFFFF"/>
              </w:rPr>
              <w:t>专栏</w:t>
            </w:r>
            <w:r>
              <w:rPr>
                <w:rFonts w:hint="eastAsia" w:ascii="黑体" w:hAnsi="黑体" w:eastAsia="黑体"/>
                <w:color w:val="auto"/>
                <w:sz w:val="28"/>
                <w:szCs w:val="28"/>
                <w:highlight w:val="none"/>
                <w:shd w:val="clear" w:color="auto" w:fill="FFFFFF"/>
                <w:lang w:val="en-US" w:eastAsia="zh-CN"/>
              </w:rPr>
              <w:t>5</w:t>
            </w:r>
            <w:r>
              <w:rPr>
                <w:rFonts w:hint="eastAsia" w:ascii="黑体" w:hAnsi="黑体" w:eastAsia="黑体"/>
                <w:color w:val="auto"/>
                <w:sz w:val="28"/>
                <w:szCs w:val="28"/>
                <w:highlight w:val="none"/>
                <w:shd w:val="clear" w:color="auto" w:fill="FFFFFF"/>
              </w:rPr>
              <w:t xml:space="preserve">  </w:t>
            </w:r>
            <w:r>
              <w:rPr>
                <w:rFonts w:hint="eastAsia" w:ascii="黑体" w:hAnsi="黑体" w:eastAsia="黑体" w:cs="Times New Roman"/>
                <w:b w:val="0"/>
                <w:bCs w:val="0"/>
                <w:color w:val="auto"/>
                <w:kern w:val="2"/>
                <w:sz w:val="28"/>
                <w:szCs w:val="28"/>
                <w:highlight w:val="none"/>
                <w:shd w:val="clear" w:color="auto" w:fill="FFFFFF"/>
              </w:rPr>
              <w:t>开展“圣洁甘孜·美丽乡村”行动，推进宜居</w:t>
            </w:r>
            <w:r>
              <w:rPr>
                <w:rFonts w:hint="eastAsia" w:ascii="黑体" w:hAnsi="黑体" w:eastAsia="黑体" w:cs="Times New Roman"/>
                <w:b w:val="0"/>
                <w:bCs w:val="0"/>
                <w:color w:val="auto"/>
                <w:kern w:val="2"/>
                <w:sz w:val="28"/>
                <w:szCs w:val="28"/>
                <w:highlight w:val="none"/>
                <w:shd w:val="clear" w:color="auto" w:fill="FFFFFF"/>
                <w:lang w:val="en-US" w:eastAsia="zh-CN"/>
              </w:rPr>
              <w:t>宜美和美</w:t>
            </w:r>
            <w:r>
              <w:rPr>
                <w:rFonts w:hint="eastAsia" w:ascii="黑体" w:hAnsi="黑体" w:eastAsia="黑体" w:cs="Times New Roman"/>
                <w:b w:val="0"/>
                <w:bCs w:val="0"/>
                <w:color w:val="auto"/>
                <w:kern w:val="2"/>
                <w:sz w:val="28"/>
                <w:szCs w:val="28"/>
                <w:highlight w:val="none"/>
                <w:shd w:val="clear" w:color="auto" w:fill="FFFFFF"/>
              </w:rPr>
              <w:t>乡村建设</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6" w:hRule="atLeast"/>
          <w:jc w:val="center"/>
        </w:trPr>
        <w:tc>
          <w:tcPr>
            <w:tcW w:w="9034" w:type="dxa"/>
            <w:vAlign w:val="center"/>
          </w:tcPr>
          <w:p>
            <w:pPr>
              <w:pStyle w:val="49"/>
              <w:keepNext w:val="0"/>
              <w:keepLines w:val="0"/>
              <w:pageBreakBefore w:val="0"/>
              <w:widowControl w:val="0"/>
              <w:kinsoku/>
              <w:wordWrap/>
              <w:overflowPunct/>
              <w:topLinePunct w:val="0"/>
              <w:autoSpaceDE/>
              <w:autoSpaceDN/>
              <w:bidi w:val="0"/>
              <w:adjustRightInd/>
              <w:snapToGrid w:val="0"/>
              <w:spacing w:line="360" w:lineRule="auto"/>
              <w:ind w:firstLine="562"/>
              <w:textAlignment w:val="auto"/>
              <w:rPr>
                <w:rFonts w:hint="default" w:ascii="仿宋" w:hAnsi="仿宋"/>
                <w:b/>
                <w:bCs/>
                <w:color w:val="auto"/>
                <w:sz w:val="28"/>
                <w:szCs w:val="24"/>
                <w:highlight w:val="none"/>
                <w:lang w:val="en-US"/>
              </w:rPr>
            </w:pPr>
            <w:r>
              <w:rPr>
                <w:rFonts w:hint="eastAsia" w:ascii="仿宋" w:hAnsi="仿宋"/>
                <w:b/>
                <w:bCs/>
                <w:color w:val="auto"/>
                <w:sz w:val="28"/>
                <w:szCs w:val="24"/>
                <w:highlight w:val="none"/>
              </w:rPr>
              <w:t>01.</w:t>
            </w:r>
            <w:r>
              <w:rPr>
                <w:rFonts w:hint="eastAsia" w:ascii="仿宋" w:hAnsi="仿宋"/>
                <w:b/>
                <w:bCs/>
                <w:color w:val="auto"/>
                <w:sz w:val="28"/>
                <w:szCs w:val="24"/>
                <w:highlight w:val="none"/>
                <w:lang w:val="en-US" w:eastAsia="zh-CN"/>
              </w:rPr>
              <w:t>特色村寨建设</w:t>
            </w:r>
          </w:p>
          <w:p>
            <w:pPr>
              <w:pStyle w:val="49"/>
              <w:keepNext w:val="0"/>
              <w:keepLines w:val="0"/>
              <w:pageBreakBefore w:val="0"/>
              <w:widowControl w:val="0"/>
              <w:kinsoku/>
              <w:wordWrap/>
              <w:overflowPunct/>
              <w:topLinePunct w:val="0"/>
              <w:autoSpaceDE/>
              <w:autoSpaceDN/>
              <w:bidi w:val="0"/>
              <w:adjustRightInd/>
              <w:snapToGrid w:val="0"/>
              <w:spacing w:line="360" w:lineRule="auto"/>
              <w:ind w:firstLine="560"/>
              <w:textAlignment w:val="auto"/>
              <w:rPr>
                <w:rFonts w:hint="eastAsia" w:ascii="仿宋" w:hAnsi="仿宋"/>
                <w:color w:val="auto"/>
                <w:sz w:val="28"/>
                <w:szCs w:val="24"/>
                <w:highlight w:val="none"/>
              </w:rPr>
            </w:pPr>
            <w:r>
              <w:rPr>
                <w:rFonts w:hint="eastAsia" w:ascii="仿宋" w:hAnsi="仿宋"/>
                <w:color w:val="auto"/>
                <w:sz w:val="28"/>
                <w:szCs w:val="24"/>
                <w:highlight w:val="none"/>
              </w:rPr>
              <w:t>突出乡土文化和地域民族特色，因地制宜推进少数民族特色村寨保护与发展</w:t>
            </w:r>
            <w:r>
              <w:rPr>
                <w:rFonts w:hint="eastAsia" w:ascii="仿宋" w:hAnsi="仿宋"/>
                <w:color w:val="auto"/>
                <w:sz w:val="28"/>
                <w:szCs w:val="24"/>
                <w:highlight w:val="none"/>
                <w:lang w:eastAsia="zh-CN"/>
              </w:rPr>
              <w:t>，</w:t>
            </w:r>
            <w:r>
              <w:rPr>
                <w:rFonts w:hint="eastAsia" w:ascii="仿宋" w:hAnsi="仿宋"/>
                <w:color w:val="auto"/>
                <w:sz w:val="28"/>
                <w:szCs w:val="24"/>
                <w:highlight w:val="none"/>
              </w:rPr>
              <w:t>建设民族团结进步示范村。</w:t>
            </w:r>
          </w:p>
          <w:p>
            <w:pPr>
              <w:pStyle w:val="49"/>
              <w:keepNext w:val="0"/>
              <w:keepLines w:val="0"/>
              <w:pageBreakBefore w:val="0"/>
              <w:widowControl w:val="0"/>
              <w:kinsoku/>
              <w:wordWrap/>
              <w:overflowPunct/>
              <w:topLinePunct w:val="0"/>
              <w:autoSpaceDE/>
              <w:autoSpaceDN/>
              <w:bidi w:val="0"/>
              <w:adjustRightInd/>
              <w:snapToGrid w:val="0"/>
              <w:spacing w:line="360" w:lineRule="auto"/>
              <w:ind w:firstLine="562"/>
              <w:textAlignment w:val="auto"/>
              <w:rPr>
                <w:rFonts w:hint="default" w:ascii="仿宋" w:hAnsi="仿宋" w:eastAsia="仿宋"/>
                <w:b/>
                <w:bCs/>
                <w:color w:val="auto"/>
                <w:sz w:val="28"/>
                <w:szCs w:val="24"/>
                <w:highlight w:val="none"/>
                <w:lang w:val="en-US" w:eastAsia="zh-CN"/>
              </w:rPr>
            </w:pPr>
            <w:r>
              <w:rPr>
                <w:rFonts w:hint="eastAsia" w:ascii="仿宋" w:hAnsi="仿宋"/>
                <w:b/>
                <w:bCs/>
                <w:color w:val="auto"/>
                <w:sz w:val="28"/>
                <w:szCs w:val="24"/>
                <w:highlight w:val="none"/>
              </w:rPr>
              <w:t>02.</w:t>
            </w:r>
            <w:r>
              <w:rPr>
                <w:rFonts w:hint="eastAsia" w:ascii="仿宋" w:hAnsi="仿宋"/>
                <w:b/>
                <w:bCs/>
                <w:color w:val="auto"/>
                <w:sz w:val="28"/>
                <w:szCs w:val="24"/>
                <w:highlight w:val="none"/>
                <w:lang w:val="en-US" w:eastAsia="zh-CN"/>
              </w:rPr>
              <w:t>开展人居环境整治行动</w:t>
            </w:r>
          </w:p>
          <w:p>
            <w:pPr>
              <w:pStyle w:val="49"/>
              <w:keepNext w:val="0"/>
              <w:keepLines w:val="0"/>
              <w:pageBreakBefore w:val="0"/>
              <w:widowControl w:val="0"/>
              <w:kinsoku/>
              <w:wordWrap/>
              <w:overflowPunct/>
              <w:topLinePunct w:val="0"/>
              <w:autoSpaceDE/>
              <w:autoSpaceDN/>
              <w:bidi w:val="0"/>
              <w:adjustRightInd/>
              <w:snapToGrid w:val="0"/>
              <w:spacing w:line="360" w:lineRule="auto"/>
              <w:ind w:firstLine="560"/>
              <w:textAlignment w:val="auto"/>
              <w:rPr>
                <w:rFonts w:ascii="仿宋" w:hAnsi="仿宋"/>
                <w:color w:val="auto"/>
                <w:sz w:val="28"/>
                <w:szCs w:val="24"/>
                <w:highlight w:val="none"/>
              </w:rPr>
            </w:pPr>
            <w:r>
              <w:rPr>
                <w:rFonts w:hint="eastAsia" w:ascii="仿宋" w:hAnsi="仿宋"/>
                <w:color w:val="auto"/>
                <w:sz w:val="28"/>
                <w:szCs w:val="24"/>
                <w:highlight w:val="none"/>
              </w:rPr>
              <w:t>因地制宜推进农村厕所革命、生活垃圾和污水治理、村容村貌提升。到</w:t>
            </w:r>
            <w:r>
              <w:rPr>
                <w:rFonts w:ascii="Times New Roman" w:hAnsi="Times New Roman"/>
                <w:color w:val="auto"/>
                <w:sz w:val="28"/>
                <w:szCs w:val="24"/>
                <w:highlight w:val="none"/>
              </w:rPr>
              <w:t>2025</w:t>
            </w:r>
            <w:r>
              <w:rPr>
                <w:rFonts w:hint="eastAsia" w:ascii="仿宋" w:hAnsi="仿宋"/>
                <w:color w:val="auto"/>
                <w:sz w:val="28"/>
                <w:szCs w:val="24"/>
                <w:highlight w:val="none"/>
              </w:rPr>
              <w:t>年，力争</w:t>
            </w:r>
            <w:r>
              <w:rPr>
                <w:rFonts w:hint="eastAsia" w:ascii="仿宋" w:hAnsi="仿宋"/>
                <w:color w:val="auto"/>
                <w:sz w:val="28"/>
                <w:szCs w:val="24"/>
                <w:highlight w:val="none"/>
                <w:lang w:eastAsia="zh-CN"/>
              </w:rPr>
              <w:t>农村卫生厕所普及率达75％</w:t>
            </w:r>
            <w:r>
              <w:rPr>
                <w:rFonts w:hint="eastAsia" w:ascii="仿宋" w:hAnsi="仿宋"/>
                <w:color w:val="auto"/>
                <w:sz w:val="28"/>
                <w:szCs w:val="24"/>
                <w:highlight w:val="none"/>
              </w:rPr>
              <w:t>以上；所有</w:t>
            </w:r>
            <w:r>
              <w:rPr>
                <w:rFonts w:hint="eastAsia" w:ascii="仿宋" w:hAnsi="仿宋"/>
                <w:color w:val="auto"/>
                <w:sz w:val="28"/>
                <w:szCs w:val="24"/>
                <w:highlight w:val="none"/>
                <w:lang w:val="en-US" w:eastAsia="zh-CN"/>
              </w:rPr>
              <w:t>行政</w:t>
            </w:r>
            <w:r>
              <w:rPr>
                <w:rFonts w:hint="eastAsia" w:ascii="仿宋" w:hAnsi="仿宋"/>
                <w:color w:val="auto"/>
                <w:sz w:val="28"/>
                <w:szCs w:val="24"/>
                <w:highlight w:val="none"/>
              </w:rPr>
              <w:t>村实现农村生活垃圾收转运处置体系全覆盖，村民小组专职保洁员全覆盖，全州畜禽粪污综合利用率达85%以上；60%的行政村生活污水得到有效处理，基本消除农村黑臭水体；实施农村人居环境整治重点县（或农村“厕所革命”重点县）6个以上；村庄绿化、旅游基础设施进一步提升，村容村貌得到较大改善，继续创建一批省州级乡村振兴示范村。</w:t>
            </w:r>
          </w:p>
          <w:p>
            <w:pPr>
              <w:pStyle w:val="49"/>
              <w:keepNext w:val="0"/>
              <w:keepLines w:val="0"/>
              <w:pageBreakBefore w:val="0"/>
              <w:widowControl w:val="0"/>
              <w:kinsoku/>
              <w:wordWrap/>
              <w:overflowPunct/>
              <w:topLinePunct w:val="0"/>
              <w:autoSpaceDE/>
              <w:autoSpaceDN/>
              <w:bidi w:val="0"/>
              <w:adjustRightInd/>
              <w:snapToGrid w:val="0"/>
              <w:spacing w:line="360" w:lineRule="auto"/>
              <w:ind w:firstLine="562"/>
              <w:textAlignment w:val="auto"/>
              <w:rPr>
                <w:rFonts w:hint="default" w:ascii="仿宋" w:hAnsi="仿宋" w:eastAsia="仿宋"/>
                <w:b/>
                <w:bCs/>
                <w:color w:val="auto"/>
                <w:sz w:val="28"/>
                <w:szCs w:val="24"/>
                <w:highlight w:val="none"/>
                <w:lang w:val="en-US" w:eastAsia="zh-CN"/>
              </w:rPr>
            </w:pPr>
            <w:r>
              <w:rPr>
                <w:rFonts w:hint="eastAsia" w:ascii="仿宋" w:hAnsi="仿宋"/>
                <w:b/>
                <w:bCs/>
                <w:color w:val="auto"/>
                <w:sz w:val="28"/>
                <w:szCs w:val="24"/>
                <w:highlight w:val="none"/>
              </w:rPr>
              <w:t>03.农村交通基础设施</w:t>
            </w:r>
            <w:r>
              <w:rPr>
                <w:rFonts w:hint="eastAsia" w:ascii="仿宋" w:hAnsi="仿宋"/>
                <w:b/>
                <w:bCs/>
                <w:color w:val="auto"/>
                <w:sz w:val="28"/>
                <w:szCs w:val="24"/>
                <w:highlight w:val="none"/>
                <w:lang w:val="en-US" w:eastAsia="zh-CN"/>
              </w:rPr>
              <w:t>改善行动</w:t>
            </w:r>
          </w:p>
          <w:p>
            <w:pPr>
              <w:pStyle w:val="49"/>
              <w:keepNext w:val="0"/>
              <w:keepLines w:val="0"/>
              <w:pageBreakBefore w:val="0"/>
              <w:widowControl w:val="0"/>
              <w:kinsoku/>
              <w:wordWrap/>
              <w:overflowPunct/>
              <w:topLinePunct w:val="0"/>
              <w:autoSpaceDE/>
              <w:autoSpaceDN/>
              <w:bidi w:val="0"/>
              <w:adjustRightInd/>
              <w:snapToGrid w:val="0"/>
              <w:spacing w:line="360" w:lineRule="auto"/>
              <w:ind w:firstLine="560"/>
              <w:textAlignment w:val="auto"/>
              <w:rPr>
                <w:rFonts w:hint="eastAsia" w:ascii="仿宋" w:hAnsi="仿宋"/>
                <w:color w:val="auto"/>
                <w:sz w:val="28"/>
                <w:szCs w:val="24"/>
                <w:highlight w:val="none"/>
              </w:rPr>
            </w:pPr>
            <w:r>
              <w:rPr>
                <w:rFonts w:hint="eastAsia" w:ascii="仿宋" w:hAnsi="仿宋"/>
                <w:color w:val="auto"/>
                <w:sz w:val="28"/>
                <w:szCs w:val="24"/>
                <w:highlight w:val="none"/>
              </w:rPr>
              <w:t>深入推进“四好农村路”建设，推动公路进村入组，因地制宜实施较大人口规模自然村（组）通硬化路，加强通村公路和村内主干道连接，实施撤并建制村通畅工程、乡村振兴产业路旅游路工程、乡村运输“金通工程”，到2025年，实现30户以上自然村（组）通硬化路比重达90%以上。</w:t>
            </w:r>
          </w:p>
          <w:p>
            <w:pPr>
              <w:pStyle w:val="49"/>
              <w:keepNext w:val="0"/>
              <w:keepLines w:val="0"/>
              <w:pageBreakBefore w:val="0"/>
              <w:widowControl w:val="0"/>
              <w:kinsoku/>
              <w:wordWrap/>
              <w:overflowPunct/>
              <w:topLinePunct w:val="0"/>
              <w:autoSpaceDE/>
              <w:autoSpaceDN/>
              <w:bidi w:val="0"/>
              <w:adjustRightInd/>
              <w:snapToGrid w:val="0"/>
              <w:spacing w:line="360" w:lineRule="auto"/>
              <w:ind w:firstLine="562"/>
              <w:textAlignment w:val="auto"/>
              <w:rPr>
                <w:rFonts w:ascii="仿宋" w:hAnsi="仿宋"/>
                <w:b/>
                <w:bCs/>
                <w:color w:val="auto"/>
                <w:sz w:val="28"/>
                <w:szCs w:val="24"/>
                <w:highlight w:val="none"/>
              </w:rPr>
            </w:pPr>
            <w:r>
              <w:rPr>
                <w:rFonts w:hint="eastAsia" w:ascii="仿宋" w:hAnsi="仿宋"/>
                <w:b/>
                <w:bCs/>
                <w:color w:val="auto"/>
                <w:sz w:val="28"/>
                <w:szCs w:val="24"/>
                <w:highlight w:val="none"/>
              </w:rPr>
              <w:t>04.</w:t>
            </w:r>
            <w:r>
              <w:rPr>
                <w:rFonts w:hint="eastAsia" w:ascii="仿宋" w:hAnsi="仿宋"/>
                <w:b/>
                <w:bCs/>
                <w:color w:val="auto"/>
                <w:sz w:val="28"/>
                <w:szCs w:val="24"/>
                <w:highlight w:val="none"/>
                <w:lang w:val="en-US" w:eastAsia="zh-CN"/>
              </w:rPr>
              <w:t>农村水利设施建设行动</w:t>
            </w:r>
          </w:p>
          <w:p>
            <w:pPr>
              <w:pStyle w:val="49"/>
              <w:keepNext w:val="0"/>
              <w:keepLines w:val="0"/>
              <w:pageBreakBefore w:val="0"/>
              <w:widowControl w:val="0"/>
              <w:kinsoku/>
              <w:wordWrap/>
              <w:overflowPunct/>
              <w:topLinePunct w:val="0"/>
              <w:autoSpaceDE/>
              <w:autoSpaceDN/>
              <w:bidi w:val="0"/>
              <w:adjustRightInd/>
              <w:snapToGrid w:val="0"/>
              <w:spacing w:line="360" w:lineRule="auto"/>
              <w:ind w:firstLine="560"/>
              <w:textAlignment w:val="auto"/>
              <w:rPr>
                <w:rFonts w:ascii="仿宋" w:hAnsi="仿宋"/>
                <w:color w:val="auto"/>
                <w:sz w:val="28"/>
                <w:szCs w:val="24"/>
                <w:highlight w:val="none"/>
              </w:rPr>
            </w:pPr>
            <w:r>
              <w:rPr>
                <w:rFonts w:hint="eastAsia" w:ascii="仿宋" w:hAnsi="仿宋"/>
                <w:color w:val="auto"/>
                <w:sz w:val="28"/>
                <w:szCs w:val="24"/>
                <w:highlight w:val="none"/>
              </w:rPr>
              <w:t>加强农村防洪工程建设，加大中小型水库、小水渠建设，提高水利设施防冻害水平建设，加力解决高寒地区因冻断水问题。持续提升农村饮用水水质，加强用水工程项目建后管护。</w:t>
            </w:r>
          </w:p>
          <w:p>
            <w:pPr>
              <w:pStyle w:val="49"/>
              <w:keepNext w:val="0"/>
              <w:keepLines w:val="0"/>
              <w:pageBreakBefore w:val="0"/>
              <w:widowControl w:val="0"/>
              <w:kinsoku/>
              <w:wordWrap/>
              <w:overflowPunct/>
              <w:topLinePunct w:val="0"/>
              <w:autoSpaceDE/>
              <w:autoSpaceDN/>
              <w:bidi w:val="0"/>
              <w:adjustRightInd/>
              <w:snapToGrid w:val="0"/>
              <w:spacing w:line="360" w:lineRule="auto"/>
              <w:ind w:firstLine="562"/>
              <w:textAlignment w:val="auto"/>
              <w:rPr>
                <w:rFonts w:ascii="仿宋" w:hAnsi="仿宋"/>
                <w:b/>
                <w:bCs/>
                <w:color w:val="auto"/>
                <w:sz w:val="28"/>
                <w:szCs w:val="24"/>
                <w:highlight w:val="none"/>
              </w:rPr>
            </w:pPr>
            <w:r>
              <w:rPr>
                <w:rFonts w:hint="eastAsia" w:ascii="仿宋" w:hAnsi="仿宋"/>
                <w:b/>
                <w:bCs/>
                <w:color w:val="auto"/>
                <w:sz w:val="28"/>
                <w:szCs w:val="24"/>
                <w:highlight w:val="none"/>
              </w:rPr>
              <w:t>05.农村物流基础设施建</w:t>
            </w:r>
            <w:r>
              <w:rPr>
                <w:rFonts w:hint="eastAsia" w:ascii="仿宋" w:hAnsi="仿宋"/>
                <w:b/>
                <w:bCs/>
                <w:color w:val="auto"/>
                <w:sz w:val="28"/>
                <w:szCs w:val="24"/>
                <w:highlight w:val="none"/>
                <w:lang w:val="en-US" w:eastAsia="zh-CN"/>
              </w:rPr>
              <w:t>设</w:t>
            </w:r>
          </w:p>
          <w:p>
            <w:pPr>
              <w:pStyle w:val="49"/>
              <w:keepNext w:val="0"/>
              <w:keepLines w:val="0"/>
              <w:pageBreakBefore w:val="0"/>
              <w:widowControl w:val="0"/>
              <w:kinsoku/>
              <w:wordWrap/>
              <w:overflowPunct/>
              <w:topLinePunct w:val="0"/>
              <w:autoSpaceDE/>
              <w:autoSpaceDN/>
              <w:bidi w:val="0"/>
              <w:adjustRightInd/>
              <w:snapToGrid w:val="0"/>
              <w:spacing w:line="360" w:lineRule="auto"/>
              <w:ind w:firstLine="560"/>
              <w:textAlignment w:val="auto"/>
              <w:rPr>
                <w:rFonts w:hint="eastAsia" w:ascii="仿宋" w:hAnsi="仿宋" w:eastAsia="仿宋"/>
                <w:color w:val="auto"/>
                <w:sz w:val="28"/>
                <w:szCs w:val="24"/>
                <w:highlight w:val="none"/>
                <w:lang w:eastAsia="zh-CN"/>
              </w:rPr>
            </w:pPr>
            <w:r>
              <w:rPr>
                <w:rFonts w:hint="eastAsia" w:ascii="仿宋" w:hAnsi="仿宋"/>
                <w:color w:val="auto"/>
                <w:sz w:val="28"/>
                <w:szCs w:val="24"/>
                <w:highlight w:val="none"/>
              </w:rPr>
              <w:t>统筹推进县乡村三级物流体系建设，建设县级物流集散中心</w:t>
            </w:r>
            <w:r>
              <w:rPr>
                <w:rFonts w:hint="eastAsia" w:ascii="仿宋" w:hAnsi="仿宋"/>
                <w:color w:val="auto"/>
                <w:sz w:val="28"/>
                <w:szCs w:val="24"/>
                <w:highlight w:val="none"/>
                <w:lang w:eastAsia="zh-CN"/>
              </w:rPr>
              <w:t>，</w:t>
            </w:r>
            <w:r>
              <w:rPr>
                <w:rFonts w:hint="eastAsia" w:ascii="仿宋" w:hAnsi="仿宋"/>
                <w:color w:val="auto"/>
                <w:sz w:val="28"/>
                <w:szCs w:val="24"/>
                <w:highlight w:val="none"/>
              </w:rPr>
              <w:t>实施“快递进村”工程。到</w:t>
            </w:r>
            <w:r>
              <w:rPr>
                <w:rFonts w:hint="eastAsia" w:ascii="Times New Roman" w:hAnsi="Times New Roman"/>
                <w:color w:val="auto"/>
                <w:sz w:val="28"/>
                <w:szCs w:val="24"/>
                <w:highlight w:val="none"/>
              </w:rPr>
              <w:t>2025</w:t>
            </w:r>
            <w:r>
              <w:rPr>
                <w:rFonts w:hint="eastAsia" w:ascii="仿宋" w:hAnsi="仿宋"/>
                <w:color w:val="auto"/>
                <w:sz w:val="28"/>
                <w:szCs w:val="24"/>
                <w:highlight w:val="none"/>
              </w:rPr>
              <w:t>年，乡镇、村级快递配送站点全覆盖，物流配送车通达所有乡镇、行政村。</w:t>
            </w:r>
          </w:p>
          <w:p>
            <w:pPr>
              <w:pStyle w:val="49"/>
              <w:keepNext w:val="0"/>
              <w:keepLines w:val="0"/>
              <w:pageBreakBefore w:val="0"/>
              <w:widowControl w:val="0"/>
              <w:kinsoku/>
              <w:wordWrap/>
              <w:overflowPunct/>
              <w:topLinePunct w:val="0"/>
              <w:autoSpaceDE/>
              <w:autoSpaceDN/>
              <w:bidi w:val="0"/>
              <w:adjustRightInd/>
              <w:snapToGrid w:val="0"/>
              <w:spacing w:line="360" w:lineRule="auto"/>
              <w:ind w:firstLine="562"/>
              <w:textAlignment w:val="auto"/>
              <w:rPr>
                <w:rFonts w:hint="eastAsia" w:ascii="仿宋" w:hAnsi="仿宋"/>
                <w:b/>
                <w:bCs/>
                <w:color w:val="auto"/>
                <w:sz w:val="28"/>
                <w:szCs w:val="24"/>
                <w:highlight w:val="none"/>
                <w:lang w:eastAsia="zh-CN"/>
              </w:rPr>
            </w:pPr>
            <w:r>
              <w:rPr>
                <w:rFonts w:hint="eastAsia" w:ascii="仿宋" w:hAnsi="仿宋"/>
                <w:b/>
                <w:bCs/>
                <w:color w:val="auto"/>
                <w:sz w:val="28"/>
                <w:szCs w:val="24"/>
                <w:highlight w:val="none"/>
              </w:rPr>
              <w:t>06.</w:t>
            </w:r>
            <w:r>
              <w:rPr>
                <w:rFonts w:hint="eastAsia" w:ascii="仿宋" w:hAnsi="仿宋"/>
                <w:b/>
                <w:bCs/>
                <w:color w:val="auto"/>
                <w:sz w:val="28"/>
                <w:szCs w:val="24"/>
                <w:highlight w:val="none"/>
                <w:lang w:val="en-US" w:eastAsia="zh-CN"/>
              </w:rPr>
              <w:t>乡村信息化基础建设</w:t>
            </w:r>
          </w:p>
          <w:p>
            <w:pPr>
              <w:pStyle w:val="49"/>
              <w:keepNext w:val="0"/>
              <w:keepLines w:val="0"/>
              <w:pageBreakBefore w:val="0"/>
              <w:widowControl w:val="0"/>
              <w:kinsoku/>
              <w:wordWrap/>
              <w:overflowPunct/>
              <w:topLinePunct w:val="0"/>
              <w:autoSpaceDE/>
              <w:autoSpaceDN/>
              <w:bidi w:val="0"/>
              <w:adjustRightInd/>
              <w:snapToGrid w:val="0"/>
              <w:spacing w:line="360" w:lineRule="auto"/>
              <w:ind w:firstLine="560"/>
              <w:textAlignment w:val="auto"/>
              <w:rPr>
                <w:rFonts w:hint="default" w:ascii="仿宋" w:hAnsi="仿宋"/>
                <w:color w:val="auto"/>
                <w:sz w:val="28"/>
                <w:szCs w:val="24"/>
                <w:highlight w:val="none"/>
                <w:lang w:val="en-US" w:eastAsia="zh-CN"/>
              </w:rPr>
            </w:pPr>
            <w:r>
              <w:rPr>
                <w:rFonts w:hint="eastAsia" w:ascii="仿宋" w:hAnsi="仿宋"/>
                <w:color w:val="auto"/>
                <w:sz w:val="28"/>
                <w:szCs w:val="24"/>
                <w:highlight w:val="none"/>
                <w:lang w:val="en-US" w:eastAsia="zh-CN"/>
              </w:rPr>
              <w:t>加快农村地区宽带网络和4G网络覆盖，推进5G网络向有需求的乡镇级行政村延伸。实施新一代信息基础设施建设工程。支持4G（5G）基站建设工程，推进农村地区宽带网络和4G全覆盖，有条件区域建设5G网络，</w:t>
            </w:r>
            <w:r>
              <w:rPr>
                <w:rFonts w:hint="eastAsia" w:ascii="仿宋" w:hAnsi="仿宋"/>
                <w:color w:val="auto"/>
                <w:sz w:val="28"/>
                <w:szCs w:val="24"/>
                <w:highlight w:val="none"/>
              </w:rPr>
              <w:t>深入实施“雪亮工程”。持续开展数字乡村试点。</w:t>
            </w:r>
          </w:p>
          <w:p>
            <w:pPr>
              <w:pStyle w:val="49"/>
              <w:keepNext w:val="0"/>
              <w:keepLines w:val="0"/>
              <w:pageBreakBefore w:val="0"/>
              <w:widowControl w:val="0"/>
              <w:kinsoku/>
              <w:wordWrap/>
              <w:overflowPunct/>
              <w:topLinePunct w:val="0"/>
              <w:autoSpaceDE/>
              <w:autoSpaceDN/>
              <w:bidi w:val="0"/>
              <w:adjustRightInd/>
              <w:snapToGrid w:val="0"/>
              <w:spacing w:line="360" w:lineRule="auto"/>
              <w:ind w:firstLine="562"/>
              <w:textAlignment w:val="auto"/>
              <w:rPr>
                <w:rFonts w:hint="eastAsia" w:ascii="仿宋" w:hAnsi="仿宋"/>
                <w:b/>
                <w:bCs/>
                <w:color w:val="auto"/>
                <w:sz w:val="28"/>
                <w:szCs w:val="24"/>
                <w:highlight w:val="none"/>
                <w:lang w:eastAsia="zh-CN"/>
              </w:rPr>
            </w:pPr>
            <w:r>
              <w:rPr>
                <w:rFonts w:hint="eastAsia" w:ascii="仿宋" w:hAnsi="仿宋"/>
                <w:b/>
                <w:bCs/>
                <w:color w:val="auto"/>
                <w:sz w:val="28"/>
                <w:szCs w:val="24"/>
                <w:highlight w:val="none"/>
              </w:rPr>
              <w:t>0</w:t>
            </w:r>
            <w:r>
              <w:rPr>
                <w:rFonts w:hint="eastAsia" w:ascii="仿宋" w:hAnsi="仿宋"/>
                <w:b/>
                <w:bCs/>
                <w:color w:val="auto"/>
                <w:sz w:val="28"/>
                <w:szCs w:val="24"/>
                <w:highlight w:val="none"/>
                <w:lang w:val="en-US" w:eastAsia="zh-CN"/>
              </w:rPr>
              <w:t>7</w:t>
            </w:r>
            <w:r>
              <w:rPr>
                <w:rFonts w:hint="eastAsia" w:ascii="仿宋" w:hAnsi="仿宋"/>
                <w:b/>
                <w:bCs/>
                <w:color w:val="auto"/>
                <w:sz w:val="28"/>
                <w:szCs w:val="24"/>
                <w:highlight w:val="none"/>
              </w:rPr>
              <w:t>.</w:t>
            </w:r>
            <w:r>
              <w:rPr>
                <w:rFonts w:hint="eastAsia" w:ascii="仿宋" w:hAnsi="仿宋"/>
                <w:b/>
                <w:bCs/>
                <w:color w:val="auto"/>
                <w:sz w:val="28"/>
                <w:szCs w:val="24"/>
                <w:highlight w:val="none"/>
                <w:lang w:val="en-US" w:eastAsia="zh-CN"/>
              </w:rPr>
              <w:t>乡村生态建设</w:t>
            </w:r>
          </w:p>
          <w:p>
            <w:pPr>
              <w:pStyle w:val="49"/>
              <w:keepNext w:val="0"/>
              <w:keepLines w:val="0"/>
              <w:pageBreakBefore w:val="0"/>
              <w:widowControl w:val="0"/>
              <w:kinsoku/>
              <w:wordWrap/>
              <w:overflowPunct/>
              <w:topLinePunct w:val="0"/>
              <w:autoSpaceDE/>
              <w:autoSpaceDN/>
              <w:bidi w:val="0"/>
              <w:adjustRightInd/>
              <w:snapToGrid w:val="0"/>
              <w:spacing w:line="360" w:lineRule="auto"/>
              <w:ind w:firstLine="560"/>
              <w:textAlignment w:val="auto"/>
              <w:rPr>
                <w:rFonts w:hint="default" w:ascii="仿宋" w:hAnsi="仿宋"/>
                <w:color w:val="auto"/>
                <w:sz w:val="28"/>
                <w:szCs w:val="24"/>
                <w:highlight w:val="none"/>
                <w:lang w:val="en-US" w:eastAsia="zh-CN"/>
              </w:rPr>
            </w:pPr>
            <w:r>
              <w:rPr>
                <w:rFonts w:hint="eastAsia" w:ascii="仿宋" w:hAnsi="仿宋"/>
                <w:color w:val="auto"/>
                <w:sz w:val="28"/>
                <w:szCs w:val="24"/>
                <w:highlight w:val="none"/>
                <w:lang w:val="en-US" w:eastAsia="zh-CN"/>
              </w:rPr>
              <w:t>加强乡村生态保护与修复，支持山水林田湖草沙冰等生态修复项目。按照生态保护红线保护要求，大力发展生态涵养、休闲观光、文化体验、健康养老等业态，推进生态与文化、产业、旅游融合发展。持续开展“世界地球日、全国低碳日、植树节”等主题活动，弘扬乡村生态文化。</w:t>
            </w:r>
          </w:p>
          <w:p>
            <w:pPr>
              <w:pStyle w:val="49"/>
              <w:keepNext w:val="0"/>
              <w:keepLines w:val="0"/>
              <w:pageBreakBefore w:val="0"/>
              <w:widowControl w:val="0"/>
              <w:kinsoku/>
              <w:wordWrap/>
              <w:overflowPunct/>
              <w:topLinePunct w:val="0"/>
              <w:autoSpaceDE/>
              <w:autoSpaceDN/>
              <w:bidi w:val="0"/>
              <w:adjustRightInd/>
              <w:snapToGrid w:val="0"/>
              <w:spacing w:line="360" w:lineRule="auto"/>
              <w:ind w:firstLine="562"/>
              <w:textAlignment w:val="auto"/>
              <w:rPr>
                <w:rFonts w:hint="eastAsia" w:ascii="仿宋" w:hAnsi="仿宋"/>
                <w:b/>
                <w:bCs/>
                <w:color w:val="auto"/>
                <w:sz w:val="28"/>
                <w:szCs w:val="24"/>
                <w:highlight w:val="none"/>
                <w:lang w:eastAsia="zh-CN"/>
              </w:rPr>
            </w:pPr>
            <w:r>
              <w:rPr>
                <w:rFonts w:hint="eastAsia" w:ascii="仿宋" w:hAnsi="仿宋"/>
                <w:b/>
                <w:bCs/>
                <w:color w:val="auto"/>
                <w:sz w:val="28"/>
                <w:szCs w:val="24"/>
                <w:highlight w:val="none"/>
              </w:rPr>
              <w:t>0</w:t>
            </w:r>
            <w:r>
              <w:rPr>
                <w:rFonts w:hint="eastAsia" w:ascii="仿宋" w:hAnsi="仿宋"/>
                <w:b/>
                <w:bCs/>
                <w:color w:val="auto"/>
                <w:sz w:val="28"/>
                <w:szCs w:val="24"/>
                <w:highlight w:val="none"/>
                <w:lang w:val="en-US" w:eastAsia="zh-CN"/>
              </w:rPr>
              <w:t>8</w:t>
            </w:r>
            <w:r>
              <w:rPr>
                <w:rFonts w:hint="eastAsia" w:ascii="仿宋" w:hAnsi="仿宋"/>
                <w:b/>
                <w:bCs/>
                <w:color w:val="auto"/>
                <w:sz w:val="28"/>
                <w:szCs w:val="24"/>
                <w:highlight w:val="none"/>
              </w:rPr>
              <w:t>.</w:t>
            </w:r>
            <w:r>
              <w:rPr>
                <w:rFonts w:hint="eastAsia" w:ascii="仿宋" w:hAnsi="仿宋"/>
                <w:b/>
                <w:bCs/>
                <w:color w:val="auto"/>
                <w:sz w:val="28"/>
                <w:szCs w:val="24"/>
                <w:highlight w:val="none"/>
                <w:lang w:val="en-US" w:eastAsia="zh-CN"/>
              </w:rPr>
              <w:t>公共文化服务建设</w:t>
            </w:r>
          </w:p>
          <w:p>
            <w:pPr>
              <w:pStyle w:val="49"/>
              <w:keepNext w:val="0"/>
              <w:keepLines w:val="0"/>
              <w:pageBreakBefore w:val="0"/>
              <w:widowControl w:val="0"/>
              <w:kinsoku/>
              <w:wordWrap/>
              <w:overflowPunct/>
              <w:topLinePunct w:val="0"/>
              <w:autoSpaceDE/>
              <w:autoSpaceDN/>
              <w:bidi w:val="0"/>
              <w:adjustRightInd/>
              <w:snapToGrid w:val="0"/>
              <w:spacing w:line="360" w:lineRule="auto"/>
              <w:ind w:firstLine="560"/>
              <w:textAlignment w:val="auto"/>
              <w:rPr>
                <w:rFonts w:hint="default" w:ascii="仿宋" w:hAnsi="仿宋"/>
                <w:color w:val="auto"/>
                <w:sz w:val="28"/>
                <w:szCs w:val="24"/>
                <w:highlight w:val="none"/>
                <w:lang w:val="en-US" w:eastAsia="zh-CN"/>
              </w:rPr>
            </w:pPr>
            <w:r>
              <w:rPr>
                <w:rFonts w:hint="eastAsia" w:ascii="仿宋" w:hAnsi="仿宋"/>
                <w:color w:val="auto"/>
                <w:sz w:val="28"/>
                <w:szCs w:val="24"/>
                <w:highlight w:val="none"/>
                <w:lang w:val="en-US" w:eastAsia="zh-CN"/>
              </w:rPr>
              <w:t>开展红色文化、康巴文化、民族民俗文化、茶马古道文化等乡村文化传承与保护，支持长征国家文化公园建设，实施四川历史文化名人传承创新工程，申报康巴文化生态保护实验区。完善城乡公共文化服务网络，支持博物馆、图书馆、文化馆等项目建设，实施文化惠民工程建设，开展举办传统节庆活动和民俗活动，提高公共文化基础设施和服务水平。</w:t>
            </w:r>
          </w:p>
          <w:p>
            <w:pPr>
              <w:pStyle w:val="49"/>
              <w:keepNext w:val="0"/>
              <w:keepLines w:val="0"/>
              <w:pageBreakBefore w:val="0"/>
              <w:widowControl w:val="0"/>
              <w:kinsoku/>
              <w:wordWrap/>
              <w:overflowPunct/>
              <w:topLinePunct w:val="0"/>
              <w:autoSpaceDE/>
              <w:autoSpaceDN/>
              <w:bidi w:val="0"/>
              <w:adjustRightInd/>
              <w:snapToGrid w:val="0"/>
              <w:spacing w:line="360" w:lineRule="auto"/>
              <w:ind w:firstLine="562"/>
              <w:textAlignment w:val="auto"/>
              <w:rPr>
                <w:rFonts w:hint="eastAsia" w:ascii="仿宋" w:hAnsi="仿宋"/>
                <w:b/>
                <w:bCs/>
                <w:color w:val="auto"/>
                <w:sz w:val="28"/>
                <w:szCs w:val="24"/>
                <w:highlight w:val="none"/>
                <w:lang w:eastAsia="zh-CN"/>
              </w:rPr>
            </w:pPr>
            <w:r>
              <w:rPr>
                <w:rFonts w:hint="eastAsia" w:ascii="仿宋" w:hAnsi="仿宋"/>
                <w:b/>
                <w:bCs/>
                <w:color w:val="auto"/>
                <w:sz w:val="28"/>
                <w:szCs w:val="24"/>
                <w:highlight w:val="none"/>
              </w:rPr>
              <w:t>0</w:t>
            </w:r>
            <w:r>
              <w:rPr>
                <w:rFonts w:hint="eastAsia" w:ascii="仿宋" w:hAnsi="仿宋"/>
                <w:b/>
                <w:bCs/>
                <w:color w:val="auto"/>
                <w:sz w:val="28"/>
                <w:szCs w:val="24"/>
                <w:highlight w:val="none"/>
                <w:lang w:val="en-US" w:eastAsia="zh-CN"/>
              </w:rPr>
              <w:t>9</w:t>
            </w:r>
            <w:r>
              <w:rPr>
                <w:rFonts w:hint="eastAsia" w:ascii="仿宋" w:hAnsi="仿宋"/>
                <w:b/>
                <w:bCs/>
                <w:color w:val="auto"/>
                <w:sz w:val="28"/>
                <w:szCs w:val="24"/>
                <w:highlight w:val="none"/>
              </w:rPr>
              <w:t>.</w:t>
            </w:r>
            <w:r>
              <w:rPr>
                <w:rFonts w:hint="eastAsia" w:ascii="仿宋" w:hAnsi="仿宋"/>
                <w:b/>
                <w:bCs/>
                <w:color w:val="auto"/>
                <w:sz w:val="28"/>
                <w:szCs w:val="24"/>
                <w:highlight w:val="none"/>
                <w:lang w:val="en-US" w:eastAsia="zh-CN"/>
              </w:rPr>
              <w:t>乡村治理建设</w:t>
            </w:r>
          </w:p>
          <w:p>
            <w:pPr>
              <w:pStyle w:val="49"/>
              <w:keepNext w:val="0"/>
              <w:keepLines w:val="0"/>
              <w:pageBreakBefore w:val="0"/>
              <w:widowControl w:val="0"/>
              <w:kinsoku/>
              <w:wordWrap/>
              <w:overflowPunct/>
              <w:topLinePunct w:val="0"/>
              <w:autoSpaceDE/>
              <w:autoSpaceDN/>
              <w:bidi w:val="0"/>
              <w:adjustRightInd/>
              <w:snapToGrid w:val="0"/>
              <w:spacing w:line="360" w:lineRule="auto"/>
              <w:ind w:firstLine="560"/>
              <w:textAlignment w:val="auto"/>
              <w:rPr>
                <w:rFonts w:hint="eastAsia" w:ascii="仿宋" w:hAnsi="仿宋"/>
                <w:color w:val="auto"/>
                <w:sz w:val="28"/>
                <w:szCs w:val="24"/>
                <w:highlight w:val="none"/>
                <w:lang w:val="en-US" w:eastAsia="zh-CN"/>
              </w:rPr>
            </w:pPr>
            <w:r>
              <w:rPr>
                <w:rFonts w:hint="eastAsia" w:ascii="仿宋" w:hAnsi="仿宋"/>
                <w:color w:val="auto"/>
                <w:sz w:val="28"/>
                <w:szCs w:val="24"/>
                <w:highlight w:val="none"/>
                <w:lang w:val="en-US" w:eastAsia="zh-CN"/>
              </w:rPr>
              <w:t>加强基层党组织建设，不断完善清单制、积分制的治理机制，支持村（社区）党组织书记进修班、乡科级领导干部进修班等项目建设。加大移风易俗引导力度，做好乡村治理试点示范。开展“中华民族一家亲、同心共筑中国梦”主题宣传和“感党恩、听党话、跟党走”教育活动，加强铸牢中华民族共同体意识宣传教育。</w:t>
            </w:r>
          </w:p>
          <w:p>
            <w:pPr>
              <w:pStyle w:val="49"/>
              <w:keepNext w:val="0"/>
              <w:keepLines w:val="0"/>
              <w:pageBreakBefore w:val="0"/>
              <w:widowControl w:val="0"/>
              <w:kinsoku/>
              <w:wordWrap/>
              <w:overflowPunct/>
              <w:topLinePunct w:val="0"/>
              <w:autoSpaceDE/>
              <w:autoSpaceDN/>
              <w:bidi w:val="0"/>
              <w:adjustRightInd/>
              <w:snapToGrid w:val="0"/>
              <w:spacing w:line="360" w:lineRule="auto"/>
              <w:ind w:firstLine="562"/>
              <w:textAlignment w:val="auto"/>
              <w:rPr>
                <w:rFonts w:hint="default" w:ascii="仿宋" w:hAnsi="仿宋"/>
                <w:b/>
                <w:bCs/>
                <w:color w:val="auto"/>
                <w:sz w:val="28"/>
                <w:szCs w:val="24"/>
                <w:highlight w:val="none"/>
                <w:lang w:val="en-US" w:eastAsia="zh-CN"/>
              </w:rPr>
            </w:pPr>
            <w:r>
              <w:rPr>
                <w:rFonts w:hint="eastAsia" w:ascii="仿宋" w:hAnsi="仿宋"/>
                <w:b/>
                <w:bCs/>
                <w:color w:val="auto"/>
                <w:sz w:val="28"/>
                <w:szCs w:val="24"/>
                <w:highlight w:val="none"/>
                <w:lang w:val="en-US" w:eastAsia="zh-CN"/>
              </w:rPr>
              <w:t>10</w:t>
            </w:r>
            <w:r>
              <w:rPr>
                <w:rFonts w:hint="eastAsia" w:ascii="仿宋" w:hAnsi="仿宋"/>
                <w:b/>
                <w:bCs/>
                <w:color w:val="auto"/>
                <w:sz w:val="28"/>
                <w:szCs w:val="24"/>
                <w:highlight w:val="none"/>
              </w:rPr>
              <w:t>.</w:t>
            </w:r>
            <w:r>
              <w:rPr>
                <w:rFonts w:hint="eastAsia" w:ascii="仿宋" w:hAnsi="仿宋"/>
                <w:b/>
                <w:bCs/>
                <w:color w:val="auto"/>
                <w:sz w:val="28"/>
                <w:szCs w:val="24"/>
                <w:highlight w:val="none"/>
                <w:lang w:val="en-US" w:eastAsia="zh-CN"/>
              </w:rPr>
              <w:t>推进乡村建设信息采集</w:t>
            </w:r>
          </w:p>
          <w:p>
            <w:pPr>
              <w:pStyle w:val="49"/>
              <w:keepNext w:val="0"/>
              <w:keepLines w:val="0"/>
              <w:pageBreakBefore w:val="0"/>
              <w:widowControl w:val="0"/>
              <w:kinsoku/>
              <w:wordWrap/>
              <w:overflowPunct/>
              <w:topLinePunct w:val="0"/>
              <w:autoSpaceDE/>
              <w:autoSpaceDN/>
              <w:bidi w:val="0"/>
              <w:adjustRightInd/>
              <w:snapToGrid w:val="0"/>
              <w:spacing w:line="360" w:lineRule="auto"/>
              <w:ind w:firstLine="560"/>
              <w:textAlignment w:val="auto"/>
              <w:rPr>
                <w:rFonts w:hint="eastAsia" w:ascii="仿宋" w:hAnsi="仿宋"/>
                <w:color w:val="auto"/>
                <w:sz w:val="28"/>
                <w:szCs w:val="24"/>
                <w:highlight w:val="none"/>
                <w:lang w:val="en-US" w:eastAsia="zh-CN"/>
              </w:rPr>
            </w:pPr>
            <w:r>
              <w:rPr>
                <w:rFonts w:hint="eastAsia" w:ascii="仿宋" w:hAnsi="仿宋"/>
                <w:color w:val="auto"/>
                <w:sz w:val="28"/>
                <w:szCs w:val="24"/>
                <w:highlight w:val="none"/>
                <w:lang w:val="en-US" w:eastAsia="zh-CN"/>
              </w:rPr>
              <w:t>依托全国乡村建设信息监测平台，以普惠性、基础性、兜底性民生建设指标和往村覆盖、往户延伸性指标为重点，以村为单位采集信息建档立卡，精准掌握乡村建设任务需求和工程量，为各级各部门补短板、强弱项，加快建设宜居宜业美丽乡村提供数据支持。到2025年，全州乡村建设信息不断优化完善，成为组织实施乡村建设行动的有力支撑。</w:t>
            </w:r>
          </w:p>
        </w:tc>
      </w:tr>
    </w:tbl>
    <w:p>
      <w:pPr>
        <w:snapToGrid w:val="0"/>
        <w:rPr>
          <w:rFonts w:hint="eastAsia" w:ascii="仿宋" w:hAnsi="仿宋" w:cs="仿宋_GB2312"/>
          <w:bCs/>
          <w:color w:val="auto"/>
          <w:highlight w:val="none"/>
        </w:rPr>
      </w:pPr>
    </w:p>
    <w:p>
      <w:pPr>
        <w:snapToGrid w:val="0"/>
        <w:ind w:firstLine="640" w:firstLineChars="200"/>
        <w:rPr>
          <w:rFonts w:hint="eastAsia" w:ascii="仿宋" w:hAnsi="仿宋" w:cs="仿宋_GB2312"/>
          <w:bCs/>
          <w:color w:val="auto"/>
          <w:highlight w:val="none"/>
        </w:rPr>
        <w:sectPr>
          <w:pgSz w:w="11906" w:h="16838"/>
          <w:pgMar w:top="1440" w:right="1800" w:bottom="1440" w:left="1800" w:header="851" w:footer="992" w:gutter="0"/>
          <w:pgNumType w:fmt="decimal"/>
          <w:cols w:space="425" w:num="1"/>
          <w:docGrid w:type="lines" w:linePitch="312" w:charSpace="0"/>
        </w:sectPr>
      </w:pPr>
    </w:p>
    <w:p>
      <w:pPr>
        <w:pStyle w:val="4"/>
        <w:tabs>
          <w:tab w:val="clear" w:pos="0"/>
        </w:tabs>
        <w:suppressAutoHyphens w:val="0"/>
        <w:spacing w:after="240" w:line="578" w:lineRule="auto"/>
        <w:jc w:val="center"/>
        <w:rPr>
          <w:rFonts w:hint="eastAsia" w:ascii="黑体" w:hAnsi="黑体" w:eastAsia="黑体"/>
          <w:b w:val="0"/>
          <w:bCs w:val="0"/>
          <w:color w:val="auto"/>
          <w:kern w:val="2"/>
          <w:sz w:val="32"/>
          <w:szCs w:val="32"/>
          <w:highlight w:val="none"/>
          <w:lang w:val="en-US" w:eastAsia="zh-CN"/>
        </w:rPr>
      </w:pPr>
      <w:bookmarkStart w:id="105" w:name="_Toc1476"/>
      <w:bookmarkStart w:id="106" w:name="_Toc24425"/>
      <w:bookmarkStart w:id="107" w:name="_Toc8212"/>
      <w:r>
        <w:rPr>
          <w:rFonts w:hint="eastAsia" w:ascii="黑体" w:hAnsi="黑体" w:eastAsia="黑体"/>
          <w:b w:val="0"/>
          <w:bCs w:val="0"/>
          <w:color w:val="auto"/>
          <w:kern w:val="2"/>
          <w:sz w:val="32"/>
          <w:szCs w:val="32"/>
          <w:highlight w:val="none"/>
          <w:lang w:val="en-US" w:eastAsia="zh-CN"/>
        </w:rPr>
        <w:t>第八章  整合多方力量，做好乡村振兴重点帮扶</w:t>
      </w:r>
      <w:bookmarkEnd w:id="105"/>
      <w:bookmarkEnd w:id="106"/>
      <w:bookmarkEnd w:id="107"/>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rPr>
          <w:rFonts w:hint="default" w:ascii="仿宋" w:hAnsi="仿宋" w:cs="仿宋_GB2312"/>
          <w:bCs/>
          <w:color w:val="auto"/>
          <w:highlight w:val="none"/>
          <w:lang w:val="en-US" w:eastAsia="zh-CN"/>
        </w:rPr>
      </w:pPr>
      <w:bookmarkStart w:id="108" w:name="_Toc28042"/>
      <w:bookmarkStart w:id="109" w:name="_Toc62661942"/>
      <w:bookmarkStart w:id="110" w:name="_Toc18946"/>
      <w:r>
        <w:rPr>
          <w:rFonts w:hint="eastAsia" w:ascii="仿宋" w:hAnsi="仿宋" w:cs="仿宋_GB2312"/>
          <w:bCs/>
          <w:color w:val="auto"/>
          <w:highlight w:val="none"/>
          <w:lang w:val="en-US" w:eastAsia="zh-CN"/>
        </w:rPr>
        <w:t>进一步深化东西部协作和对口支援，做实国省定点帮扶和省内对口帮扶，完善社会力量参与帮扶机制，强化</w:t>
      </w:r>
      <w:r>
        <w:rPr>
          <w:rFonts w:hint="eastAsia" w:ascii="仿宋" w:hAnsi="仿宋" w:cs="仿宋_GB2312"/>
          <w:bCs/>
          <w:color w:val="auto"/>
          <w:highlight w:val="none"/>
          <w:lang w:val="en-US" w:eastAsia="zh-Hans"/>
        </w:rPr>
        <w:t>乡村</w:t>
      </w:r>
      <w:r>
        <w:rPr>
          <w:rFonts w:hint="eastAsia" w:ascii="仿宋" w:hAnsi="仿宋" w:cs="仿宋_GB2312"/>
          <w:bCs/>
          <w:color w:val="auto"/>
          <w:highlight w:val="none"/>
          <w:lang w:val="en-US" w:eastAsia="zh-CN"/>
        </w:rPr>
        <w:t>人才队伍建设，推动财政、金融、土地等帮扶政策，倾斜支持乡村振兴重点帮扶县（村），引导和鼓励社会力量投入乡村振兴建设。</w:t>
      </w:r>
    </w:p>
    <w:bookmarkEnd w:id="108"/>
    <w:bookmarkEnd w:id="109"/>
    <w:bookmarkEnd w:id="110"/>
    <w:p>
      <w:pPr>
        <w:pStyle w:val="5"/>
        <w:tabs>
          <w:tab w:val="clear" w:pos="0"/>
        </w:tabs>
        <w:suppressAutoHyphens w:val="0"/>
        <w:snapToGrid w:val="0"/>
        <w:spacing w:before="0" w:after="0" w:line="360" w:lineRule="auto"/>
        <w:ind w:firstLine="643" w:firstLineChars="200"/>
        <w:jc w:val="left"/>
        <w:rPr>
          <w:rFonts w:hint="eastAsia" w:ascii="楷体" w:hAnsi="楷体" w:eastAsia="楷体" w:cs="黑体"/>
          <w:bCs w:val="0"/>
          <w:color w:val="auto"/>
          <w:kern w:val="0"/>
          <w:highlight w:val="none"/>
          <w:lang w:val="en-US" w:eastAsia="zh-CN"/>
        </w:rPr>
      </w:pPr>
      <w:bookmarkStart w:id="111" w:name="_Toc62661943"/>
      <w:bookmarkStart w:id="112" w:name="_Toc12704"/>
      <w:bookmarkStart w:id="113" w:name="_Toc31977"/>
      <w:bookmarkStart w:id="114" w:name="_Toc21351"/>
      <w:bookmarkStart w:id="115" w:name="_Toc18333"/>
      <w:bookmarkStart w:id="116" w:name="_Toc31478"/>
      <w:r>
        <w:rPr>
          <w:rFonts w:hint="eastAsia" w:ascii="楷体" w:hAnsi="楷体" w:eastAsia="楷体" w:cs="黑体"/>
          <w:bCs w:val="0"/>
          <w:color w:val="auto"/>
          <w:kern w:val="0"/>
          <w:highlight w:val="none"/>
          <w:lang w:val="en-US" w:eastAsia="zh-CN"/>
        </w:rPr>
        <w:t>一、</w:t>
      </w:r>
      <w:r>
        <w:rPr>
          <w:rFonts w:hint="eastAsia" w:ascii="楷体" w:hAnsi="楷体" w:eastAsia="楷体" w:cs="黑体"/>
          <w:bCs w:val="0"/>
          <w:color w:val="auto"/>
          <w:kern w:val="0"/>
          <w:highlight w:val="none"/>
          <w:lang w:val="en-US" w:eastAsia="zh-Hans"/>
        </w:rPr>
        <w:t>深化</w:t>
      </w:r>
      <w:r>
        <w:rPr>
          <w:rFonts w:hint="eastAsia" w:ascii="楷体" w:hAnsi="楷体" w:eastAsia="楷体" w:cs="黑体"/>
          <w:bCs w:val="0"/>
          <w:color w:val="auto"/>
          <w:kern w:val="0"/>
          <w:highlight w:val="none"/>
          <w:lang w:val="en-US" w:eastAsia="zh-CN"/>
        </w:rPr>
        <w:t>东西部协作和对口支援</w:t>
      </w:r>
      <w:bookmarkEnd w:id="111"/>
      <w:bookmarkEnd w:id="112"/>
      <w:bookmarkEnd w:id="113"/>
      <w:bookmarkEnd w:id="114"/>
      <w:bookmarkEnd w:id="115"/>
      <w:bookmarkEnd w:id="116"/>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rPr>
          <w:rFonts w:ascii="仿宋" w:hAnsi="仿宋" w:cs="仿宋_GB2312"/>
          <w:b/>
          <w:bCs/>
          <w:color w:val="auto"/>
          <w:highlight w:val="none"/>
        </w:rPr>
      </w:pPr>
      <w:r>
        <w:rPr>
          <w:rFonts w:hint="eastAsia" w:ascii="仿宋" w:hAnsi="仿宋" w:cs="仿宋_GB2312"/>
          <w:bCs/>
          <w:color w:val="auto"/>
          <w:highlight w:val="none"/>
        </w:rPr>
        <w:t>根据新一轮东西部协作部署，加强与浙江省及各</w:t>
      </w:r>
      <w:r>
        <w:rPr>
          <w:rFonts w:hint="eastAsia" w:ascii="仿宋" w:hAnsi="仿宋" w:cs="仿宋_GB2312"/>
          <w:bCs/>
          <w:color w:val="auto"/>
          <w:highlight w:val="none"/>
          <w:lang w:val="en-US" w:eastAsia="zh-Hans"/>
        </w:rPr>
        <w:t>结对</w:t>
      </w:r>
      <w:r>
        <w:rPr>
          <w:rFonts w:hint="eastAsia" w:ascii="仿宋" w:hAnsi="仿宋" w:cs="仿宋_GB2312"/>
          <w:bCs/>
          <w:color w:val="auto"/>
          <w:highlight w:val="none"/>
        </w:rPr>
        <w:t>市区的工作对接，持续加强双方互访，重点谋划巩固拓展脱贫攻坚成果</w:t>
      </w:r>
      <w:r>
        <w:rPr>
          <w:rFonts w:hint="eastAsia" w:ascii="仿宋" w:hAnsi="仿宋" w:cs="仿宋_GB2312"/>
          <w:bCs/>
          <w:color w:val="auto"/>
          <w:highlight w:val="none"/>
          <w:lang w:val="en-US" w:eastAsia="zh-CN"/>
        </w:rPr>
        <w:t>同</w:t>
      </w:r>
      <w:r>
        <w:rPr>
          <w:rFonts w:hint="eastAsia" w:ascii="仿宋" w:hAnsi="仿宋" w:cs="仿宋_GB2312"/>
          <w:bCs/>
          <w:color w:val="auto"/>
          <w:highlight w:val="none"/>
        </w:rPr>
        <w:t>乡村振兴的有效衔接，拓展交往内涵，加强协作发展，探索东西部协作和对口支援的新模式、新路径</w:t>
      </w:r>
      <w:r>
        <w:rPr>
          <w:rFonts w:hint="eastAsia" w:ascii="仿宋" w:hAnsi="仿宋" w:cs="仿宋_GB2312"/>
          <w:bCs/>
          <w:color w:val="auto"/>
          <w:highlight w:val="none"/>
          <w:lang w:eastAsia="zh-CN"/>
        </w:rPr>
        <w:t>。</w:t>
      </w:r>
      <w:r>
        <w:rPr>
          <w:rFonts w:hint="eastAsia" w:ascii="仿宋" w:hAnsi="仿宋" w:cs="仿宋_GB2312"/>
          <w:bCs/>
          <w:color w:val="auto"/>
          <w:highlight w:val="none"/>
        </w:rPr>
        <w:t>结合脱贫地区的发展基础和资源特色，持续完善精准帮扶机制，统筹抓好产业合作、消费帮扶、稳岗就业。实施消费帮扶带农增收行动</w:t>
      </w:r>
      <w:r>
        <w:rPr>
          <w:rFonts w:hint="default" w:ascii="仿宋" w:hAnsi="仿宋" w:cs="仿宋_GB2312"/>
          <w:bCs/>
          <w:color w:val="auto"/>
          <w:highlight w:val="none"/>
        </w:rPr>
        <w:t>，</w:t>
      </w:r>
      <w:r>
        <w:rPr>
          <w:rFonts w:hint="eastAsia" w:ascii="仿宋" w:hAnsi="仿宋" w:cs="仿宋_GB2312"/>
          <w:bCs/>
          <w:color w:val="auto"/>
          <w:highlight w:val="none"/>
          <w:lang w:val="en-US" w:eastAsia="zh-Hans"/>
        </w:rPr>
        <w:t>统筹</w:t>
      </w:r>
      <w:r>
        <w:rPr>
          <w:rFonts w:hint="default" w:ascii="仿宋" w:hAnsi="仿宋" w:cs="仿宋_GB2312"/>
          <w:bCs/>
          <w:color w:val="auto"/>
          <w:highlight w:val="none"/>
        </w:rPr>
        <w:t>协调东西部协作消费。</w:t>
      </w:r>
      <w:r>
        <w:rPr>
          <w:rFonts w:hint="eastAsia" w:ascii="仿宋" w:hAnsi="仿宋" w:cs="仿宋_GB2312"/>
          <w:bCs/>
          <w:color w:val="auto"/>
          <w:highlight w:val="none"/>
        </w:rPr>
        <w:t>积极争取并投入浙江东西部协作和对口支援帮扶资金，围绕文化教育、产业合作、就业协作、消费帮扶、人才交流、改善民生等重点领域，承接做好东西部协作和对口支援工作。充分发挥浙商群体的产业优势、市场优势、技术优势、资本优势，积极引导民营企业家投身甘孜发展；积极推广浙江数字化产业发展经验；深化浙甘文化交流，积极探索旅游合作、教育合作等文化交往新模式。支持各县（市）与广东省原帮扶市继续开展长期合作。</w:t>
      </w:r>
    </w:p>
    <w:p>
      <w:pPr>
        <w:pStyle w:val="5"/>
        <w:tabs>
          <w:tab w:val="clear" w:pos="0"/>
        </w:tabs>
        <w:suppressAutoHyphens w:val="0"/>
        <w:snapToGrid w:val="0"/>
        <w:spacing w:before="0" w:after="0" w:line="360" w:lineRule="auto"/>
        <w:ind w:firstLine="643" w:firstLineChars="200"/>
        <w:jc w:val="left"/>
        <w:rPr>
          <w:rFonts w:hint="eastAsia" w:ascii="楷体" w:hAnsi="楷体" w:eastAsia="楷体" w:cs="黑体"/>
          <w:bCs w:val="0"/>
          <w:color w:val="auto"/>
          <w:kern w:val="0"/>
          <w:highlight w:val="none"/>
          <w:lang w:val="en-US" w:eastAsia="zh-CN"/>
        </w:rPr>
      </w:pPr>
      <w:bookmarkStart w:id="117" w:name="_Toc15789"/>
      <w:bookmarkStart w:id="118" w:name="_Toc12245"/>
      <w:bookmarkStart w:id="119" w:name="_Toc23852"/>
      <w:bookmarkStart w:id="120" w:name="_Toc3224"/>
      <w:r>
        <w:rPr>
          <w:rFonts w:hint="eastAsia" w:ascii="楷体" w:hAnsi="楷体" w:eastAsia="楷体" w:cs="黑体"/>
          <w:bCs w:val="0"/>
          <w:color w:val="auto"/>
          <w:kern w:val="0"/>
          <w:highlight w:val="none"/>
          <w:lang w:val="en-US" w:eastAsia="zh-CN"/>
        </w:rPr>
        <w:t>二、做实国省定点帮扶和省内对口帮扶</w:t>
      </w:r>
      <w:bookmarkEnd w:id="117"/>
      <w:bookmarkEnd w:id="118"/>
      <w:bookmarkEnd w:id="119"/>
      <w:bookmarkEnd w:id="120"/>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rPr>
          <w:rFonts w:ascii="仿宋" w:hAnsi="仿宋" w:cs="仿宋_GB2312"/>
          <w:b/>
          <w:bCs/>
          <w:color w:val="auto"/>
          <w:highlight w:val="none"/>
        </w:rPr>
      </w:pPr>
      <w:r>
        <w:rPr>
          <w:rFonts w:hint="eastAsia" w:ascii="仿宋" w:hAnsi="仿宋" w:cs="仿宋_GB2312"/>
          <w:bCs/>
          <w:color w:val="auto"/>
          <w:highlight w:val="none"/>
        </w:rPr>
        <w:t>保持原有对口帮扶关系基本稳定，实施好新一轮省内对口帮扶。指导脱贫县与定点帮扶</w:t>
      </w:r>
      <w:r>
        <w:rPr>
          <w:rFonts w:hint="eastAsia" w:ascii="仿宋" w:hAnsi="仿宋" w:cs="仿宋_GB2312"/>
          <w:bCs/>
          <w:color w:val="auto"/>
          <w:highlight w:val="none"/>
          <w:lang w:val="en-US" w:eastAsia="zh-CN"/>
        </w:rPr>
        <w:t>单位</w:t>
      </w:r>
      <w:r>
        <w:rPr>
          <w:rFonts w:hint="eastAsia" w:ascii="仿宋" w:hAnsi="仿宋" w:cs="仿宋_GB2312"/>
          <w:bCs/>
          <w:color w:val="auto"/>
          <w:highlight w:val="none"/>
        </w:rPr>
        <w:t>加强对接，制定年度帮扶计划，推动帮扶措施落实。积极承接省直机关企事业单位</w:t>
      </w:r>
      <w:r>
        <w:rPr>
          <w:rFonts w:hint="eastAsia" w:ascii="仿宋" w:hAnsi="仿宋" w:cs="仿宋_GB2312"/>
          <w:bCs/>
          <w:color w:val="auto"/>
          <w:highlight w:val="none"/>
          <w:lang w:val="en-US" w:eastAsia="zh-CN"/>
        </w:rPr>
        <w:t>的</w:t>
      </w:r>
      <w:r>
        <w:rPr>
          <w:rFonts w:hint="eastAsia" w:ascii="仿宋" w:hAnsi="仿宋" w:cs="仿宋_GB2312"/>
          <w:bCs/>
          <w:color w:val="auto"/>
          <w:highlight w:val="none"/>
        </w:rPr>
        <w:t>定点帮扶，做好对口帮扶工作</w:t>
      </w:r>
      <w:r>
        <w:rPr>
          <w:rFonts w:hint="default" w:ascii="仿宋" w:hAnsi="仿宋" w:cs="仿宋_GB2312"/>
          <w:bCs/>
          <w:color w:val="auto"/>
          <w:highlight w:val="none"/>
        </w:rPr>
        <w:t>。积极争取国（省）定点帮扶单位支持，加大消费帮扶力度。</w:t>
      </w:r>
      <w:r>
        <w:rPr>
          <w:rFonts w:hint="eastAsia" w:ascii="仿宋" w:hAnsi="仿宋" w:cs="仿宋_GB2312"/>
          <w:bCs/>
          <w:color w:val="auto"/>
          <w:highlight w:val="none"/>
        </w:rPr>
        <w:t>加力发展“飞地经济”，做大做强甘眉、成甘等“飞地园区”，探索创新规划、建设、管理和税收分成等合作机制，充分借力“飞入地”功能区位、资源环境、规划和产业配套等优势，实现脱贫地区经济高质量稳定发展。深化帮受双方行业牵头部门、学校、医院等全域结对帮扶，探索构建帮受双方优势互补、长期合作、发展共赢的帮扶模式，通过顶岗锻炼、传帮带等方式，打造一支带不走的人才队伍。</w:t>
      </w:r>
    </w:p>
    <w:p>
      <w:pPr>
        <w:pStyle w:val="5"/>
        <w:tabs>
          <w:tab w:val="clear" w:pos="0"/>
        </w:tabs>
        <w:suppressAutoHyphens w:val="0"/>
        <w:snapToGrid w:val="0"/>
        <w:spacing w:before="0" w:after="0" w:line="360" w:lineRule="auto"/>
        <w:ind w:firstLine="643" w:firstLineChars="200"/>
        <w:jc w:val="left"/>
        <w:rPr>
          <w:rFonts w:hint="eastAsia" w:ascii="楷体" w:hAnsi="楷体" w:eastAsia="楷体" w:cs="黑体"/>
          <w:bCs w:val="0"/>
          <w:color w:val="auto"/>
          <w:kern w:val="0"/>
          <w:highlight w:val="none"/>
          <w:lang w:val="en-US" w:eastAsia="zh-CN"/>
        </w:rPr>
      </w:pPr>
      <w:bookmarkStart w:id="121" w:name="_Toc62661939"/>
      <w:bookmarkStart w:id="122" w:name="_Toc19725"/>
      <w:bookmarkStart w:id="123" w:name="_Toc423"/>
      <w:bookmarkStart w:id="124" w:name="_Toc16683"/>
      <w:bookmarkStart w:id="125" w:name="_Toc16413"/>
      <w:bookmarkStart w:id="126" w:name="_Toc23077"/>
      <w:r>
        <w:rPr>
          <w:rFonts w:hint="eastAsia" w:ascii="楷体" w:hAnsi="楷体" w:eastAsia="楷体" w:cs="黑体"/>
          <w:bCs w:val="0"/>
          <w:color w:val="auto"/>
          <w:kern w:val="0"/>
          <w:highlight w:val="none"/>
          <w:lang w:val="en-US" w:eastAsia="zh-CN"/>
        </w:rPr>
        <w:t>三、完善社会力量参与帮扶机制</w:t>
      </w:r>
      <w:bookmarkEnd w:id="121"/>
      <w:bookmarkEnd w:id="122"/>
      <w:bookmarkEnd w:id="123"/>
      <w:bookmarkEnd w:id="124"/>
      <w:bookmarkEnd w:id="125"/>
      <w:bookmarkEnd w:id="126"/>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textAlignment w:val="auto"/>
        <w:rPr>
          <w:rFonts w:hint="eastAsia" w:ascii="仿宋" w:hAnsi="仿宋" w:cs="仿宋_GB2312"/>
          <w:bCs/>
          <w:color w:val="auto"/>
          <w:highlight w:val="none"/>
        </w:rPr>
      </w:pPr>
      <w:r>
        <w:rPr>
          <w:rFonts w:hint="eastAsia" w:ascii="仿宋" w:hAnsi="仿宋" w:cs="仿宋_GB2312"/>
          <w:bCs/>
          <w:color w:val="auto"/>
          <w:highlight w:val="none"/>
        </w:rPr>
        <w:t>统筹社会帮扶力量，整合资源优势，建立健全帮扶工作长效机制。继续实施“万企兴万村”</w:t>
      </w:r>
      <w:r>
        <w:rPr>
          <w:rFonts w:hint="eastAsia" w:ascii="仿宋" w:hAnsi="仿宋" w:cs="仿宋_GB2312"/>
          <w:bCs/>
          <w:color w:val="auto"/>
          <w:highlight w:val="none"/>
          <w:lang w:val="en-US" w:eastAsia="zh-CN"/>
        </w:rPr>
        <w:t>行动</w:t>
      </w:r>
      <w:r>
        <w:rPr>
          <w:rFonts w:hint="default" w:ascii="仿宋" w:hAnsi="仿宋" w:cs="仿宋_GB2312"/>
          <w:bCs/>
          <w:color w:val="auto"/>
          <w:highlight w:val="none"/>
        </w:rPr>
        <w:t>，动员浙江和省内企业进州开展“万企兴万村”活动</w:t>
      </w:r>
      <w:r>
        <w:rPr>
          <w:rFonts w:hint="eastAsia" w:ascii="仿宋" w:hAnsi="仿宋" w:cs="仿宋_GB2312"/>
          <w:bCs/>
          <w:color w:val="auto"/>
          <w:highlight w:val="none"/>
        </w:rPr>
        <w:t>。充分调动新经济组织、新社会组织等社会各界力量参与帮扶的积极性，加大产业培育、消费帮扶、项目合作等力度。以政府购买专业社会工作服务为支撑，鼓励引导社会力量参与社会救助和其他帮扶服务。</w:t>
      </w:r>
      <w:r>
        <w:rPr>
          <w:rFonts w:hint="eastAsia" w:ascii="仿宋" w:hAnsi="仿宋" w:cs="仿宋_GB2312"/>
          <w:bCs/>
          <w:color w:val="auto"/>
          <w:highlight w:val="none"/>
          <w:lang w:val="en-US" w:eastAsia="zh-Hans"/>
        </w:rPr>
        <w:t>继续实施“雨露计划”“百工技师工程”</w:t>
      </w:r>
      <w:r>
        <w:rPr>
          <w:rFonts w:hint="default" w:ascii="仿宋" w:hAnsi="仿宋" w:cs="仿宋_GB2312"/>
          <w:bCs/>
          <w:color w:val="auto"/>
          <w:highlight w:val="none"/>
          <w:lang w:eastAsia="zh-Hans"/>
        </w:rPr>
        <w:t>，</w:t>
      </w:r>
      <w:r>
        <w:rPr>
          <w:rFonts w:hint="eastAsia" w:ascii="仿宋" w:hAnsi="仿宋" w:cs="仿宋_GB2312"/>
          <w:bCs/>
          <w:color w:val="auto"/>
          <w:highlight w:val="none"/>
        </w:rPr>
        <w:t>持续开展“圆梦大学”“慈善助医”等助学、助医、助困慈善项目，对政府救助后仍存在生活困难的家庭予以重点帮扶。积极发展服务类社会救助，探索通过政府购买服务对社会救助中生活不能自理的老年人、未成年人、残疾人等提供必要的访视、照料服务，形成“物质</w:t>
      </w:r>
      <w:r>
        <w:rPr>
          <w:rFonts w:hint="eastAsia" w:ascii="仿宋" w:hAnsi="仿宋" w:cs="仿宋_GB2312"/>
          <w:bCs/>
          <w:color w:val="auto"/>
          <w:highlight w:val="none"/>
          <w:lang w:eastAsia="zh-CN"/>
        </w:rPr>
        <w:t>＋</w:t>
      </w:r>
      <w:r>
        <w:rPr>
          <w:rFonts w:hint="eastAsia" w:ascii="仿宋" w:hAnsi="仿宋" w:cs="仿宋_GB2312"/>
          <w:bCs/>
          <w:color w:val="auto"/>
          <w:highlight w:val="none"/>
        </w:rPr>
        <w:t>服务”的救助方式。积极发挥志愿服务在汇聚社会资源、帮扶困难群众、保护弱势群体、传递社会关爱等方面作用，助力脱贫地区巩固脱贫攻坚成果。</w:t>
      </w:r>
    </w:p>
    <w:p>
      <w:pPr>
        <w:pStyle w:val="5"/>
        <w:tabs>
          <w:tab w:val="clear" w:pos="0"/>
        </w:tabs>
        <w:suppressAutoHyphens w:val="0"/>
        <w:snapToGrid w:val="0"/>
        <w:spacing w:before="0" w:after="0" w:line="360" w:lineRule="auto"/>
        <w:ind w:firstLine="643" w:firstLineChars="200"/>
        <w:jc w:val="left"/>
        <w:rPr>
          <w:rFonts w:hint="eastAsia" w:ascii="楷体" w:hAnsi="楷体" w:eastAsia="楷体" w:cs="黑体"/>
          <w:bCs w:val="0"/>
          <w:color w:val="auto"/>
          <w:kern w:val="0"/>
          <w:highlight w:val="none"/>
          <w:lang w:val="en-US" w:eastAsia="zh-CN"/>
        </w:rPr>
      </w:pPr>
      <w:bookmarkStart w:id="127" w:name="_Toc8701"/>
      <w:bookmarkStart w:id="128" w:name="_Toc5494"/>
      <w:bookmarkStart w:id="129" w:name="_Toc9549"/>
      <w:r>
        <w:rPr>
          <w:rFonts w:hint="eastAsia" w:ascii="楷体" w:hAnsi="楷体" w:eastAsia="楷体" w:cs="黑体"/>
          <w:bCs w:val="0"/>
          <w:color w:val="auto"/>
          <w:kern w:val="0"/>
          <w:highlight w:val="none"/>
          <w:lang w:val="en-US" w:eastAsia="zh-CN"/>
        </w:rPr>
        <w:t>四、强化乡村人才队伍建设</w:t>
      </w:r>
      <w:bookmarkEnd w:id="127"/>
      <w:bookmarkEnd w:id="128"/>
      <w:bookmarkEnd w:id="129"/>
    </w:p>
    <w:p>
      <w:pPr>
        <w:keepNext w:val="0"/>
        <w:keepLines w:val="0"/>
        <w:pageBreakBefore w:val="0"/>
        <w:widowControl w:val="0"/>
        <w:kinsoku/>
        <w:wordWrap/>
        <w:overflowPunct/>
        <w:topLinePunct w:val="0"/>
        <w:autoSpaceDE/>
        <w:autoSpaceDN/>
        <w:bidi w:val="0"/>
        <w:adjustRightInd/>
        <w:snapToGrid w:val="0"/>
        <w:ind w:firstLine="640" w:firstLineChars="200"/>
        <w:textAlignment w:val="auto"/>
        <w:rPr>
          <w:rFonts w:hint="eastAsia" w:ascii="仿宋" w:hAnsi="仿宋" w:cs="仿宋_GB2312"/>
          <w:bCs/>
          <w:color w:val="auto"/>
          <w:highlight w:val="none"/>
        </w:rPr>
      </w:pPr>
      <w:r>
        <w:rPr>
          <w:rFonts w:hint="eastAsia" w:ascii="仿宋" w:hAnsi="仿宋" w:cs="仿宋_GB2312"/>
          <w:bCs/>
          <w:color w:val="auto"/>
          <w:highlight w:val="none"/>
        </w:rPr>
        <w:t>深入推进乡村人才振兴五年行动,继续实施“三支一扶”计划、特岗教师计划、大学生志愿服务西部计划等，加强高素质农牧民培育。实施新型职业农民培养工程，培育一批懂技术、会管理、善经营的新型职业农民。加大柔性引才用才力度，采取特聘借用、短期兼职、“候鸟式”聘任等方式，柔性引进一批高层次和急需紧缺专业人才。发挥企业聚才主体作用，大力实施返乡优秀农民工、本州籍高校毕业生、退役军人等人才回引工程。持续开展急需紧缺专业大学生本科生定向培养计划，选派专业技术骨干到东西部协作地区和中央在川、省属及省内相对发达地区进行顶岗锻炼、研修培养。积极开展医疗、教育人才“组团式”帮扶和选派科技特派团工作，统筹做好科技下乡万里行活动，鼓励支持基层优秀人才，申报省州级重大人才项目，逐步提高基层人才服务保障水平。健全完善人才评价激励特殊政策，继续推行“定向评价、定向使用”职称制度，优化人才服务环境。注重从优秀党员、返乡农民工、致富带头人中选拔培养干部，优化配强村“两委”班子。继续向脱贫村、党组织软弱涣散村、乡村振兴重点村、集体经济薄弱村、规模较大的易地扶贫搬迁集中安置点所在村（社区）选派驻村第一书记和工作队。</w:t>
      </w:r>
    </w:p>
    <w:p>
      <w:pPr>
        <w:pStyle w:val="5"/>
        <w:tabs>
          <w:tab w:val="clear" w:pos="0"/>
        </w:tabs>
        <w:suppressAutoHyphens w:val="0"/>
        <w:snapToGrid w:val="0"/>
        <w:spacing w:before="0" w:after="0" w:line="360" w:lineRule="auto"/>
        <w:ind w:firstLine="643" w:firstLineChars="200"/>
        <w:jc w:val="left"/>
        <w:rPr>
          <w:rFonts w:hint="eastAsia" w:ascii="楷体" w:hAnsi="楷体" w:eastAsia="楷体" w:cs="黑体"/>
          <w:bCs w:val="0"/>
          <w:color w:val="auto"/>
          <w:kern w:val="0"/>
          <w:highlight w:val="none"/>
          <w:lang w:val="en-US" w:eastAsia="zh-CN"/>
        </w:rPr>
      </w:pPr>
      <w:bookmarkStart w:id="130" w:name="_Toc26382"/>
      <w:bookmarkStart w:id="131" w:name="_Toc29668"/>
      <w:bookmarkStart w:id="132" w:name="_Toc21493"/>
      <w:r>
        <w:rPr>
          <w:rFonts w:hint="eastAsia" w:ascii="楷体" w:hAnsi="楷体" w:eastAsia="楷体" w:cs="黑体"/>
          <w:bCs w:val="0"/>
          <w:color w:val="auto"/>
          <w:kern w:val="0"/>
          <w:highlight w:val="none"/>
          <w:lang w:val="en-US" w:eastAsia="zh-CN"/>
        </w:rPr>
        <w:t>五、倾斜支持乡村振兴重点帮扶县（村）</w:t>
      </w:r>
      <w:bookmarkEnd w:id="130"/>
      <w:bookmarkEnd w:id="131"/>
      <w:bookmarkEnd w:id="132"/>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rPr>
          <w:rFonts w:hint="eastAsia" w:ascii="仿宋" w:hAnsi="仿宋" w:cs="仿宋_GB2312"/>
          <w:bCs/>
          <w:color w:val="auto"/>
          <w:highlight w:val="none"/>
          <w:lang w:eastAsia="zh-CN"/>
        </w:rPr>
      </w:pPr>
      <w:r>
        <w:rPr>
          <w:rFonts w:hint="eastAsia" w:ascii="仿宋" w:hAnsi="仿宋" w:cs="仿宋_GB2312"/>
          <w:bCs/>
          <w:color w:val="auto"/>
          <w:highlight w:val="none"/>
        </w:rPr>
        <w:t>抓好道孚等</w:t>
      </w:r>
      <w:r>
        <w:rPr>
          <w:rFonts w:ascii="仿宋" w:hAnsi="仿宋"/>
          <w:bCs/>
          <w:color w:val="auto"/>
          <w:highlight w:val="none"/>
        </w:rPr>
        <w:t>9</w:t>
      </w:r>
      <w:r>
        <w:rPr>
          <w:rFonts w:hint="eastAsia" w:ascii="仿宋" w:hAnsi="仿宋" w:cs="仿宋_GB2312"/>
          <w:bCs/>
          <w:color w:val="auto"/>
          <w:highlight w:val="none"/>
        </w:rPr>
        <w:t>个国家乡村振兴重点帮扶县、泸定等</w:t>
      </w:r>
      <w:r>
        <w:rPr>
          <w:rFonts w:ascii="仿宋" w:hAnsi="仿宋"/>
          <w:bCs/>
          <w:color w:val="auto"/>
          <w:highlight w:val="none"/>
        </w:rPr>
        <w:t>9</w:t>
      </w:r>
      <w:r>
        <w:rPr>
          <w:rFonts w:hint="eastAsia" w:ascii="仿宋" w:hAnsi="仿宋" w:cs="仿宋_GB2312"/>
          <w:bCs/>
          <w:color w:val="auto"/>
          <w:highlight w:val="none"/>
        </w:rPr>
        <w:t>个省级乡村振兴重点帮扶县政策对接，用好用活</w:t>
      </w:r>
      <w:r>
        <w:rPr>
          <w:rFonts w:hint="default" w:ascii="仿宋" w:hAnsi="仿宋" w:cs="仿宋_GB2312"/>
          <w:bCs/>
          <w:color w:val="auto"/>
          <w:highlight w:val="none"/>
        </w:rPr>
        <w:t>、</w:t>
      </w:r>
      <w:r>
        <w:rPr>
          <w:rFonts w:hint="eastAsia" w:ascii="仿宋" w:hAnsi="仿宋" w:cs="仿宋_GB2312"/>
          <w:bCs/>
          <w:color w:val="auto"/>
          <w:highlight w:val="none"/>
          <w:lang w:val="en-US" w:eastAsia="zh-Hans"/>
        </w:rPr>
        <w:t>逗硬落实</w:t>
      </w:r>
      <w:r>
        <w:rPr>
          <w:rFonts w:hint="eastAsia" w:ascii="仿宋" w:hAnsi="仿宋" w:cs="仿宋_GB2312"/>
          <w:bCs/>
          <w:color w:val="auto"/>
          <w:highlight w:val="none"/>
        </w:rPr>
        <w:t>国家、省有关乡村振兴重点帮扶县财政、金融、土地、人才、基础设施建设、公共服务等政策措施，加强各级衔接政策的梳理，进一步建立完善全州“1</w:t>
      </w:r>
      <w:r>
        <w:rPr>
          <w:rFonts w:hint="eastAsia" w:ascii="仿宋" w:hAnsi="仿宋" w:cs="仿宋_GB2312"/>
          <w:bCs/>
          <w:color w:val="auto"/>
          <w:highlight w:val="none"/>
          <w:lang w:eastAsia="zh-CN"/>
        </w:rPr>
        <w:t>＋</w:t>
      </w:r>
      <w:r>
        <w:rPr>
          <w:rFonts w:hint="eastAsia" w:ascii="仿宋" w:hAnsi="仿宋" w:cs="仿宋_GB2312"/>
          <w:bCs/>
          <w:color w:val="auto"/>
          <w:highlight w:val="none"/>
        </w:rPr>
        <w:t>1</w:t>
      </w:r>
      <w:r>
        <w:rPr>
          <w:rFonts w:hint="eastAsia" w:ascii="仿宋" w:hAnsi="仿宋" w:cs="仿宋_GB2312"/>
          <w:bCs/>
          <w:color w:val="auto"/>
          <w:highlight w:val="none"/>
          <w:lang w:eastAsia="zh-CN"/>
        </w:rPr>
        <w:t>＋</w:t>
      </w:r>
      <w:r>
        <w:rPr>
          <w:rFonts w:hint="eastAsia" w:ascii="仿宋" w:hAnsi="仿宋" w:cs="仿宋_GB2312"/>
          <w:bCs/>
          <w:color w:val="auto"/>
          <w:highlight w:val="none"/>
        </w:rPr>
        <w:t>N”衔接政策体系。各重点帮扶县县委、县政府要统筹组织县级相关部门狠抓重点县实施意见和实施方案相关政策落实</w:t>
      </w:r>
      <w:r>
        <w:rPr>
          <w:rFonts w:hint="eastAsia" w:ascii="仿宋" w:hAnsi="仿宋" w:cs="仿宋_GB2312"/>
          <w:bCs/>
          <w:color w:val="auto"/>
          <w:highlight w:val="none"/>
          <w:lang w:eastAsia="zh-CN"/>
        </w:rPr>
        <w:t>。</w:t>
      </w:r>
      <w:r>
        <w:rPr>
          <w:rFonts w:hint="eastAsia" w:ascii="仿宋" w:hAnsi="仿宋" w:cs="仿宋_GB2312"/>
          <w:bCs/>
          <w:color w:val="auto"/>
          <w:highlight w:val="none"/>
        </w:rPr>
        <w:t>在资金投入、项目安排、产业发展、人才选派等方面给予全州</w:t>
      </w:r>
      <w:r>
        <w:rPr>
          <w:rFonts w:ascii="仿宋" w:hAnsi="仿宋"/>
          <w:bCs/>
          <w:color w:val="auto"/>
          <w:highlight w:val="none"/>
        </w:rPr>
        <w:t>542</w:t>
      </w:r>
      <w:r>
        <w:rPr>
          <w:rFonts w:hint="eastAsia" w:ascii="仿宋" w:hAnsi="仿宋" w:cs="仿宋_GB2312"/>
          <w:bCs/>
          <w:color w:val="auto"/>
          <w:highlight w:val="none"/>
        </w:rPr>
        <w:t>个乡村振兴重点帮扶村重点支持，并保持主要政策、帮扶队伍稳定，确保工作不留空档、政策不留空白。健全和实施防止返贫动态监测和帮扶机制，对乡村振兴重点帮扶县（村）进行定期监测评估，对工作落实、成效巩固情况定期跟踪监测，对政策落实情况适时评估</w:t>
      </w:r>
      <w:r>
        <w:rPr>
          <w:rFonts w:hint="eastAsia" w:ascii="仿宋" w:hAnsi="仿宋" w:cs="仿宋_GB2312"/>
          <w:bCs/>
          <w:color w:val="auto"/>
          <w:highlight w:val="none"/>
          <w:lang w:eastAsia="zh-CN"/>
        </w:rPr>
        <w:t>，</w:t>
      </w:r>
      <w:r>
        <w:rPr>
          <w:rFonts w:hint="eastAsia" w:ascii="仿宋" w:hAnsi="仿宋" w:cs="仿宋_GB2312"/>
          <w:bCs/>
          <w:color w:val="auto"/>
          <w:highlight w:val="none"/>
        </w:rPr>
        <w:t>从制度上有效防止返贫和新致贫。指导创建乡村振兴</w:t>
      </w:r>
      <w:r>
        <w:rPr>
          <w:rFonts w:hint="eastAsia" w:ascii="仿宋" w:hAnsi="仿宋" w:cs="仿宋_GB2312"/>
          <w:bCs/>
          <w:color w:val="auto"/>
          <w:highlight w:val="none"/>
          <w:lang w:val="en-US" w:eastAsia="zh-CN"/>
        </w:rPr>
        <w:t>先进县（市）、</w:t>
      </w:r>
      <w:r>
        <w:rPr>
          <w:rFonts w:hint="eastAsia" w:ascii="仿宋" w:hAnsi="仿宋" w:cs="仿宋_GB2312"/>
          <w:bCs/>
          <w:color w:val="auto"/>
          <w:highlight w:val="none"/>
        </w:rPr>
        <w:t>重点帮扶优秀县（市）、重点帮扶优秀村</w:t>
      </w:r>
      <w:r>
        <w:rPr>
          <w:rFonts w:hint="eastAsia" w:ascii="仿宋" w:hAnsi="仿宋" w:cs="仿宋_GB2312"/>
          <w:bCs/>
          <w:color w:val="auto"/>
          <w:highlight w:val="none"/>
          <w:lang w:eastAsia="zh-CN"/>
        </w:rPr>
        <w:t>。</w:t>
      </w:r>
    </w:p>
    <w:p>
      <w:pPr>
        <w:pStyle w:val="2"/>
        <w:rPr>
          <w:rFonts w:hint="eastAsia"/>
          <w:lang w:eastAsia="zh-CN"/>
        </w:rPr>
      </w:pPr>
    </w:p>
    <w:tbl>
      <w:tblPr>
        <w:tblStyle w:val="25"/>
        <w:tblW w:w="8859"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85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jc w:val="center"/>
        </w:trPr>
        <w:tc>
          <w:tcPr>
            <w:tcW w:w="8859" w:type="dxa"/>
            <w:vAlign w:val="center"/>
          </w:tcPr>
          <w:p>
            <w:pPr>
              <w:pStyle w:val="49"/>
              <w:snapToGrid w:val="0"/>
              <w:spacing w:line="500" w:lineRule="exact"/>
              <w:ind w:firstLine="22" w:firstLineChars="0"/>
              <w:jc w:val="center"/>
              <w:rPr>
                <w:rFonts w:ascii="黑体" w:hAnsi="黑体" w:eastAsia="黑体"/>
                <w:b/>
                <w:bCs/>
                <w:color w:val="auto"/>
                <w:sz w:val="28"/>
                <w:szCs w:val="28"/>
                <w:highlight w:val="none"/>
                <w:shd w:val="clear" w:color="auto" w:fill="FFFFFF"/>
              </w:rPr>
            </w:pPr>
            <w:r>
              <w:rPr>
                <w:rFonts w:hint="eastAsia" w:ascii="黑体" w:hAnsi="黑体" w:eastAsia="黑体"/>
                <w:color w:val="auto"/>
                <w:sz w:val="28"/>
                <w:szCs w:val="28"/>
                <w:highlight w:val="none"/>
                <w:shd w:val="clear" w:color="auto" w:fill="FFFFFF"/>
              </w:rPr>
              <w:t>专栏</w:t>
            </w:r>
            <w:r>
              <w:rPr>
                <w:rFonts w:hint="eastAsia" w:ascii="黑体" w:hAnsi="黑体" w:eastAsia="黑体"/>
                <w:color w:val="auto"/>
                <w:sz w:val="28"/>
                <w:szCs w:val="28"/>
                <w:highlight w:val="none"/>
                <w:shd w:val="clear" w:color="auto" w:fill="FFFFFF"/>
                <w:lang w:val="en-US" w:eastAsia="zh-CN"/>
              </w:rPr>
              <w:t xml:space="preserve">7  </w:t>
            </w:r>
            <w:r>
              <w:rPr>
                <w:rFonts w:hint="eastAsia" w:ascii="黑体" w:hAnsi="黑体" w:eastAsia="黑体" w:cs="Times New Roman"/>
                <w:bCs w:val="0"/>
                <w:color w:val="auto"/>
                <w:kern w:val="2"/>
                <w:sz w:val="28"/>
                <w:szCs w:val="28"/>
                <w:highlight w:val="none"/>
                <w:shd w:val="clear" w:color="auto" w:fill="FFFFFF"/>
              </w:rPr>
              <w:t>整合多方力量，做好乡村振兴重点帮扶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60" w:hRule="atLeast"/>
          <w:jc w:val="center"/>
        </w:trPr>
        <w:tc>
          <w:tcPr>
            <w:tcW w:w="8859" w:type="dxa"/>
            <w:vAlign w:val="center"/>
          </w:tcPr>
          <w:p>
            <w:pPr>
              <w:pStyle w:val="44"/>
              <w:keepNext w:val="0"/>
              <w:keepLines w:val="0"/>
              <w:pageBreakBefore w:val="0"/>
              <w:widowControl w:val="0"/>
              <w:kinsoku/>
              <w:wordWrap/>
              <w:overflowPunct/>
              <w:topLinePunct w:val="0"/>
              <w:autoSpaceDE/>
              <w:autoSpaceDN/>
              <w:bidi w:val="0"/>
              <w:adjustRightInd/>
              <w:snapToGrid w:val="0"/>
              <w:ind w:firstLine="562"/>
              <w:textAlignment w:val="auto"/>
              <w:rPr>
                <w:rFonts w:hint="eastAsia" w:ascii="仿宋" w:hAnsi="仿宋" w:eastAsia="仿宋"/>
                <w:b/>
                <w:color w:val="auto"/>
                <w:sz w:val="28"/>
                <w:szCs w:val="24"/>
                <w:highlight w:val="none"/>
              </w:rPr>
            </w:pPr>
            <w:r>
              <w:rPr>
                <w:rFonts w:hint="eastAsia" w:ascii="仿宋" w:hAnsi="仿宋" w:eastAsia="仿宋"/>
                <w:b/>
                <w:color w:val="auto"/>
                <w:sz w:val="28"/>
                <w:szCs w:val="24"/>
                <w:highlight w:val="none"/>
              </w:rPr>
              <w:t>0</w:t>
            </w:r>
            <w:r>
              <w:rPr>
                <w:rFonts w:hint="eastAsia" w:ascii="仿宋" w:hAnsi="仿宋" w:eastAsia="仿宋"/>
                <w:b/>
                <w:color w:val="auto"/>
                <w:sz w:val="28"/>
                <w:szCs w:val="24"/>
                <w:highlight w:val="none"/>
                <w:lang w:val="en-US" w:eastAsia="zh-CN"/>
              </w:rPr>
              <w:t>1</w:t>
            </w:r>
            <w:r>
              <w:rPr>
                <w:rFonts w:hint="eastAsia" w:ascii="仿宋" w:hAnsi="仿宋" w:eastAsia="仿宋"/>
                <w:b/>
                <w:color w:val="auto"/>
                <w:sz w:val="28"/>
                <w:szCs w:val="24"/>
                <w:highlight w:val="none"/>
              </w:rPr>
              <w:t>.深化东西部协作和对口支援</w:t>
            </w:r>
          </w:p>
          <w:p>
            <w:pPr>
              <w:pStyle w:val="44"/>
              <w:keepNext w:val="0"/>
              <w:keepLines w:val="0"/>
              <w:pageBreakBefore w:val="0"/>
              <w:widowControl w:val="0"/>
              <w:kinsoku/>
              <w:wordWrap/>
              <w:overflowPunct/>
              <w:topLinePunct w:val="0"/>
              <w:autoSpaceDE/>
              <w:autoSpaceDN/>
              <w:bidi w:val="0"/>
              <w:adjustRightInd/>
              <w:snapToGrid w:val="0"/>
              <w:ind w:firstLine="560"/>
              <w:textAlignment w:val="auto"/>
              <w:rPr>
                <w:rFonts w:hint="eastAsia" w:ascii="仿宋" w:hAnsi="仿宋" w:eastAsia="仿宋"/>
                <w:bCs/>
                <w:color w:val="auto"/>
                <w:sz w:val="28"/>
                <w:szCs w:val="24"/>
                <w:highlight w:val="none"/>
                <w:lang w:eastAsia="zh-CN"/>
              </w:rPr>
            </w:pPr>
            <w:r>
              <w:rPr>
                <w:rFonts w:hint="eastAsia" w:ascii="仿宋" w:hAnsi="仿宋" w:eastAsia="仿宋"/>
                <w:bCs/>
                <w:color w:val="auto"/>
                <w:sz w:val="28"/>
                <w:szCs w:val="24"/>
                <w:highlight w:val="none"/>
              </w:rPr>
              <w:t>州县（市）党政主要领导到浙江省结对帮扶地区每年开展1次以上考察对接活动，主持召开党委常委会议、政府常务会议、领导小组会议各1次以上，专题研究东西部协作工作</w:t>
            </w:r>
            <w:r>
              <w:rPr>
                <w:rFonts w:hint="eastAsia" w:ascii="仿宋" w:hAnsi="仿宋" w:eastAsia="仿宋"/>
                <w:bCs/>
                <w:color w:val="auto"/>
                <w:sz w:val="28"/>
                <w:szCs w:val="24"/>
                <w:highlight w:val="none"/>
                <w:lang w:eastAsia="zh-CN"/>
              </w:rPr>
              <w:t>。积极对接浙江省和杭州、台州、金华3市及其结对帮扶区（县、市），不断深化消费协作，加大消费帮扶力度，实现各县（市）通过东西部协作，采购、帮助销售结对帮扶县农特产品。</w:t>
            </w:r>
          </w:p>
          <w:p>
            <w:pPr>
              <w:pStyle w:val="44"/>
              <w:keepNext w:val="0"/>
              <w:keepLines w:val="0"/>
              <w:pageBreakBefore w:val="0"/>
              <w:widowControl w:val="0"/>
              <w:kinsoku/>
              <w:wordWrap/>
              <w:overflowPunct/>
              <w:topLinePunct w:val="0"/>
              <w:autoSpaceDE/>
              <w:autoSpaceDN/>
              <w:bidi w:val="0"/>
              <w:adjustRightInd/>
              <w:snapToGrid w:val="0"/>
              <w:ind w:firstLine="562"/>
              <w:textAlignment w:val="auto"/>
              <w:rPr>
                <w:rFonts w:hint="eastAsia" w:ascii="仿宋" w:hAnsi="仿宋" w:eastAsia="仿宋"/>
                <w:b/>
                <w:color w:val="auto"/>
                <w:sz w:val="28"/>
                <w:szCs w:val="24"/>
                <w:highlight w:val="none"/>
              </w:rPr>
            </w:pPr>
            <w:r>
              <w:rPr>
                <w:rFonts w:hint="eastAsia" w:ascii="仿宋" w:hAnsi="仿宋" w:eastAsia="仿宋"/>
                <w:b/>
                <w:color w:val="auto"/>
                <w:sz w:val="28"/>
                <w:szCs w:val="24"/>
                <w:highlight w:val="none"/>
              </w:rPr>
              <w:t>0</w:t>
            </w:r>
            <w:r>
              <w:rPr>
                <w:rFonts w:hint="eastAsia" w:ascii="仿宋" w:hAnsi="仿宋" w:eastAsia="仿宋"/>
                <w:b/>
                <w:color w:val="auto"/>
                <w:sz w:val="28"/>
                <w:szCs w:val="24"/>
                <w:highlight w:val="none"/>
                <w:lang w:val="en-US" w:eastAsia="zh-CN"/>
              </w:rPr>
              <w:t>2</w:t>
            </w:r>
            <w:r>
              <w:rPr>
                <w:rFonts w:hint="eastAsia" w:ascii="仿宋" w:hAnsi="仿宋" w:eastAsia="仿宋"/>
                <w:b/>
                <w:color w:val="auto"/>
                <w:sz w:val="28"/>
                <w:szCs w:val="24"/>
                <w:highlight w:val="none"/>
              </w:rPr>
              <w:t>.做实国省定点帮扶和省内对口帮扶</w:t>
            </w:r>
          </w:p>
          <w:p>
            <w:pPr>
              <w:pStyle w:val="44"/>
              <w:keepNext w:val="0"/>
              <w:keepLines w:val="0"/>
              <w:pageBreakBefore w:val="0"/>
              <w:widowControl w:val="0"/>
              <w:kinsoku/>
              <w:wordWrap/>
              <w:overflowPunct/>
              <w:topLinePunct w:val="0"/>
              <w:autoSpaceDE/>
              <w:autoSpaceDN/>
              <w:bidi w:val="0"/>
              <w:adjustRightInd/>
              <w:snapToGrid w:val="0"/>
              <w:ind w:firstLine="560"/>
              <w:textAlignment w:val="auto"/>
              <w:rPr>
                <w:rFonts w:ascii="仿宋" w:hAnsi="仿宋" w:eastAsia="仿宋"/>
                <w:b/>
                <w:color w:val="auto"/>
                <w:sz w:val="28"/>
                <w:szCs w:val="24"/>
                <w:highlight w:val="none"/>
              </w:rPr>
            </w:pPr>
            <w:r>
              <w:rPr>
                <w:rFonts w:hint="eastAsia" w:ascii="仿宋" w:hAnsi="仿宋" w:eastAsia="仿宋"/>
                <w:bCs/>
                <w:color w:val="auto"/>
                <w:sz w:val="28"/>
                <w:szCs w:val="24"/>
                <w:highlight w:val="none"/>
              </w:rPr>
              <w:t>指导色达、德格、理塘</w:t>
            </w:r>
            <w:r>
              <w:rPr>
                <w:rFonts w:hint="default" w:ascii="仿宋" w:hAnsi="仿宋" w:eastAsia="仿宋"/>
                <w:bCs/>
                <w:color w:val="auto"/>
                <w:sz w:val="28"/>
                <w:szCs w:val="24"/>
                <w:highlight w:val="none"/>
              </w:rPr>
              <w:t>、</w:t>
            </w:r>
            <w:r>
              <w:rPr>
                <w:rFonts w:hint="eastAsia" w:ascii="仿宋" w:hAnsi="仿宋" w:eastAsia="仿宋"/>
                <w:bCs/>
                <w:color w:val="auto"/>
                <w:sz w:val="28"/>
                <w:szCs w:val="24"/>
                <w:highlight w:val="none"/>
              </w:rPr>
              <w:t>甘孜</w:t>
            </w:r>
            <w:r>
              <w:rPr>
                <w:rFonts w:hint="eastAsia" w:ascii="仿宋" w:hAnsi="仿宋" w:eastAsia="仿宋"/>
                <w:bCs/>
                <w:color w:val="auto"/>
                <w:sz w:val="28"/>
                <w:szCs w:val="24"/>
                <w:highlight w:val="none"/>
                <w:lang w:val="en-US" w:eastAsia="zh-Hans"/>
              </w:rPr>
              <w:t>和</w:t>
            </w:r>
            <w:r>
              <w:rPr>
                <w:rFonts w:hint="eastAsia" w:ascii="仿宋" w:hAnsi="仿宋" w:eastAsia="仿宋"/>
                <w:bCs/>
                <w:color w:val="auto"/>
                <w:sz w:val="28"/>
                <w:szCs w:val="24"/>
                <w:highlight w:val="none"/>
              </w:rPr>
              <w:t>石渠5个脱贫县与定点帮扶的交通运输部、国家广电总局、交通银行和中粮集团加强对接</w:t>
            </w:r>
            <w:r>
              <w:rPr>
                <w:rFonts w:hint="default" w:ascii="仿宋" w:hAnsi="仿宋" w:eastAsia="仿宋"/>
                <w:bCs/>
                <w:color w:val="auto"/>
                <w:sz w:val="28"/>
                <w:szCs w:val="24"/>
                <w:highlight w:val="none"/>
              </w:rPr>
              <w:t>，</w:t>
            </w:r>
            <w:r>
              <w:rPr>
                <w:rFonts w:hint="eastAsia" w:ascii="仿宋" w:hAnsi="仿宋" w:eastAsia="仿宋"/>
                <w:bCs/>
                <w:color w:val="auto"/>
                <w:sz w:val="28"/>
                <w:szCs w:val="24"/>
                <w:highlight w:val="none"/>
                <w:lang w:val="en-US" w:eastAsia="zh-Hans"/>
              </w:rPr>
              <w:t>争取将道孚</w:t>
            </w:r>
            <w:r>
              <w:rPr>
                <w:rFonts w:hint="default" w:ascii="仿宋" w:hAnsi="仿宋" w:eastAsia="仿宋"/>
                <w:bCs/>
                <w:color w:val="auto"/>
                <w:sz w:val="28"/>
                <w:szCs w:val="24"/>
                <w:highlight w:val="none"/>
                <w:lang w:eastAsia="zh-Hans"/>
              </w:rPr>
              <w:t>、</w:t>
            </w:r>
            <w:r>
              <w:rPr>
                <w:rFonts w:hint="eastAsia" w:ascii="仿宋" w:hAnsi="仿宋" w:eastAsia="仿宋"/>
                <w:bCs/>
                <w:color w:val="auto"/>
                <w:sz w:val="28"/>
                <w:szCs w:val="24"/>
                <w:highlight w:val="none"/>
                <w:lang w:val="en-US" w:eastAsia="zh-Hans"/>
              </w:rPr>
              <w:t>炉霍</w:t>
            </w:r>
            <w:r>
              <w:rPr>
                <w:rFonts w:hint="default" w:ascii="仿宋" w:hAnsi="仿宋" w:eastAsia="仿宋"/>
                <w:bCs/>
                <w:color w:val="auto"/>
                <w:sz w:val="28"/>
                <w:szCs w:val="24"/>
                <w:highlight w:val="none"/>
                <w:lang w:eastAsia="zh-Hans"/>
              </w:rPr>
              <w:t>、</w:t>
            </w:r>
            <w:r>
              <w:rPr>
                <w:rFonts w:hint="eastAsia" w:ascii="仿宋" w:hAnsi="仿宋" w:eastAsia="仿宋"/>
                <w:bCs/>
                <w:color w:val="auto"/>
                <w:sz w:val="28"/>
                <w:szCs w:val="24"/>
                <w:highlight w:val="none"/>
                <w:lang w:val="en-US" w:eastAsia="zh-Hans"/>
              </w:rPr>
              <w:t>新龙和白玉</w:t>
            </w:r>
            <w:r>
              <w:rPr>
                <w:rFonts w:hint="default" w:ascii="仿宋" w:hAnsi="仿宋" w:eastAsia="仿宋"/>
                <w:bCs/>
                <w:color w:val="auto"/>
                <w:sz w:val="28"/>
                <w:szCs w:val="24"/>
                <w:highlight w:val="none"/>
                <w:lang w:eastAsia="zh-Hans"/>
              </w:rPr>
              <w:t>4</w:t>
            </w:r>
            <w:r>
              <w:rPr>
                <w:rFonts w:hint="eastAsia" w:ascii="仿宋" w:hAnsi="仿宋" w:eastAsia="仿宋"/>
                <w:bCs/>
                <w:color w:val="auto"/>
                <w:sz w:val="28"/>
                <w:szCs w:val="24"/>
                <w:highlight w:val="none"/>
                <w:lang w:val="en-US" w:eastAsia="zh-Hans"/>
              </w:rPr>
              <w:t>个县尽快纳入国家</w:t>
            </w:r>
            <w:r>
              <w:rPr>
                <w:rFonts w:hint="eastAsia" w:ascii="仿宋" w:hAnsi="仿宋" w:eastAsia="仿宋"/>
                <w:bCs/>
                <w:color w:val="auto"/>
                <w:sz w:val="28"/>
                <w:szCs w:val="24"/>
                <w:highlight w:val="none"/>
                <w:lang w:val="en-US" w:eastAsia="zh-CN"/>
              </w:rPr>
              <w:t>定</w:t>
            </w:r>
            <w:r>
              <w:rPr>
                <w:rFonts w:hint="eastAsia" w:ascii="仿宋" w:hAnsi="仿宋" w:eastAsia="仿宋"/>
                <w:bCs/>
                <w:color w:val="auto"/>
                <w:sz w:val="28"/>
                <w:szCs w:val="24"/>
                <w:highlight w:val="none"/>
                <w:lang w:val="en-US" w:eastAsia="zh-Hans"/>
              </w:rPr>
              <w:t>点帮扶</w:t>
            </w:r>
            <w:r>
              <w:rPr>
                <w:rFonts w:hint="eastAsia" w:ascii="仿宋" w:hAnsi="仿宋" w:eastAsia="仿宋"/>
                <w:bCs/>
                <w:color w:val="auto"/>
                <w:sz w:val="28"/>
                <w:szCs w:val="24"/>
                <w:highlight w:val="none"/>
              </w:rPr>
              <w:t>。积极承接省委统战部、民建四川省委等9</w:t>
            </w:r>
            <w:r>
              <w:rPr>
                <w:rFonts w:hint="default" w:ascii="仿宋" w:hAnsi="仿宋" w:eastAsia="仿宋"/>
                <w:bCs/>
                <w:color w:val="auto"/>
                <w:sz w:val="28"/>
                <w:szCs w:val="24"/>
                <w:highlight w:val="none"/>
              </w:rPr>
              <w:t>4</w:t>
            </w:r>
            <w:r>
              <w:rPr>
                <w:rFonts w:hint="eastAsia" w:ascii="仿宋" w:hAnsi="仿宋" w:eastAsia="仿宋"/>
                <w:bCs/>
                <w:color w:val="auto"/>
                <w:sz w:val="28"/>
                <w:szCs w:val="24"/>
                <w:highlight w:val="none"/>
              </w:rPr>
              <w:t>个省直机关企事业单位的定点帮扶，做好成都、宜宾、泸州3市对口帮扶全州18县（市）工作。</w:t>
            </w:r>
          </w:p>
          <w:p>
            <w:pPr>
              <w:pStyle w:val="44"/>
              <w:keepNext w:val="0"/>
              <w:keepLines w:val="0"/>
              <w:pageBreakBefore w:val="0"/>
              <w:widowControl w:val="0"/>
              <w:kinsoku/>
              <w:wordWrap/>
              <w:overflowPunct/>
              <w:topLinePunct w:val="0"/>
              <w:autoSpaceDE/>
              <w:autoSpaceDN/>
              <w:bidi w:val="0"/>
              <w:adjustRightInd/>
              <w:snapToGrid w:val="0"/>
              <w:ind w:firstLine="562"/>
              <w:textAlignment w:val="auto"/>
              <w:rPr>
                <w:rFonts w:hint="eastAsia" w:ascii="仿宋" w:hAnsi="仿宋" w:eastAsia="仿宋"/>
                <w:b/>
                <w:color w:val="auto"/>
                <w:sz w:val="28"/>
                <w:szCs w:val="24"/>
                <w:highlight w:val="none"/>
              </w:rPr>
            </w:pPr>
            <w:r>
              <w:rPr>
                <w:rFonts w:hint="eastAsia" w:ascii="仿宋" w:hAnsi="仿宋" w:eastAsia="仿宋"/>
                <w:b/>
                <w:color w:val="auto"/>
                <w:sz w:val="28"/>
                <w:szCs w:val="24"/>
                <w:highlight w:val="none"/>
              </w:rPr>
              <w:t>0</w:t>
            </w:r>
            <w:r>
              <w:rPr>
                <w:rFonts w:hint="eastAsia" w:ascii="仿宋" w:hAnsi="仿宋" w:eastAsia="仿宋"/>
                <w:b/>
                <w:color w:val="auto"/>
                <w:sz w:val="28"/>
                <w:szCs w:val="24"/>
                <w:highlight w:val="none"/>
                <w:lang w:val="en-US" w:eastAsia="zh-CN"/>
              </w:rPr>
              <w:t>3</w:t>
            </w:r>
            <w:r>
              <w:rPr>
                <w:rFonts w:hint="eastAsia" w:ascii="仿宋" w:hAnsi="仿宋" w:eastAsia="仿宋"/>
                <w:b/>
                <w:color w:val="auto"/>
                <w:sz w:val="28"/>
                <w:szCs w:val="24"/>
                <w:highlight w:val="none"/>
              </w:rPr>
              <w:t>.完善社会力量参与帮扶机制</w:t>
            </w:r>
          </w:p>
          <w:p>
            <w:pPr>
              <w:pStyle w:val="44"/>
              <w:keepNext w:val="0"/>
              <w:keepLines w:val="0"/>
              <w:pageBreakBefore w:val="0"/>
              <w:widowControl w:val="0"/>
              <w:kinsoku/>
              <w:wordWrap/>
              <w:overflowPunct/>
              <w:topLinePunct w:val="0"/>
              <w:autoSpaceDE/>
              <w:autoSpaceDN/>
              <w:bidi w:val="0"/>
              <w:adjustRightInd/>
              <w:snapToGrid w:val="0"/>
              <w:ind w:firstLine="560"/>
              <w:textAlignment w:val="auto"/>
              <w:rPr>
                <w:rFonts w:ascii="仿宋" w:hAnsi="仿宋" w:eastAsia="仿宋"/>
                <w:bCs/>
                <w:color w:val="auto"/>
                <w:sz w:val="28"/>
                <w:szCs w:val="24"/>
                <w:highlight w:val="none"/>
              </w:rPr>
            </w:pPr>
            <w:r>
              <w:rPr>
                <w:rFonts w:hint="eastAsia" w:ascii="仿宋" w:hAnsi="仿宋" w:eastAsia="仿宋"/>
                <w:bCs/>
                <w:color w:val="auto"/>
                <w:sz w:val="28"/>
                <w:szCs w:val="24"/>
                <w:highlight w:val="none"/>
                <w:lang w:val="en-US" w:eastAsia="zh-Hans"/>
              </w:rPr>
              <w:t>全面深化</w:t>
            </w:r>
            <w:r>
              <w:rPr>
                <w:rFonts w:hint="eastAsia" w:ascii="仿宋" w:hAnsi="仿宋" w:eastAsia="仿宋"/>
                <w:bCs/>
                <w:color w:val="auto"/>
                <w:sz w:val="28"/>
                <w:szCs w:val="24"/>
                <w:highlight w:val="none"/>
              </w:rPr>
              <w:t>“万企兴万村”，</w:t>
            </w:r>
            <w:r>
              <w:rPr>
                <w:rFonts w:hint="eastAsia" w:ascii="仿宋" w:hAnsi="仿宋" w:eastAsia="仿宋"/>
                <w:bCs/>
                <w:color w:val="auto"/>
                <w:sz w:val="28"/>
                <w:szCs w:val="24"/>
                <w:highlight w:val="none"/>
                <w:lang w:val="en-US" w:eastAsia="zh-Hans"/>
              </w:rPr>
              <w:t>确保各县</w:t>
            </w:r>
            <w:r>
              <w:rPr>
                <w:rFonts w:hint="default" w:ascii="仿宋" w:hAnsi="仿宋" w:eastAsia="仿宋"/>
                <w:bCs/>
                <w:color w:val="auto"/>
                <w:sz w:val="28"/>
                <w:szCs w:val="24"/>
                <w:highlight w:val="none"/>
                <w:lang w:eastAsia="zh-Hans"/>
              </w:rPr>
              <w:t>（</w:t>
            </w:r>
            <w:r>
              <w:rPr>
                <w:rFonts w:hint="eastAsia" w:ascii="仿宋" w:hAnsi="仿宋" w:eastAsia="仿宋"/>
                <w:bCs/>
                <w:color w:val="auto"/>
                <w:sz w:val="28"/>
                <w:szCs w:val="24"/>
                <w:highlight w:val="none"/>
                <w:lang w:val="en-US" w:eastAsia="zh-Hans"/>
              </w:rPr>
              <w:t>市</w:t>
            </w:r>
            <w:r>
              <w:rPr>
                <w:rFonts w:hint="default" w:ascii="仿宋" w:hAnsi="仿宋" w:eastAsia="仿宋"/>
                <w:bCs/>
                <w:color w:val="auto"/>
                <w:sz w:val="28"/>
                <w:szCs w:val="24"/>
                <w:highlight w:val="none"/>
                <w:lang w:eastAsia="zh-Hans"/>
              </w:rPr>
              <w:t>）</w:t>
            </w:r>
            <w:r>
              <w:rPr>
                <w:rFonts w:hint="eastAsia" w:ascii="仿宋" w:hAnsi="仿宋" w:eastAsia="仿宋"/>
                <w:bCs/>
                <w:color w:val="auto"/>
                <w:sz w:val="28"/>
                <w:szCs w:val="24"/>
                <w:highlight w:val="none"/>
                <w:lang w:val="en-US" w:eastAsia="zh-Hans"/>
              </w:rPr>
              <w:t>新增</w:t>
            </w:r>
            <w:r>
              <w:rPr>
                <w:rFonts w:hint="default" w:ascii="仿宋" w:hAnsi="仿宋" w:eastAsia="仿宋"/>
                <w:bCs/>
                <w:color w:val="auto"/>
                <w:sz w:val="28"/>
                <w:szCs w:val="24"/>
                <w:highlight w:val="none"/>
                <w:lang w:eastAsia="zh-Hans"/>
              </w:rPr>
              <w:t>1</w:t>
            </w:r>
            <w:r>
              <w:rPr>
                <w:rFonts w:hint="eastAsia" w:ascii="仿宋" w:hAnsi="仿宋" w:eastAsia="仿宋"/>
                <w:bCs/>
                <w:color w:val="auto"/>
                <w:sz w:val="28"/>
                <w:szCs w:val="24"/>
                <w:highlight w:val="none"/>
                <w:lang w:val="en-US" w:eastAsia="zh-Hans"/>
              </w:rPr>
              <w:t>家以上企业结对帮扶</w:t>
            </w:r>
            <w:r>
              <w:rPr>
                <w:rFonts w:hint="default" w:ascii="仿宋" w:hAnsi="仿宋" w:eastAsia="仿宋"/>
                <w:bCs/>
                <w:color w:val="auto"/>
                <w:sz w:val="28"/>
                <w:szCs w:val="24"/>
                <w:highlight w:val="none"/>
                <w:lang w:eastAsia="zh-Hans"/>
              </w:rPr>
              <w:t>，</w:t>
            </w:r>
            <w:r>
              <w:rPr>
                <w:rFonts w:hint="eastAsia" w:ascii="仿宋" w:hAnsi="仿宋" w:eastAsia="仿宋"/>
                <w:bCs/>
                <w:color w:val="auto"/>
                <w:sz w:val="28"/>
                <w:szCs w:val="24"/>
                <w:highlight w:val="none"/>
                <w:lang w:val="en-US" w:eastAsia="zh-Hans"/>
              </w:rPr>
              <w:t>动员结对企业开展消费帮扶和地企合作</w:t>
            </w:r>
            <w:r>
              <w:rPr>
                <w:rFonts w:hint="default" w:ascii="仿宋" w:hAnsi="仿宋" w:eastAsia="仿宋"/>
                <w:bCs/>
                <w:color w:val="auto"/>
                <w:sz w:val="28"/>
                <w:szCs w:val="24"/>
                <w:highlight w:val="none"/>
                <w:lang w:eastAsia="zh-Hans"/>
              </w:rPr>
              <w:t>，</w:t>
            </w:r>
            <w:r>
              <w:rPr>
                <w:rFonts w:hint="eastAsia" w:ascii="仿宋" w:hAnsi="仿宋" w:eastAsia="仿宋"/>
                <w:bCs/>
                <w:color w:val="auto"/>
                <w:sz w:val="28"/>
                <w:szCs w:val="24"/>
                <w:highlight w:val="none"/>
              </w:rPr>
              <w:t>大力引导和鼓励社会力量投入乡村振兴。</w:t>
            </w:r>
          </w:p>
          <w:p>
            <w:pPr>
              <w:pStyle w:val="44"/>
              <w:keepNext w:val="0"/>
              <w:keepLines w:val="0"/>
              <w:pageBreakBefore w:val="0"/>
              <w:widowControl w:val="0"/>
              <w:kinsoku/>
              <w:wordWrap/>
              <w:overflowPunct/>
              <w:topLinePunct w:val="0"/>
              <w:autoSpaceDE/>
              <w:autoSpaceDN/>
              <w:bidi w:val="0"/>
              <w:adjustRightInd/>
              <w:snapToGrid w:val="0"/>
              <w:ind w:firstLine="562"/>
              <w:textAlignment w:val="auto"/>
              <w:rPr>
                <w:rFonts w:ascii="仿宋" w:hAnsi="仿宋" w:eastAsia="仿宋"/>
                <w:b/>
                <w:color w:val="auto"/>
                <w:sz w:val="28"/>
                <w:szCs w:val="24"/>
                <w:highlight w:val="none"/>
              </w:rPr>
            </w:pPr>
            <w:r>
              <w:rPr>
                <w:rFonts w:hint="eastAsia" w:ascii="仿宋" w:hAnsi="仿宋" w:eastAsia="仿宋"/>
                <w:b/>
                <w:color w:val="auto"/>
                <w:sz w:val="28"/>
                <w:szCs w:val="24"/>
                <w:highlight w:val="none"/>
              </w:rPr>
              <w:t>0</w:t>
            </w:r>
            <w:r>
              <w:rPr>
                <w:rFonts w:hint="eastAsia" w:ascii="仿宋" w:hAnsi="仿宋" w:eastAsia="仿宋"/>
                <w:b/>
                <w:color w:val="auto"/>
                <w:sz w:val="28"/>
                <w:szCs w:val="24"/>
                <w:highlight w:val="none"/>
                <w:lang w:val="en-US" w:eastAsia="zh-CN"/>
              </w:rPr>
              <w:t>4</w:t>
            </w:r>
            <w:r>
              <w:rPr>
                <w:rFonts w:hint="eastAsia" w:ascii="仿宋" w:hAnsi="仿宋" w:eastAsia="仿宋"/>
                <w:b/>
                <w:color w:val="auto"/>
                <w:sz w:val="28"/>
                <w:szCs w:val="24"/>
                <w:highlight w:val="none"/>
              </w:rPr>
              <w:t>.强化人才队伍建设</w:t>
            </w:r>
          </w:p>
          <w:p>
            <w:pPr>
              <w:pStyle w:val="44"/>
              <w:keepNext w:val="0"/>
              <w:keepLines w:val="0"/>
              <w:pageBreakBefore w:val="0"/>
              <w:widowControl w:val="0"/>
              <w:kinsoku/>
              <w:wordWrap/>
              <w:overflowPunct/>
              <w:topLinePunct w:val="0"/>
              <w:autoSpaceDE/>
              <w:autoSpaceDN/>
              <w:bidi w:val="0"/>
              <w:adjustRightInd/>
              <w:snapToGrid w:val="0"/>
              <w:ind w:firstLine="560"/>
              <w:textAlignment w:val="auto"/>
              <w:rPr>
                <w:rFonts w:hint="eastAsia" w:ascii="仿宋" w:hAnsi="仿宋" w:eastAsia="仿宋"/>
                <w:bCs/>
                <w:color w:val="auto"/>
                <w:sz w:val="28"/>
                <w:szCs w:val="24"/>
                <w:highlight w:val="none"/>
              </w:rPr>
            </w:pPr>
            <w:r>
              <w:rPr>
                <w:rFonts w:hint="eastAsia" w:ascii="仿宋" w:hAnsi="仿宋" w:eastAsia="仿宋"/>
                <w:bCs/>
                <w:color w:val="auto"/>
                <w:sz w:val="28"/>
                <w:szCs w:val="24"/>
                <w:highlight w:val="none"/>
              </w:rPr>
              <w:t>在州、县、乡、村四级培养全面熟悉掌握巩固衔接工作政策的“政策通”人员，实施“54321”培养计划</w:t>
            </w:r>
            <w:r>
              <w:rPr>
                <w:rFonts w:hint="default" w:ascii="仿宋" w:hAnsi="仿宋" w:eastAsia="仿宋"/>
                <w:bCs/>
                <w:color w:val="auto"/>
                <w:sz w:val="28"/>
                <w:szCs w:val="24"/>
                <w:highlight w:val="none"/>
              </w:rPr>
              <w:t>，即：州乡村振兴局至少培养5名、各县（市）乡村振兴局至少培养4名、各乡镇至少培养3名、各县级部门至少培养2名、各村至少培养1名</w:t>
            </w:r>
            <w:r>
              <w:rPr>
                <w:rFonts w:hint="eastAsia" w:ascii="仿宋" w:hAnsi="仿宋" w:eastAsia="仿宋"/>
                <w:bCs/>
                <w:color w:val="auto"/>
                <w:sz w:val="28"/>
                <w:szCs w:val="24"/>
                <w:highlight w:val="none"/>
              </w:rPr>
              <w:t>“政策通”人员</w:t>
            </w:r>
            <w:r>
              <w:rPr>
                <w:rFonts w:hint="default" w:ascii="仿宋" w:hAnsi="仿宋" w:eastAsia="仿宋"/>
                <w:bCs/>
                <w:color w:val="auto"/>
                <w:sz w:val="28"/>
                <w:szCs w:val="24"/>
                <w:highlight w:val="none"/>
              </w:rPr>
              <w:t>。</w:t>
            </w:r>
            <w:r>
              <w:rPr>
                <w:rFonts w:hint="eastAsia" w:ascii="仿宋" w:hAnsi="仿宋" w:eastAsia="仿宋"/>
                <w:bCs/>
                <w:color w:val="auto"/>
                <w:sz w:val="28"/>
                <w:szCs w:val="24"/>
                <w:highlight w:val="none"/>
              </w:rPr>
              <w:t>“十四五”期间，招募150名“三支一扶”计划、特岗计划、大学生志愿服务西部计划等人员到乡村振兴重点帮扶县基层一线服务。实施高素质农牧民培育计划，带动培育高素质农牧民5000名。</w:t>
            </w:r>
          </w:p>
          <w:p>
            <w:pPr>
              <w:pStyle w:val="44"/>
              <w:keepNext w:val="0"/>
              <w:keepLines w:val="0"/>
              <w:pageBreakBefore w:val="0"/>
              <w:widowControl w:val="0"/>
              <w:kinsoku/>
              <w:wordWrap/>
              <w:overflowPunct/>
              <w:topLinePunct w:val="0"/>
              <w:autoSpaceDE/>
              <w:autoSpaceDN/>
              <w:bidi w:val="0"/>
              <w:adjustRightInd/>
              <w:snapToGrid w:val="0"/>
              <w:ind w:firstLine="562"/>
              <w:textAlignment w:val="auto"/>
              <w:rPr>
                <w:rFonts w:hint="eastAsia" w:ascii="仿宋" w:hAnsi="仿宋" w:eastAsia="仿宋"/>
                <w:b/>
                <w:color w:val="auto"/>
                <w:sz w:val="28"/>
                <w:szCs w:val="24"/>
                <w:highlight w:val="none"/>
                <w:lang w:val="en-US" w:eastAsia="zh-CN"/>
              </w:rPr>
            </w:pPr>
            <w:r>
              <w:rPr>
                <w:rFonts w:hint="eastAsia" w:ascii="仿宋" w:hAnsi="仿宋" w:eastAsia="仿宋"/>
                <w:b/>
                <w:color w:val="auto"/>
                <w:sz w:val="28"/>
                <w:szCs w:val="24"/>
                <w:highlight w:val="none"/>
              </w:rPr>
              <w:t>0</w:t>
            </w:r>
            <w:r>
              <w:rPr>
                <w:rFonts w:hint="eastAsia" w:ascii="仿宋" w:hAnsi="仿宋" w:eastAsia="仿宋"/>
                <w:b/>
                <w:color w:val="auto"/>
                <w:sz w:val="28"/>
                <w:szCs w:val="24"/>
                <w:highlight w:val="none"/>
                <w:lang w:val="en-US" w:eastAsia="zh-CN"/>
              </w:rPr>
              <w:t>5</w:t>
            </w:r>
            <w:r>
              <w:rPr>
                <w:rFonts w:hint="eastAsia" w:ascii="仿宋" w:hAnsi="仿宋" w:eastAsia="仿宋"/>
                <w:b/>
                <w:color w:val="auto"/>
                <w:sz w:val="28"/>
                <w:szCs w:val="24"/>
                <w:highlight w:val="none"/>
              </w:rPr>
              <w:t>.乡村振兴重点帮扶</w:t>
            </w:r>
            <w:r>
              <w:rPr>
                <w:rFonts w:hint="eastAsia" w:ascii="仿宋" w:hAnsi="仿宋" w:eastAsia="仿宋"/>
                <w:b/>
                <w:color w:val="auto"/>
                <w:sz w:val="28"/>
                <w:szCs w:val="24"/>
                <w:highlight w:val="none"/>
                <w:lang w:val="en-US" w:eastAsia="zh-CN"/>
              </w:rPr>
              <w:t>工程</w:t>
            </w:r>
          </w:p>
          <w:p>
            <w:pPr>
              <w:pStyle w:val="44"/>
              <w:keepNext w:val="0"/>
              <w:keepLines w:val="0"/>
              <w:pageBreakBefore w:val="0"/>
              <w:widowControl w:val="0"/>
              <w:kinsoku/>
              <w:wordWrap/>
              <w:overflowPunct/>
              <w:topLinePunct w:val="0"/>
              <w:autoSpaceDE/>
              <w:autoSpaceDN/>
              <w:bidi w:val="0"/>
              <w:adjustRightInd/>
              <w:snapToGrid w:val="0"/>
              <w:ind w:firstLine="560"/>
              <w:textAlignment w:val="auto"/>
              <w:rPr>
                <w:rFonts w:hint="default" w:ascii="仿宋" w:hAnsi="仿宋" w:eastAsia="仿宋"/>
                <w:bCs/>
                <w:color w:val="auto"/>
                <w:sz w:val="28"/>
                <w:szCs w:val="24"/>
                <w:highlight w:val="none"/>
                <w:lang w:val="en-US" w:eastAsia="zh-CN"/>
              </w:rPr>
            </w:pPr>
            <w:r>
              <w:rPr>
                <w:rFonts w:hint="eastAsia" w:ascii="仿宋" w:hAnsi="仿宋" w:eastAsia="仿宋"/>
                <w:bCs/>
                <w:color w:val="auto"/>
                <w:sz w:val="28"/>
                <w:szCs w:val="24"/>
                <w:highlight w:val="none"/>
                <w:lang w:val="en-US" w:eastAsia="zh-CN"/>
              </w:rPr>
              <w:t>推进道孚、炉霍、甘孜、新龙、德格、白玉、石渠、色达、理塘9个国家重点帮扶县</w:t>
            </w:r>
            <w:r>
              <w:rPr>
                <w:rFonts w:hint="default" w:ascii="仿宋" w:hAnsi="仿宋" w:eastAsia="仿宋"/>
                <w:bCs/>
                <w:color w:val="auto"/>
                <w:sz w:val="28"/>
                <w:szCs w:val="24"/>
                <w:highlight w:val="none"/>
                <w:lang w:eastAsia="zh-CN"/>
              </w:rPr>
              <w:t>，</w:t>
            </w:r>
            <w:r>
              <w:rPr>
                <w:rFonts w:hint="eastAsia" w:ascii="仿宋" w:hAnsi="仿宋" w:eastAsia="仿宋"/>
                <w:bCs/>
                <w:color w:val="auto"/>
                <w:sz w:val="28"/>
                <w:szCs w:val="24"/>
                <w:highlight w:val="none"/>
                <w:lang w:val="en-US" w:eastAsia="zh-CN"/>
              </w:rPr>
              <w:t>康定、泸定、丹巴、九龙、雅江、巴塘、乡城、稻城、得荣9个省重点帮扶县</w:t>
            </w:r>
            <w:r>
              <w:rPr>
                <w:rFonts w:hint="eastAsia" w:ascii="仿宋" w:hAnsi="仿宋" w:eastAsia="仿宋"/>
                <w:bCs/>
                <w:color w:val="auto"/>
                <w:sz w:val="28"/>
                <w:szCs w:val="24"/>
                <w:highlight w:val="none"/>
                <w:lang w:val="en-US" w:eastAsia="zh-Hans"/>
              </w:rPr>
              <w:t>和全州</w:t>
            </w:r>
            <w:r>
              <w:rPr>
                <w:rFonts w:hint="eastAsia" w:ascii="仿宋" w:hAnsi="仿宋" w:eastAsia="仿宋"/>
                <w:bCs/>
                <w:color w:val="auto"/>
                <w:sz w:val="28"/>
                <w:szCs w:val="24"/>
                <w:highlight w:val="none"/>
                <w:lang w:val="en-US" w:eastAsia="zh-CN"/>
              </w:rPr>
              <w:t>542个重点帮扶村建设，从财政、金融、土地、人才、基础设施建设、公共服务等方面给予</w:t>
            </w:r>
            <w:r>
              <w:rPr>
                <w:rFonts w:hint="eastAsia" w:ascii="仿宋" w:hAnsi="仿宋" w:eastAsia="仿宋"/>
                <w:bCs/>
                <w:color w:val="auto"/>
                <w:sz w:val="28"/>
                <w:szCs w:val="24"/>
                <w:highlight w:val="none"/>
                <w:lang w:val="en-US" w:eastAsia="zh-Hans"/>
              </w:rPr>
              <w:t>重点</w:t>
            </w:r>
            <w:r>
              <w:rPr>
                <w:rFonts w:hint="eastAsia" w:ascii="仿宋" w:hAnsi="仿宋" w:eastAsia="仿宋"/>
                <w:bCs/>
                <w:color w:val="auto"/>
                <w:sz w:val="28"/>
                <w:szCs w:val="24"/>
                <w:highlight w:val="none"/>
                <w:lang w:val="en-US" w:eastAsia="zh-CN"/>
              </w:rPr>
              <w:t>支持。建立跟踪监测机制，对乡村振兴重点帮扶县进行定期监测评估。</w:t>
            </w:r>
          </w:p>
        </w:tc>
      </w:tr>
    </w:tbl>
    <w:p>
      <w:pPr>
        <w:snapToGrid w:val="0"/>
        <w:rPr>
          <w:rFonts w:hint="eastAsia" w:ascii="仿宋" w:hAnsi="仿宋" w:cs="仿宋_GB2312"/>
          <w:bCs/>
          <w:color w:val="auto"/>
          <w:highlight w:val="none"/>
        </w:rPr>
      </w:pPr>
    </w:p>
    <w:p>
      <w:pPr>
        <w:pStyle w:val="4"/>
        <w:tabs>
          <w:tab w:val="clear" w:pos="0"/>
        </w:tabs>
        <w:suppressAutoHyphens w:val="0"/>
        <w:spacing w:after="240" w:line="360" w:lineRule="auto"/>
        <w:jc w:val="both"/>
        <w:rPr>
          <w:rFonts w:hint="eastAsia" w:ascii="黑体" w:hAnsi="黑体" w:eastAsia="黑体"/>
          <w:b w:val="0"/>
          <w:bCs w:val="0"/>
          <w:color w:val="auto"/>
          <w:kern w:val="2"/>
          <w:sz w:val="32"/>
          <w:szCs w:val="32"/>
          <w:highlight w:val="none"/>
        </w:rPr>
        <w:sectPr>
          <w:pgSz w:w="11906" w:h="16838"/>
          <w:pgMar w:top="1440" w:right="1800" w:bottom="1440" w:left="1800" w:header="851" w:footer="992" w:gutter="0"/>
          <w:pgNumType w:fmt="decimal"/>
          <w:cols w:space="425" w:num="1"/>
          <w:docGrid w:type="lines" w:linePitch="312" w:charSpace="0"/>
        </w:sectPr>
      </w:pPr>
    </w:p>
    <w:p>
      <w:pPr>
        <w:pStyle w:val="4"/>
        <w:tabs>
          <w:tab w:val="clear" w:pos="0"/>
        </w:tabs>
        <w:suppressAutoHyphens w:val="0"/>
        <w:spacing w:after="240" w:line="360" w:lineRule="auto"/>
        <w:jc w:val="center"/>
        <w:rPr>
          <w:rFonts w:hint="default" w:ascii="黑体" w:hAnsi="黑体" w:eastAsia="黑体"/>
          <w:b w:val="0"/>
          <w:bCs w:val="0"/>
          <w:color w:val="auto"/>
          <w:kern w:val="2"/>
          <w:sz w:val="32"/>
          <w:szCs w:val="32"/>
          <w:highlight w:val="none"/>
          <w:lang w:val="en-US" w:eastAsia="zh-CN"/>
        </w:rPr>
      </w:pPr>
      <w:bookmarkStart w:id="133" w:name="_Toc20004"/>
      <w:bookmarkStart w:id="134" w:name="_Toc8851"/>
      <w:bookmarkStart w:id="135" w:name="_Toc12096"/>
      <w:r>
        <w:rPr>
          <w:rFonts w:hint="eastAsia" w:ascii="黑体" w:hAnsi="黑体" w:eastAsia="黑体"/>
          <w:b w:val="0"/>
          <w:bCs w:val="0"/>
          <w:color w:val="auto"/>
          <w:kern w:val="2"/>
          <w:sz w:val="32"/>
          <w:szCs w:val="32"/>
          <w:highlight w:val="none"/>
        </w:rPr>
        <w:t>第</w:t>
      </w:r>
      <w:r>
        <w:rPr>
          <w:rFonts w:hint="eastAsia" w:ascii="黑体" w:hAnsi="黑体" w:eastAsia="黑体"/>
          <w:b w:val="0"/>
          <w:bCs w:val="0"/>
          <w:color w:val="auto"/>
          <w:kern w:val="2"/>
          <w:sz w:val="32"/>
          <w:szCs w:val="32"/>
          <w:highlight w:val="none"/>
          <w:lang w:val="en-US" w:eastAsia="zh-CN"/>
        </w:rPr>
        <w:t>九</w:t>
      </w:r>
      <w:r>
        <w:rPr>
          <w:rFonts w:hint="eastAsia" w:ascii="黑体" w:hAnsi="黑体" w:eastAsia="黑体"/>
          <w:b w:val="0"/>
          <w:bCs w:val="0"/>
          <w:color w:val="auto"/>
          <w:kern w:val="2"/>
          <w:sz w:val="32"/>
          <w:szCs w:val="32"/>
          <w:highlight w:val="none"/>
        </w:rPr>
        <w:t xml:space="preserve">章 </w:t>
      </w:r>
      <w:r>
        <w:rPr>
          <w:rFonts w:ascii="黑体" w:hAnsi="黑体" w:eastAsia="黑体"/>
          <w:b w:val="0"/>
          <w:bCs w:val="0"/>
          <w:color w:val="auto"/>
          <w:kern w:val="2"/>
          <w:sz w:val="32"/>
          <w:szCs w:val="32"/>
          <w:highlight w:val="none"/>
        </w:rPr>
        <w:t xml:space="preserve"> </w:t>
      </w:r>
      <w:bookmarkEnd w:id="133"/>
      <w:bookmarkEnd w:id="134"/>
      <w:r>
        <w:rPr>
          <w:rFonts w:hint="eastAsia" w:ascii="黑体" w:hAnsi="黑体" w:eastAsia="黑体"/>
          <w:b w:val="0"/>
          <w:bCs w:val="0"/>
          <w:color w:val="auto"/>
          <w:kern w:val="2"/>
          <w:sz w:val="32"/>
          <w:szCs w:val="32"/>
          <w:highlight w:val="none"/>
          <w:lang w:val="en-US" w:eastAsia="zh-CN"/>
        </w:rPr>
        <w:t>投资估算与效益预测</w:t>
      </w:r>
      <w:bookmarkEnd w:id="135"/>
    </w:p>
    <w:p>
      <w:pPr>
        <w:pStyle w:val="5"/>
        <w:tabs>
          <w:tab w:val="clear" w:pos="0"/>
        </w:tabs>
        <w:suppressAutoHyphens w:val="0"/>
        <w:snapToGrid w:val="0"/>
        <w:spacing w:before="0" w:after="0" w:line="360" w:lineRule="auto"/>
        <w:ind w:firstLine="643" w:firstLineChars="200"/>
        <w:jc w:val="left"/>
        <w:rPr>
          <w:rFonts w:hint="eastAsia" w:ascii="楷体" w:hAnsi="楷体" w:eastAsia="楷体" w:cs="黑体"/>
          <w:bCs w:val="0"/>
          <w:color w:val="auto"/>
          <w:kern w:val="0"/>
          <w:highlight w:val="none"/>
        </w:rPr>
      </w:pPr>
      <w:bookmarkStart w:id="136" w:name="_Toc24480"/>
      <w:bookmarkStart w:id="137" w:name="_Toc8347"/>
      <w:bookmarkStart w:id="138" w:name="_Toc2287"/>
      <w:r>
        <w:rPr>
          <w:rFonts w:hint="eastAsia" w:ascii="楷体" w:hAnsi="楷体" w:eastAsia="楷体" w:cs="黑体"/>
          <w:bCs w:val="0"/>
          <w:color w:val="auto"/>
          <w:kern w:val="0"/>
          <w:highlight w:val="none"/>
        </w:rPr>
        <w:t>一</w:t>
      </w:r>
      <w:r>
        <w:rPr>
          <w:rFonts w:hint="eastAsia" w:ascii="楷体" w:hAnsi="楷体" w:eastAsia="楷体" w:cs="黑体"/>
          <w:bCs w:val="0"/>
          <w:color w:val="auto"/>
          <w:kern w:val="0"/>
          <w:highlight w:val="none"/>
          <w:lang w:eastAsia="zh-CN"/>
        </w:rPr>
        <w:t>、</w:t>
      </w:r>
      <w:r>
        <w:rPr>
          <w:rFonts w:hint="eastAsia" w:ascii="楷体" w:hAnsi="楷体" w:eastAsia="楷体" w:cs="黑体"/>
          <w:bCs w:val="0"/>
          <w:color w:val="auto"/>
          <w:kern w:val="0"/>
          <w:highlight w:val="none"/>
        </w:rPr>
        <w:t>规划项目及总投资</w:t>
      </w:r>
      <w:bookmarkEnd w:id="136"/>
      <w:bookmarkEnd w:id="137"/>
      <w:bookmarkEnd w:id="138"/>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rPr>
          <w:rFonts w:hint="eastAsia" w:ascii="仿宋" w:hAnsi="仿宋" w:eastAsia="仿宋" w:cs="仿宋"/>
          <w:bCs/>
          <w:color w:val="auto"/>
          <w:highlight w:val="none"/>
        </w:rPr>
      </w:pPr>
      <w:r>
        <w:rPr>
          <w:rFonts w:hint="eastAsia" w:ascii="仿宋" w:hAnsi="仿宋" w:cs="仿宋"/>
          <w:bCs/>
          <w:color w:val="auto"/>
          <w:highlight w:val="none"/>
          <w:lang w:val="en-US" w:eastAsia="zh-CN"/>
        </w:rPr>
        <w:t>按照《中央、省级和州级财政衔接推进乡村振兴补助资金管理办法》文件要求，</w:t>
      </w:r>
      <w:r>
        <w:rPr>
          <w:rFonts w:hint="eastAsia" w:ascii="仿宋" w:hAnsi="仿宋" w:eastAsia="仿宋" w:cs="仿宋"/>
          <w:bCs/>
          <w:color w:val="auto"/>
          <w:highlight w:val="none"/>
        </w:rPr>
        <w:t>甘孜州巩固拓展脱贫攻坚成果同乡村振兴有效衔接规划项目由乡村特色产业类、基础设施类、公共服务类、易地扶贫搬迁后续扶持类四大类共计2</w:t>
      </w:r>
      <w:r>
        <w:rPr>
          <w:rFonts w:hint="eastAsia" w:ascii="仿宋" w:hAnsi="仿宋" w:cs="仿宋"/>
          <w:bCs/>
          <w:color w:val="auto"/>
          <w:highlight w:val="none"/>
          <w:lang w:val="en-US" w:eastAsia="zh-CN"/>
        </w:rPr>
        <w:t>9</w:t>
      </w:r>
      <w:r>
        <w:rPr>
          <w:rFonts w:hint="eastAsia" w:ascii="仿宋" w:hAnsi="仿宋" w:eastAsia="仿宋" w:cs="仿宋"/>
          <w:bCs/>
          <w:color w:val="auto"/>
          <w:highlight w:val="none"/>
        </w:rPr>
        <w:t>个</w:t>
      </w:r>
      <w:r>
        <w:rPr>
          <w:rFonts w:hint="eastAsia" w:ascii="仿宋" w:hAnsi="仿宋" w:cs="仿宋"/>
          <w:bCs/>
          <w:color w:val="auto"/>
          <w:highlight w:val="none"/>
          <w:lang w:val="en-US" w:eastAsia="zh-CN"/>
        </w:rPr>
        <w:t>小类</w:t>
      </w:r>
      <w:r>
        <w:rPr>
          <w:rFonts w:hint="eastAsia" w:ascii="仿宋" w:hAnsi="仿宋" w:eastAsia="仿宋" w:cs="仿宋"/>
          <w:bCs/>
          <w:color w:val="auto"/>
          <w:highlight w:val="none"/>
        </w:rPr>
        <w:t>组成。其中：乡村特色产业类包含特色种养业提升行动、全产业链建设、现代产业园建设、品牌建设、消费扶贫</w:t>
      </w:r>
      <w:r>
        <w:rPr>
          <w:rFonts w:hint="eastAsia" w:ascii="仿宋" w:hAnsi="仿宋" w:cs="仿宋"/>
          <w:bCs/>
          <w:color w:val="auto"/>
          <w:highlight w:val="none"/>
          <w:lang w:eastAsia="zh-CN"/>
        </w:rPr>
        <w:t>、</w:t>
      </w:r>
      <w:r>
        <w:rPr>
          <w:rFonts w:hint="eastAsia" w:ascii="仿宋" w:hAnsi="仿宋" w:cs="仿宋"/>
          <w:bCs/>
          <w:color w:val="auto"/>
          <w:highlight w:val="none"/>
          <w:lang w:val="en-US" w:eastAsia="zh-CN"/>
        </w:rPr>
        <w:t>产业新业态建设、产业服务链和农业保险及小额信贷8</w:t>
      </w:r>
      <w:r>
        <w:rPr>
          <w:rFonts w:hint="eastAsia" w:ascii="仿宋" w:hAnsi="仿宋" w:eastAsia="仿宋" w:cs="仿宋"/>
          <w:bCs/>
          <w:color w:val="auto"/>
          <w:highlight w:val="none"/>
        </w:rPr>
        <w:t>个</w:t>
      </w:r>
      <w:r>
        <w:rPr>
          <w:rFonts w:hint="eastAsia" w:ascii="仿宋" w:hAnsi="仿宋" w:cs="仿宋"/>
          <w:bCs/>
          <w:color w:val="auto"/>
          <w:highlight w:val="none"/>
          <w:lang w:val="en-US" w:eastAsia="zh-CN"/>
        </w:rPr>
        <w:t>小</w:t>
      </w:r>
      <w:r>
        <w:rPr>
          <w:rFonts w:hint="eastAsia" w:ascii="仿宋" w:hAnsi="仿宋" w:eastAsia="仿宋" w:cs="仿宋"/>
          <w:bCs/>
          <w:color w:val="auto"/>
          <w:highlight w:val="none"/>
        </w:rPr>
        <w:t>项目；基础设施类包含宜居乡村建设、重大基础设施建设、“四好农村路”建设、农村防洪工程建设、中小型水利工程建设、县乡村三级物流体系建设、电网建设和乡村电气化提升工程7个</w:t>
      </w:r>
      <w:r>
        <w:rPr>
          <w:rFonts w:hint="eastAsia" w:ascii="仿宋" w:hAnsi="仿宋" w:cs="仿宋"/>
          <w:bCs/>
          <w:color w:val="auto"/>
          <w:highlight w:val="none"/>
          <w:lang w:val="en-US" w:eastAsia="zh-CN"/>
        </w:rPr>
        <w:t>小</w:t>
      </w:r>
      <w:r>
        <w:rPr>
          <w:rFonts w:hint="eastAsia" w:ascii="仿宋" w:hAnsi="仿宋" w:eastAsia="仿宋" w:cs="仿宋"/>
          <w:bCs/>
          <w:color w:val="auto"/>
          <w:highlight w:val="none"/>
        </w:rPr>
        <w:t>项目；公共服务类包含教育、医疗、住房、</w:t>
      </w:r>
      <w:r>
        <w:rPr>
          <w:rFonts w:hint="eastAsia" w:ascii="仿宋" w:hAnsi="仿宋" w:cs="仿宋"/>
          <w:bCs/>
          <w:color w:val="auto"/>
          <w:highlight w:val="none"/>
          <w:lang w:val="en-US" w:eastAsia="zh-CN"/>
        </w:rPr>
        <w:t>饮水安全保障、</w:t>
      </w:r>
      <w:r>
        <w:rPr>
          <w:rFonts w:hint="eastAsia" w:ascii="仿宋" w:hAnsi="仿宋" w:eastAsia="仿宋" w:cs="仿宋"/>
          <w:bCs/>
          <w:color w:val="auto"/>
          <w:highlight w:val="none"/>
        </w:rPr>
        <w:t>综合服务能力和水平</w:t>
      </w:r>
      <w:r>
        <w:rPr>
          <w:rFonts w:hint="eastAsia" w:ascii="仿宋" w:hAnsi="仿宋" w:cs="仿宋"/>
          <w:bCs/>
          <w:color w:val="auto"/>
          <w:highlight w:val="none"/>
          <w:lang w:eastAsia="zh-CN"/>
        </w:rPr>
        <w:t>、</w:t>
      </w:r>
      <w:r>
        <w:rPr>
          <w:rFonts w:hint="eastAsia" w:ascii="仿宋" w:hAnsi="仿宋" w:cs="仿宋"/>
          <w:bCs/>
          <w:color w:val="auto"/>
          <w:highlight w:val="none"/>
          <w:lang w:val="en-US" w:eastAsia="zh-CN"/>
        </w:rPr>
        <w:t>农村劳动力稳岗就业、社会保障和基金设立8</w:t>
      </w:r>
      <w:r>
        <w:rPr>
          <w:rFonts w:hint="eastAsia" w:ascii="仿宋" w:hAnsi="仿宋" w:eastAsia="仿宋" w:cs="仿宋"/>
          <w:bCs/>
          <w:color w:val="auto"/>
          <w:highlight w:val="none"/>
        </w:rPr>
        <w:t>个</w:t>
      </w:r>
      <w:r>
        <w:rPr>
          <w:rFonts w:hint="eastAsia" w:ascii="仿宋" w:hAnsi="仿宋" w:cs="仿宋"/>
          <w:bCs/>
          <w:color w:val="auto"/>
          <w:highlight w:val="none"/>
          <w:lang w:val="en-US" w:eastAsia="zh-CN"/>
        </w:rPr>
        <w:t>小</w:t>
      </w:r>
      <w:r>
        <w:rPr>
          <w:rFonts w:hint="eastAsia" w:ascii="仿宋" w:hAnsi="仿宋" w:eastAsia="仿宋" w:cs="仿宋"/>
          <w:bCs/>
          <w:color w:val="auto"/>
          <w:highlight w:val="none"/>
        </w:rPr>
        <w:t>项目；易地扶贫搬迁后续扶持类包含</w:t>
      </w:r>
      <w:r>
        <w:rPr>
          <w:rFonts w:hint="eastAsia" w:ascii="仿宋" w:hAnsi="仿宋" w:cs="仿宋"/>
          <w:bCs/>
          <w:color w:val="auto"/>
          <w:highlight w:val="none"/>
          <w:lang w:val="en-US" w:eastAsia="zh-CN"/>
        </w:rPr>
        <w:t>产业发展、就业帮扶、基础和公共服务设施完善、社区治理、掉边掉角农户搬迁和易地扶贫搬迁贷款贴息6</w:t>
      </w:r>
      <w:r>
        <w:rPr>
          <w:rFonts w:hint="eastAsia" w:ascii="仿宋" w:hAnsi="仿宋" w:eastAsia="仿宋" w:cs="仿宋"/>
          <w:bCs/>
          <w:color w:val="auto"/>
          <w:highlight w:val="none"/>
        </w:rPr>
        <w:t>个</w:t>
      </w:r>
      <w:r>
        <w:rPr>
          <w:rFonts w:hint="eastAsia" w:ascii="仿宋" w:hAnsi="仿宋" w:cs="仿宋"/>
          <w:bCs/>
          <w:color w:val="auto"/>
          <w:highlight w:val="none"/>
          <w:lang w:val="en-US" w:eastAsia="zh-CN"/>
        </w:rPr>
        <w:t>小</w:t>
      </w:r>
      <w:r>
        <w:rPr>
          <w:rFonts w:hint="eastAsia" w:ascii="仿宋" w:hAnsi="仿宋" w:eastAsia="仿宋" w:cs="仿宋"/>
          <w:bCs/>
          <w:color w:val="auto"/>
          <w:highlight w:val="none"/>
        </w:rPr>
        <w:t>项目。</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rPr>
          <w:rFonts w:hint="eastAsia" w:ascii="仿宋" w:hAnsi="仿宋" w:eastAsia="仿宋" w:cs="仿宋"/>
          <w:bCs/>
          <w:color w:val="auto"/>
          <w:highlight w:val="none"/>
        </w:rPr>
      </w:pPr>
      <w:r>
        <w:rPr>
          <w:rFonts w:hint="eastAsia" w:ascii="仿宋" w:hAnsi="仿宋" w:cs="仿宋"/>
          <w:bCs/>
          <w:color w:val="auto"/>
          <w:highlight w:val="none"/>
          <w:lang w:val="en-US" w:eastAsia="zh-CN"/>
        </w:rPr>
        <w:t>2021-2025年，</w:t>
      </w:r>
      <w:r>
        <w:rPr>
          <w:rFonts w:hint="eastAsia" w:ascii="仿宋" w:hAnsi="仿宋" w:eastAsia="仿宋" w:cs="仿宋"/>
          <w:bCs/>
          <w:color w:val="auto"/>
          <w:highlight w:val="none"/>
        </w:rPr>
        <w:t>规划项目建设总投资</w:t>
      </w:r>
      <w:r>
        <w:rPr>
          <w:rFonts w:hint="eastAsia" w:ascii="仿宋" w:hAnsi="仿宋" w:cs="仿宋"/>
          <w:bCs/>
          <w:color w:val="auto"/>
          <w:highlight w:val="none"/>
          <w:lang w:val="en-US" w:eastAsia="zh-CN"/>
        </w:rPr>
        <w:t>489.68</w:t>
      </w:r>
      <w:r>
        <w:rPr>
          <w:rFonts w:hint="eastAsia" w:ascii="仿宋" w:hAnsi="仿宋" w:eastAsia="仿宋" w:cs="仿宋"/>
          <w:bCs/>
          <w:color w:val="auto"/>
          <w:highlight w:val="none"/>
        </w:rPr>
        <w:t>亿元，其中乡村特色产业类</w:t>
      </w:r>
      <w:r>
        <w:rPr>
          <w:rFonts w:hint="eastAsia" w:ascii="仿宋" w:hAnsi="仿宋" w:cs="仿宋"/>
          <w:bCs/>
          <w:color w:val="auto"/>
          <w:highlight w:val="none"/>
          <w:lang w:val="en-US" w:eastAsia="zh-CN"/>
        </w:rPr>
        <w:t>169.93</w:t>
      </w:r>
      <w:r>
        <w:rPr>
          <w:rFonts w:hint="eastAsia" w:ascii="仿宋" w:hAnsi="仿宋" w:eastAsia="仿宋" w:cs="仿宋"/>
          <w:bCs/>
          <w:color w:val="auto"/>
          <w:highlight w:val="none"/>
        </w:rPr>
        <w:t>亿元，占</w:t>
      </w:r>
      <w:r>
        <w:rPr>
          <w:rFonts w:hint="eastAsia" w:ascii="仿宋" w:hAnsi="仿宋" w:cs="仿宋"/>
          <w:bCs/>
          <w:color w:val="auto"/>
          <w:highlight w:val="none"/>
          <w:lang w:val="en-US" w:eastAsia="zh-CN"/>
        </w:rPr>
        <w:t>34.70</w:t>
      </w:r>
      <w:r>
        <w:rPr>
          <w:rFonts w:hint="eastAsia" w:ascii="仿宋" w:hAnsi="仿宋" w:eastAsia="仿宋" w:cs="仿宋"/>
          <w:bCs/>
          <w:color w:val="auto"/>
          <w:highlight w:val="none"/>
        </w:rPr>
        <w:t>％；基础设施类186</w:t>
      </w:r>
      <w:r>
        <w:rPr>
          <w:rFonts w:hint="eastAsia" w:ascii="仿宋" w:hAnsi="仿宋" w:cs="仿宋"/>
          <w:bCs/>
          <w:color w:val="auto"/>
          <w:highlight w:val="none"/>
          <w:lang w:val="en-US" w:eastAsia="zh-CN"/>
        </w:rPr>
        <w:t>.</w:t>
      </w:r>
      <w:r>
        <w:rPr>
          <w:rFonts w:hint="eastAsia" w:ascii="仿宋" w:hAnsi="仿宋" w:eastAsia="仿宋" w:cs="仿宋"/>
          <w:bCs/>
          <w:color w:val="auto"/>
          <w:highlight w:val="none"/>
        </w:rPr>
        <w:t>1</w:t>
      </w:r>
      <w:r>
        <w:rPr>
          <w:rFonts w:hint="eastAsia" w:ascii="仿宋" w:hAnsi="仿宋" w:cs="仿宋"/>
          <w:bCs/>
          <w:color w:val="auto"/>
          <w:highlight w:val="none"/>
          <w:lang w:val="en-US" w:eastAsia="zh-CN"/>
        </w:rPr>
        <w:t>9</w:t>
      </w:r>
      <w:r>
        <w:rPr>
          <w:rFonts w:hint="eastAsia" w:ascii="仿宋" w:hAnsi="仿宋" w:eastAsia="仿宋" w:cs="仿宋"/>
          <w:bCs/>
          <w:color w:val="auto"/>
          <w:highlight w:val="none"/>
        </w:rPr>
        <w:t>亿元，占</w:t>
      </w:r>
      <w:r>
        <w:rPr>
          <w:rFonts w:hint="eastAsia" w:ascii="仿宋" w:hAnsi="仿宋" w:cs="仿宋"/>
          <w:bCs/>
          <w:color w:val="auto"/>
          <w:highlight w:val="none"/>
          <w:lang w:val="en-US" w:eastAsia="zh-CN"/>
        </w:rPr>
        <w:t>38.02</w:t>
      </w:r>
      <w:r>
        <w:rPr>
          <w:rFonts w:hint="eastAsia" w:ascii="仿宋" w:hAnsi="仿宋" w:eastAsia="仿宋" w:cs="仿宋"/>
          <w:bCs/>
          <w:color w:val="auto"/>
          <w:highlight w:val="none"/>
        </w:rPr>
        <w:t>％；公共服务类121</w:t>
      </w:r>
      <w:r>
        <w:rPr>
          <w:rFonts w:hint="eastAsia" w:ascii="仿宋" w:hAnsi="仿宋" w:cs="仿宋"/>
          <w:bCs/>
          <w:color w:val="auto"/>
          <w:highlight w:val="none"/>
          <w:lang w:val="en-US" w:eastAsia="zh-CN"/>
        </w:rPr>
        <w:t>.</w:t>
      </w:r>
      <w:r>
        <w:rPr>
          <w:rFonts w:hint="eastAsia" w:ascii="仿宋" w:hAnsi="仿宋" w:eastAsia="仿宋" w:cs="仿宋"/>
          <w:bCs/>
          <w:color w:val="auto"/>
          <w:highlight w:val="none"/>
        </w:rPr>
        <w:t>4</w:t>
      </w:r>
      <w:r>
        <w:rPr>
          <w:rFonts w:hint="eastAsia" w:ascii="仿宋" w:hAnsi="仿宋" w:cs="仿宋"/>
          <w:bCs/>
          <w:color w:val="auto"/>
          <w:highlight w:val="none"/>
          <w:lang w:val="en-US" w:eastAsia="zh-CN"/>
        </w:rPr>
        <w:t>6</w:t>
      </w:r>
      <w:r>
        <w:rPr>
          <w:rFonts w:hint="eastAsia" w:ascii="仿宋" w:hAnsi="仿宋" w:eastAsia="仿宋" w:cs="仿宋"/>
          <w:bCs/>
          <w:color w:val="auto"/>
          <w:highlight w:val="none"/>
        </w:rPr>
        <w:t>亿元，占</w:t>
      </w:r>
      <w:r>
        <w:rPr>
          <w:rFonts w:hint="eastAsia" w:ascii="仿宋" w:hAnsi="仿宋" w:cs="仿宋"/>
          <w:bCs/>
          <w:color w:val="auto"/>
          <w:highlight w:val="none"/>
          <w:lang w:val="en-US" w:eastAsia="zh-CN"/>
        </w:rPr>
        <w:t>24.80</w:t>
      </w:r>
      <w:r>
        <w:rPr>
          <w:rFonts w:hint="eastAsia" w:ascii="仿宋" w:hAnsi="仿宋" w:eastAsia="仿宋" w:cs="仿宋"/>
          <w:bCs/>
          <w:color w:val="auto"/>
          <w:highlight w:val="none"/>
        </w:rPr>
        <w:t>％；易地扶贫搬迁后续扶持类12</w:t>
      </w:r>
      <w:r>
        <w:rPr>
          <w:rFonts w:hint="eastAsia" w:ascii="仿宋" w:hAnsi="仿宋" w:cs="仿宋"/>
          <w:bCs/>
          <w:color w:val="auto"/>
          <w:highlight w:val="none"/>
          <w:lang w:val="en-US" w:eastAsia="zh-CN"/>
        </w:rPr>
        <w:t>.</w:t>
      </w:r>
      <w:r>
        <w:rPr>
          <w:rFonts w:hint="eastAsia" w:ascii="仿宋" w:hAnsi="仿宋" w:eastAsia="仿宋" w:cs="仿宋"/>
          <w:bCs/>
          <w:color w:val="auto"/>
          <w:highlight w:val="none"/>
        </w:rPr>
        <w:t>1</w:t>
      </w:r>
      <w:r>
        <w:rPr>
          <w:rFonts w:hint="eastAsia" w:ascii="仿宋" w:hAnsi="仿宋" w:cs="仿宋"/>
          <w:bCs/>
          <w:color w:val="auto"/>
          <w:highlight w:val="none"/>
          <w:lang w:val="en-US" w:eastAsia="zh-CN"/>
        </w:rPr>
        <w:t>1</w:t>
      </w:r>
      <w:r>
        <w:rPr>
          <w:rFonts w:hint="eastAsia" w:ascii="仿宋" w:hAnsi="仿宋" w:eastAsia="仿宋" w:cs="仿宋"/>
          <w:bCs/>
          <w:color w:val="auto"/>
          <w:highlight w:val="none"/>
        </w:rPr>
        <w:t>亿元，占</w:t>
      </w:r>
      <w:r>
        <w:rPr>
          <w:rFonts w:hint="eastAsia" w:ascii="仿宋" w:hAnsi="仿宋" w:cs="仿宋"/>
          <w:bCs/>
          <w:color w:val="auto"/>
          <w:highlight w:val="none"/>
          <w:lang w:val="en-US" w:eastAsia="zh-CN"/>
        </w:rPr>
        <w:t>2.47</w:t>
      </w:r>
      <w:r>
        <w:rPr>
          <w:rFonts w:hint="eastAsia" w:ascii="仿宋" w:hAnsi="仿宋" w:eastAsia="仿宋" w:cs="仿宋"/>
          <w:bCs/>
          <w:color w:val="auto"/>
          <w:highlight w:val="none"/>
        </w:rPr>
        <w:t>％。</w:t>
      </w:r>
    </w:p>
    <w:p>
      <w:pPr>
        <w:pStyle w:val="10"/>
        <w:rPr>
          <w:rFonts w:hint="eastAsia"/>
          <w:color w:val="auto"/>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38"/>
        <w:gridCol w:w="2824"/>
        <w:gridCol w:w="1457"/>
        <w:gridCol w:w="1275"/>
        <w:gridCol w:w="1169"/>
        <w:gridCol w:w="10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jc w:val="center"/>
        </w:trPr>
        <w:tc>
          <w:tcPr>
            <w:tcW w:w="8426" w:type="dxa"/>
            <w:gridSpan w:val="6"/>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cs="黑体"/>
                <w:b/>
                <w:color w:val="auto"/>
                <w:sz w:val="21"/>
                <w:szCs w:val="24"/>
                <w:highlight w:val="none"/>
                <w:lang w:val="en-US" w:eastAsia="zh-CN"/>
              </w:rPr>
            </w:pPr>
            <w:r>
              <w:rPr>
                <w:rFonts w:hint="eastAsia" w:ascii="仿宋" w:hAnsi="仿宋" w:cs="黑体"/>
                <w:b/>
                <w:color w:val="auto"/>
                <w:sz w:val="21"/>
                <w:szCs w:val="24"/>
                <w:highlight w:val="none"/>
              </w:rPr>
              <w:t>表</w:t>
            </w:r>
            <w:r>
              <w:rPr>
                <w:rFonts w:hint="eastAsia" w:ascii="仿宋" w:hAnsi="仿宋" w:cs="黑体"/>
                <w:b/>
                <w:color w:val="auto"/>
                <w:sz w:val="21"/>
                <w:szCs w:val="24"/>
                <w:highlight w:val="none"/>
                <w:lang w:val="en-US" w:eastAsia="zh-CN"/>
              </w:rPr>
              <w:t>9</w:t>
            </w:r>
            <w:r>
              <w:rPr>
                <w:rFonts w:hint="eastAsia" w:ascii="仿宋" w:hAnsi="仿宋" w:cs="黑体"/>
                <w:b/>
                <w:color w:val="auto"/>
                <w:sz w:val="21"/>
                <w:szCs w:val="24"/>
                <w:highlight w:val="none"/>
              </w:rPr>
              <w:t>-</w:t>
            </w:r>
            <w:r>
              <w:rPr>
                <w:rFonts w:ascii="仿宋" w:hAnsi="仿宋"/>
                <w:b/>
                <w:color w:val="auto"/>
                <w:sz w:val="21"/>
                <w:szCs w:val="24"/>
                <w:highlight w:val="none"/>
              </w:rPr>
              <w:t>1</w:t>
            </w:r>
            <w:r>
              <w:rPr>
                <w:rFonts w:ascii="仿宋" w:hAnsi="仿宋" w:cs="黑体"/>
                <w:b/>
                <w:color w:val="auto"/>
                <w:sz w:val="21"/>
                <w:szCs w:val="24"/>
                <w:highlight w:val="none"/>
              </w:rPr>
              <w:t xml:space="preserve">  </w:t>
            </w:r>
            <w:r>
              <w:rPr>
                <w:rFonts w:hint="eastAsia" w:ascii="仿宋" w:hAnsi="仿宋" w:cs="黑体"/>
                <w:b/>
                <w:color w:val="auto"/>
                <w:sz w:val="21"/>
                <w:szCs w:val="24"/>
                <w:highlight w:val="none"/>
              </w:rPr>
              <w:t>规划建设项目分类投资概算表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0" w:hRule="atLeast"/>
          <w:jc w:val="center"/>
        </w:trPr>
        <w:tc>
          <w:tcPr>
            <w:tcW w:w="638" w:type="dxa"/>
            <w:vMerge w:val="restart"/>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cs="黑体"/>
                <w:b/>
                <w:color w:val="auto"/>
                <w:sz w:val="21"/>
                <w:szCs w:val="24"/>
                <w:highlight w:val="none"/>
              </w:rPr>
            </w:pPr>
            <w:r>
              <w:rPr>
                <w:rFonts w:hint="eastAsia" w:ascii="仿宋" w:hAnsi="仿宋" w:cs="黑体"/>
                <w:b/>
                <w:color w:val="auto"/>
                <w:sz w:val="21"/>
                <w:szCs w:val="24"/>
                <w:highlight w:val="none"/>
                <w:lang w:val="en-US" w:eastAsia="zh-CN"/>
              </w:rPr>
              <w:t>序号</w:t>
            </w:r>
          </w:p>
        </w:tc>
        <w:tc>
          <w:tcPr>
            <w:tcW w:w="2824" w:type="dxa"/>
            <w:vMerge w:val="restart"/>
            <w:shd w:val="clear" w:color="auto" w:fill="FFFFFF"/>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cs="黑体"/>
                <w:b/>
                <w:color w:val="auto"/>
                <w:sz w:val="21"/>
                <w:szCs w:val="24"/>
                <w:highlight w:val="none"/>
              </w:rPr>
            </w:pPr>
            <w:r>
              <w:rPr>
                <w:rFonts w:hint="eastAsia" w:ascii="仿宋" w:hAnsi="仿宋" w:cs="黑体"/>
                <w:b/>
                <w:color w:val="auto"/>
                <w:sz w:val="21"/>
                <w:szCs w:val="24"/>
                <w:highlight w:val="none"/>
                <w:lang w:val="en-US" w:eastAsia="zh-CN"/>
              </w:rPr>
              <w:t xml:space="preserve">项目分类  </w:t>
            </w:r>
          </w:p>
        </w:tc>
        <w:tc>
          <w:tcPr>
            <w:tcW w:w="3901" w:type="dxa"/>
            <w:gridSpan w:val="3"/>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cs="黑体"/>
                <w:b/>
                <w:color w:val="auto"/>
                <w:sz w:val="21"/>
                <w:szCs w:val="24"/>
                <w:highlight w:val="none"/>
              </w:rPr>
            </w:pPr>
            <w:r>
              <w:rPr>
                <w:rFonts w:hint="eastAsia" w:ascii="仿宋" w:hAnsi="仿宋" w:cs="黑体"/>
                <w:b/>
                <w:color w:val="auto"/>
                <w:sz w:val="21"/>
                <w:szCs w:val="24"/>
                <w:highlight w:val="none"/>
                <w:lang w:val="en-US" w:eastAsia="zh-CN"/>
              </w:rPr>
              <w:t>总投资（万元）</w:t>
            </w:r>
          </w:p>
        </w:tc>
        <w:tc>
          <w:tcPr>
            <w:tcW w:w="1063" w:type="dxa"/>
            <w:vMerge w:val="restart"/>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cs="黑体"/>
                <w:b/>
                <w:color w:val="auto"/>
                <w:sz w:val="21"/>
                <w:szCs w:val="24"/>
                <w:highlight w:val="none"/>
              </w:rPr>
            </w:pPr>
            <w:r>
              <w:rPr>
                <w:rFonts w:hint="eastAsia" w:ascii="仿宋" w:hAnsi="仿宋" w:cs="黑体"/>
                <w:b/>
                <w:color w:val="auto"/>
                <w:sz w:val="21"/>
                <w:szCs w:val="24"/>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0" w:hRule="atLeast"/>
          <w:jc w:val="center"/>
        </w:trPr>
        <w:tc>
          <w:tcPr>
            <w:tcW w:w="638" w:type="dxa"/>
            <w:vMerge w:val="continue"/>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cs="黑体"/>
                <w:b/>
                <w:color w:val="auto"/>
                <w:sz w:val="21"/>
                <w:szCs w:val="24"/>
                <w:highlight w:val="none"/>
              </w:rPr>
            </w:pPr>
          </w:p>
        </w:tc>
        <w:tc>
          <w:tcPr>
            <w:tcW w:w="2824" w:type="dxa"/>
            <w:vMerge w:val="continue"/>
            <w:shd w:val="clear" w:color="auto" w:fill="FFFFFF"/>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cs="黑体"/>
                <w:b/>
                <w:color w:val="auto"/>
                <w:sz w:val="21"/>
                <w:szCs w:val="24"/>
                <w:highlight w:val="none"/>
              </w:rPr>
            </w:pPr>
          </w:p>
        </w:tc>
        <w:tc>
          <w:tcPr>
            <w:tcW w:w="1457" w:type="dxa"/>
            <w:vMerge w:val="restart"/>
            <w:shd w:val="clear" w:color="auto" w:fill="FFFFFF"/>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cs="黑体"/>
                <w:b/>
                <w:color w:val="auto"/>
                <w:sz w:val="21"/>
                <w:szCs w:val="24"/>
                <w:highlight w:val="none"/>
              </w:rPr>
            </w:pPr>
            <w:r>
              <w:rPr>
                <w:rFonts w:hint="eastAsia" w:ascii="仿宋" w:hAnsi="仿宋" w:cs="黑体"/>
                <w:b/>
                <w:color w:val="auto"/>
                <w:sz w:val="21"/>
                <w:szCs w:val="24"/>
                <w:highlight w:val="none"/>
                <w:lang w:val="en-US" w:eastAsia="zh-CN"/>
              </w:rPr>
              <w:t>合计</w:t>
            </w:r>
          </w:p>
        </w:tc>
        <w:tc>
          <w:tcPr>
            <w:tcW w:w="1275" w:type="dxa"/>
            <w:vMerge w:val="restart"/>
            <w:shd w:val="clear" w:color="auto" w:fill="FFFFFF"/>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cs="黑体"/>
                <w:b/>
                <w:color w:val="auto"/>
                <w:sz w:val="21"/>
                <w:szCs w:val="24"/>
                <w:highlight w:val="none"/>
              </w:rPr>
            </w:pPr>
            <w:r>
              <w:rPr>
                <w:rFonts w:hint="eastAsia" w:ascii="仿宋" w:hAnsi="仿宋" w:cs="黑体"/>
                <w:b/>
                <w:color w:val="auto"/>
                <w:sz w:val="21"/>
                <w:szCs w:val="24"/>
                <w:highlight w:val="none"/>
                <w:lang w:val="en-US" w:eastAsia="zh-CN"/>
              </w:rPr>
              <w:t>财政资金</w:t>
            </w:r>
          </w:p>
        </w:tc>
        <w:tc>
          <w:tcPr>
            <w:tcW w:w="1169" w:type="dxa"/>
            <w:vMerge w:val="restart"/>
            <w:shd w:val="clear" w:color="auto" w:fill="FFFFFF"/>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cs="黑体"/>
                <w:b/>
                <w:color w:val="auto"/>
                <w:sz w:val="21"/>
                <w:szCs w:val="24"/>
                <w:highlight w:val="none"/>
              </w:rPr>
            </w:pPr>
            <w:r>
              <w:rPr>
                <w:rFonts w:hint="eastAsia" w:ascii="仿宋" w:hAnsi="仿宋" w:cs="黑体"/>
                <w:b/>
                <w:color w:val="auto"/>
                <w:sz w:val="21"/>
                <w:szCs w:val="24"/>
                <w:highlight w:val="none"/>
                <w:lang w:val="en-US" w:eastAsia="zh-CN"/>
              </w:rPr>
              <w:t>其他资金</w:t>
            </w:r>
          </w:p>
        </w:tc>
        <w:tc>
          <w:tcPr>
            <w:tcW w:w="1063" w:type="dxa"/>
            <w:vMerge w:val="continue"/>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cs="黑体"/>
                <w:b/>
                <w:color w:val="auto"/>
                <w:sz w:val="21"/>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638" w:type="dxa"/>
            <w:vMerge w:val="continue"/>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cs="黑体"/>
                <w:b/>
                <w:color w:val="auto"/>
                <w:sz w:val="21"/>
                <w:szCs w:val="24"/>
                <w:highlight w:val="none"/>
              </w:rPr>
            </w:pPr>
          </w:p>
        </w:tc>
        <w:tc>
          <w:tcPr>
            <w:tcW w:w="2824" w:type="dxa"/>
            <w:vMerge w:val="continue"/>
            <w:shd w:val="clear" w:color="auto" w:fill="FFFFFF"/>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cs="黑体"/>
                <w:b/>
                <w:color w:val="auto"/>
                <w:sz w:val="21"/>
                <w:szCs w:val="24"/>
                <w:highlight w:val="none"/>
              </w:rPr>
            </w:pPr>
          </w:p>
        </w:tc>
        <w:tc>
          <w:tcPr>
            <w:tcW w:w="1457" w:type="dxa"/>
            <w:vMerge w:val="continue"/>
            <w:shd w:val="clear" w:color="auto" w:fill="FFFFFF"/>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cs="黑体"/>
                <w:b/>
                <w:color w:val="auto"/>
                <w:sz w:val="21"/>
                <w:szCs w:val="24"/>
                <w:highlight w:val="none"/>
              </w:rPr>
            </w:pPr>
          </w:p>
        </w:tc>
        <w:tc>
          <w:tcPr>
            <w:tcW w:w="1275" w:type="dxa"/>
            <w:vMerge w:val="continue"/>
            <w:shd w:val="clear" w:color="auto" w:fill="FFFFFF"/>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cs="黑体"/>
                <w:b/>
                <w:color w:val="auto"/>
                <w:sz w:val="21"/>
                <w:szCs w:val="24"/>
                <w:highlight w:val="none"/>
              </w:rPr>
            </w:pPr>
          </w:p>
        </w:tc>
        <w:tc>
          <w:tcPr>
            <w:tcW w:w="1169" w:type="dxa"/>
            <w:vMerge w:val="continue"/>
            <w:shd w:val="clear" w:color="auto" w:fill="FFFFFF"/>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cs="黑体"/>
                <w:b/>
                <w:color w:val="auto"/>
                <w:sz w:val="21"/>
                <w:szCs w:val="24"/>
                <w:highlight w:val="none"/>
              </w:rPr>
            </w:pPr>
          </w:p>
        </w:tc>
        <w:tc>
          <w:tcPr>
            <w:tcW w:w="1063" w:type="dxa"/>
            <w:vMerge w:val="continue"/>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cs="黑体"/>
                <w:b/>
                <w:color w:val="auto"/>
                <w:sz w:val="21"/>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jc w:val="center"/>
        </w:trPr>
        <w:tc>
          <w:tcPr>
            <w:tcW w:w="3462" w:type="dxa"/>
            <w:gridSpan w:val="2"/>
            <w:shd w:val="clear" w:color="auto" w:fill="FFFFFF"/>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cs="黑体"/>
                <w:b/>
                <w:color w:val="auto"/>
                <w:sz w:val="21"/>
                <w:szCs w:val="24"/>
                <w:highlight w:val="none"/>
              </w:rPr>
            </w:pPr>
            <w:r>
              <w:rPr>
                <w:rFonts w:hint="eastAsia" w:ascii="仿宋" w:hAnsi="仿宋" w:cs="黑体"/>
                <w:b/>
                <w:color w:val="auto"/>
                <w:sz w:val="21"/>
                <w:szCs w:val="24"/>
                <w:highlight w:val="none"/>
                <w:lang w:val="en-US" w:eastAsia="zh-CN"/>
              </w:rPr>
              <w:t>一、乡村特色产业</w:t>
            </w:r>
          </w:p>
        </w:tc>
        <w:tc>
          <w:tcPr>
            <w:tcW w:w="1457"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bCs w:val="0"/>
                <w:color w:val="auto"/>
                <w:sz w:val="21"/>
                <w:szCs w:val="24"/>
                <w:highlight w:val="none"/>
                <w:lang w:val="en-US" w:eastAsia="zh-CN"/>
              </w:rPr>
            </w:pPr>
            <w:r>
              <w:rPr>
                <w:rFonts w:hint="default" w:ascii="仿宋" w:hAnsi="仿宋" w:cs="黑体"/>
                <w:b/>
                <w:bCs w:val="0"/>
                <w:color w:val="auto"/>
                <w:sz w:val="21"/>
                <w:szCs w:val="24"/>
                <w:highlight w:val="none"/>
                <w:lang w:val="en-US" w:eastAsia="zh-CN"/>
              </w:rPr>
              <w:t xml:space="preserve">1699315.62 </w:t>
            </w:r>
          </w:p>
        </w:tc>
        <w:tc>
          <w:tcPr>
            <w:tcW w:w="1275"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bCs w:val="0"/>
                <w:color w:val="auto"/>
                <w:sz w:val="21"/>
                <w:szCs w:val="24"/>
                <w:highlight w:val="none"/>
                <w:lang w:val="en-US" w:eastAsia="zh-CN"/>
              </w:rPr>
            </w:pPr>
            <w:r>
              <w:rPr>
                <w:rFonts w:hint="default" w:ascii="仿宋" w:hAnsi="仿宋" w:cs="黑体"/>
                <w:b/>
                <w:bCs w:val="0"/>
                <w:color w:val="auto"/>
                <w:sz w:val="21"/>
                <w:szCs w:val="24"/>
                <w:highlight w:val="none"/>
                <w:lang w:val="en-US" w:eastAsia="zh-CN"/>
              </w:rPr>
              <w:t xml:space="preserve">1313956.97 </w:t>
            </w:r>
          </w:p>
        </w:tc>
        <w:tc>
          <w:tcPr>
            <w:tcW w:w="1169"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bCs w:val="0"/>
                <w:color w:val="auto"/>
                <w:sz w:val="21"/>
                <w:szCs w:val="24"/>
                <w:highlight w:val="none"/>
                <w:lang w:val="en-US" w:eastAsia="zh-CN"/>
              </w:rPr>
            </w:pPr>
            <w:r>
              <w:rPr>
                <w:rFonts w:hint="default" w:ascii="仿宋" w:hAnsi="仿宋" w:cs="黑体"/>
                <w:b/>
                <w:bCs w:val="0"/>
                <w:color w:val="auto"/>
                <w:sz w:val="21"/>
                <w:szCs w:val="24"/>
                <w:highlight w:val="none"/>
                <w:lang w:val="en-US" w:eastAsia="zh-CN"/>
              </w:rPr>
              <w:t xml:space="preserve">385358.65 </w:t>
            </w:r>
          </w:p>
        </w:tc>
        <w:tc>
          <w:tcPr>
            <w:tcW w:w="1063" w:type="dxa"/>
            <w:vMerge w:val="restart"/>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color w:val="auto"/>
                <w:sz w:val="21"/>
                <w:szCs w:val="24"/>
                <w:highlight w:val="none"/>
              </w:rPr>
            </w:pPr>
            <w:r>
              <w:rPr>
                <w:rFonts w:hint="default" w:ascii="仿宋" w:hAnsi="仿宋" w:cs="黑体"/>
                <w:b/>
                <w:color w:val="auto"/>
                <w:sz w:val="21"/>
                <w:szCs w:val="24"/>
                <w:highlight w:val="none"/>
                <w:lang w:val="en-US" w:eastAsia="zh-CN"/>
              </w:rPr>
              <w:t>34.</w:t>
            </w:r>
            <w:r>
              <w:rPr>
                <w:rFonts w:hint="eastAsia" w:ascii="仿宋" w:hAnsi="仿宋" w:cs="黑体"/>
                <w:b/>
                <w:color w:val="auto"/>
                <w:sz w:val="21"/>
                <w:szCs w:val="24"/>
                <w:highlight w:val="none"/>
                <w:lang w:val="en-US" w:eastAsia="zh-CN"/>
              </w:rPr>
              <w:t>70</w:t>
            </w:r>
            <w:r>
              <w:rPr>
                <w:rFonts w:hint="default" w:ascii="仿宋" w:hAnsi="仿宋" w:cs="黑体"/>
                <w:b/>
                <w:color w:val="auto"/>
                <w:sz w:val="21"/>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jc w:val="center"/>
        </w:trPr>
        <w:tc>
          <w:tcPr>
            <w:tcW w:w="638"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cs="黑体"/>
                <w:b w:val="0"/>
                <w:bCs/>
                <w:color w:val="auto"/>
                <w:sz w:val="21"/>
                <w:szCs w:val="24"/>
                <w:highlight w:val="none"/>
              </w:rPr>
            </w:pPr>
            <w:r>
              <w:rPr>
                <w:rFonts w:hint="eastAsia" w:ascii="仿宋" w:hAnsi="仿宋" w:cs="黑体"/>
                <w:b w:val="0"/>
                <w:bCs/>
                <w:color w:val="auto"/>
                <w:sz w:val="21"/>
                <w:szCs w:val="24"/>
                <w:highlight w:val="none"/>
                <w:lang w:val="en-US" w:eastAsia="zh-CN"/>
              </w:rPr>
              <w:t>一</w:t>
            </w:r>
          </w:p>
        </w:tc>
        <w:tc>
          <w:tcPr>
            <w:tcW w:w="2824"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cs="黑体"/>
                <w:b w:val="0"/>
                <w:bCs/>
                <w:color w:val="auto"/>
                <w:sz w:val="21"/>
                <w:szCs w:val="24"/>
                <w:highlight w:val="none"/>
              </w:rPr>
            </w:pPr>
            <w:r>
              <w:rPr>
                <w:rFonts w:hint="eastAsia" w:ascii="仿宋" w:hAnsi="仿宋" w:cs="黑体"/>
                <w:b w:val="0"/>
                <w:bCs/>
                <w:color w:val="auto"/>
                <w:sz w:val="21"/>
                <w:szCs w:val="24"/>
                <w:highlight w:val="none"/>
                <w:lang w:val="en-US" w:eastAsia="zh-CN"/>
              </w:rPr>
              <w:t>特色种养业提升行动</w:t>
            </w:r>
          </w:p>
        </w:tc>
        <w:tc>
          <w:tcPr>
            <w:tcW w:w="1457"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val="0"/>
                <w:bCs/>
                <w:color w:val="auto"/>
                <w:sz w:val="21"/>
                <w:szCs w:val="24"/>
                <w:highlight w:val="none"/>
                <w:lang w:val="en-US" w:eastAsia="zh-CN"/>
              </w:rPr>
            </w:pPr>
            <w:r>
              <w:rPr>
                <w:rFonts w:hint="default" w:ascii="仿宋" w:hAnsi="仿宋" w:cs="黑体"/>
                <w:b w:val="0"/>
                <w:bCs/>
                <w:color w:val="auto"/>
                <w:sz w:val="21"/>
                <w:szCs w:val="24"/>
                <w:highlight w:val="none"/>
                <w:lang w:val="en-US" w:eastAsia="zh-CN"/>
              </w:rPr>
              <w:t xml:space="preserve">786052.29 </w:t>
            </w:r>
          </w:p>
        </w:tc>
        <w:tc>
          <w:tcPr>
            <w:tcW w:w="1275"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val="0"/>
                <w:bCs/>
                <w:color w:val="auto"/>
                <w:sz w:val="21"/>
                <w:szCs w:val="24"/>
                <w:highlight w:val="none"/>
                <w:lang w:val="en-US" w:eastAsia="zh-CN"/>
              </w:rPr>
            </w:pPr>
            <w:r>
              <w:rPr>
                <w:rFonts w:hint="default" w:ascii="仿宋" w:hAnsi="仿宋" w:cs="黑体"/>
                <w:b w:val="0"/>
                <w:bCs/>
                <w:color w:val="auto"/>
                <w:sz w:val="21"/>
                <w:szCs w:val="24"/>
                <w:highlight w:val="none"/>
                <w:lang w:val="en-US" w:eastAsia="zh-CN"/>
              </w:rPr>
              <w:t xml:space="preserve">673331.64 </w:t>
            </w:r>
          </w:p>
        </w:tc>
        <w:tc>
          <w:tcPr>
            <w:tcW w:w="1169"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val="0"/>
                <w:bCs/>
                <w:color w:val="auto"/>
                <w:sz w:val="21"/>
                <w:szCs w:val="24"/>
                <w:highlight w:val="none"/>
                <w:lang w:val="en-US" w:eastAsia="zh-CN"/>
              </w:rPr>
            </w:pPr>
            <w:r>
              <w:rPr>
                <w:rFonts w:hint="default" w:ascii="仿宋" w:hAnsi="仿宋" w:cs="黑体"/>
                <w:b w:val="0"/>
                <w:bCs/>
                <w:color w:val="auto"/>
                <w:sz w:val="21"/>
                <w:szCs w:val="24"/>
                <w:highlight w:val="none"/>
                <w:lang w:val="en-US" w:eastAsia="zh-CN"/>
              </w:rPr>
              <w:t xml:space="preserve">112720.65 </w:t>
            </w:r>
          </w:p>
        </w:tc>
        <w:tc>
          <w:tcPr>
            <w:tcW w:w="1063" w:type="dxa"/>
            <w:vMerge w:val="continue"/>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color w:val="auto"/>
                <w:sz w:val="21"/>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jc w:val="center"/>
        </w:trPr>
        <w:tc>
          <w:tcPr>
            <w:tcW w:w="638"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cs="黑体"/>
                <w:b w:val="0"/>
                <w:bCs/>
                <w:color w:val="auto"/>
                <w:sz w:val="21"/>
                <w:szCs w:val="24"/>
                <w:highlight w:val="none"/>
              </w:rPr>
            </w:pPr>
            <w:r>
              <w:rPr>
                <w:rFonts w:hint="eastAsia" w:ascii="仿宋" w:hAnsi="仿宋" w:cs="黑体"/>
                <w:b w:val="0"/>
                <w:bCs/>
                <w:color w:val="auto"/>
                <w:sz w:val="21"/>
                <w:szCs w:val="24"/>
                <w:highlight w:val="none"/>
                <w:lang w:val="en-US" w:eastAsia="zh-CN"/>
              </w:rPr>
              <w:t>二</w:t>
            </w:r>
          </w:p>
        </w:tc>
        <w:tc>
          <w:tcPr>
            <w:tcW w:w="2824"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cs="黑体"/>
                <w:b w:val="0"/>
                <w:bCs/>
                <w:color w:val="auto"/>
                <w:sz w:val="21"/>
                <w:szCs w:val="24"/>
                <w:highlight w:val="none"/>
              </w:rPr>
            </w:pPr>
            <w:r>
              <w:rPr>
                <w:rFonts w:hint="eastAsia" w:ascii="仿宋" w:hAnsi="仿宋" w:cs="黑体"/>
                <w:b w:val="0"/>
                <w:bCs/>
                <w:color w:val="auto"/>
                <w:sz w:val="21"/>
                <w:szCs w:val="24"/>
                <w:highlight w:val="none"/>
                <w:lang w:val="en-US" w:eastAsia="zh-CN"/>
              </w:rPr>
              <w:t>全产业链建设</w:t>
            </w:r>
          </w:p>
        </w:tc>
        <w:tc>
          <w:tcPr>
            <w:tcW w:w="1457"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val="0"/>
                <w:bCs/>
                <w:color w:val="auto"/>
                <w:sz w:val="21"/>
                <w:szCs w:val="24"/>
                <w:highlight w:val="none"/>
                <w:lang w:val="en-US" w:eastAsia="zh-CN"/>
              </w:rPr>
            </w:pPr>
            <w:r>
              <w:rPr>
                <w:rFonts w:hint="default" w:ascii="仿宋" w:hAnsi="仿宋" w:cs="黑体"/>
                <w:b w:val="0"/>
                <w:bCs/>
                <w:color w:val="auto"/>
                <w:sz w:val="21"/>
                <w:szCs w:val="24"/>
                <w:highlight w:val="none"/>
                <w:lang w:val="en-US" w:eastAsia="zh-CN"/>
              </w:rPr>
              <w:t xml:space="preserve">121559.21 </w:t>
            </w:r>
          </w:p>
        </w:tc>
        <w:tc>
          <w:tcPr>
            <w:tcW w:w="1275"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val="0"/>
                <w:bCs/>
                <w:color w:val="auto"/>
                <w:sz w:val="21"/>
                <w:szCs w:val="24"/>
                <w:highlight w:val="none"/>
                <w:lang w:val="en-US" w:eastAsia="zh-CN"/>
              </w:rPr>
            </w:pPr>
            <w:r>
              <w:rPr>
                <w:rFonts w:hint="default" w:ascii="仿宋" w:hAnsi="仿宋" w:cs="黑体"/>
                <w:b w:val="0"/>
                <w:bCs/>
                <w:color w:val="auto"/>
                <w:sz w:val="21"/>
                <w:szCs w:val="24"/>
                <w:highlight w:val="none"/>
                <w:lang w:val="en-US" w:eastAsia="zh-CN"/>
              </w:rPr>
              <w:t xml:space="preserve">100575.17 </w:t>
            </w:r>
          </w:p>
        </w:tc>
        <w:tc>
          <w:tcPr>
            <w:tcW w:w="1169"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val="0"/>
                <w:bCs/>
                <w:color w:val="auto"/>
                <w:sz w:val="21"/>
                <w:szCs w:val="24"/>
                <w:highlight w:val="none"/>
                <w:lang w:val="en-US" w:eastAsia="zh-CN"/>
              </w:rPr>
            </w:pPr>
            <w:r>
              <w:rPr>
                <w:rFonts w:hint="default" w:ascii="仿宋" w:hAnsi="仿宋" w:cs="黑体"/>
                <w:b w:val="0"/>
                <w:bCs/>
                <w:color w:val="auto"/>
                <w:sz w:val="21"/>
                <w:szCs w:val="24"/>
                <w:highlight w:val="none"/>
                <w:lang w:val="en-US" w:eastAsia="zh-CN"/>
              </w:rPr>
              <w:t xml:space="preserve">20984.04 </w:t>
            </w:r>
          </w:p>
        </w:tc>
        <w:tc>
          <w:tcPr>
            <w:tcW w:w="1063" w:type="dxa"/>
            <w:vMerge w:val="continue"/>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color w:val="auto"/>
                <w:sz w:val="21"/>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jc w:val="center"/>
        </w:trPr>
        <w:tc>
          <w:tcPr>
            <w:tcW w:w="638"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cs="黑体"/>
                <w:b w:val="0"/>
                <w:bCs/>
                <w:color w:val="auto"/>
                <w:sz w:val="21"/>
                <w:szCs w:val="24"/>
                <w:highlight w:val="none"/>
              </w:rPr>
            </w:pPr>
            <w:r>
              <w:rPr>
                <w:rFonts w:hint="eastAsia" w:ascii="仿宋" w:hAnsi="仿宋" w:cs="黑体"/>
                <w:b w:val="0"/>
                <w:bCs/>
                <w:color w:val="auto"/>
                <w:sz w:val="21"/>
                <w:szCs w:val="24"/>
                <w:highlight w:val="none"/>
                <w:lang w:val="en-US" w:eastAsia="zh-CN"/>
              </w:rPr>
              <w:t>三</w:t>
            </w:r>
          </w:p>
        </w:tc>
        <w:tc>
          <w:tcPr>
            <w:tcW w:w="2824"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cs="黑体"/>
                <w:b w:val="0"/>
                <w:bCs/>
                <w:color w:val="auto"/>
                <w:sz w:val="21"/>
                <w:szCs w:val="24"/>
                <w:highlight w:val="none"/>
              </w:rPr>
            </w:pPr>
            <w:r>
              <w:rPr>
                <w:rFonts w:hint="eastAsia" w:ascii="仿宋" w:hAnsi="仿宋" w:cs="黑体"/>
                <w:b w:val="0"/>
                <w:bCs/>
                <w:color w:val="auto"/>
                <w:sz w:val="21"/>
                <w:szCs w:val="24"/>
                <w:highlight w:val="none"/>
                <w:lang w:val="en-US" w:eastAsia="zh-CN"/>
              </w:rPr>
              <w:t>现代产业园区建设</w:t>
            </w:r>
          </w:p>
        </w:tc>
        <w:tc>
          <w:tcPr>
            <w:tcW w:w="1457"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val="0"/>
                <w:bCs/>
                <w:color w:val="auto"/>
                <w:sz w:val="21"/>
                <w:szCs w:val="24"/>
                <w:highlight w:val="none"/>
                <w:lang w:val="en-US" w:eastAsia="zh-CN"/>
              </w:rPr>
            </w:pPr>
            <w:r>
              <w:rPr>
                <w:rFonts w:hint="default" w:ascii="仿宋" w:hAnsi="仿宋" w:cs="黑体"/>
                <w:b w:val="0"/>
                <w:bCs/>
                <w:color w:val="auto"/>
                <w:sz w:val="21"/>
                <w:szCs w:val="24"/>
                <w:highlight w:val="none"/>
                <w:lang w:val="en-US" w:eastAsia="zh-CN"/>
              </w:rPr>
              <w:t xml:space="preserve">197695.65 </w:t>
            </w:r>
          </w:p>
        </w:tc>
        <w:tc>
          <w:tcPr>
            <w:tcW w:w="1275"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val="0"/>
                <w:bCs/>
                <w:color w:val="auto"/>
                <w:sz w:val="21"/>
                <w:szCs w:val="24"/>
                <w:highlight w:val="none"/>
                <w:lang w:val="en-US" w:eastAsia="zh-CN"/>
              </w:rPr>
            </w:pPr>
            <w:r>
              <w:rPr>
                <w:rFonts w:hint="default" w:ascii="仿宋" w:hAnsi="仿宋" w:cs="黑体"/>
                <w:b w:val="0"/>
                <w:bCs/>
                <w:color w:val="auto"/>
                <w:sz w:val="21"/>
                <w:szCs w:val="24"/>
                <w:highlight w:val="none"/>
                <w:lang w:val="en-US" w:eastAsia="zh-CN"/>
              </w:rPr>
              <w:t xml:space="preserve">140025.91 </w:t>
            </w:r>
          </w:p>
        </w:tc>
        <w:tc>
          <w:tcPr>
            <w:tcW w:w="1169"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val="0"/>
                <w:bCs/>
                <w:color w:val="auto"/>
                <w:sz w:val="21"/>
                <w:szCs w:val="24"/>
                <w:highlight w:val="none"/>
                <w:lang w:val="en-US" w:eastAsia="zh-CN"/>
              </w:rPr>
            </w:pPr>
            <w:r>
              <w:rPr>
                <w:rFonts w:hint="default" w:ascii="仿宋" w:hAnsi="仿宋" w:cs="黑体"/>
                <w:b w:val="0"/>
                <w:bCs/>
                <w:color w:val="auto"/>
                <w:sz w:val="21"/>
                <w:szCs w:val="24"/>
                <w:highlight w:val="none"/>
                <w:lang w:val="en-US" w:eastAsia="zh-CN"/>
              </w:rPr>
              <w:t xml:space="preserve">57669.74 </w:t>
            </w:r>
          </w:p>
        </w:tc>
        <w:tc>
          <w:tcPr>
            <w:tcW w:w="1063" w:type="dxa"/>
            <w:vMerge w:val="continue"/>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color w:val="auto"/>
                <w:sz w:val="21"/>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jc w:val="center"/>
        </w:trPr>
        <w:tc>
          <w:tcPr>
            <w:tcW w:w="638"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cs="黑体"/>
                <w:b w:val="0"/>
                <w:bCs/>
                <w:color w:val="auto"/>
                <w:sz w:val="21"/>
                <w:szCs w:val="24"/>
                <w:highlight w:val="none"/>
              </w:rPr>
            </w:pPr>
            <w:r>
              <w:rPr>
                <w:rFonts w:hint="eastAsia" w:ascii="仿宋" w:hAnsi="仿宋" w:cs="黑体"/>
                <w:b w:val="0"/>
                <w:bCs/>
                <w:color w:val="auto"/>
                <w:sz w:val="21"/>
                <w:szCs w:val="24"/>
                <w:highlight w:val="none"/>
                <w:lang w:val="en-US" w:eastAsia="zh-CN"/>
              </w:rPr>
              <w:t>四</w:t>
            </w:r>
          </w:p>
        </w:tc>
        <w:tc>
          <w:tcPr>
            <w:tcW w:w="2824"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cs="黑体"/>
                <w:b w:val="0"/>
                <w:bCs/>
                <w:color w:val="auto"/>
                <w:sz w:val="21"/>
                <w:szCs w:val="24"/>
                <w:highlight w:val="none"/>
              </w:rPr>
            </w:pPr>
            <w:r>
              <w:rPr>
                <w:rFonts w:hint="eastAsia" w:ascii="仿宋" w:hAnsi="仿宋" w:cs="黑体"/>
                <w:b w:val="0"/>
                <w:bCs/>
                <w:color w:val="auto"/>
                <w:sz w:val="21"/>
                <w:szCs w:val="24"/>
                <w:highlight w:val="none"/>
                <w:lang w:val="en-US" w:eastAsia="zh-CN"/>
              </w:rPr>
              <w:t>品牌建设</w:t>
            </w:r>
          </w:p>
        </w:tc>
        <w:tc>
          <w:tcPr>
            <w:tcW w:w="1457"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val="0"/>
                <w:bCs/>
                <w:color w:val="auto"/>
                <w:sz w:val="21"/>
                <w:szCs w:val="24"/>
                <w:highlight w:val="none"/>
                <w:lang w:val="en-US" w:eastAsia="zh-CN"/>
              </w:rPr>
            </w:pPr>
            <w:r>
              <w:rPr>
                <w:rFonts w:hint="default" w:ascii="仿宋" w:hAnsi="仿宋" w:cs="黑体"/>
                <w:b w:val="0"/>
                <w:bCs/>
                <w:color w:val="auto"/>
                <w:sz w:val="21"/>
                <w:szCs w:val="24"/>
                <w:highlight w:val="none"/>
                <w:lang w:val="en-US" w:eastAsia="zh-CN"/>
              </w:rPr>
              <w:t xml:space="preserve">18292.00 </w:t>
            </w:r>
          </w:p>
        </w:tc>
        <w:tc>
          <w:tcPr>
            <w:tcW w:w="1275"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val="0"/>
                <w:bCs/>
                <w:color w:val="auto"/>
                <w:sz w:val="21"/>
                <w:szCs w:val="24"/>
                <w:highlight w:val="none"/>
                <w:lang w:val="en-US" w:eastAsia="zh-CN"/>
              </w:rPr>
            </w:pPr>
            <w:r>
              <w:rPr>
                <w:rFonts w:hint="default" w:ascii="仿宋" w:hAnsi="仿宋" w:cs="黑体"/>
                <w:b w:val="0"/>
                <w:bCs/>
                <w:color w:val="auto"/>
                <w:sz w:val="21"/>
                <w:szCs w:val="24"/>
                <w:highlight w:val="none"/>
                <w:lang w:val="en-US" w:eastAsia="zh-CN"/>
              </w:rPr>
              <w:t xml:space="preserve">8076.00 </w:t>
            </w:r>
          </w:p>
        </w:tc>
        <w:tc>
          <w:tcPr>
            <w:tcW w:w="1169"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val="0"/>
                <w:bCs/>
                <w:color w:val="auto"/>
                <w:sz w:val="21"/>
                <w:szCs w:val="24"/>
                <w:highlight w:val="none"/>
                <w:lang w:val="en-US" w:eastAsia="zh-CN"/>
              </w:rPr>
            </w:pPr>
            <w:r>
              <w:rPr>
                <w:rFonts w:hint="default" w:ascii="仿宋" w:hAnsi="仿宋" w:cs="黑体"/>
                <w:b w:val="0"/>
                <w:bCs/>
                <w:color w:val="auto"/>
                <w:sz w:val="21"/>
                <w:szCs w:val="24"/>
                <w:highlight w:val="none"/>
                <w:lang w:val="en-US" w:eastAsia="zh-CN"/>
              </w:rPr>
              <w:t xml:space="preserve">10216.00 </w:t>
            </w:r>
          </w:p>
        </w:tc>
        <w:tc>
          <w:tcPr>
            <w:tcW w:w="1063" w:type="dxa"/>
            <w:vMerge w:val="continue"/>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color w:val="auto"/>
                <w:sz w:val="21"/>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jc w:val="center"/>
        </w:trPr>
        <w:tc>
          <w:tcPr>
            <w:tcW w:w="638"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cs="黑体"/>
                <w:b w:val="0"/>
                <w:bCs/>
                <w:color w:val="auto"/>
                <w:sz w:val="21"/>
                <w:szCs w:val="24"/>
                <w:highlight w:val="none"/>
              </w:rPr>
            </w:pPr>
            <w:r>
              <w:rPr>
                <w:rFonts w:hint="eastAsia" w:ascii="仿宋" w:hAnsi="仿宋" w:cs="黑体"/>
                <w:b w:val="0"/>
                <w:bCs/>
                <w:color w:val="auto"/>
                <w:sz w:val="21"/>
                <w:szCs w:val="24"/>
                <w:highlight w:val="none"/>
                <w:lang w:val="en-US" w:eastAsia="zh-CN"/>
              </w:rPr>
              <w:t>五</w:t>
            </w:r>
          </w:p>
        </w:tc>
        <w:tc>
          <w:tcPr>
            <w:tcW w:w="2824"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cs="黑体"/>
                <w:b w:val="0"/>
                <w:bCs/>
                <w:color w:val="auto"/>
                <w:sz w:val="21"/>
                <w:szCs w:val="24"/>
                <w:highlight w:val="none"/>
              </w:rPr>
            </w:pPr>
            <w:r>
              <w:rPr>
                <w:rFonts w:hint="eastAsia" w:ascii="仿宋" w:hAnsi="仿宋" w:cs="黑体"/>
                <w:b w:val="0"/>
                <w:bCs/>
                <w:color w:val="auto"/>
                <w:sz w:val="21"/>
                <w:szCs w:val="24"/>
                <w:highlight w:val="none"/>
                <w:lang w:val="en-US" w:eastAsia="zh-CN"/>
              </w:rPr>
              <w:t>消费帮扶</w:t>
            </w:r>
          </w:p>
        </w:tc>
        <w:tc>
          <w:tcPr>
            <w:tcW w:w="1457"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val="0"/>
                <w:bCs/>
                <w:color w:val="auto"/>
                <w:sz w:val="21"/>
                <w:szCs w:val="24"/>
                <w:highlight w:val="none"/>
                <w:lang w:val="en-US" w:eastAsia="zh-CN"/>
              </w:rPr>
            </w:pPr>
            <w:r>
              <w:rPr>
                <w:rFonts w:hint="default" w:ascii="仿宋" w:hAnsi="仿宋" w:cs="黑体"/>
                <w:b w:val="0"/>
                <w:bCs/>
                <w:color w:val="auto"/>
                <w:sz w:val="21"/>
                <w:szCs w:val="24"/>
                <w:highlight w:val="none"/>
                <w:lang w:val="en-US" w:eastAsia="zh-CN"/>
              </w:rPr>
              <w:t xml:space="preserve">7279.88 </w:t>
            </w:r>
          </w:p>
        </w:tc>
        <w:tc>
          <w:tcPr>
            <w:tcW w:w="1275"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val="0"/>
                <w:bCs/>
                <w:color w:val="auto"/>
                <w:sz w:val="21"/>
                <w:szCs w:val="24"/>
                <w:highlight w:val="none"/>
                <w:lang w:val="en-US" w:eastAsia="zh-CN"/>
              </w:rPr>
            </w:pPr>
            <w:r>
              <w:rPr>
                <w:rFonts w:hint="default" w:ascii="仿宋" w:hAnsi="仿宋" w:cs="黑体"/>
                <w:b w:val="0"/>
                <w:bCs/>
                <w:color w:val="auto"/>
                <w:sz w:val="21"/>
                <w:szCs w:val="24"/>
                <w:highlight w:val="none"/>
                <w:lang w:val="en-US" w:eastAsia="zh-CN"/>
              </w:rPr>
              <w:t xml:space="preserve">2395.00 </w:t>
            </w:r>
          </w:p>
        </w:tc>
        <w:tc>
          <w:tcPr>
            <w:tcW w:w="1169"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val="0"/>
                <w:bCs/>
                <w:color w:val="auto"/>
                <w:sz w:val="21"/>
                <w:szCs w:val="24"/>
                <w:highlight w:val="none"/>
                <w:lang w:val="en-US" w:eastAsia="zh-CN"/>
              </w:rPr>
            </w:pPr>
            <w:r>
              <w:rPr>
                <w:rFonts w:hint="default" w:ascii="仿宋" w:hAnsi="仿宋" w:cs="黑体"/>
                <w:b w:val="0"/>
                <w:bCs/>
                <w:color w:val="auto"/>
                <w:sz w:val="21"/>
                <w:szCs w:val="24"/>
                <w:highlight w:val="none"/>
                <w:lang w:val="en-US" w:eastAsia="zh-CN"/>
              </w:rPr>
              <w:t xml:space="preserve">4884.88 </w:t>
            </w:r>
          </w:p>
        </w:tc>
        <w:tc>
          <w:tcPr>
            <w:tcW w:w="1063" w:type="dxa"/>
            <w:vMerge w:val="continue"/>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color w:val="auto"/>
                <w:sz w:val="21"/>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jc w:val="center"/>
        </w:trPr>
        <w:tc>
          <w:tcPr>
            <w:tcW w:w="638"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cs="黑体"/>
                <w:b w:val="0"/>
                <w:bCs/>
                <w:color w:val="auto"/>
                <w:sz w:val="21"/>
                <w:szCs w:val="24"/>
                <w:highlight w:val="none"/>
              </w:rPr>
            </w:pPr>
            <w:r>
              <w:rPr>
                <w:rFonts w:hint="eastAsia" w:ascii="仿宋" w:hAnsi="仿宋" w:cs="黑体"/>
                <w:b w:val="0"/>
                <w:bCs/>
                <w:color w:val="auto"/>
                <w:sz w:val="21"/>
                <w:szCs w:val="24"/>
                <w:highlight w:val="none"/>
                <w:lang w:val="en-US" w:eastAsia="zh-CN"/>
              </w:rPr>
              <w:t>六</w:t>
            </w:r>
          </w:p>
        </w:tc>
        <w:tc>
          <w:tcPr>
            <w:tcW w:w="2824"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cs="黑体"/>
                <w:b w:val="0"/>
                <w:bCs/>
                <w:color w:val="auto"/>
                <w:sz w:val="21"/>
                <w:szCs w:val="24"/>
                <w:highlight w:val="none"/>
              </w:rPr>
            </w:pPr>
            <w:r>
              <w:rPr>
                <w:rFonts w:hint="eastAsia" w:ascii="仿宋" w:hAnsi="仿宋" w:cs="黑体"/>
                <w:b w:val="0"/>
                <w:bCs/>
                <w:color w:val="auto"/>
                <w:sz w:val="21"/>
                <w:szCs w:val="24"/>
                <w:highlight w:val="none"/>
                <w:lang w:val="en-US" w:eastAsia="zh-CN"/>
              </w:rPr>
              <w:t>产业新业态建设</w:t>
            </w:r>
          </w:p>
        </w:tc>
        <w:tc>
          <w:tcPr>
            <w:tcW w:w="1457"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val="0"/>
                <w:bCs/>
                <w:color w:val="auto"/>
                <w:sz w:val="21"/>
                <w:szCs w:val="24"/>
                <w:highlight w:val="none"/>
                <w:lang w:val="en-US" w:eastAsia="zh-CN"/>
              </w:rPr>
            </w:pPr>
            <w:r>
              <w:rPr>
                <w:rFonts w:hint="default" w:ascii="仿宋" w:hAnsi="仿宋" w:cs="黑体"/>
                <w:b w:val="0"/>
                <w:bCs/>
                <w:color w:val="auto"/>
                <w:sz w:val="21"/>
                <w:szCs w:val="24"/>
                <w:highlight w:val="none"/>
                <w:lang w:val="en-US" w:eastAsia="zh-CN"/>
              </w:rPr>
              <w:t xml:space="preserve">437060.55 </w:t>
            </w:r>
          </w:p>
        </w:tc>
        <w:tc>
          <w:tcPr>
            <w:tcW w:w="1275"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val="0"/>
                <w:bCs/>
                <w:color w:val="auto"/>
                <w:sz w:val="21"/>
                <w:szCs w:val="24"/>
                <w:highlight w:val="none"/>
                <w:lang w:val="en-US" w:eastAsia="zh-CN"/>
              </w:rPr>
            </w:pPr>
            <w:r>
              <w:rPr>
                <w:rFonts w:hint="default" w:ascii="仿宋" w:hAnsi="仿宋" w:cs="黑体"/>
                <w:b w:val="0"/>
                <w:bCs/>
                <w:color w:val="auto"/>
                <w:sz w:val="21"/>
                <w:szCs w:val="24"/>
                <w:highlight w:val="none"/>
                <w:lang w:val="en-US" w:eastAsia="zh-CN"/>
              </w:rPr>
              <w:t xml:space="preserve">298282.73 </w:t>
            </w:r>
          </w:p>
        </w:tc>
        <w:tc>
          <w:tcPr>
            <w:tcW w:w="1169"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val="0"/>
                <w:bCs/>
                <w:color w:val="auto"/>
                <w:sz w:val="21"/>
                <w:szCs w:val="24"/>
                <w:highlight w:val="none"/>
                <w:lang w:val="en-US" w:eastAsia="zh-CN"/>
              </w:rPr>
            </w:pPr>
            <w:r>
              <w:rPr>
                <w:rFonts w:hint="default" w:ascii="仿宋" w:hAnsi="仿宋" w:cs="黑体"/>
                <w:b w:val="0"/>
                <w:bCs/>
                <w:color w:val="auto"/>
                <w:sz w:val="21"/>
                <w:szCs w:val="24"/>
                <w:highlight w:val="none"/>
                <w:lang w:val="en-US" w:eastAsia="zh-CN"/>
              </w:rPr>
              <w:t xml:space="preserve">138777.82 </w:t>
            </w:r>
          </w:p>
        </w:tc>
        <w:tc>
          <w:tcPr>
            <w:tcW w:w="1063" w:type="dxa"/>
            <w:vMerge w:val="continue"/>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color w:val="auto"/>
                <w:sz w:val="21"/>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jc w:val="center"/>
        </w:trPr>
        <w:tc>
          <w:tcPr>
            <w:tcW w:w="638"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cs="黑体"/>
                <w:b w:val="0"/>
                <w:bCs/>
                <w:color w:val="auto"/>
                <w:sz w:val="21"/>
                <w:szCs w:val="24"/>
                <w:highlight w:val="none"/>
              </w:rPr>
            </w:pPr>
            <w:r>
              <w:rPr>
                <w:rFonts w:hint="eastAsia" w:ascii="仿宋" w:hAnsi="仿宋" w:cs="黑体"/>
                <w:b w:val="0"/>
                <w:bCs/>
                <w:color w:val="auto"/>
                <w:sz w:val="21"/>
                <w:szCs w:val="24"/>
                <w:highlight w:val="none"/>
                <w:lang w:val="en-US" w:eastAsia="zh-CN"/>
              </w:rPr>
              <w:t>七</w:t>
            </w:r>
          </w:p>
        </w:tc>
        <w:tc>
          <w:tcPr>
            <w:tcW w:w="2824"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cs="黑体"/>
                <w:b w:val="0"/>
                <w:bCs/>
                <w:color w:val="auto"/>
                <w:sz w:val="21"/>
                <w:szCs w:val="24"/>
                <w:highlight w:val="none"/>
              </w:rPr>
            </w:pPr>
            <w:r>
              <w:rPr>
                <w:rFonts w:hint="eastAsia" w:ascii="仿宋" w:hAnsi="仿宋" w:cs="黑体"/>
                <w:b w:val="0"/>
                <w:bCs/>
                <w:color w:val="auto"/>
                <w:sz w:val="21"/>
                <w:szCs w:val="24"/>
                <w:highlight w:val="none"/>
                <w:lang w:val="en-US" w:eastAsia="zh-CN"/>
              </w:rPr>
              <w:t>产业服务链</w:t>
            </w:r>
          </w:p>
        </w:tc>
        <w:tc>
          <w:tcPr>
            <w:tcW w:w="1457"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val="0"/>
                <w:bCs/>
                <w:color w:val="auto"/>
                <w:sz w:val="21"/>
                <w:szCs w:val="24"/>
                <w:highlight w:val="none"/>
                <w:lang w:val="en-US" w:eastAsia="zh-CN"/>
              </w:rPr>
            </w:pPr>
            <w:r>
              <w:rPr>
                <w:rFonts w:hint="default" w:ascii="仿宋" w:hAnsi="仿宋" w:cs="黑体"/>
                <w:b w:val="0"/>
                <w:bCs/>
                <w:color w:val="auto"/>
                <w:sz w:val="21"/>
                <w:szCs w:val="24"/>
                <w:highlight w:val="none"/>
                <w:lang w:val="en-US" w:eastAsia="zh-CN"/>
              </w:rPr>
              <w:t xml:space="preserve">114759.13 </w:t>
            </w:r>
          </w:p>
        </w:tc>
        <w:tc>
          <w:tcPr>
            <w:tcW w:w="1275"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val="0"/>
                <w:bCs/>
                <w:color w:val="auto"/>
                <w:sz w:val="21"/>
                <w:szCs w:val="24"/>
                <w:highlight w:val="none"/>
                <w:lang w:val="en-US" w:eastAsia="zh-CN"/>
              </w:rPr>
            </w:pPr>
            <w:r>
              <w:rPr>
                <w:rFonts w:hint="default" w:ascii="仿宋" w:hAnsi="仿宋" w:cs="黑体"/>
                <w:b w:val="0"/>
                <w:bCs/>
                <w:color w:val="auto"/>
                <w:sz w:val="21"/>
                <w:szCs w:val="24"/>
                <w:highlight w:val="none"/>
                <w:lang w:val="en-US" w:eastAsia="zh-CN"/>
              </w:rPr>
              <w:t xml:space="preserve">84213.51 </w:t>
            </w:r>
          </w:p>
        </w:tc>
        <w:tc>
          <w:tcPr>
            <w:tcW w:w="1169"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val="0"/>
                <w:bCs/>
                <w:color w:val="auto"/>
                <w:sz w:val="21"/>
                <w:szCs w:val="24"/>
                <w:highlight w:val="none"/>
                <w:lang w:val="en-US" w:eastAsia="zh-CN"/>
              </w:rPr>
            </w:pPr>
            <w:r>
              <w:rPr>
                <w:rFonts w:hint="default" w:ascii="仿宋" w:hAnsi="仿宋" w:cs="黑体"/>
                <w:b w:val="0"/>
                <w:bCs/>
                <w:color w:val="auto"/>
                <w:sz w:val="21"/>
                <w:szCs w:val="24"/>
                <w:highlight w:val="none"/>
                <w:lang w:val="en-US" w:eastAsia="zh-CN"/>
              </w:rPr>
              <w:t xml:space="preserve">30545.62 </w:t>
            </w:r>
          </w:p>
        </w:tc>
        <w:tc>
          <w:tcPr>
            <w:tcW w:w="1063" w:type="dxa"/>
            <w:vMerge w:val="continue"/>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color w:val="auto"/>
                <w:sz w:val="21"/>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jc w:val="center"/>
        </w:trPr>
        <w:tc>
          <w:tcPr>
            <w:tcW w:w="638"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cs="黑体"/>
                <w:b w:val="0"/>
                <w:bCs/>
                <w:color w:val="auto"/>
                <w:sz w:val="21"/>
                <w:szCs w:val="24"/>
                <w:highlight w:val="none"/>
              </w:rPr>
            </w:pPr>
            <w:r>
              <w:rPr>
                <w:rFonts w:hint="eastAsia" w:ascii="仿宋" w:hAnsi="仿宋" w:cs="黑体"/>
                <w:b w:val="0"/>
                <w:bCs/>
                <w:color w:val="auto"/>
                <w:sz w:val="21"/>
                <w:szCs w:val="24"/>
                <w:highlight w:val="none"/>
                <w:lang w:val="en-US" w:eastAsia="zh-CN"/>
              </w:rPr>
              <w:t>八</w:t>
            </w:r>
          </w:p>
        </w:tc>
        <w:tc>
          <w:tcPr>
            <w:tcW w:w="2824"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cs="黑体"/>
                <w:b w:val="0"/>
                <w:bCs/>
                <w:color w:val="auto"/>
                <w:sz w:val="21"/>
                <w:szCs w:val="24"/>
                <w:highlight w:val="none"/>
              </w:rPr>
            </w:pPr>
            <w:r>
              <w:rPr>
                <w:rFonts w:hint="eastAsia" w:ascii="仿宋" w:hAnsi="仿宋" w:cs="黑体"/>
                <w:b w:val="0"/>
                <w:bCs/>
                <w:color w:val="auto"/>
                <w:sz w:val="21"/>
                <w:szCs w:val="24"/>
                <w:highlight w:val="none"/>
                <w:lang w:val="en-US" w:eastAsia="zh-CN"/>
              </w:rPr>
              <w:t>农业保险及小额信贷</w:t>
            </w:r>
          </w:p>
        </w:tc>
        <w:tc>
          <w:tcPr>
            <w:tcW w:w="1457"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val="0"/>
                <w:bCs/>
                <w:color w:val="auto"/>
                <w:sz w:val="21"/>
                <w:szCs w:val="24"/>
                <w:highlight w:val="none"/>
                <w:lang w:val="en-US" w:eastAsia="zh-CN"/>
              </w:rPr>
            </w:pPr>
            <w:r>
              <w:rPr>
                <w:rFonts w:hint="default" w:ascii="仿宋" w:hAnsi="仿宋" w:cs="黑体"/>
                <w:b w:val="0"/>
                <w:bCs/>
                <w:color w:val="auto"/>
                <w:sz w:val="21"/>
                <w:szCs w:val="24"/>
                <w:highlight w:val="none"/>
                <w:lang w:val="en-US" w:eastAsia="zh-CN"/>
              </w:rPr>
              <w:t xml:space="preserve">16616.92 </w:t>
            </w:r>
          </w:p>
        </w:tc>
        <w:tc>
          <w:tcPr>
            <w:tcW w:w="1275"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val="0"/>
                <w:bCs/>
                <w:color w:val="auto"/>
                <w:sz w:val="21"/>
                <w:szCs w:val="24"/>
                <w:highlight w:val="none"/>
                <w:lang w:val="en-US" w:eastAsia="zh-CN"/>
              </w:rPr>
            </w:pPr>
            <w:r>
              <w:rPr>
                <w:rFonts w:hint="default" w:ascii="仿宋" w:hAnsi="仿宋" w:cs="黑体"/>
                <w:b w:val="0"/>
                <w:bCs/>
                <w:color w:val="auto"/>
                <w:sz w:val="21"/>
                <w:szCs w:val="24"/>
                <w:highlight w:val="none"/>
                <w:lang w:val="en-US" w:eastAsia="zh-CN"/>
              </w:rPr>
              <w:t xml:space="preserve">7057.02 </w:t>
            </w:r>
          </w:p>
        </w:tc>
        <w:tc>
          <w:tcPr>
            <w:tcW w:w="1169"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val="0"/>
                <w:bCs/>
                <w:color w:val="auto"/>
                <w:sz w:val="21"/>
                <w:szCs w:val="24"/>
                <w:highlight w:val="none"/>
                <w:lang w:val="en-US" w:eastAsia="zh-CN"/>
              </w:rPr>
            </w:pPr>
            <w:r>
              <w:rPr>
                <w:rFonts w:hint="default" w:ascii="仿宋" w:hAnsi="仿宋" w:cs="黑体"/>
                <w:b w:val="0"/>
                <w:bCs/>
                <w:color w:val="auto"/>
                <w:sz w:val="21"/>
                <w:szCs w:val="24"/>
                <w:highlight w:val="none"/>
                <w:lang w:val="en-US" w:eastAsia="zh-CN"/>
              </w:rPr>
              <w:t xml:space="preserve">9559.90 </w:t>
            </w:r>
          </w:p>
        </w:tc>
        <w:tc>
          <w:tcPr>
            <w:tcW w:w="1063" w:type="dxa"/>
            <w:vMerge w:val="continue"/>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color w:val="auto"/>
                <w:sz w:val="21"/>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jc w:val="center"/>
        </w:trPr>
        <w:tc>
          <w:tcPr>
            <w:tcW w:w="3462" w:type="dxa"/>
            <w:gridSpan w:val="2"/>
            <w:shd w:val="clear" w:color="auto" w:fill="FFFFFF"/>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cs="黑体"/>
                <w:b/>
                <w:color w:val="auto"/>
                <w:sz w:val="21"/>
                <w:szCs w:val="24"/>
                <w:highlight w:val="none"/>
              </w:rPr>
            </w:pPr>
            <w:r>
              <w:rPr>
                <w:rFonts w:hint="eastAsia" w:ascii="仿宋" w:hAnsi="仿宋" w:cs="黑体"/>
                <w:b/>
                <w:color w:val="auto"/>
                <w:sz w:val="21"/>
                <w:szCs w:val="24"/>
                <w:highlight w:val="none"/>
                <w:lang w:val="en-US" w:eastAsia="zh-CN"/>
              </w:rPr>
              <w:t>二、基础设施</w:t>
            </w:r>
          </w:p>
        </w:tc>
        <w:tc>
          <w:tcPr>
            <w:tcW w:w="1457"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bCs w:val="0"/>
                <w:color w:val="auto"/>
                <w:sz w:val="21"/>
                <w:szCs w:val="24"/>
                <w:highlight w:val="none"/>
                <w:lang w:val="en-US" w:eastAsia="zh-CN"/>
              </w:rPr>
            </w:pPr>
            <w:r>
              <w:rPr>
                <w:rFonts w:hint="default" w:ascii="仿宋" w:hAnsi="仿宋" w:cs="黑体"/>
                <w:b/>
                <w:bCs w:val="0"/>
                <w:color w:val="auto"/>
                <w:sz w:val="21"/>
                <w:szCs w:val="24"/>
                <w:highlight w:val="none"/>
                <w:lang w:val="en-US" w:eastAsia="zh-CN"/>
              </w:rPr>
              <w:t xml:space="preserve">1861885.59 </w:t>
            </w:r>
          </w:p>
        </w:tc>
        <w:tc>
          <w:tcPr>
            <w:tcW w:w="1275"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bCs w:val="0"/>
                <w:color w:val="auto"/>
                <w:sz w:val="21"/>
                <w:szCs w:val="24"/>
                <w:highlight w:val="none"/>
                <w:lang w:val="en-US" w:eastAsia="zh-CN"/>
              </w:rPr>
            </w:pPr>
            <w:r>
              <w:rPr>
                <w:rFonts w:hint="default" w:ascii="仿宋" w:hAnsi="仿宋" w:cs="黑体"/>
                <w:b/>
                <w:bCs w:val="0"/>
                <w:color w:val="auto"/>
                <w:sz w:val="21"/>
                <w:szCs w:val="24"/>
                <w:highlight w:val="none"/>
                <w:lang w:val="en-US" w:eastAsia="zh-CN"/>
              </w:rPr>
              <w:t xml:space="preserve">1564828.77 </w:t>
            </w:r>
          </w:p>
        </w:tc>
        <w:tc>
          <w:tcPr>
            <w:tcW w:w="1169"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bCs w:val="0"/>
                <w:color w:val="auto"/>
                <w:sz w:val="21"/>
                <w:szCs w:val="24"/>
                <w:highlight w:val="none"/>
                <w:lang w:val="en-US" w:eastAsia="zh-CN"/>
              </w:rPr>
            </w:pPr>
            <w:r>
              <w:rPr>
                <w:rFonts w:hint="default" w:ascii="仿宋" w:hAnsi="仿宋" w:cs="黑体"/>
                <w:b/>
                <w:bCs w:val="0"/>
                <w:color w:val="auto"/>
                <w:sz w:val="21"/>
                <w:szCs w:val="24"/>
                <w:highlight w:val="none"/>
                <w:lang w:val="en-US" w:eastAsia="zh-CN"/>
              </w:rPr>
              <w:t xml:space="preserve">297056.82 </w:t>
            </w:r>
          </w:p>
        </w:tc>
        <w:tc>
          <w:tcPr>
            <w:tcW w:w="1063" w:type="dxa"/>
            <w:vMerge w:val="restart"/>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color w:val="auto"/>
                <w:sz w:val="21"/>
                <w:szCs w:val="24"/>
                <w:highlight w:val="none"/>
              </w:rPr>
            </w:pPr>
            <w:r>
              <w:rPr>
                <w:rFonts w:hint="eastAsia" w:ascii="仿宋" w:hAnsi="仿宋" w:cs="黑体"/>
                <w:b/>
                <w:color w:val="auto"/>
                <w:sz w:val="21"/>
                <w:szCs w:val="24"/>
                <w:highlight w:val="none"/>
                <w:lang w:val="en-US" w:eastAsia="zh-CN"/>
              </w:rPr>
              <w:t>38.02</w:t>
            </w:r>
            <w:r>
              <w:rPr>
                <w:rFonts w:hint="default" w:ascii="仿宋" w:hAnsi="仿宋" w:cs="黑体"/>
                <w:b/>
                <w:color w:val="auto"/>
                <w:sz w:val="21"/>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jc w:val="center"/>
        </w:trPr>
        <w:tc>
          <w:tcPr>
            <w:tcW w:w="638"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cs="黑体"/>
                <w:b w:val="0"/>
                <w:bCs/>
                <w:color w:val="auto"/>
                <w:sz w:val="21"/>
                <w:szCs w:val="24"/>
                <w:highlight w:val="none"/>
              </w:rPr>
            </w:pPr>
            <w:r>
              <w:rPr>
                <w:rFonts w:hint="eastAsia" w:ascii="仿宋" w:hAnsi="仿宋" w:cs="黑体"/>
                <w:b w:val="0"/>
                <w:bCs/>
                <w:color w:val="auto"/>
                <w:sz w:val="21"/>
                <w:szCs w:val="24"/>
                <w:highlight w:val="none"/>
                <w:lang w:val="en-US" w:eastAsia="zh-CN"/>
              </w:rPr>
              <w:t>一</w:t>
            </w:r>
          </w:p>
        </w:tc>
        <w:tc>
          <w:tcPr>
            <w:tcW w:w="2824"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cs="黑体"/>
                <w:b w:val="0"/>
                <w:bCs/>
                <w:color w:val="auto"/>
                <w:sz w:val="21"/>
                <w:szCs w:val="24"/>
                <w:highlight w:val="none"/>
              </w:rPr>
            </w:pPr>
            <w:r>
              <w:rPr>
                <w:rFonts w:hint="eastAsia" w:ascii="仿宋" w:hAnsi="仿宋" w:cs="黑体"/>
                <w:b w:val="0"/>
                <w:bCs/>
                <w:color w:val="auto"/>
                <w:sz w:val="21"/>
                <w:szCs w:val="24"/>
                <w:highlight w:val="none"/>
                <w:lang w:val="en-US" w:eastAsia="zh-CN"/>
              </w:rPr>
              <w:t>宜居乡村建设</w:t>
            </w:r>
          </w:p>
        </w:tc>
        <w:tc>
          <w:tcPr>
            <w:tcW w:w="1457"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val="0"/>
                <w:bCs/>
                <w:color w:val="auto"/>
                <w:sz w:val="21"/>
                <w:szCs w:val="24"/>
                <w:highlight w:val="none"/>
                <w:lang w:val="en-US" w:eastAsia="zh-CN"/>
              </w:rPr>
            </w:pPr>
            <w:r>
              <w:rPr>
                <w:rFonts w:hint="default" w:ascii="仿宋" w:hAnsi="仿宋" w:cs="黑体"/>
                <w:b w:val="0"/>
                <w:bCs/>
                <w:color w:val="auto"/>
                <w:sz w:val="21"/>
                <w:szCs w:val="24"/>
                <w:highlight w:val="none"/>
                <w:lang w:val="en-US" w:eastAsia="zh-CN"/>
              </w:rPr>
              <w:t xml:space="preserve">787178.49 </w:t>
            </w:r>
          </w:p>
        </w:tc>
        <w:tc>
          <w:tcPr>
            <w:tcW w:w="1275"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val="0"/>
                <w:bCs/>
                <w:color w:val="auto"/>
                <w:sz w:val="21"/>
                <w:szCs w:val="24"/>
                <w:highlight w:val="none"/>
                <w:lang w:val="en-US" w:eastAsia="zh-CN"/>
              </w:rPr>
            </w:pPr>
            <w:r>
              <w:rPr>
                <w:rFonts w:hint="default" w:ascii="仿宋" w:hAnsi="仿宋" w:cs="黑体"/>
                <w:b w:val="0"/>
                <w:bCs/>
                <w:color w:val="auto"/>
                <w:sz w:val="21"/>
                <w:szCs w:val="24"/>
                <w:highlight w:val="none"/>
                <w:lang w:val="en-US" w:eastAsia="zh-CN"/>
              </w:rPr>
              <w:t xml:space="preserve">718253.12 </w:t>
            </w:r>
          </w:p>
        </w:tc>
        <w:tc>
          <w:tcPr>
            <w:tcW w:w="1169"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val="0"/>
                <w:bCs/>
                <w:color w:val="auto"/>
                <w:sz w:val="21"/>
                <w:szCs w:val="24"/>
                <w:highlight w:val="none"/>
                <w:lang w:val="en-US" w:eastAsia="zh-CN"/>
              </w:rPr>
            </w:pPr>
            <w:r>
              <w:rPr>
                <w:rFonts w:hint="default" w:ascii="仿宋" w:hAnsi="仿宋" w:cs="黑体"/>
                <w:b w:val="0"/>
                <w:bCs/>
                <w:color w:val="auto"/>
                <w:sz w:val="21"/>
                <w:szCs w:val="24"/>
                <w:highlight w:val="none"/>
                <w:lang w:val="en-US" w:eastAsia="zh-CN"/>
              </w:rPr>
              <w:t xml:space="preserve">68925.37 </w:t>
            </w:r>
          </w:p>
        </w:tc>
        <w:tc>
          <w:tcPr>
            <w:tcW w:w="1063" w:type="dxa"/>
            <w:vMerge w:val="continue"/>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color w:val="auto"/>
                <w:sz w:val="21"/>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jc w:val="center"/>
        </w:trPr>
        <w:tc>
          <w:tcPr>
            <w:tcW w:w="638"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cs="黑体"/>
                <w:b w:val="0"/>
                <w:bCs/>
                <w:color w:val="auto"/>
                <w:sz w:val="21"/>
                <w:szCs w:val="24"/>
                <w:highlight w:val="none"/>
              </w:rPr>
            </w:pPr>
            <w:r>
              <w:rPr>
                <w:rFonts w:hint="eastAsia" w:ascii="仿宋" w:hAnsi="仿宋" w:cs="黑体"/>
                <w:b w:val="0"/>
                <w:bCs/>
                <w:color w:val="auto"/>
                <w:sz w:val="21"/>
                <w:szCs w:val="24"/>
                <w:highlight w:val="none"/>
                <w:lang w:val="en-US" w:eastAsia="zh-CN"/>
              </w:rPr>
              <w:t>二</w:t>
            </w:r>
          </w:p>
        </w:tc>
        <w:tc>
          <w:tcPr>
            <w:tcW w:w="2824"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cs="黑体"/>
                <w:b w:val="0"/>
                <w:bCs/>
                <w:color w:val="auto"/>
                <w:sz w:val="21"/>
                <w:szCs w:val="24"/>
                <w:highlight w:val="none"/>
              </w:rPr>
            </w:pPr>
            <w:r>
              <w:rPr>
                <w:rFonts w:hint="eastAsia" w:ascii="仿宋" w:hAnsi="仿宋" w:cs="黑体"/>
                <w:b w:val="0"/>
                <w:bCs/>
                <w:color w:val="auto"/>
                <w:sz w:val="21"/>
                <w:szCs w:val="24"/>
                <w:highlight w:val="none"/>
                <w:lang w:val="en-US" w:eastAsia="zh-CN"/>
              </w:rPr>
              <w:t>重大基础设施建设</w:t>
            </w:r>
          </w:p>
        </w:tc>
        <w:tc>
          <w:tcPr>
            <w:tcW w:w="1457"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val="0"/>
                <w:bCs/>
                <w:color w:val="auto"/>
                <w:sz w:val="21"/>
                <w:szCs w:val="24"/>
                <w:highlight w:val="none"/>
                <w:lang w:val="en-US" w:eastAsia="zh-CN"/>
              </w:rPr>
            </w:pPr>
            <w:r>
              <w:rPr>
                <w:rFonts w:hint="default" w:ascii="仿宋" w:hAnsi="仿宋" w:cs="黑体"/>
                <w:b w:val="0"/>
                <w:bCs/>
                <w:color w:val="auto"/>
                <w:sz w:val="21"/>
                <w:szCs w:val="24"/>
                <w:highlight w:val="none"/>
                <w:lang w:val="en-US" w:eastAsia="zh-CN"/>
              </w:rPr>
              <w:t xml:space="preserve">162685.43 </w:t>
            </w:r>
          </w:p>
        </w:tc>
        <w:tc>
          <w:tcPr>
            <w:tcW w:w="1275"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val="0"/>
                <w:bCs/>
                <w:color w:val="auto"/>
                <w:sz w:val="21"/>
                <w:szCs w:val="24"/>
                <w:highlight w:val="none"/>
                <w:lang w:val="en-US" w:eastAsia="zh-CN"/>
              </w:rPr>
            </w:pPr>
            <w:r>
              <w:rPr>
                <w:rFonts w:hint="default" w:ascii="仿宋" w:hAnsi="仿宋" w:cs="黑体"/>
                <w:b w:val="0"/>
                <w:bCs/>
                <w:color w:val="auto"/>
                <w:sz w:val="21"/>
                <w:szCs w:val="24"/>
                <w:highlight w:val="none"/>
                <w:lang w:val="en-US" w:eastAsia="zh-CN"/>
              </w:rPr>
              <w:t xml:space="preserve">96653.82 </w:t>
            </w:r>
          </w:p>
        </w:tc>
        <w:tc>
          <w:tcPr>
            <w:tcW w:w="1169"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val="0"/>
                <w:bCs/>
                <w:color w:val="auto"/>
                <w:sz w:val="21"/>
                <w:szCs w:val="24"/>
                <w:highlight w:val="none"/>
                <w:lang w:val="en-US" w:eastAsia="zh-CN"/>
              </w:rPr>
            </w:pPr>
            <w:r>
              <w:rPr>
                <w:rFonts w:hint="default" w:ascii="仿宋" w:hAnsi="仿宋" w:cs="黑体"/>
                <w:b w:val="0"/>
                <w:bCs/>
                <w:color w:val="auto"/>
                <w:sz w:val="21"/>
                <w:szCs w:val="24"/>
                <w:highlight w:val="none"/>
                <w:lang w:val="en-US" w:eastAsia="zh-CN"/>
              </w:rPr>
              <w:t xml:space="preserve">66031.61 </w:t>
            </w:r>
          </w:p>
        </w:tc>
        <w:tc>
          <w:tcPr>
            <w:tcW w:w="1063" w:type="dxa"/>
            <w:vMerge w:val="continue"/>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color w:val="auto"/>
                <w:sz w:val="21"/>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jc w:val="center"/>
        </w:trPr>
        <w:tc>
          <w:tcPr>
            <w:tcW w:w="638"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cs="黑体"/>
                <w:b w:val="0"/>
                <w:bCs/>
                <w:color w:val="auto"/>
                <w:sz w:val="21"/>
                <w:szCs w:val="24"/>
                <w:highlight w:val="none"/>
              </w:rPr>
            </w:pPr>
            <w:r>
              <w:rPr>
                <w:rFonts w:hint="eastAsia" w:ascii="仿宋" w:hAnsi="仿宋" w:cs="黑体"/>
                <w:b w:val="0"/>
                <w:bCs/>
                <w:color w:val="auto"/>
                <w:sz w:val="21"/>
                <w:szCs w:val="24"/>
                <w:highlight w:val="none"/>
                <w:lang w:val="en-US" w:eastAsia="zh-CN"/>
              </w:rPr>
              <w:t>三</w:t>
            </w:r>
          </w:p>
        </w:tc>
        <w:tc>
          <w:tcPr>
            <w:tcW w:w="2824"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val="0"/>
                <w:bCs/>
                <w:color w:val="auto"/>
                <w:sz w:val="21"/>
                <w:szCs w:val="24"/>
                <w:highlight w:val="none"/>
              </w:rPr>
            </w:pPr>
            <w:r>
              <w:rPr>
                <w:rFonts w:hint="eastAsia" w:ascii="仿宋" w:hAnsi="仿宋" w:cs="黑体"/>
                <w:b w:val="0"/>
                <w:bCs/>
                <w:color w:val="auto"/>
                <w:sz w:val="21"/>
                <w:szCs w:val="24"/>
                <w:highlight w:val="none"/>
                <w:lang w:val="en-US" w:eastAsia="zh-CN"/>
              </w:rPr>
              <w:t>“四好农村路”建设</w:t>
            </w:r>
          </w:p>
        </w:tc>
        <w:tc>
          <w:tcPr>
            <w:tcW w:w="1457"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val="0"/>
                <w:bCs/>
                <w:color w:val="auto"/>
                <w:sz w:val="21"/>
                <w:szCs w:val="24"/>
                <w:highlight w:val="none"/>
                <w:lang w:val="en-US" w:eastAsia="zh-CN"/>
              </w:rPr>
            </w:pPr>
            <w:r>
              <w:rPr>
                <w:rFonts w:hint="default" w:ascii="仿宋" w:hAnsi="仿宋" w:cs="黑体"/>
                <w:b w:val="0"/>
                <w:bCs/>
                <w:color w:val="auto"/>
                <w:sz w:val="21"/>
                <w:szCs w:val="24"/>
                <w:highlight w:val="none"/>
                <w:lang w:val="en-US" w:eastAsia="zh-CN"/>
              </w:rPr>
              <w:t xml:space="preserve">444292.09 </w:t>
            </w:r>
          </w:p>
        </w:tc>
        <w:tc>
          <w:tcPr>
            <w:tcW w:w="1275"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val="0"/>
                <w:bCs/>
                <w:color w:val="auto"/>
                <w:sz w:val="21"/>
                <w:szCs w:val="24"/>
                <w:highlight w:val="none"/>
                <w:lang w:val="en-US" w:eastAsia="zh-CN"/>
              </w:rPr>
            </w:pPr>
            <w:r>
              <w:rPr>
                <w:rFonts w:hint="default" w:ascii="仿宋" w:hAnsi="仿宋" w:cs="黑体"/>
                <w:b w:val="0"/>
                <w:bCs/>
                <w:color w:val="auto"/>
                <w:sz w:val="21"/>
                <w:szCs w:val="24"/>
                <w:highlight w:val="none"/>
                <w:lang w:val="en-US" w:eastAsia="zh-CN"/>
              </w:rPr>
              <w:t xml:space="preserve">366950.78 </w:t>
            </w:r>
          </w:p>
        </w:tc>
        <w:tc>
          <w:tcPr>
            <w:tcW w:w="1169"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val="0"/>
                <w:bCs/>
                <w:color w:val="auto"/>
                <w:sz w:val="21"/>
                <w:szCs w:val="24"/>
                <w:highlight w:val="none"/>
                <w:lang w:val="en-US" w:eastAsia="zh-CN"/>
              </w:rPr>
            </w:pPr>
            <w:r>
              <w:rPr>
                <w:rFonts w:hint="default" w:ascii="仿宋" w:hAnsi="仿宋" w:cs="黑体"/>
                <w:b w:val="0"/>
                <w:bCs/>
                <w:color w:val="auto"/>
                <w:sz w:val="21"/>
                <w:szCs w:val="24"/>
                <w:highlight w:val="none"/>
                <w:lang w:val="en-US" w:eastAsia="zh-CN"/>
              </w:rPr>
              <w:t xml:space="preserve">77341.31 </w:t>
            </w:r>
          </w:p>
        </w:tc>
        <w:tc>
          <w:tcPr>
            <w:tcW w:w="1063" w:type="dxa"/>
            <w:vMerge w:val="continue"/>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color w:val="auto"/>
                <w:sz w:val="21"/>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jc w:val="center"/>
        </w:trPr>
        <w:tc>
          <w:tcPr>
            <w:tcW w:w="638"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cs="黑体"/>
                <w:b w:val="0"/>
                <w:bCs/>
                <w:color w:val="auto"/>
                <w:sz w:val="21"/>
                <w:szCs w:val="24"/>
                <w:highlight w:val="none"/>
              </w:rPr>
            </w:pPr>
            <w:r>
              <w:rPr>
                <w:rFonts w:hint="eastAsia" w:ascii="仿宋" w:hAnsi="仿宋" w:cs="黑体"/>
                <w:b w:val="0"/>
                <w:bCs/>
                <w:color w:val="auto"/>
                <w:sz w:val="21"/>
                <w:szCs w:val="24"/>
                <w:highlight w:val="none"/>
                <w:lang w:val="en-US" w:eastAsia="zh-CN"/>
              </w:rPr>
              <w:t>四</w:t>
            </w:r>
          </w:p>
        </w:tc>
        <w:tc>
          <w:tcPr>
            <w:tcW w:w="2824"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cs="黑体"/>
                <w:b w:val="0"/>
                <w:bCs/>
                <w:color w:val="auto"/>
                <w:sz w:val="21"/>
                <w:szCs w:val="24"/>
                <w:highlight w:val="none"/>
              </w:rPr>
            </w:pPr>
            <w:r>
              <w:rPr>
                <w:rFonts w:hint="eastAsia" w:ascii="仿宋" w:hAnsi="仿宋" w:cs="黑体"/>
                <w:b w:val="0"/>
                <w:bCs/>
                <w:color w:val="auto"/>
                <w:sz w:val="21"/>
                <w:szCs w:val="24"/>
                <w:highlight w:val="none"/>
                <w:lang w:val="en-US" w:eastAsia="zh-CN"/>
              </w:rPr>
              <w:t>农村防洪工程建设</w:t>
            </w:r>
          </w:p>
        </w:tc>
        <w:tc>
          <w:tcPr>
            <w:tcW w:w="1457"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val="0"/>
                <w:bCs/>
                <w:color w:val="auto"/>
                <w:sz w:val="21"/>
                <w:szCs w:val="24"/>
                <w:highlight w:val="none"/>
                <w:lang w:val="en-US" w:eastAsia="zh-CN"/>
              </w:rPr>
            </w:pPr>
            <w:r>
              <w:rPr>
                <w:rFonts w:hint="default" w:ascii="仿宋" w:hAnsi="仿宋" w:cs="黑体"/>
                <w:b w:val="0"/>
                <w:bCs/>
                <w:color w:val="auto"/>
                <w:sz w:val="21"/>
                <w:szCs w:val="24"/>
                <w:highlight w:val="none"/>
                <w:lang w:val="en-US" w:eastAsia="zh-CN"/>
              </w:rPr>
              <w:t xml:space="preserve">164348.91 </w:t>
            </w:r>
          </w:p>
        </w:tc>
        <w:tc>
          <w:tcPr>
            <w:tcW w:w="1275"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val="0"/>
                <w:bCs/>
                <w:color w:val="auto"/>
                <w:sz w:val="21"/>
                <w:szCs w:val="24"/>
                <w:highlight w:val="none"/>
                <w:lang w:val="en-US" w:eastAsia="zh-CN"/>
              </w:rPr>
            </w:pPr>
            <w:r>
              <w:rPr>
                <w:rFonts w:hint="default" w:ascii="仿宋" w:hAnsi="仿宋" w:cs="黑体"/>
                <w:b w:val="0"/>
                <w:bCs/>
                <w:color w:val="auto"/>
                <w:sz w:val="21"/>
                <w:szCs w:val="24"/>
                <w:highlight w:val="none"/>
                <w:lang w:val="en-US" w:eastAsia="zh-CN"/>
              </w:rPr>
              <w:t xml:space="preserve">134109.92 </w:t>
            </w:r>
          </w:p>
        </w:tc>
        <w:tc>
          <w:tcPr>
            <w:tcW w:w="1169"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val="0"/>
                <w:bCs/>
                <w:color w:val="auto"/>
                <w:sz w:val="21"/>
                <w:szCs w:val="24"/>
                <w:highlight w:val="none"/>
                <w:lang w:val="en-US" w:eastAsia="zh-CN"/>
              </w:rPr>
            </w:pPr>
            <w:r>
              <w:rPr>
                <w:rFonts w:hint="default" w:ascii="仿宋" w:hAnsi="仿宋" w:cs="黑体"/>
                <w:b w:val="0"/>
                <w:bCs/>
                <w:color w:val="auto"/>
                <w:sz w:val="21"/>
                <w:szCs w:val="24"/>
                <w:highlight w:val="none"/>
                <w:lang w:val="en-US" w:eastAsia="zh-CN"/>
              </w:rPr>
              <w:t xml:space="preserve">30238.99 </w:t>
            </w:r>
          </w:p>
        </w:tc>
        <w:tc>
          <w:tcPr>
            <w:tcW w:w="1063" w:type="dxa"/>
            <w:vMerge w:val="continue"/>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color w:val="auto"/>
                <w:sz w:val="21"/>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jc w:val="center"/>
        </w:trPr>
        <w:tc>
          <w:tcPr>
            <w:tcW w:w="638"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cs="黑体"/>
                <w:b w:val="0"/>
                <w:bCs/>
                <w:color w:val="auto"/>
                <w:sz w:val="21"/>
                <w:szCs w:val="24"/>
                <w:highlight w:val="none"/>
              </w:rPr>
            </w:pPr>
            <w:r>
              <w:rPr>
                <w:rFonts w:hint="eastAsia" w:ascii="仿宋" w:hAnsi="仿宋" w:cs="黑体"/>
                <w:b w:val="0"/>
                <w:bCs/>
                <w:color w:val="auto"/>
                <w:sz w:val="21"/>
                <w:szCs w:val="24"/>
                <w:highlight w:val="none"/>
                <w:lang w:val="en-US" w:eastAsia="zh-CN"/>
              </w:rPr>
              <w:t>五</w:t>
            </w:r>
          </w:p>
        </w:tc>
        <w:tc>
          <w:tcPr>
            <w:tcW w:w="2824"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cs="黑体"/>
                <w:b w:val="0"/>
                <w:bCs/>
                <w:color w:val="auto"/>
                <w:sz w:val="21"/>
                <w:szCs w:val="24"/>
                <w:highlight w:val="none"/>
              </w:rPr>
            </w:pPr>
            <w:r>
              <w:rPr>
                <w:rFonts w:hint="eastAsia" w:ascii="仿宋" w:hAnsi="仿宋" w:cs="黑体"/>
                <w:b w:val="0"/>
                <w:bCs/>
                <w:color w:val="auto"/>
                <w:sz w:val="21"/>
                <w:szCs w:val="24"/>
                <w:highlight w:val="none"/>
                <w:lang w:val="en-US" w:eastAsia="zh-CN"/>
              </w:rPr>
              <w:t>中小型水利工程建设</w:t>
            </w:r>
          </w:p>
        </w:tc>
        <w:tc>
          <w:tcPr>
            <w:tcW w:w="1457"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val="0"/>
                <w:bCs/>
                <w:color w:val="auto"/>
                <w:sz w:val="21"/>
                <w:szCs w:val="24"/>
                <w:highlight w:val="none"/>
                <w:lang w:val="en-US" w:eastAsia="zh-CN"/>
              </w:rPr>
            </w:pPr>
            <w:r>
              <w:rPr>
                <w:rFonts w:hint="default" w:ascii="仿宋" w:hAnsi="仿宋" w:cs="黑体"/>
                <w:b w:val="0"/>
                <w:bCs/>
                <w:color w:val="auto"/>
                <w:sz w:val="21"/>
                <w:szCs w:val="24"/>
                <w:highlight w:val="none"/>
                <w:lang w:val="en-US" w:eastAsia="zh-CN"/>
              </w:rPr>
              <w:t xml:space="preserve">200035.44 </w:t>
            </w:r>
          </w:p>
        </w:tc>
        <w:tc>
          <w:tcPr>
            <w:tcW w:w="1275"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val="0"/>
                <w:bCs/>
                <w:color w:val="auto"/>
                <w:sz w:val="21"/>
                <w:szCs w:val="24"/>
                <w:highlight w:val="none"/>
                <w:lang w:val="en-US" w:eastAsia="zh-CN"/>
              </w:rPr>
            </w:pPr>
            <w:r>
              <w:rPr>
                <w:rFonts w:hint="default" w:ascii="仿宋" w:hAnsi="仿宋" w:cs="黑体"/>
                <w:b w:val="0"/>
                <w:bCs/>
                <w:color w:val="auto"/>
                <w:sz w:val="21"/>
                <w:szCs w:val="24"/>
                <w:highlight w:val="none"/>
                <w:lang w:val="en-US" w:eastAsia="zh-CN"/>
              </w:rPr>
              <w:t xml:space="preserve">189471.44 </w:t>
            </w:r>
          </w:p>
        </w:tc>
        <w:tc>
          <w:tcPr>
            <w:tcW w:w="1169"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val="0"/>
                <w:bCs/>
                <w:color w:val="auto"/>
                <w:sz w:val="21"/>
                <w:szCs w:val="24"/>
                <w:highlight w:val="none"/>
                <w:lang w:val="en-US" w:eastAsia="zh-CN"/>
              </w:rPr>
            </w:pPr>
            <w:r>
              <w:rPr>
                <w:rFonts w:hint="default" w:ascii="仿宋" w:hAnsi="仿宋" w:cs="黑体"/>
                <w:b w:val="0"/>
                <w:bCs/>
                <w:color w:val="auto"/>
                <w:sz w:val="21"/>
                <w:szCs w:val="24"/>
                <w:highlight w:val="none"/>
                <w:lang w:val="en-US" w:eastAsia="zh-CN"/>
              </w:rPr>
              <w:t xml:space="preserve">10564.00 </w:t>
            </w:r>
          </w:p>
        </w:tc>
        <w:tc>
          <w:tcPr>
            <w:tcW w:w="1063" w:type="dxa"/>
            <w:vMerge w:val="continue"/>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color w:val="auto"/>
                <w:sz w:val="21"/>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jc w:val="center"/>
        </w:trPr>
        <w:tc>
          <w:tcPr>
            <w:tcW w:w="638"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cs="黑体"/>
                <w:b w:val="0"/>
                <w:bCs/>
                <w:color w:val="auto"/>
                <w:sz w:val="21"/>
                <w:szCs w:val="24"/>
                <w:highlight w:val="none"/>
              </w:rPr>
            </w:pPr>
            <w:r>
              <w:rPr>
                <w:rFonts w:hint="eastAsia" w:ascii="仿宋" w:hAnsi="仿宋" w:cs="黑体"/>
                <w:b w:val="0"/>
                <w:bCs/>
                <w:color w:val="auto"/>
                <w:sz w:val="21"/>
                <w:szCs w:val="24"/>
                <w:highlight w:val="none"/>
                <w:lang w:val="en-US" w:eastAsia="zh-CN"/>
              </w:rPr>
              <w:t>六</w:t>
            </w:r>
          </w:p>
        </w:tc>
        <w:tc>
          <w:tcPr>
            <w:tcW w:w="2824"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cs="黑体"/>
                <w:b w:val="0"/>
                <w:bCs/>
                <w:color w:val="auto"/>
                <w:sz w:val="21"/>
                <w:szCs w:val="24"/>
                <w:highlight w:val="none"/>
              </w:rPr>
            </w:pPr>
            <w:r>
              <w:rPr>
                <w:rFonts w:hint="eastAsia" w:ascii="仿宋" w:hAnsi="仿宋" w:cs="黑体"/>
                <w:b w:val="0"/>
                <w:bCs/>
                <w:color w:val="auto"/>
                <w:sz w:val="21"/>
                <w:szCs w:val="24"/>
                <w:highlight w:val="none"/>
                <w:lang w:val="en-US" w:eastAsia="zh-CN"/>
              </w:rPr>
              <w:t>县乡村三级物流体系建设</w:t>
            </w:r>
          </w:p>
        </w:tc>
        <w:tc>
          <w:tcPr>
            <w:tcW w:w="1457"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val="0"/>
                <w:bCs/>
                <w:color w:val="auto"/>
                <w:sz w:val="21"/>
                <w:szCs w:val="24"/>
                <w:highlight w:val="none"/>
                <w:lang w:val="en-US" w:eastAsia="zh-CN"/>
              </w:rPr>
            </w:pPr>
            <w:r>
              <w:rPr>
                <w:rFonts w:hint="default" w:ascii="仿宋" w:hAnsi="仿宋" w:cs="黑体"/>
                <w:b w:val="0"/>
                <w:bCs/>
                <w:color w:val="auto"/>
                <w:sz w:val="21"/>
                <w:szCs w:val="24"/>
                <w:highlight w:val="none"/>
                <w:lang w:val="en-US" w:eastAsia="zh-CN"/>
              </w:rPr>
              <w:t xml:space="preserve">13418.00 </w:t>
            </w:r>
          </w:p>
        </w:tc>
        <w:tc>
          <w:tcPr>
            <w:tcW w:w="1275"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val="0"/>
                <w:bCs/>
                <w:color w:val="auto"/>
                <w:sz w:val="21"/>
                <w:szCs w:val="24"/>
                <w:highlight w:val="none"/>
                <w:lang w:val="en-US" w:eastAsia="zh-CN"/>
              </w:rPr>
            </w:pPr>
            <w:r>
              <w:rPr>
                <w:rFonts w:hint="default" w:ascii="仿宋" w:hAnsi="仿宋" w:cs="黑体"/>
                <w:b w:val="0"/>
                <w:bCs/>
                <w:color w:val="auto"/>
                <w:sz w:val="21"/>
                <w:szCs w:val="24"/>
                <w:highlight w:val="none"/>
                <w:lang w:val="en-US" w:eastAsia="zh-CN"/>
              </w:rPr>
              <w:t xml:space="preserve">8794.00 </w:t>
            </w:r>
          </w:p>
        </w:tc>
        <w:tc>
          <w:tcPr>
            <w:tcW w:w="1169"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val="0"/>
                <w:bCs/>
                <w:color w:val="auto"/>
                <w:sz w:val="21"/>
                <w:szCs w:val="24"/>
                <w:highlight w:val="none"/>
                <w:lang w:val="en-US" w:eastAsia="zh-CN"/>
              </w:rPr>
            </w:pPr>
            <w:r>
              <w:rPr>
                <w:rFonts w:hint="default" w:ascii="仿宋" w:hAnsi="仿宋" w:cs="黑体"/>
                <w:b w:val="0"/>
                <w:bCs/>
                <w:color w:val="auto"/>
                <w:sz w:val="21"/>
                <w:szCs w:val="24"/>
                <w:highlight w:val="none"/>
                <w:lang w:val="en-US" w:eastAsia="zh-CN"/>
              </w:rPr>
              <w:t xml:space="preserve">4624.00 </w:t>
            </w:r>
          </w:p>
        </w:tc>
        <w:tc>
          <w:tcPr>
            <w:tcW w:w="1063" w:type="dxa"/>
            <w:vMerge w:val="continue"/>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color w:val="auto"/>
                <w:sz w:val="21"/>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jc w:val="center"/>
        </w:trPr>
        <w:tc>
          <w:tcPr>
            <w:tcW w:w="638"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cs="黑体"/>
                <w:b w:val="0"/>
                <w:bCs/>
                <w:color w:val="auto"/>
                <w:sz w:val="21"/>
                <w:szCs w:val="24"/>
                <w:highlight w:val="none"/>
              </w:rPr>
            </w:pPr>
            <w:r>
              <w:rPr>
                <w:rFonts w:hint="eastAsia" w:ascii="仿宋" w:hAnsi="仿宋" w:cs="黑体"/>
                <w:b w:val="0"/>
                <w:bCs/>
                <w:color w:val="auto"/>
                <w:sz w:val="21"/>
                <w:szCs w:val="24"/>
                <w:highlight w:val="none"/>
                <w:lang w:val="en-US" w:eastAsia="zh-CN"/>
              </w:rPr>
              <w:t>七</w:t>
            </w:r>
          </w:p>
        </w:tc>
        <w:tc>
          <w:tcPr>
            <w:tcW w:w="2824"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cs="黑体"/>
                <w:b w:val="0"/>
                <w:bCs/>
                <w:color w:val="auto"/>
                <w:sz w:val="21"/>
                <w:szCs w:val="24"/>
                <w:highlight w:val="none"/>
              </w:rPr>
            </w:pPr>
            <w:r>
              <w:rPr>
                <w:rFonts w:hint="eastAsia" w:ascii="仿宋" w:hAnsi="仿宋" w:cs="黑体"/>
                <w:b w:val="0"/>
                <w:bCs/>
                <w:color w:val="auto"/>
                <w:sz w:val="21"/>
                <w:szCs w:val="24"/>
                <w:highlight w:val="none"/>
                <w:lang w:val="en-US" w:eastAsia="zh-CN"/>
              </w:rPr>
              <w:t>电网建设和乡村电气化提升工程</w:t>
            </w:r>
          </w:p>
        </w:tc>
        <w:tc>
          <w:tcPr>
            <w:tcW w:w="1457"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val="0"/>
                <w:bCs/>
                <w:color w:val="auto"/>
                <w:sz w:val="21"/>
                <w:szCs w:val="24"/>
                <w:highlight w:val="none"/>
                <w:lang w:val="en-US" w:eastAsia="zh-CN"/>
              </w:rPr>
            </w:pPr>
            <w:r>
              <w:rPr>
                <w:rFonts w:hint="default" w:ascii="仿宋" w:hAnsi="仿宋" w:cs="黑体"/>
                <w:b w:val="0"/>
                <w:bCs/>
                <w:color w:val="auto"/>
                <w:sz w:val="21"/>
                <w:szCs w:val="24"/>
                <w:highlight w:val="none"/>
                <w:lang w:val="en-US" w:eastAsia="zh-CN"/>
              </w:rPr>
              <w:t xml:space="preserve">89927.24 </w:t>
            </w:r>
          </w:p>
        </w:tc>
        <w:tc>
          <w:tcPr>
            <w:tcW w:w="1275"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val="0"/>
                <w:bCs/>
                <w:color w:val="auto"/>
                <w:sz w:val="21"/>
                <w:szCs w:val="24"/>
                <w:highlight w:val="none"/>
                <w:lang w:val="en-US" w:eastAsia="zh-CN"/>
              </w:rPr>
            </w:pPr>
            <w:r>
              <w:rPr>
                <w:rFonts w:hint="default" w:ascii="仿宋" w:hAnsi="仿宋" w:cs="黑体"/>
                <w:b w:val="0"/>
                <w:bCs/>
                <w:color w:val="auto"/>
                <w:sz w:val="21"/>
                <w:szCs w:val="24"/>
                <w:highlight w:val="none"/>
                <w:lang w:val="en-US" w:eastAsia="zh-CN"/>
              </w:rPr>
              <w:t xml:space="preserve">50595.70 </w:t>
            </w:r>
          </w:p>
        </w:tc>
        <w:tc>
          <w:tcPr>
            <w:tcW w:w="1169"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val="0"/>
                <w:bCs/>
                <w:color w:val="auto"/>
                <w:sz w:val="21"/>
                <w:szCs w:val="24"/>
                <w:highlight w:val="none"/>
                <w:lang w:val="en-US" w:eastAsia="zh-CN"/>
              </w:rPr>
            </w:pPr>
            <w:r>
              <w:rPr>
                <w:rFonts w:hint="default" w:ascii="仿宋" w:hAnsi="仿宋" w:cs="黑体"/>
                <w:b w:val="0"/>
                <w:bCs/>
                <w:color w:val="auto"/>
                <w:sz w:val="21"/>
                <w:szCs w:val="24"/>
                <w:highlight w:val="none"/>
                <w:lang w:val="en-US" w:eastAsia="zh-CN"/>
              </w:rPr>
              <w:t xml:space="preserve">39331.54 </w:t>
            </w:r>
          </w:p>
        </w:tc>
        <w:tc>
          <w:tcPr>
            <w:tcW w:w="1063" w:type="dxa"/>
            <w:vMerge w:val="continue"/>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color w:val="auto"/>
                <w:sz w:val="21"/>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jc w:val="center"/>
        </w:trPr>
        <w:tc>
          <w:tcPr>
            <w:tcW w:w="3462" w:type="dxa"/>
            <w:gridSpan w:val="2"/>
            <w:shd w:val="clear" w:color="auto" w:fill="FFFFFF"/>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cs="黑体"/>
                <w:b/>
                <w:color w:val="auto"/>
                <w:sz w:val="21"/>
                <w:szCs w:val="24"/>
                <w:highlight w:val="none"/>
              </w:rPr>
            </w:pPr>
            <w:r>
              <w:rPr>
                <w:rFonts w:hint="eastAsia" w:ascii="仿宋" w:hAnsi="仿宋" w:cs="黑体"/>
                <w:b/>
                <w:color w:val="auto"/>
                <w:sz w:val="21"/>
                <w:szCs w:val="24"/>
                <w:highlight w:val="none"/>
                <w:lang w:val="en-US" w:eastAsia="zh-CN"/>
              </w:rPr>
              <w:t>三、公共服务</w:t>
            </w:r>
          </w:p>
        </w:tc>
        <w:tc>
          <w:tcPr>
            <w:tcW w:w="1457"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bCs w:val="0"/>
                <w:color w:val="auto"/>
                <w:sz w:val="21"/>
                <w:szCs w:val="24"/>
                <w:highlight w:val="none"/>
                <w:lang w:val="en-US" w:eastAsia="zh-CN"/>
              </w:rPr>
            </w:pPr>
            <w:r>
              <w:rPr>
                <w:rFonts w:hint="default" w:ascii="仿宋" w:hAnsi="仿宋" w:cs="黑体"/>
                <w:b/>
                <w:bCs w:val="0"/>
                <w:color w:val="auto"/>
                <w:sz w:val="21"/>
                <w:szCs w:val="24"/>
                <w:highlight w:val="none"/>
                <w:lang w:val="en-US" w:eastAsia="zh-CN"/>
              </w:rPr>
              <w:t xml:space="preserve">1214566.64 </w:t>
            </w:r>
          </w:p>
        </w:tc>
        <w:tc>
          <w:tcPr>
            <w:tcW w:w="1275"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bCs w:val="0"/>
                <w:color w:val="auto"/>
                <w:sz w:val="21"/>
                <w:szCs w:val="24"/>
                <w:highlight w:val="none"/>
                <w:lang w:val="en-US" w:eastAsia="zh-CN"/>
              </w:rPr>
            </w:pPr>
            <w:r>
              <w:rPr>
                <w:rFonts w:hint="default" w:ascii="仿宋" w:hAnsi="仿宋" w:cs="黑体"/>
                <w:b/>
                <w:bCs w:val="0"/>
                <w:color w:val="auto"/>
                <w:sz w:val="21"/>
                <w:szCs w:val="24"/>
                <w:highlight w:val="none"/>
                <w:lang w:val="en-US" w:eastAsia="zh-CN"/>
              </w:rPr>
              <w:t xml:space="preserve">957770.91 </w:t>
            </w:r>
          </w:p>
        </w:tc>
        <w:tc>
          <w:tcPr>
            <w:tcW w:w="1169"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bCs w:val="0"/>
                <w:color w:val="auto"/>
                <w:sz w:val="21"/>
                <w:szCs w:val="24"/>
                <w:highlight w:val="none"/>
                <w:lang w:val="en-US" w:eastAsia="zh-CN"/>
              </w:rPr>
            </w:pPr>
            <w:r>
              <w:rPr>
                <w:rFonts w:hint="default" w:ascii="仿宋" w:hAnsi="仿宋" w:cs="黑体"/>
                <w:b/>
                <w:bCs w:val="0"/>
                <w:color w:val="auto"/>
                <w:sz w:val="21"/>
                <w:szCs w:val="24"/>
                <w:highlight w:val="none"/>
                <w:lang w:val="en-US" w:eastAsia="zh-CN"/>
              </w:rPr>
              <w:t xml:space="preserve">256795.73 </w:t>
            </w:r>
          </w:p>
        </w:tc>
        <w:tc>
          <w:tcPr>
            <w:tcW w:w="1063" w:type="dxa"/>
            <w:vMerge w:val="restart"/>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color w:val="auto"/>
                <w:sz w:val="21"/>
                <w:szCs w:val="24"/>
                <w:highlight w:val="none"/>
              </w:rPr>
            </w:pPr>
            <w:r>
              <w:rPr>
                <w:rFonts w:hint="eastAsia" w:ascii="仿宋" w:hAnsi="仿宋" w:cs="黑体"/>
                <w:b/>
                <w:color w:val="auto"/>
                <w:sz w:val="21"/>
                <w:szCs w:val="24"/>
                <w:highlight w:val="none"/>
                <w:lang w:val="en-US" w:eastAsia="zh-CN"/>
              </w:rPr>
              <w:t>24.80</w:t>
            </w:r>
            <w:r>
              <w:rPr>
                <w:rFonts w:hint="default" w:ascii="仿宋" w:hAnsi="仿宋" w:cs="黑体"/>
                <w:b/>
                <w:color w:val="auto"/>
                <w:sz w:val="21"/>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jc w:val="center"/>
        </w:trPr>
        <w:tc>
          <w:tcPr>
            <w:tcW w:w="638"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cs="黑体"/>
                <w:b w:val="0"/>
                <w:bCs/>
                <w:color w:val="auto"/>
                <w:sz w:val="21"/>
                <w:szCs w:val="24"/>
                <w:highlight w:val="none"/>
              </w:rPr>
            </w:pPr>
            <w:r>
              <w:rPr>
                <w:rFonts w:hint="eastAsia" w:ascii="仿宋" w:hAnsi="仿宋" w:cs="黑体"/>
                <w:b w:val="0"/>
                <w:bCs/>
                <w:color w:val="auto"/>
                <w:sz w:val="21"/>
                <w:szCs w:val="24"/>
                <w:highlight w:val="none"/>
                <w:lang w:val="en-US" w:eastAsia="zh-CN"/>
              </w:rPr>
              <w:t>一</w:t>
            </w:r>
          </w:p>
        </w:tc>
        <w:tc>
          <w:tcPr>
            <w:tcW w:w="2824"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cs="黑体"/>
                <w:b w:val="0"/>
                <w:bCs/>
                <w:color w:val="auto"/>
                <w:sz w:val="21"/>
                <w:szCs w:val="24"/>
                <w:highlight w:val="none"/>
              </w:rPr>
            </w:pPr>
            <w:r>
              <w:rPr>
                <w:rFonts w:hint="eastAsia" w:ascii="仿宋" w:hAnsi="仿宋" w:cs="黑体"/>
                <w:b w:val="0"/>
                <w:bCs/>
                <w:color w:val="auto"/>
                <w:sz w:val="21"/>
                <w:szCs w:val="24"/>
                <w:highlight w:val="none"/>
                <w:lang w:val="en-US" w:eastAsia="zh-CN"/>
              </w:rPr>
              <w:t>教育</w:t>
            </w:r>
          </w:p>
        </w:tc>
        <w:tc>
          <w:tcPr>
            <w:tcW w:w="1457"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val="0"/>
                <w:bCs/>
                <w:color w:val="auto"/>
                <w:sz w:val="21"/>
                <w:szCs w:val="24"/>
                <w:highlight w:val="none"/>
                <w:lang w:val="en-US" w:eastAsia="zh-CN"/>
              </w:rPr>
            </w:pPr>
            <w:r>
              <w:rPr>
                <w:rFonts w:hint="default" w:ascii="仿宋" w:hAnsi="仿宋" w:cs="黑体"/>
                <w:b w:val="0"/>
                <w:bCs/>
                <w:color w:val="auto"/>
                <w:sz w:val="21"/>
                <w:szCs w:val="24"/>
                <w:highlight w:val="none"/>
                <w:lang w:val="en-US" w:eastAsia="zh-CN"/>
              </w:rPr>
              <w:t xml:space="preserve">322118.08 </w:t>
            </w:r>
          </w:p>
        </w:tc>
        <w:tc>
          <w:tcPr>
            <w:tcW w:w="1275"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val="0"/>
                <w:bCs/>
                <w:color w:val="auto"/>
                <w:sz w:val="21"/>
                <w:szCs w:val="24"/>
                <w:highlight w:val="none"/>
                <w:lang w:val="en-US" w:eastAsia="zh-CN"/>
              </w:rPr>
            </w:pPr>
            <w:r>
              <w:rPr>
                <w:rFonts w:hint="default" w:ascii="仿宋" w:hAnsi="仿宋" w:cs="黑体"/>
                <w:b w:val="0"/>
                <w:bCs/>
                <w:color w:val="auto"/>
                <w:sz w:val="21"/>
                <w:szCs w:val="24"/>
                <w:highlight w:val="none"/>
                <w:lang w:val="en-US" w:eastAsia="zh-CN"/>
              </w:rPr>
              <w:t xml:space="preserve">229090.77 </w:t>
            </w:r>
          </w:p>
        </w:tc>
        <w:tc>
          <w:tcPr>
            <w:tcW w:w="1169"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val="0"/>
                <w:bCs/>
                <w:color w:val="auto"/>
                <w:sz w:val="21"/>
                <w:szCs w:val="24"/>
                <w:highlight w:val="none"/>
                <w:lang w:val="en-US" w:eastAsia="zh-CN"/>
              </w:rPr>
            </w:pPr>
            <w:r>
              <w:rPr>
                <w:rFonts w:hint="default" w:ascii="仿宋" w:hAnsi="仿宋" w:cs="黑体"/>
                <w:b w:val="0"/>
                <w:bCs/>
                <w:color w:val="auto"/>
                <w:sz w:val="21"/>
                <w:szCs w:val="24"/>
                <w:highlight w:val="none"/>
                <w:lang w:val="en-US" w:eastAsia="zh-CN"/>
              </w:rPr>
              <w:t xml:space="preserve">93027.31 </w:t>
            </w:r>
          </w:p>
        </w:tc>
        <w:tc>
          <w:tcPr>
            <w:tcW w:w="1063" w:type="dxa"/>
            <w:vMerge w:val="continue"/>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color w:val="auto"/>
                <w:sz w:val="21"/>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jc w:val="center"/>
        </w:trPr>
        <w:tc>
          <w:tcPr>
            <w:tcW w:w="638"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cs="黑体"/>
                <w:b w:val="0"/>
                <w:bCs/>
                <w:color w:val="auto"/>
                <w:sz w:val="21"/>
                <w:szCs w:val="24"/>
                <w:highlight w:val="none"/>
              </w:rPr>
            </w:pPr>
            <w:r>
              <w:rPr>
                <w:rFonts w:hint="eastAsia" w:ascii="仿宋" w:hAnsi="仿宋" w:cs="黑体"/>
                <w:b w:val="0"/>
                <w:bCs/>
                <w:color w:val="auto"/>
                <w:sz w:val="21"/>
                <w:szCs w:val="24"/>
                <w:highlight w:val="none"/>
                <w:lang w:val="en-US" w:eastAsia="zh-CN"/>
              </w:rPr>
              <w:t>二</w:t>
            </w:r>
          </w:p>
        </w:tc>
        <w:tc>
          <w:tcPr>
            <w:tcW w:w="2824"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cs="黑体"/>
                <w:b w:val="0"/>
                <w:bCs/>
                <w:color w:val="auto"/>
                <w:sz w:val="21"/>
                <w:szCs w:val="24"/>
                <w:highlight w:val="none"/>
              </w:rPr>
            </w:pPr>
            <w:r>
              <w:rPr>
                <w:rFonts w:hint="eastAsia" w:ascii="仿宋" w:hAnsi="仿宋" w:cs="黑体"/>
                <w:b w:val="0"/>
                <w:bCs/>
                <w:color w:val="auto"/>
                <w:sz w:val="21"/>
                <w:szCs w:val="24"/>
                <w:highlight w:val="none"/>
                <w:lang w:val="en-US" w:eastAsia="zh-CN"/>
              </w:rPr>
              <w:t>医疗</w:t>
            </w:r>
          </w:p>
        </w:tc>
        <w:tc>
          <w:tcPr>
            <w:tcW w:w="1457"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val="0"/>
                <w:bCs/>
                <w:color w:val="auto"/>
                <w:sz w:val="21"/>
                <w:szCs w:val="24"/>
                <w:highlight w:val="none"/>
                <w:lang w:val="en-US" w:eastAsia="zh-CN"/>
              </w:rPr>
            </w:pPr>
            <w:r>
              <w:rPr>
                <w:rFonts w:hint="default" w:ascii="仿宋" w:hAnsi="仿宋" w:cs="黑体"/>
                <w:b w:val="0"/>
                <w:bCs/>
                <w:color w:val="auto"/>
                <w:sz w:val="21"/>
                <w:szCs w:val="24"/>
                <w:highlight w:val="none"/>
                <w:lang w:val="en-US" w:eastAsia="zh-CN"/>
              </w:rPr>
              <w:t xml:space="preserve">199893.78 </w:t>
            </w:r>
          </w:p>
        </w:tc>
        <w:tc>
          <w:tcPr>
            <w:tcW w:w="1275"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val="0"/>
                <w:bCs/>
                <w:color w:val="auto"/>
                <w:sz w:val="21"/>
                <w:szCs w:val="24"/>
                <w:highlight w:val="none"/>
                <w:lang w:val="en-US" w:eastAsia="zh-CN"/>
              </w:rPr>
            </w:pPr>
            <w:r>
              <w:rPr>
                <w:rFonts w:hint="default" w:ascii="仿宋" w:hAnsi="仿宋" w:cs="黑体"/>
                <w:b w:val="0"/>
                <w:bCs/>
                <w:color w:val="auto"/>
                <w:sz w:val="21"/>
                <w:szCs w:val="24"/>
                <w:highlight w:val="none"/>
                <w:lang w:val="en-US" w:eastAsia="zh-CN"/>
              </w:rPr>
              <w:t xml:space="preserve">164009.45 </w:t>
            </w:r>
          </w:p>
        </w:tc>
        <w:tc>
          <w:tcPr>
            <w:tcW w:w="1169"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val="0"/>
                <w:bCs/>
                <w:color w:val="auto"/>
                <w:sz w:val="21"/>
                <w:szCs w:val="24"/>
                <w:highlight w:val="none"/>
                <w:lang w:val="en-US" w:eastAsia="zh-CN"/>
              </w:rPr>
            </w:pPr>
            <w:r>
              <w:rPr>
                <w:rFonts w:hint="default" w:ascii="仿宋" w:hAnsi="仿宋" w:cs="黑体"/>
                <w:b w:val="0"/>
                <w:bCs/>
                <w:color w:val="auto"/>
                <w:sz w:val="21"/>
                <w:szCs w:val="24"/>
                <w:highlight w:val="none"/>
                <w:lang w:val="en-US" w:eastAsia="zh-CN"/>
              </w:rPr>
              <w:t xml:space="preserve">35884.33 </w:t>
            </w:r>
          </w:p>
        </w:tc>
        <w:tc>
          <w:tcPr>
            <w:tcW w:w="1063" w:type="dxa"/>
            <w:vMerge w:val="continue"/>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color w:val="auto"/>
                <w:sz w:val="21"/>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jc w:val="center"/>
        </w:trPr>
        <w:tc>
          <w:tcPr>
            <w:tcW w:w="638"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cs="黑体"/>
                <w:b w:val="0"/>
                <w:bCs/>
                <w:color w:val="auto"/>
                <w:sz w:val="21"/>
                <w:szCs w:val="24"/>
                <w:highlight w:val="none"/>
              </w:rPr>
            </w:pPr>
            <w:r>
              <w:rPr>
                <w:rFonts w:hint="eastAsia" w:ascii="仿宋" w:hAnsi="仿宋" w:cs="黑体"/>
                <w:b w:val="0"/>
                <w:bCs/>
                <w:color w:val="auto"/>
                <w:sz w:val="21"/>
                <w:szCs w:val="24"/>
                <w:highlight w:val="none"/>
                <w:lang w:val="en-US" w:eastAsia="zh-CN"/>
              </w:rPr>
              <w:t>三</w:t>
            </w:r>
          </w:p>
        </w:tc>
        <w:tc>
          <w:tcPr>
            <w:tcW w:w="2824"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cs="黑体"/>
                <w:b w:val="0"/>
                <w:bCs/>
                <w:color w:val="auto"/>
                <w:sz w:val="21"/>
                <w:szCs w:val="24"/>
                <w:highlight w:val="none"/>
              </w:rPr>
            </w:pPr>
            <w:r>
              <w:rPr>
                <w:rFonts w:hint="eastAsia" w:ascii="仿宋" w:hAnsi="仿宋" w:cs="黑体"/>
                <w:b w:val="0"/>
                <w:bCs/>
                <w:color w:val="auto"/>
                <w:sz w:val="21"/>
                <w:szCs w:val="24"/>
                <w:highlight w:val="none"/>
                <w:lang w:val="en-US" w:eastAsia="zh-CN"/>
              </w:rPr>
              <w:t>住房</w:t>
            </w:r>
          </w:p>
        </w:tc>
        <w:tc>
          <w:tcPr>
            <w:tcW w:w="1457"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val="0"/>
                <w:bCs/>
                <w:color w:val="auto"/>
                <w:sz w:val="21"/>
                <w:szCs w:val="24"/>
                <w:highlight w:val="none"/>
                <w:lang w:val="en-US" w:eastAsia="zh-CN"/>
              </w:rPr>
            </w:pPr>
            <w:r>
              <w:rPr>
                <w:rFonts w:hint="default" w:ascii="仿宋" w:hAnsi="仿宋" w:cs="黑体"/>
                <w:b w:val="0"/>
                <w:bCs/>
                <w:color w:val="auto"/>
                <w:sz w:val="21"/>
                <w:szCs w:val="24"/>
                <w:highlight w:val="none"/>
                <w:lang w:val="en-US" w:eastAsia="zh-CN"/>
              </w:rPr>
              <w:t xml:space="preserve">65234.70 </w:t>
            </w:r>
          </w:p>
        </w:tc>
        <w:tc>
          <w:tcPr>
            <w:tcW w:w="1275"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val="0"/>
                <w:bCs/>
                <w:color w:val="auto"/>
                <w:sz w:val="21"/>
                <w:szCs w:val="24"/>
                <w:highlight w:val="none"/>
                <w:lang w:val="en-US" w:eastAsia="zh-CN"/>
              </w:rPr>
            </w:pPr>
            <w:r>
              <w:rPr>
                <w:rFonts w:hint="default" w:ascii="仿宋" w:hAnsi="仿宋" w:cs="黑体"/>
                <w:b w:val="0"/>
                <w:bCs/>
                <w:color w:val="auto"/>
                <w:sz w:val="21"/>
                <w:szCs w:val="24"/>
                <w:highlight w:val="none"/>
                <w:lang w:val="en-US" w:eastAsia="zh-CN"/>
              </w:rPr>
              <w:t xml:space="preserve">49774.70 </w:t>
            </w:r>
          </w:p>
        </w:tc>
        <w:tc>
          <w:tcPr>
            <w:tcW w:w="1169"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val="0"/>
                <w:bCs/>
                <w:color w:val="auto"/>
                <w:sz w:val="21"/>
                <w:szCs w:val="24"/>
                <w:highlight w:val="none"/>
                <w:lang w:val="en-US" w:eastAsia="zh-CN"/>
              </w:rPr>
            </w:pPr>
            <w:r>
              <w:rPr>
                <w:rFonts w:hint="default" w:ascii="仿宋" w:hAnsi="仿宋" w:cs="黑体"/>
                <w:b w:val="0"/>
                <w:bCs/>
                <w:color w:val="auto"/>
                <w:sz w:val="21"/>
                <w:szCs w:val="24"/>
                <w:highlight w:val="none"/>
                <w:lang w:val="en-US" w:eastAsia="zh-CN"/>
              </w:rPr>
              <w:t xml:space="preserve">15460.00 </w:t>
            </w:r>
          </w:p>
        </w:tc>
        <w:tc>
          <w:tcPr>
            <w:tcW w:w="1063" w:type="dxa"/>
            <w:vMerge w:val="continue"/>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color w:val="auto"/>
                <w:sz w:val="21"/>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jc w:val="center"/>
        </w:trPr>
        <w:tc>
          <w:tcPr>
            <w:tcW w:w="638"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cs="黑体"/>
                <w:b w:val="0"/>
                <w:bCs/>
                <w:color w:val="auto"/>
                <w:sz w:val="21"/>
                <w:szCs w:val="24"/>
                <w:highlight w:val="none"/>
              </w:rPr>
            </w:pPr>
            <w:r>
              <w:rPr>
                <w:rFonts w:hint="eastAsia" w:ascii="仿宋" w:hAnsi="仿宋" w:cs="黑体"/>
                <w:b w:val="0"/>
                <w:bCs/>
                <w:color w:val="auto"/>
                <w:sz w:val="21"/>
                <w:szCs w:val="24"/>
                <w:highlight w:val="none"/>
                <w:lang w:val="en-US" w:eastAsia="zh-CN"/>
              </w:rPr>
              <w:t>四</w:t>
            </w:r>
          </w:p>
        </w:tc>
        <w:tc>
          <w:tcPr>
            <w:tcW w:w="2824"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cs="黑体"/>
                <w:b w:val="0"/>
                <w:bCs/>
                <w:color w:val="auto"/>
                <w:sz w:val="21"/>
                <w:szCs w:val="24"/>
                <w:highlight w:val="none"/>
              </w:rPr>
            </w:pPr>
            <w:r>
              <w:rPr>
                <w:rFonts w:hint="eastAsia" w:ascii="仿宋" w:hAnsi="仿宋" w:cs="黑体"/>
                <w:b w:val="0"/>
                <w:bCs/>
                <w:color w:val="auto"/>
                <w:sz w:val="21"/>
                <w:szCs w:val="24"/>
                <w:highlight w:val="none"/>
                <w:lang w:val="en-US" w:eastAsia="zh-CN"/>
              </w:rPr>
              <w:t>饮水安全保障</w:t>
            </w:r>
          </w:p>
        </w:tc>
        <w:tc>
          <w:tcPr>
            <w:tcW w:w="1457"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val="0"/>
                <w:bCs/>
                <w:color w:val="auto"/>
                <w:sz w:val="21"/>
                <w:szCs w:val="24"/>
                <w:highlight w:val="none"/>
                <w:lang w:val="en-US" w:eastAsia="zh-CN"/>
              </w:rPr>
            </w:pPr>
            <w:r>
              <w:rPr>
                <w:rFonts w:hint="default" w:ascii="仿宋" w:hAnsi="仿宋" w:cs="黑体"/>
                <w:b w:val="0"/>
                <w:bCs/>
                <w:color w:val="auto"/>
                <w:sz w:val="21"/>
                <w:szCs w:val="24"/>
                <w:highlight w:val="none"/>
                <w:lang w:val="en-US" w:eastAsia="zh-CN"/>
              </w:rPr>
              <w:t xml:space="preserve">213740.83 </w:t>
            </w:r>
          </w:p>
        </w:tc>
        <w:tc>
          <w:tcPr>
            <w:tcW w:w="1275"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val="0"/>
                <w:bCs/>
                <w:color w:val="auto"/>
                <w:sz w:val="21"/>
                <w:szCs w:val="24"/>
                <w:highlight w:val="none"/>
                <w:lang w:val="en-US" w:eastAsia="zh-CN"/>
              </w:rPr>
            </w:pPr>
            <w:r>
              <w:rPr>
                <w:rFonts w:hint="default" w:ascii="仿宋" w:hAnsi="仿宋" w:cs="黑体"/>
                <w:b w:val="0"/>
                <w:bCs/>
                <w:color w:val="auto"/>
                <w:sz w:val="21"/>
                <w:szCs w:val="24"/>
                <w:highlight w:val="none"/>
                <w:lang w:val="en-US" w:eastAsia="zh-CN"/>
              </w:rPr>
              <w:t xml:space="preserve">187662.72 </w:t>
            </w:r>
          </w:p>
        </w:tc>
        <w:tc>
          <w:tcPr>
            <w:tcW w:w="1169"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val="0"/>
                <w:bCs/>
                <w:color w:val="auto"/>
                <w:sz w:val="21"/>
                <w:szCs w:val="24"/>
                <w:highlight w:val="none"/>
                <w:lang w:val="en-US" w:eastAsia="zh-CN"/>
              </w:rPr>
            </w:pPr>
            <w:r>
              <w:rPr>
                <w:rFonts w:hint="default" w:ascii="仿宋" w:hAnsi="仿宋" w:cs="黑体"/>
                <w:b w:val="0"/>
                <w:bCs/>
                <w:color w:val="auto"/>
                <w:sz w:val="21"/>
                <w:szCs w:val="24"/>
                <w:highlight w:val="none"/>
                <w:lang w:val="en-US" w:eastAsia="zh-CN"/>
              </w:rPr>
              <w:t xml:space="preserve">26078.11 </w:t>
            </w:r>
          </w:p>
        </w:tc>
        <w:tc>
          <w:tcPr>
            <w:tcW w:w="1063" w:type="dxa"/>
            <w:vMerge w:val="continue"/>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color w:val="auto"/>
                <w:sz w:val="21"/>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jc w:val="center"/>
        </w:trPr>
        <w:tc>
          <w:tcPr>
            <w:tcW w:w="638"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cs="黑体"/>
                <w:b w:val="0"/>
                <w:bCs/>
                <w:color w:val="auto"/>
                <w:sz w:val="21"/>
                <w:szCs w:val="24"/>
                <w:highlight w:val="none"/>
              </w:rPr>
            </w:pPr>
            <w:r>
              <w:rPr>
                <w:rFonts w:hint="eastAsia" w:ascii="仿宋" w:hAnsi="仿宋" w:cs="黑体"/>
                <w:b w:val="0"/>
                <w:bCs/>
                <w:color w:val="auto"/>
                <w:sz w:val="21"/>
                <w:szCs w:val="24"/>
                <w:highlight w:val="none"/>
                <w:lang w:val="en-US" w:eastAsia="zh-CN"/>
              </w:rPr>
              <w:t>五</w:t>
            </w:r>
          </w:p>
        </w:tc>
        <w:tc>
          <w:tcPr>
            <w:tcW w:w="2824"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cs="黑体"/>
                <w:b w:val="0"/>
                <w:bCs/>
                <w:color w:val="auto"/>
                <w:sz w:val="21"/>
                <w:szCs w:val="24"/>
                <w:highlight w:val="none"/>
              </w:rPr>
            </w:pPr>
            <w:r>
              <w:rPr>
                <w:rFonts w:hint="eastAsia" w:ascii="仿宋" w:hAnsi="仿宋" w:cs="黑体"/>
                <w:b w:val="0"/>
                <w:bCs/>
                <w:color w:val="auto"/>
                <w:sz w:val="21"/>
                <w:szCs w:val="24"/>
                <w:highlight w:val="none"/>
                <w:lang w:val="en-US" w:eastAsia="zh-CN"/>
              </w:rPr>
              <w:t>综合服务能力和水平</w:t>
            </w:r>
          </w:p>
        </w:tc>
        <w:tc>
          <w:tcPr>
            <w:tcW w:w="1457"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val="0"/>
                <w:bCs/>
                <w:color w:val="auto"/>
                <w:sz w:val="21"/>
                <w:szCs w:val="24"/>
                <w:highlight w:val="none"/>
                <w:lang w:val="en-US" w:eastAsia="zh-CN"/>
              </w:rPr>
            </w:pPr>
            <w:r>
              <w:rPr>
                <w:rFonts w:hint="default" w:ascii="仿宋" w:hAnsi="仿宋" w:cs="黑体"/>
                <w:b w:val="0"/>
                <w:bCs/>
                <w:color w:val="auto"/>
                <w:sz w:val="21"/>
                <w:szCs w:val="24"/>
                <w:highlight w:val="none"/>
                <w:lang w:val="en-US" w:eastAsia="zh-CN"/>
              </w:rPr>
              <w:t xml:space="preserve">123000.67 </w:t>
            </w:r>
          </w:p>
        </w:tc>
        <w:tc>
          <w:tcPr>
            <w:tcW w:w="1275"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val="0"/>
                <w:bCs/>
                <w:color w:val="auto"/>
                <w:sz w:val="21"/>
                <w:szCs w:val="24"/>
                <w:highlight w:val="none"/>
                <w:lang w:val="en-US" w:eastAsia="zh-CN"/>
              </w:rPr>
            </w:pPr>
            <w:r>
              <w:rPr>
                <w:rFonts w:hint="default" w:ascii="仿宋" w:hAnsi="仿宋" w:cs="黑体"/>
                <w:b w:val="0"/>
                <w:bCs/>
                <w:color w:val="auto"/>
                <w:sz w:val="21"/>
                <w:szCs w:val="24"/>
                <w:highlight w:val="none"/>
                <w:lang w:val="en-US" w:eastAsia="zh-CN"/>
              </w:rPr>
              <w:t xml:space="preserve">81023.64 </w:t>
            </w:r>
          </w:p>
        </w:tc>
        <w:tc>
          <w:tcPr>
            <w:tcW w:w="1169"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val="0"/>
                <w:bCs/>
                <w:color w:val="auto"/>
                <w:sz w:val="21"/>
                <w:szCs w:val="24"/>
                <w:highlight w:val="none"/>
                <w:lang w:val="en-US" w:eastAsia="zh-CN"/>
              </w:rPr>
            </w:pPr>
            <w:r>
              <w:rPr>
                <w:rFonts w:hint="default" w:ascii="仿宋" w:hAnsi="仿宋" w:cs="黑体"/>
                <w:b w:val="0"/>
                <w:bCs/>
                <w:color w:val="auto"/>
                <w:sz w:val="21"/>
                <w:szCs w:val="24"/>
                <w:highlight w:val="none"/>
                <w:lang w:val="en-US" w:eastAsia="zh-CN"/>
              </w:rPr>
              <w:t xml:space="preserve">41977.03 </w:t>
            </w:r>
          </w:p>
        </w:tc>
        <w:tc>
          <w:tcPr>
            <w:tcW w:w="1063" w:type="dxa"/>
            <w:vMerge w:val="continue"/>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color w:val="auto"/>
                <w:sz w:val="21"/>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jc w:val="center"/>
        </w:trPr>
        <w:tc>
          <w:tcPr>
            <w:tcW w:w="638"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cs="黑体"/>
                <w:b w:val="0"/>
                <w:bCs/>
                <w:color w:val="auto"/>
                <w:sz w:val="21"/>
                <w:szCs w:val="24"/>
                <w:highlight w:val="none"/>
              </w:rPr>
            </w:pPr>
            <w:r>
              <w:rPr>
                <w:rFonts w:hint="eastAsia" w:ascii="仿宋" w:hAnsi="仿宋" w:cs="黑体"/>
                <w:b w:val="0"/>
                <w:bCs/>
                <w:color w:val="auto"/>
                <w:sz w:val="21"/>
                <w:szCs w:val="24"/>
                <w:highlight w:val="none"/>
                <w:lang w:val="en-US" w:eastAsia="zh-CN"/>
              </w:rPr>
              <w:t>六</w:t>
            </w:r>
          </w:p>
        </w:tc>
        <w:tc>
          <w:tcPr>
            <w:tcW w:w="2824"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cs="黑体"/>
                <w:b w:val="0"/>
                <w:bCs/>
                <w:color w:val="auto"/>
                <w:sz w:val="21"/>
                <w:szCs w:val="24"/>
                <w:highlight w:val="none"/>
              </w:rPr>
            </w:pPr>
            <w:r>
              <w:rPr>
                <w:rFonts w:hint="eastAsia" w:ascii="仿宋" w:hAnsi="仿宋" w:cs="黑体"/>
                <w:b w:val="0"/>
                <w:bCs/>
                <w:color w:val="auto"/>
                <w:sz w:val="21"/>
                <w:szCs w:val="24"/>
                <w:highlight w:val="none"/>
                <w:lang w:val="en-US" w:eastAsia="zh-CN"/>
              </w:rPr>
              <w:t>农村劳动力稳岗就业</w:t>
            </w:r>
          </w:p>
        </w:tc>
        <w:tc>
          <w:tcPr>
            <w:tcW w:w="1457"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val="0"/>
                <w:bCs/>
                <w:color w:val="auto"/>
                <w:sz w:val="21"/>
                <w:szCs w:val="24"/>
                <w:highlight w:val="none"/>
                <w:lang w:val="en-US" w:eastAsia="zh-CN"/>
              </w:rPr>
            </w:pPr>
            <w:r>
              <w:rPr>
                <w:rFonts w:hint="default" w:ascii="仿宋" w:hAnsi="仿宋" w:cs="黑体"/>
                <w:b w:val="0"/>
                <w:bCs/>
                <w:color w:val="auto"/>
                <w:sz w:val="21"/>
                <w:szCs w:val="24"/>
                <w:highlight w:val="none"/>
                <w:lang w:val="en-US" w:eastAsia="zh-CN"/>
              </w:rPr>
              <w:t xml:space="preserve">73796.26 </w:t>
            </w:r>
          </w:p>
        </w:tc>
        <w:tc>
          <w:tcPr>
            <w:tcW w:w="1275"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val="0"/>
                <w:bCs/>
                <w:color w:val="auto"/>
                <w:sz w:val="21"/>
                <w:szCs w:val="24"/>
                <w:highlight w:val="none"/>
                <w:lang w:val="en-US" w:eastAsia="zh-CN"/>
              </w:rPr>
            </w:pPr>
            <w:r>
              <w:rPr>
                <w:rFonts w:hint="default" w:ascii="仿宋" w:hAnsi="仿宋" w:cs="黑体"/>
                <w:b w:val="0"/>
                <w:bCs/>
                <w:color w:val="auto"/>
                <w:sz w:val="21"/>
                <w:szCs w:val="24"/>
                <w:highlight w:val="none"/>
                <w:lang w:val="en-US" w:eastAsia="zh-CN"/>
              </w:rPr>
              <w:t xml:space="preserve">69914.78 </w:t>
            </w:r>
          </w:p>
        </w:tc>
        <w:tc>
          <w:tcPr>
            <w:tcW w:w="1169"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val="0"/>
                <w:bCs/>
                <w:color w:val="auto"/>
                <w:sz w:val="21"/>
                <w:szCs w:val="24"/>
                <w:highlight w:val="none"/>
                <w:lang w:val="en-US" w:eastAsia="zh-CN"/>
              </w:rPr>
            </w:pPr>
            <w:r>
              <w:rPr>
                <w:rFonts w:hint="default" w:ascii="仿宋" w:hAnsi="仿宋" w:cs="黑体"/>
                <w:b w:val="0"/>
                <w:bCs/>
                <w:color w:val="auto"/>
                <w:sz w:val="21"/>
                <w:szCs w:val="24"/>
                <w:highlight w:val="none"/>
                <w:lang w:val="en-US" w:eastAsia="zh-CN"/>
              </w:rPr>
              <w:t xml:space="preserve">3881.48 </w:t>
            </w:r>
          </w:p>
        </w:tc>
        <w:tc>
          <w:tcPr>
            <w:tcW w:w="1063" w:type="dxa"/>
            <w:vMerge w:val="continue"/>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color w:val="auto"/>
                <w:sz w:val="21"/>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jc w:val="center"/>
        </w:trPr>
        <w:tc>
          <w:tcPr>
            <w:tcW w:w="638"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cs="黑体"/>
                <w:b w:val="0"/>
                <w:bCs/>
                <w:color w:val="auto"/>
                <w:sz w:val="21"/>
                <w:szCs w:val="24"/>
                <w:highlight w:val="none"/>
              </w:rPr>
            </w:pPr>
            <w:r>
              <w:rPr>
                <w:rFonts w:hint="eastAsia" w:ascii="仿宋" w:hAnsi="仿宋" w:cs="黑体"/>
                <w:b w:val="0"/>
                <w:bCs/>
                <w:color w:val="auto"/>
                <w:sz w:val="21"/>
                <w:szCs w:val="24"/>
                <w:highlight w:val="none"/>
                <w:lang w:val="en-US" w:eastAsia="zh-CN"/>
              </w:rPr>
              <w:t>七</w:t>
            </w:r>
          </w:p>
        </w:tc>
        <w:tc>
          <w:tcPr>
            <w:tcW w:w="2824"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cs="黑体"/>
                <w:b w:val="0"/>
                <w:bCs/>
                <w:color w:val="auto"/>
                <w:sz w:val="21"/>
                <w:szCs w:val="24"/>
                <w:highlight w:val="none"/>
              </w:rPr>
            </w:pPr>
            <w:r>
              <w:rPr>
                <w:rFonts w:hint="eastAsia" w:ascii="仿宋" w:hAnsi="仿宋" w:cs="黑体"/>
                <w:b w:val="0"/>
                <w:bCs/>
                <w:color w:val="auto"/>
                <w:sz w:val="21"/>
                <w:szCs w:val="24"/>
                <w:highlight w:val="none"/>
                <w:lang w:val="en-US" w:eastAsia="zh-CN"/>
              </w:rPr>
              <w:t>社会保障</w:t>
            </w:r>
          </w:p>
        </w:tc>
        <w:tc>
          <w:tcPr>
            <w:tcW w:w="1457"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val="0"/>
                <w:bCs/>
                <w:color w:val="auto"/>
                <w:sz w:val="21"/>
                <w:szCs w:val="24"/>
                <w:highlight w:val="none"/>
                <w:lang w:val="en-US" w:eastAsia="zh-CN"/>
              </w:rPr>
            </w:pPr>
            <w:r>
              <w:rPr>
                <w:rFonts w:hint="default" w:ascii="仿宋" w:hAnsi="仿宋" w:cs="黑体"/>
                <w:b w:val="0"/>
                <w:bCs/>
                <w:color w:val="auto"/>
                <w:sz w:val="21"/>
                <w:szCs w:val="24"/>
                <w:highlight w:val="none"/>
                <w:lang w:val="en-US" w:eastAsia="zh-CN"/>
              </w:rPr>
              <w:t xml:space="preserve">177152.69 </w:t>
            </w:r>
          </w:p>
        </w:tc>
        <w:tc>
          <w:tcPr>
            <w:tcW w:w="1275"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val="0"/>
                <w:bCs/>
                <w:color w:val="auto"/>
                <w:sz w:val="21"/>
                <w:szCs w:val="24"/>
                <w:highlight w:val="none"/>
                <w:lang w:val="en-US" w:eastAsia="zh-CN"/>
              </w:rPr>
            </w:pPr>
            <w:r>
              <w:rPr>
                <w:rFonts w:hint="default" w:ascii="仿宋" w:hAnsi="仿宋" w:cs="黑体"/>
                <w:b w:val="0"/>
                <w:bCs/>
                <w:color w:val="auto"/>
                <w:sz w:val="21"/>
                <w:szCs w:val="24"/>
                <w:highlight w:val="none"/>
                <w:lang w:val="en-US" w:eastAsia="zh-CN"/>
              </w:rPr>
              <w:t xml:space="preserve">144559.40 </w:t>
            </w:r>
          </w:p>
        </w:tc>
        <w:tc>
          <w:tcPr>
            <w:tcW w:w="1169"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val="0"/>
                <w:bCs/>
                <w:color w:val="auto"/>
                <w:sz w:val="21"/>
                <w:szCs w:val="24"/>
                <w:highlight w:val="none"/>
                <w:lang w:val="en-US" w:eastAsia="zh-CN"/>
              </w:rPr>
            </w:pPr>
            <w:r>
              <w:rPr>
                <w:rFonts w:hint="default" w:ascii="仿宋" w:hAnsi="仿宋" w:cs="黑体"/>
                <w:b w:val="0"/>
                <w:bCs/>
                <w:color w:val="auto"/>
                <w:sz w:val="21"/>
                <w:szCs w:val="24"/>
                <w:highlight w:val="none"/>
                <w:lang w:val="en-US" w:eastAsia="zh-CN"/>
              </w:rPr>
              <w:t xml:space="preserve">32593.29 </w:t>
            </w:r>
          </w:p>
        </w:tc>
        <w:tc>
          <w:tcPr>
            <w:tcW w:w="1063" w:type="dxa"/>
            <w:vMerge w:val="continue"/>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color w:val="auto"/>
                <w:sz w:val="21"/>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jc w:val="center"/>
        </w:trPr>
        <w:tc>
          <w:tcPr>
            <w:tcW w:w="638"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cs="黑体"/>
                <w:b w:val="0"/>
                <w:bCs/>
                <w:color w:val="auto"/>
                <w:sz w:val="21"/>
                <w:szCs w:val="24"/>
                <w:highlight w:val="none"/>
              </w:rPr>
            </w:pPr>
            <w:r>
              <w:rPr>
                <w:rFonts w:hint="eastAsia" w:ascii="仿宋" w:hAnsi="仿宋" w:cs="黑体"/>
                <w:b w:val="0"/>
                <w:bCs/>
                <w:color w:val="auto"/>
                <w:sz w:val="21"/>
                <w:szCs w:val="24"/>
                <w:highlight w:val="none"/>
                <w:lang w:val="en-US" w:eastAsia="zh-CN"/>
              </w:rPr>
              <w:t>八</w:t>
            </w:r>
          </w:p>
        </w:tc>
        <w:tc>
          <w:tcPr>
            <w:tcW w:w="2824"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cs="黑体"/>
                <w:b w:val="0"/>
                <w:bCs/>
                <w:color w:val="auto"/>
                <w:sz w:val="21"/>
                <w:szCs w:val="24"/>
                <w:highlight w:val="none"/>
              </w:rPr>
            </w:pPr>
            <w:r>
              <w:rPr>
                <w:rFonts w:hint="eastAsia" w:ascii="仿宋" w:hAnsi="仿宋" w:cs="黑体"/>
                <w:b w:val="0"/>
                <w:bCs/>
                <w:color w:val="auto"/>
                <w:sz w:val="21"/>
                <w:szCs w:val="24"/>
                <w:highlight w:val="none"/>
                <w:lang w:val="en-US" w:eastAsia="zh-CN"/>
              </w:rPr>
              <w:t>基金设立</w:t>
            </w:r>
          </w:p>
        </w:tc>
        <w:tc>
          <w:tcPr>
            <w:tcW w:w="1457"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val="0"/>
                <w:bCs/>
                <w:color w:val="auto"/>
                <w:sz w:val="21"/>
                <w:szCs w:val="24"/>
                <w:highlight w:val="none"/>
                <w:lang w:val="en-US" w:eastAsia="zh-CN"/>
              </w:rPr>
            </w:pPr>
            <w:r>
              <w:rPr>
                <w:rFonts w:hint="default" w:ascii="仿宋" w:hAnsi="仿宋" w:cs="黑体"/>
                <w:b w:val="0"/>
                <w:bCs/>
                <w:color w:val="auto"/>
                <w:sz w:val="21"/>
                <w:szCs w:val="24"/>
                <w:highlight w:val="none"/>
                <w:lang w:val="en-US" w:eastAsia="zh-CN"/>
              </w:rPr>
              <w:t xml:space="preserve">39629.63 </w:t>
            </w:r>
          </w:p>
        </w:tc>
        <w:tc>
          <w:tcPr>
            <w:tcW w:w="1275"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val="0"/>
                <w:bCs/>
                <w:color w:val="auto"/>
                <w:sz w:val="21"/>
                <w:szCs w:val="24"/>
                <w:highlight w:val="none"/>
                <w:lang w:val="en-US" w:eastAsia="zh-CN"/>
              </w:rPr>
            </w:pPr>
            <w:r>
              <w:rPr>
                <w:rFonts w:hint="default" w:ascii="仿宋" w:hAnsi="仿宋" w:cs="黑体"/>
                <w:b w:val="0"/>
                <w:bCs/>
                <w:color w:val="auto"/>
                <w:sz w:val="21"/>
                <w:szCs w:val="24"/>
                <w:highlight w:val="none"/>
                <w:lang w:val="en-US" w:eastAsia="zh-CN"/>
              </w:rPr>
              <w:t xml:space="preserve">31735.46 </w:t>
            </w:r>
          </w:p>
        </w:tc>
        <w:tc>
          <w:tcPr>
            <w:tcW w:w="1169"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val="0"/>
                <w:bCs/>
                <w:color w:val="auto"/>
                <w:sz w:val="21"/>
                <w:szCs w:val="24"/>
                <w:highlight w:val="none"/>
                <w:lang w:val="en-US" w:eastAsia="zh-CN"/>
              </w:rPr>
            </w:pPr>
            <w:r>
              <w:rPr>
                <w:rFonts w:hint="default" w:ascii="仿宋" w:hAnsi="仿宋" w:cs="黑体"/>
                <w:b w:val="0"/>
                <w:bCs/>
                <w:color w:val="auto"/>
                <w:sz w:val="21"/>
                <w:szCs w:val="24"/>
                <w:highlight w:val="none"/>
                <w:lang w:val="en-US" w:eastAsia="zh-CN"/>
              </w:rPr>
              <w:t xml:space="preserve">7894.17 </w:t>
            </w:r>
          </w:p>
        </w:tc>
        <w:tc>
          <w:tcPr>
            <w:tcW w:w="1063" w:type="dxa"/>
            <w:vMerge w:val="continue"/>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color w:val="auto"/>
                <w:sz w:val="21"/>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jc w:val="center"/>
        </w:trPr>
        <w:tc>
          <w:tcPr>
            <w:tcW w:w="3462" w:type="dxa"/>
            <w:gridSpan w:val="2"/>
            <w:shd w:val="clear" w:color="auto" w:fill="FFFFFF"/>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cs="黑体"/>
                <w:b/>
                <w:color w:val="auto"/>
                <w:sz w:val="21"/>
                <w:szCs w:val="24"/>
                <w:highlight w:val="none"/>
              </w:rPr>
            </w:pPr>
            <w:r>
              <w:rPr>
                <w:rFonts w:hint="eastAsia" w:ascii="仿宋" w:hAnsi="仿宋" w:cs="黑体"/>
                <w:b/>
                <w:color w:val="auto"/>
                <w:sz w:val="21"/>
                <w:szCs w:val="24"/>
                <w:highlight w:val="none"/>
                <w:lang w:val="en-US" w:eastAsia="zh-CN"/>
              </w:rPr>
              <w:t>四、易地扶贫搬迁后续扶持</w:t>
            </w:r>
          </w:p>
        </w:tc>
        <w:tc>
          <w:tcPr>
            <w:tcW w:w="1457"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bCs w:val="0"/>
                <w:color w:val="auto"/>
                <w:sz w:val="21"/>
                <w:szCs w:val="24"/>
                <w:highlight w:val="none"/>
                <w:lang w:val="en-US" w:eastAsia="zh-CN"/>
              </w:rPr>
            </w:pPr>
            <w:r>
              <w:rPr>
                <w:rFonts w:hint="default" w:ascii="仿宋" w:hAnsi="仿宋" w:cs="黑体"/>
                <w:b/>
                <w:bCs w:val="0"/>
                <w:color w:val="auto"/>
                <w:sz w:val="21"/>
                <w:szCs w:val="24"/>
                <w:highlight w:val="none"/>
                <w:lang w:val="en-US" w:eastAsia="zh-CN"/>
              </w:rPr>
              <w:t xml:space="preserve">121076.25 </w:t>
            </w:r>
          </w:p>
        </w:tc>
        <w:tc>
          <w:tcPr>
            <w:tcW w:w="1275"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bCs w:val="0"/>
                <w:color w:val="auto"/>
                <w:sz w:val="21"/>
                <w:szCs w:val="24"/>
                <w:highlight w:val="none"/>
                <w:lang w:val="en-US" w:eastAsia="zh-CN"/>
              </w:rPr>
            </w:pPr>
            <w:r>
              <w:rPr>
                <w:rFonts w:hint="default" w:ascii="仿宋" w:hAnsi="仿宋" w:cs="黑体"/>
                <w:b/>
                <w:bCs w:val="0"/>
                <w:color w:val="auto"/>
                <w:sz w:val="21"/>
                <w:szCs w:val="24"/>
                <w:highlight w:val="none"/>
                <w:lang w:val="en-US" w:eastAsia="zh-CN"/>
              </w:rPr>
              <w:t xml:space="preserve">112073.98 </w:t>
            </w:r>
          </w:p>
        </w:tc>
        <w:tc>
          <w:tcPr>
            <w:tcW w:w="1169"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bCs w:val="0"/>
                <w:color w:val="auto"/>
                <w:sz w:val="21"/>
                <w:szCs w:val="24"/>
                <w:highlight w:val="none"/>
                <w:lang w:val="en-US" w:eastAsia="zh-CN"/>
              </w:rPr>
            </w:pPr>
            <w:r>
              <w:rPr>
                <w:rFonts w:hint="default" w:ascii="仿宋" w:hAnsi="仿宋" w:cs="黑体"/>
                <w:b/>
                <w:bCs w:val="0"/>
                <w:color w:val="auto"/>
                <w:sz w:val="21"/>
                <w:szCs w:val="24"/>
                <w:highlight w:val="none"/>
                <w:lang w:val="en-US" w:eastAsia="zh-CN"/>
              </w:rPr>
              <w:t xml:space="preserve">9002.27 </w:t>
            </w:r>
          </w:p>
        </w:tc>
        <w:tc>
          <w:tcPr>
            <w:tcW w:w="1063" w:type="dxa"/>
            <w:vMerge w:val="restart"/>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color w:val="auto"/>
                <w:sz w:val="21"/>
                <w:szCs w:val="24"/>
                <w:highlight w:val="none"/>
              </w:rPr>
            </w:pPr>
            <w:r>
              <w:rPr>
                <w:rFonts w:hint="default" w:ascii="仿宋" w:hAnsi="仿宋" w:cs="黑体"/>
                <w:b/>
                <w:color w:val="auto"/>
                <w:sz w:val="21"/>
                <w:szCs w:val="24"/>
                <w:highlight w:val="none"/>
                <w:lang w:val="en-US" w:eastAsia="zh-CN"/>
              </w:rPr>
              <w:t>2.</w:t>
            </w:r>
            <w:r>
              <w:rPr>
                <w:rFonts w:hint="eastAsia" w:ascii="仿宋" w:hAnsi="仿宋" w:cs="黑体"/>
                <w:b/>
                <w:color w:val="auto"/>
                <w:sz w:val="21"/>
                <w:szCs w:val="24"/>
                <w:highlight w:val="none"/>
                <w:lang w:val="en-US" w:eastAsia="zh-CN"/>
              </w:rPr>
              <w:t>47</w:t>
            </w:r>
            <w:r>
              <w:rPr>
                <w:rFonts w:hint="default" w:ascii="仿宋" w:hAnsi="仿宋" w:cs="黑体"/>
                <w:b/>
                <w:color w:val="auto"/>
                <w:sz w:val="21"/>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38"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cs="黑体"/>
                <w:b w:val="0"/>
                <w:bCs/>
                <w:color w:val="auto"/>
                <w:sz w:val="21"/>
                <w:szCs w:val="24"/>
                <w:highlight w:val="none"/>
              </w:rPr>
            </w:pPr>
            <w:r>
              <w:rPr>
                <w:rFonts w:hint="eastAsia" w:ascii="仿宋" w:hAnsi="仿宋" w:cs="黑体"/>
                <w:b w:val="0"/>
                <w:bCs/>
                <w:color w:val="auto"/>
                <w:sz w:val="21"/>
                <w:szCs w:val="24"/>
                <w:highlight w:val="none"/>
                <w:lang w:val="en-US" w:eastAsia="zh-CN"/>
              </w:rPr>
              <w:t>一</w:t>
            </w:r>
          </w:p>
        </w:tc>
        <w:tc>
          <w:tcPr>
            <w:tcW w:w="2824"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cs="黑体"/>
                <w:b w:val="0"/>
                <w:bCs/>
                <w:color w:val="auto"/>
                <w:sz w:val="21"/>
                <w:szCs w:val="24"/>
                <w:highlight w:val="none"/>
              </w:rPr>
            </w:pPr>
            <w:r>
              <w:rPr>
                <w:rFonts w:hint="eastAsia" w:ascii="仿宋" w:hAnsi="仿宋" w:cs="黑体"/>
                <w:b w:val="0"/>
                <w:bCs/>
                <w:color w:val="auto"/>
                <w:sz w:val="21"/>
                <w:szCs w:val="24"/>
                <w:highlight w:val="none"/>
                <w:lang w:val="en-US" w:eastAsia="zh-CN"/>
              </w:rPr>
              <w:t>产业发展</w:t>
            </w:r>
          </w:p>
        </w:tc>
        <w:tc>
          <w:tcPr>
            <w:tcW w:w="1457"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val="0"/>
                <w:bCs/>
                <w:color w:val="auto"/>
                <w:sz w:val="21"/>
                <w:szCs w:val="24"/>
                <w:highlight w:val="none"/>
                <w:lang w:val="en-US" w:eastAsia="zh-CN"/>
              </w:rPr>
            </w:pPr>
            <w:r>
              <w:rPr>
                <w:rFonts w:hint="default" w:ascii="仿宋" w:hAnsi="仿宋" w:cs="黑体"/>
                <w:b w:val="0"/>
                <w:bCs/>
                <w:color w:val="auto"/>
                <w:sz w:val="21"/>
                <w:szCs w:val="24"/>
                <w:highlight w:val="none"/>
                <w:lang w:val="en-US" w:eastAsia="zh-CN"/>
              </w:rPr>
              <w:t xml:space="preserve">47620.81 </w:t>
            </w:r>
          </w:p>
        </w:tc>
        <w:tc>
          <w:tcPr>
            <w:tcW w:w="1275"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val="0"/>
                <w:bCs/>
                <w:color w:val="auto"/>
                <w:sz w:val="21"/>
                <w:szCs w:val="24"/>
                <w:highlight w:val="none"/>
                <w:lang w:val="en-US" w:eastAsia="zh-CN"/>
              </w:rPr>
            </w:pPr>
            <w:r>
              <w:rPr>
                <w:rFonts w:hint="default" w:ascii="仿宋" w:hAnsi="仿宋" w:cs="黑体"/>
                <w:b w:val="0"/>
                <w:bCs/>
                <w:color w:val="auto"/>
                <w:sz w:val="21"/>
                <w:szCs w:val="24"/>
                <w:highlight w:val="none"/>
                <w:lang w:val="en-US" w:eastAsia="zh-CN"/>
              </w:rPr>
              <w:t xml:space="preserve">44890.34 </w:t>
            </w:r>
          </w:p>
        </w:tc>
        <w:tc>
          <w:tcPr>
            <w:tcW w:w="1169"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val="0"/>
                <w:bCs/>
                <w:color w:val="auto"/>
                <w:sz w:val="21"/>
                <w:szCs w:val="24"/>
                <w:highlight w:val="none"/>
                <w:lang w:val="en-US" w:eastAsia="zh-CN"/>
              </w:rPr>
            </w:pPr>
            <w:r>
              <w:rPr>
                <w:rFonts w:hint="default" w:ascii="仿宋" w:hAnsi="仿宋" w:cs="黑体"/>
                <w:b w:val="0"/>
                <w:bCs/>
                <w:color w:val="auto"/>
                <w:sz w:val="21"/>
                <w:szCs w:val="24"/>
                <w:highlight w:val="none"/>
                <w:lang w:val="en-US" w:eastAsia="zh-CN"/>
              </w:rPr>
              <w:t xml:space="preserve">2730.47 </w:t>
            </w:r>
          </w:p>
        </w:tc>
        <w:tc>
          <w:tcPr>
            <w:tcW w:w="1063" w:type="dxa"/>
            <w:vMerge w:val="continue"/>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color w:val="auto"/>
                <w:sz w:val="21"/>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38"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cs="黑体"/>
                <w:b w:val="0"/>
                <w:bCs/>
                <w:color w:val="auto"/>
                <w:sz w:val="21"/>
                <w:szCs w:val="24"/>
                <w:highlight w:val="none"/>
              </w:rPr>
            </w:pPr>
            <w:r>
              <w:rPr>
                <w:rFonts w:hint="eastAsia" w:ascii="仿宋" w:hAnsi="仿宋" w:cs="黑体"/>
                <w:b w:val="0"/>
                <w:bCs/>
                <w:color w:val="auto"/>
                <w:sz w:val="21"/>
                <w:szCs w:val="24"/>
                <w:highlight w:val="none"/>
                <w:lang w:val="en-US" w:eastAsia="zh-CN"/>
              </w:rPr>
              <w:t>二</w:t>
            </w:r>
          </w:p>
        </w:tc>
        <w:tc>
          <w:tcPr>
            <w:tcW w:w="2824"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cs="黑体"/>
                <w:b w:val="0"/>
                <w:bCs/>
                <w:color w:val="auto"/>
                <w:sz w:val="21"/>
                <w:szCs w:val="24"/>
                <w:highlight w:val="none"/>
              </w:rPr>
            </w:pPr>
            <w:r>
              <w:rPr>
                <w:rFonts w:hint="eastAsia" w:ascii="仿宋" w:hAnsi="仿宋" w:cs="黑体"/>
                <w:b w:val="0"/>
                <w:bCs/>
                <w:color w:val="auto"/>
                <w:sz w:val="21"/>
                <w:szCs w:val="24"/>
                <w:highlight w:val="none"/>
                <w:lang w:val="en-US" w:eastAsia="zh-CN"/>
              </w:rPr>
              <w:t>就业帮扶</w:t>
            </w:r>
          </w:p>
        </w:tc>
        <w:tc>
          <w:tcPr>
            <w:tcW w:w="1457"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val="0"/>
                <w:bCs/>
                <w:color w:val="auto"/>
                <w:sz w:val="21"/>
                <w:szCs w:val="24"/>
                <w:highlight w:val="none"/>
                <w:lang w:val="en-US" w:eastAsia="zh-CN"/>
              </w:rPr>
            </w:pPr>
            <w:r>
              <w:rPr>
                <w:rFonts w:hint="default" w:ascii="仿宋" w:hAnsi="仿宋" w:cs="黑体"/>
                <w:b w:val="0"/>
                <w:bCs/>
                <w:color w:val="auto"/>
                <w:sz w:val="21"/>
                <w:szCs w:val="24"/>
                <w:highlight w:val="none"/>
                <w:lang w:val="en-US" w:eastAsia="zh-CN"/>
              </w:rPr>
              <w:t xml:space="preserve">9187.04 </w:t>
            </w:r>
          </w:p>
        </w:tc>
        <w:tc>
          <w:tcPr>
            <w:tcW w:w="1275"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val="0"/>
                <w:bCs/>
                <w:color w:val="auto"/>
                <w:sz w:val="21"/>
                <w:szCs w:val="24"/>
                <w:highlight w:val="none"/>
                <w:lang w:val="en-US" w:eastAsia="zh-CN"/>
              </w:rPr>
            </w:pPr>
            <w:r>
              <w:rPr>
                <w:rFonts w:hint="default" w:ascii="仿宋" w:hAnsi="仿宋" w:cs="黑体"/>
                <w:b w:val="0"/>
                <w:bCs/>
                <w:color w:val="auto"/>
                <w:sz w:val="21"/>
                <w:szCs w:val="24"/>
                <w:highlight w:val="none"/>
                <w:lang w:val="en-US" w:eastAsia="zh-CN"/>
              </w:rPr>
              <w:t xml:space="preserve">8159.72 </w:t>
            </w:r>
          </w:p>
        </w:tc>
        <w:tc>
          <w:tcPr>
            <w:tcW w:w="1169"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val="0"/>
                <w:bCs/>
                <w:color w:val="auto"/>
                <w:sz w:val="21"/>
                <w:szCs w:val="24"/>
                <w:highlight w:val="none"/>
                <w:lang w:val="en-US" w:eastAsia="zh-CN"/>
              </w:rPr>
            </w:pPr>
            <w:r>
              <w:rPr>
                <w:rFonts w:hint="default" w:ascii="仿宋" w:hAnsi="仿宋" w:cs="黑体"/>
                <w:b w:val="0"/>
                <w:bCs/>
                <w:color w:val="auto"/>
                <w:sz w:val="21"/>
                <w:szCs w:val="24"/>
                <w:highlight w:val="none"/>
                <w:lang w:val="en-US" w:eastAsia="zh-CN"/>
              </w:rPr>
              <w:t xml:space="preserve">1027.32 </w:t>
            </w:r>
          </w:p>
        </w:tc>
        <w:tc>
          <w:tcPr>
            <w:tcW w:w="1063" w:type="dxa"/>
            <w:vMerge w:val="continue"/>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color w:val="auto"/>
                <w:sz w:val="21"/>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38"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cs="黑体"/>
                <w:b w:val="0"/>
                <w:bCs/>
                <w:color w:val="auto"/>
                <w:sz w:val="21"/>
                <w:szCs w:val="24"/>
                <w:highlight w:val="none"/>
              </w:rPr>
            </w:pPr>
            <w:r>
              <w:rPr>
                <w:rFonts w:hint="eastAsia" w:ascii="仿宋" w:hAnsi="仿宋" w:cs="黑体"/>
                <w:b w:val="0"/>
                <w:bCs/>
                <w:color w:val="auto"/>
                <w:sz w:val="21"/>
                <w:szCs w:val="24"/>
                <w:highlight w:val="none"/>
                <w:lang w:val="en-US" w:eastAsia="zh-CN"/>
              </w:rPr>
              <w:t>三</w:t>
            </w:r>
          </w:p>
        </w:tc>
        <w:tc>
          <w:tcPr>
            <w:tcW w:w="2824"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cs="黑体"/>
                <w:b w:val="0"/>
                <w:bCs/>
                <w:color w:val="auto"/>
                <w:sz w:val="21"/>
                <w:szCs w:val="24"/>
                <w:highlight w:val="none"/>
              </w:rPr>
            </w:pPr>
            <w:r>
              <w:rPr>
                <w:rFonts w:hint="eastAsia" w:ascii="仿宋" w:hAnsi="仿宋" w:cs="黑体"/>
                <w:b w:val="0"/>
                <w:bCs/>
                <w:color w:val="auto"/>
                <w:sz w:val="21"/>
                <w:szCs w:val="24"/>
                <w:highlight w:val="none"/>
                <w:lang w:val="en-US" w:eastAsia="zh-CN"/>
              </w:rPr>
              <w:t>基础和公共服务设施完善</w:t>
            </w:r>
          </w:p>
        </w:tc>
        <w:tc>
          <w:tcPr>
            <w:tcW w:w="1457"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val="0"/>
                <w:bCs/>
                <w:color w:val="auto"/>
                <w:sz w:val="21"/>
                <w:szCs w:val="24"/>
                <w:highlight w:val="none"/>
                <w:lang w:val="en-US" w:eastAsia="zh-CN"/>
              </w:rPr>
            </w:pPr>
            <w:r>
              <w:rPr>
                <w:rFonts w:hint="default" w:ascii="仿宋" w:hAnsi="仿宋" w:cs="黑体"/>
                <w:b w:val="0"/>
                <w:bCs/>
                <w:color w:val="auto"/>
                <w:sz w:val="21"/>
                <w:szCs w:val="24"/>
                <w:highlight w:val="none"/>
                <w:lang w:val="en-US" w:eastAsia="zh-CN"/>
              </w:rPr>
              <w:t xml:space="preserve">52151.49 </w:t>
            </w:r>
          </w:p>
        </w:tc>
        <w:tc>
          <w:tcPr>
            <w:tcW w:w="1275"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val="0"/>
                <w:bCs/>
                <w:color w:val="auto"/>
                <w:sz w:val="21"/>
                <w:szCs w:val="24"/>
                <w:highlight w:val="none"/>
                <w:lang w:val="en-US" w:eastAsia="zh-CN"/>
              </w:rPr>
            </w:pPr>
            <w:r>
              <w:rPr>
                <w:rFonts w:hint="default" w:ascii="仿宋" w:hAnsi="仿宋" w:cs="黑体"/>
                <w:b w:val="0"/>
                <w:bCs/>
                <w:color w:val="auto"/>
                <w:sz w:val="21"/>
                <w:szCs w:val="24"/>
                <w:highlight w:val="none"/>
                <w:lang w:val="en-US" w:eastAsia="zh-CN"/>
              </w:rPr>
              <w:t xml:space="preserve">46965.11 </w:t>
            </w:r>
          </w:p>
        </w:tc>
        <w:tc>
          <w:tcPr>
            <w:tcW w:w="1169"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val="0"/>
                <w:bCs/>
                <w:color w:val="auto"/>
                <w:sz w:val="21"/>
                <w:szCs w:val="24"/>
                <w:highlight w:val="none"/>
                <w:lang w:val="en-US" w:eastAsia="zh-CN"/>
              </w:rPr>
            </w:pPr>
            <w:r>
              <w:rPr>
                <w:rFonts w:hint="default" w:ascii="仿宋" w:hAnsi="仿宋" w:cs="黑体"/>
                <w:b w:val="0"/>
                <w:bCs/>
                <w:color w:val="auto"/>
                <w:sz w:val="21"/>
                <w:szCs w:val="24"/>
                <w:highlight w:val="none"/>
                <w:lang w:val="en-US" w:eastAsia="zh-CN"/>
              </w:rPr>
              <w:t xml:space="preserve">5186.38 </w:t>
            </w:r>
          </w:p>
        </w:tc>
        <w:tc>
          <w:tcPr>
            <w:tcW w:w="1063" w:type="dxa"/>
            <w:vMerge w:val="continue"/>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color w:val="auto"/>
                <w:sz w:val="21"/>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38"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cs="黑体"/>
                <w:b w:val="0"/>
                <w:bCs/>
                <w:color w:val="auto"/>
                <w:sz w:val="21"/>
                <w:szCs w:val="24"/>
                <w:highlight w:val="none"/>
              </w:rPr>
            </w:pPr>
            <w:r>
              <w:rPr>
                <w:rFonts w:hint="eastAsia" w:ascii="仿宋" w:hAnsi="仿宋" w:cs="黑体"/>
                <w:b w:val="0"/>
                <w:bCs/>
                <w:color w:val="auto"/>
                <w:sz w:val="21"/>
                <w:szCs w:val="24"/>
                <w:highlight w:val="none"/>
                <w:lang w:val="en-US" w:eastAsia="zh-CN"/>
              </w:rPr>
              <w:t>四</w:t>
            </w:r>
          </w:p>
        </w:tc>
        <w:tc>
          <w:tcPr>
            <w:tcW w:w="2824"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cs="黑体"/>
                <w:b w:val="0"/>
                <w:bCs/>
                <w:color w:val="auto"/>
                <w:sz w:val="21"/>
                <w:szCs w:val="24"/>
                <w:highlight w:val="none"/>
              </w:rPr>
            </w:pPr>
            <w:r>
              <w:rPr>
                <w:rFonts w:hint="eastAsia" w:ascii="仿宋" w:hAnsi="仿宋" w:cs="黑体"/>
                <w:b w:val="0"/>
                <w:bCs/>
                <w:color w:val="auto"/>
                <w:sz w:val="21"/>
                <w:szCs w:val="24"/>
                <w:highlight w:val="none"/>
                <w:lang w:val="en-US" w:eastAsia="zh-CN"/>
              </w:rPr>
              <w:t>社区治理</w:t>
            </w:r>
          </w:p>
        </w:tc>
        <w:tc>
          <w:tcPr>
            <w:tcW w:w="1457"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val="0"/>
                <w:bCs/>
                <w:color w:val="auto"/>
                <w:sz w:val="21"/>
                <w:szCs w:val="24"/>
                <w:highlight w:val="none"/>
                <w:lang w:val="en-US" w:eastAsia="zh-CN"/>
              </w:rPr>
            </w:pPr>
            <w:r>
              <w:rPr>
                <w:rFonts w:hint="default" w:ascii="仿宋" w:hAnsi="仿宋" w:cs="黑体"/>
                <w:b w:val="0"/>
                <w:bCs/>
                <w:color w:val="auto"/>
                <w:sz w:val="21"/>
                <w:szCs w:val="24"/>
                <w:highlight w:val="none"/>
                <w:lang w:val="en-US" w:eastAsia="zh-CN"/>
              </w:rPr>
              <w:t xml:space="preserve">215.70 </w:t>
            </w:r>
          </w:p>
        </w:tc>
        <w:tc>
          <w:tcPr>
            <w:tcW w:w="1275"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val="0"/>
                <w:bCs/>
                <w:color w:val="auto"/>
                <w:sz w:val="21"/>
                <w:szCs w:val="24"/>
                <w:highlight w:val="none"/>
                <w:lang w:val="en-US" w:eastAsia="zh-CN"/>
              </w:rPr>
            </w:pPr>
            <w:r>
              <w:rPr>
                <w:rFonts w:hint="default" w:ascii="仿宋" w:hAnsi="仿宋" w:cs="黑体"/>
                <w:b w:val="0"/>
                <w:bCs/>
                <w:color w:val="auto"/>
                <w:sz w:val="21"/>
                <w:szCs w:val="24"/>
                <w:highlight w:val="none"/>
                <w:lang w:val="en-US" w:eastAsia="zh-CN"/>
              </w:rPr>
              <w:t xml:space="preserve">157.60 </w:t>
            </w:r>
          </w:p>
        </w:tc>
        <w:tc>
          <w:tcPr>
            <w:tcW w:w="1169"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val="0"/>
                <w:bCs/>
                <w:color w:val="auto"/>
                <w:sz w:val="21"/>
                <w:szCs w:val="24"/>
                <w:highlight w:val="none"/>
                <w:lang w:val="en-US" w:eastAsia="zh-CN"/>
              </w:rPr>
            </w:pPr>
            <w:r>
              <w:rPr>
                <w:rFonts w:hint="default" w:ascii="仿宋" w:hAnsi="仿宋" w:cs="黑体"/>
                <w:b w:val="0"/>
                <w:bCs/>
                <w:color w:val="auto"/>
                <w:sz w:val="21"/>
                <w:szCs w:val="24"/>
                <w:highlight w:val="none"/>
                <w:lang w:val="en-US" w:eastAsia="zh-CN"/>
              </w:rPr>
              <w:t xml:space="preserve">58.10 </w:t>
            </w:r>
          </w:p>
        </w:tc>
        <w:tc>
          <w:tcPr>
            <w:tcW w:w="1063" w:type="dxa"/>
            <w:vMerge w:val="continue"/>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color w:val="auto"/>
                <w:sz w:val="21"/>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jc w:val="center"/>
        </w:trPr>
        <w:tc>
          <w:tcPr>
            <w:tcW w:w="638"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cs="黑体"/>
                <w:b w:val="0"/>
                <w:bCs/>
                <w:color w:val="auto"/>
                <w:sz w:val="21"/>
                <w:szCs w:val="24"/>
                <w:highlight w:val="none"/>
              </w:rPr>
            </w:pPr>
            <w:r>
              <w:rPr>
                <w:rFonts w:hint="eastAsia" w:ascii="仿宋" w:hAnsi="仿宋" w:cs="黑体"/>
                <w:b w:val="0"/>
                <w:bCs/>
                <w:color w:val="auto"/>
                <w:sz w:val="21"/>
                <w:szCs w:val="24"/>
                <w:highlight w:val="none"/>
                <w:lang w:val="en-US" w:eastAsia="zh-CN"/>
              </w:rPr>
              <w:t>五</w:t>
            </w:r>
          </w:p>
        </w:tc>
        <w:tc>
          <w:tcPr>
            <w:tcW w:w="2824"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cs="黑体"/>
                <w:b w:val="0"/>
                <w:bCs/>
                <w:color w:val="auto"/>
                <w:sz w:val="21"/>
                <w:szCs w:val="24"/>
                <w:highlight w:val="none"/>
              </w:rPr>
            </w:pPr>
            <w:r>
              <w:rPr>
                <w:rFonts w:hint="eastAsia" w:ascii="仿宋" w:hAnsi="仿宋" w:cs="黑体"/>
                <w:b w:val="0"/>
                <w:bCs/>
                <w:color w:val="auto"/>
                <w:sz w:val="21"/>
                <w:szCs w:val="24"/>
                <w:highlight w:val="none"/>
                <w:lang w:val="en-US" w:eastAsia="zh-CN"/>
              </w:rPr>
              <w:t>掉边掉角农户搬迁</w:t>
            </w:r>
          </w:p>
        </w:tc>
        <w:tc>
          <w:tcPr>
            <w:tcW w:w="1457"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val="0"/>
                <w:bCs/>
                <w:color w:val="auto"/>
                <w:sz w:val="21"/>
                <w:szCs w:val="24"/>
                <w:highlight w:val="none"/>
                <w:lang w:val="en-US" w:eastAsia="zh-CN"/>
              </w:rPr>
            </w:pPr>
            <w:r>
              <w:rPr>
                <w:rFonts w:hint="default" w:ascii="仿宋" w:hAnsi="仿宋" w:cs="黑体"/>
                <w:b w:val="0"/>
                <w:bCs/>
                <w:color w:val="auto"/>
                <w:sz w:val="21"/>
                <w:szCs w:val="24"/>
                <w:highlight w:val="none"/>
                <w:lang w:val="en-US" w:eastAsia="zh-CN"/>
              </w:rPr>
              <w:t xml:space="preserve">2378.00 </w:t>
            </w:r>
          </w:p>
        </w:tc>
        <w:tc>
          <w:tcPr>
            <w:tcW w:w="1275"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val="0"/>
                <w:bCs/>
                <w:color w:val="auto"/>
                <w:sz w:val="21"/>
                <w:szCs w:val="24"/>
                <w:highlight w:val="none"/>
                <w:lang w:val="en-US" w:eastAsia="zh-CN"/>
              </w:rPr>
            </w:pPr>
            <w:r>
              <w:rPr>
                <w:rFonts w:hint="default" w:ascii="仿宋" w:hAnsi="仿宋" w:cs="黑体"/>
                <w:b w:val="0"/>
                <w:bCs/>
                <w:color w:val="auto"/>
                <w:sz w:val="21"/>
                <w:szCs w:val="24"/>
                <w:highlight w:val="none"/>
                <w:lang w:val="en-US" w:eastAsia="zh-CN"/>
              </w:rPr>
              <w:t xml:space="preserve">2378.00 </w:t>
            </w:r>
          </w:p>
        </w:tc>
        <w:tc>
          <w:tcPr>
            <w:tcW w:w="1169"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val="0"/>
                <w:bCs/>
                <w:color w:val="auto"/>
                <w:sz w:val="21"/>
                <w:szCs w:val="24"/>
                <w:highlight w:val="none"/>
                <w:lang w:val="en-US" w:eastAsia="zh-CN"/>
              </w:rPr>
            </w:pPr>
            <w:r>
              <w:rPr>
                <w:rFonts w:hint="default" w:ascii="仿宋" w:hAnsi="仿宋" w:cs="黑体"/>
                <w:b w:val="0"/>
                <w:bCs/>
                <w:color w:val="auto"/>
                <w:sz w:val="21"/>
                <w:szCs w:val="24"/>
                <w:highlight w:val="none"/>
                <w:lang w:val="en-US" w:eastAsia="zh-CN"/>
              </w:rPr>
              <w:t xml:space="preserve">0.00 </w:t>
            </w:r>
          </w:p>
        </w:tc>
        <w:tc>
          <w:tcPr>
            <w:tcW w:w="1063" w:type="dxa"/>
            <w:vMerge w:val="continue"/>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color w:val="auto"/>
                <w:sz w:val="21"/>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jc w:val="center"/>
        </w:trPr>
        <w:tc>
          <w:tcPr>
            <w:tcW w:w="638"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cs="黑体"/>
                <w:b w:val="0"/>
                <w:bCs/>
                <w:color w:val="auto"/>
                <w:sz w:val="21"/>
                <w:szCs w:val="24"/>
                <w:highlight w:val="none"/>
              </w:rPr>
            </w:pPr>
            <w:r>
              <w:rPr>
                <w:rFonts w:hint="eastAsia" w:ascii="仿宋" w:hAnsi="仿宋" w:cs="黑体"/>
                <w:b w:val="0"/>
                <w:bCs/>
                <w:color w:val="auto"/>
                <w:sz w:val="21"/>
                <w:szCs w:val="24"/>
                <w:highlight w:val="none"/>
                <w:lang w:val="en-US" w:eastAsia="zh-CN"/>
              </w:rPr>
              <w:t>六</w:t>
            </w:r>
          </w:p>
        </w:tc>
        <w:tc>
          <w:tcPr>
            <w:tcW w:w="2824"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cs="黑体"/>
                <w:b w:val="0"/>
                <w:bCs/>
                <w:color w:val="auto"/>
                <w:sz w:val="21"/>
                <w:szCs w:val="24"/>
                <w:highlight w:val="none"/>
              </w:rPr>
            </w:pPr>
            <w:r>
              <w:rPr>
                <w:rFonts w:hint="eastAsia" w:ascii="仿宋" w:hAnsi="仿宋" w:cs="黑体"/>
                <w:b w:val="0"/>
                <w:bCs/>
                <w:color w:val="auto"/>
                <w:sz w:val="21"/>
                <w:szCs w:val="24"/>
                <w:highlight w:val="none"/>
                <w:lang w:val="en-US" w:eastAsia="zh-CN"/>
              </w:rPr>
              <w:t>易地扶贫搬迁贷款贴息</w:t>
            </w:r>
          </w:p>
        </w:tc>
        <w:tc>
          <w:tcPr>
            <w:tcW w:w="1457"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val="0"/>
                <w:bCs/>
                <w:color w:val="auto"/>
                <w:sz w:val="21"/>
                <w:szCs w:val="24"/>
                <w:highlight w:val="none"/>
                <w:lang w:val="en-US" w:eastAsia="zh-CN"/>
              </w:rPr>
            </w:pPr>
            <w:r>
              <w:rPr>
                <w:rFonts w:hint="default" w:ascii="仿宋" w:hAnsi="仿宋" w:cs="黑体"/>
                <w:b w:val="0"/>
                <w:bCs/>
                <w:color w:val="auto"/>
                <w:sz w:val="21"/>
                <w:szCs w:val="24"/>
                <w:highlight w:val="none"/>
                <w:lang w:val="en-US" w:eastAsia="zh-CN"/>
              </w:rPr>
              <w:t xml:space="preserve">9523.20 </w:t>
            </w:r>
          </w:p>
        </w:tc>
        <w:tc>
          <w:tcPr>
            <w:tcW w:w="1275"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val="0"/>
                <w:bCs/>
                <w:color w:val="auto"/>
                <w:sz w:val="21"/>
                <w:szCs w:val="24"/>
                <w:highlight w:val="none"/>
                <w:lang w:val="en-US" w:eastAsia="zh-CN"/>
              </w:rPr>
            </w:pPr>
            <w:r>
              <w:rPr>
                <w:rFonts w:hint="default" w:ascii="仿宋" w:hAnsi="仿宋" w:cs="黑体"/>
                <w:b w:val="0"/>
                <w:bCs/>
                <w:color w:val="auto"/>
                <w:sz w:val="21"/>
                <w:szCs w:val="24"/>
                <w:highlight w:val="none"/>
                <w:lang w:val="en-US" w:eastAsia="zh-CN"/>
              </w:rPr>
              <w:t xml:space="preserve">9523.20 </w:t>
            </w:r>
          </w:p>
        </w:tc>
        <w:tc>
          <w:tcPr>
            <w:tcW w:w="1169"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val="0"/>
                <w:bCs/>
                <w:color w:val="auto"/>
                <w:sz w:val="21"/>
                <w:szCs w:val="24"/>
                <w:highlight w:val="none"/>
                <w:lang w:val="en-US" w:eastAsia="zh-CN"/>
              </w:rPr>
            </w:pPr>
            <w:r>
              <w:rPr>
                <w:rFonts w:hint="default" w:ascii="仿宋" w:hAnsi="仿宋" w:cs="黑体"/>
                <w:b w:val="0"/>
                <w:bCs/>
                <w:color w:val="auto"/>
                <w:sz w:val="21"/>
                <w:szCs w:val="24"/>
                <w:highlight w:val="none"/>
                <w:lang w:val="en-US" w:eastAsia="zh-CN"/>
              </w:rPr>
              <w:t xml:space="preserve">0.00 </w:t>
            </w:r>
          </w:p>
        </w:tc>
        <w:tc>
          <w:tcPr>
            <w:tcW w:w="1063" w:type="dxa"/>
            <w:vMerge w:val="continue"/>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color w:val="auto"/>
                <w:sz w:val="21"/>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7" w:hRule="atLeast"/>
          <w:jc w:val="center"/>
        </w:trPr>
        <w:tc>
          <w:tcPr>
            <w:tcW w:w="3462" w:type="dxa"/>
            <w:gridSpan w:val="2"/>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val="0"/>
                <w:bCs/>
                <w:color w:val="auto"/>
                <w:sz w:val="21"/>
                <w:szCs w:val="24"/>
                <w:highlight w:val="none"/>
                <w:lang w:val="en-US" w:eastAsia="zh-CN"/>
              </w:rPr>
            </w:pPr>
            <w:r>
              <w:rPr>
                <w:rFonts w:hint="eastAsia" w:ascii="仿宋" w:hAnsi="仿宋" w:cs="黑体"/>
                <w:b/>
                <w:bCs w:val="0"/>
                <w:color w:val="auto"/>
                <w:sz w:val="21"/>
                <w:szCs w:val="24"/>
                <w:highlight w:val="none"/>
                <w:lang w:val="en-US" w:eastAsia="zh-CN"/>
              </w:rPr>
              <w:t>合计</w:t>
            </w:r>
          </w:p>
        </w:tc>
        <w:tc>
          <w:tcPr>
            <w:tcW w:w="1457"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bCs w:val="0"/>
                <w:color w:val="auto"/>
                <w:sz w:val="21"/>
                <w:szCs w:val="24"/>
                <w:highlight w:val="none"/>
                <w:lang w:val="en-US" w:eastAsia="zh-CN"/>
              </w:rPr>
            </w:pPr>
            <w:r>
              <w:rPr>
                <w:rFonts w:hint="default" w:ascii="仿宋" w:hAnsi="仿宋" w:cs="黑体"/>
                <w:b/>
                <w:bCs w:val="0"/>
                <w:color w:val="auto"/>
                <w:sz w:val="21"/>
                <w:szCs w:val="24"/>
                <w:highlight w:val="none"/>
                <w:lang w:val="en-US" w:eastAsia="zh-CN"/>
              </w:rPr>
              <w:t xml:space="preserve">4896844.09 </w:t>
            </w:r>
          </w:p>
        </w:tc>
        <w:tc>
          <w:tcPr>
            <w:tcW w:w="1275"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bCs w:val="0"/>
                <w:color w:val="auto"/>
                <w:sz w:val="21"/>
                <w:szCs w:val="24"/>
                <w:highlight w:val="none"/>
                <w:lang w:val="en-US" w:eastAsia="zh-CN"/>
              </w:rPr>
            </w:pPr>
            <w:r>
              <w:rPr>
                <w:rFonts w:hint="default" w:ascii="仿宋" w:hAnsi="仿宋" w:cs="黑体"/>
                <w:b/>
                <w:bCs w:val="0"/>
                <w:color w:val="auto"/>
                <w:sz w:val="21"/>
                <w:szCs w:val="24"/>
                <w:highlight w:val="none"/>
                <w:lang w:val="en-US" w:eastAsia="zh-CN"/>
              </w:rPr>
              <w:t xml:space="preserve">3948630.63 </w:t>
            </w:r>
          </w:p>
        </w:tc>
        <w:tc>
          <w:tcPr>
            <w:tcW w:w="1169"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bCs w:val="0"/>
                <w:color w:val="auto"/>
                <w:sz w:val="21"/>
                <w:szCs w:val="24"/>
                <w:highlight w:val="none"/>
                <w:lang w:val="en-US" w:eastAsia="zh-CN"/>
              </w:rPr>
            </w:pPr>
            <w:r>
              <w:rPr>
                <w:rFonts w:hint="default" w:ascii="仿宋" w:hAnsi="仿宋" w:cs="黑体"/>
                <w:b/>
                <w:bCs w:val="0"/>
                <w:color w:val="auto"/>
                <w:sz w:val="21"/>
                <w:szCs w:val="24"/>
                <w:highlight w:val="none"/>
                <w:lang w:val="en-US" w:eastAsia="zh-CN"/>
              </w:rPr>
              <w:t xml:space="preserve">948213.46 </w:t>
            </w:r>
          </w:p>
        </w:tc>
        <w:tc>
          <w:tcPr>
            <w:tcW w:w="1063" w:type="dxa"/>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cs="黑体"/>
                <w:b/>
                <w:bCs w:val="0"/>
                <w:color w:val="auto"/>
                <w:sz w:val="21"/>
                <w:szCs w:val="24"/>
                <w:highlight w:val="none"/>
                <w:lang w:val="en-US" w:eastAsia="zh-CN"/>
              </w:rPr>
            </w:pPr>
            <w:r>
              <w:rPr>
                <w:rFonts w:hint="eastAsia" w:ascii="仿宋" w:hAnsi="仿宋" w:cs="黑体"/>
                <w:b/>
                <w:bCs w:val="0"/>
                <w:color w:val="auto"/>
                <w:sz w:val="21"/>
                <w:szCs w:val="24"/>
                <w:highlight w:val="none"/>
                <w:lang w:val="en-US" w:eastAsia="zh-CN"/>
              </w:rPr>
              <w:t>100.00%</w:t>
            </w:r>
          </w:p>
        </w:tc>
      </w:tr>
    </w:tbl>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rPr>
          <w:rFonts w:hint="default" w:ascii="仿宋" w:hAnsi="仿宋" w:eastAsia="仿宋" w:cs="仿宋_GB2312"/>
          <w:bCs/>
          <w:color w:val="auto"/>
          <w:highlight w:val="none"/>
          <w:lang w:val="en-US" w:eastAsia="zh-CN"/>
        </w:rPr>
      </w:pPr>
      <w:bookmarkStart w:id="139" w:name="_Toc32671"/>
      <w:bookmarkStart w:id="140" w:name="_Toc29959"/>
      <w:r>
        <w:rPr>
          <w:rFonts w:hint="eastAsia" w:ascii="仿宋" w:hAnsi="仿宋" w:cs="仿宋_GB2312"/>
          <w:bCs/>
          <w:color w:val="auto"/>
          <w:highlight w:val="none"/>
          <w:lang w:val="en-US" w:eastAsia="zh-CN"/>
        </w:rPr>
        <w:t>按照重点帮扶县分为：国家重点帮扶县311.75亿元，其中财政资金258.72亿元、其他资金53.03亿元，省重点帮扶县177.93亿元，其中财政资金136.14亿元、其他资金41.79亿元。详见表9-2。</w:t>
      </w:r>
    </w:p>
    <w:tbl>
      <w:tblPr>
        <w:tblStyle w:val="25"/>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61"/>
        <w:gridCol w:w="2029"/>
        <w:gridCol w:w="1269"/>
        <w:gridCol w:w="1527"/>
        <w:gridCol w:w="1527"/>
        <w:gridCol w:w="14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u w:val="none"/>
                <w:lang w:val="en-US" w:eastAsia="zh-CN" w:bidi="ar"/>
              </w:rPr>
            </w:pPr>
            <w:r>
              <w:rPr>
                <w:rFonts w:hint="eastAsia" w:ascii="仿宋" w:hAnsi="仿宋" w:cs="黑体"/>
                <w:b/>
                <w:color w:val="auto"/>
                <w:sz w:val="21"/>
                <w:szCs w:val="24"/>
                <w:highlight w:val="none"/>
              </w:rPr>
              <w:t>表</w:t>
            </w:r>
            <w:r>
              <w:rPr>
                <w:rFonts w:hint="eastAsia" w:ascii="仿宋" w:hAnsi="仿宋" w:cs="黑体"/>
                <w:b/>
                <w:color w:val="auto"/>
                <w:sz w:val="21"/>
                <w:szCs w:val="24"/>
                <w:highlight w:val="none"/>
                <w:lang w:val="en-US" w:eastAsia="zh-CN"/>
              </w:rPr>
              <w:t>9</w:t>
            </w:r>
            <w:r>
              <w:rPr>
                <w:rFonts w:hint="eastAsia" w:ascii="仿宋" w:hAnsi="仿宋" w:cs="黑体"/>
                <w:b/>
                <w:color w:val="auto"/>
                <w:sz w:val="21"/>
                <w:szCs w:val="24"/>
                <w:highlight w:val="none"/>
              </w:rPr>
              <w:t>-</w:t>
            </w:r>
            <w:r>
              <w:rPr>
                <w:rFonts w:hint="eastAsia" w:ascii="仿宋" w:hAnsi="仿宋"/>
                <w:b/>
                <w:color w:val="auto"/>
                <w:sz w:val="21"/>
                <w:szCs w:val="24"/>
                <w:highlight w:val="none"/>
                <w:lang w:val="en-US" w:eastAsia="zh-CN"/>
              </w:rPr>
              <w:t>2</w:t>
            </w:r>
            <w:r>
              <w:rPr>
                <w:rFonts w:ascii="仿宋" w:hAnsi="仿宋" w:cs="黑体"/>
                <w:b/>
                <w:color w:val="auto"/>
                <w:sz w:val="21"/>
                <w:szCs w:val="24"/>
                <w:highlight w:val="none"/>
              </w:rPr>
              <w:t xml:space="preserve">  </w:t>
            </w:r>
            <w:r>
              <w:rPr>
                <w:rFonts w:hint="eastAsia" w:ascii="仿宋" w:hAnsi="仿宋" w:cs="黑体"/>
                <w:b/>
                <w:color w:val="auto"/>
                <w:sz w:val="21"/>
                <w:szCs w:val="24"/>
                <w:highlight w:val="none"/>
              </w:rPr>
              <w:t>重点帮扶县投资概算表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44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1"/>
                <w:szCs w:val="21"/>
                <w:u w:val="none"/>
              </w:rPr>
            </w:pPr>
            <w:r>
              <w:rPr>
                <w:rFonts w:hint="eastAsia" w:ascii="仿宋" w:hAnsi="仿宋" w:eastAsia="仿宋" w:cs="仿宋"/>
                <w:b/>
                <w:bCs/>
                <w:i w:val="0"/>
                <w:iCs w:val="0"/>
                <w:color w:val="auto"/>
                <w:kern w:val="0"/>
                <w:sz w:val="21"/>
                <w:szCs w:val="21"/>
                <w:u w:val="none"/>
                <w:lang w:val="en-US" w:eastAsia="zh-CN" w:bidi="ar"/>
              </w:rPr>
              <w:t>序号</w:t>
            </w:r>
          </w:p>
        </w:tc>
        <w:tc>
          <w:tcPr>
            <w:tcW w:w="119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1"/>
                <w:szCs w:val="21"/>
                <w:u w:val="none"/>
              </w:rPr>
            </w:pPr>
            <w:r>
              <w:rPr>
                <w:rFonts w:hint="eastAsia" w:ascii="仿宋" w:hAnsi="仿宋" w:eastAsia="仿宋" w:cs="仿宋"/>
                <w:b/>
                <w:bCs/>
                <w:i w:val="0"/>
                <w:iCs w:val="0"/>
                <w:color w:val="auto"/>
                <w:kern w:val="0"/>
                <w:sz w:val="21"/>
                <w:szCs w:val="21"/>
                <w:u w:val="none"/>
                <w:lang w:val="en-US" w:eastAsia="zh-CN" w:bidi="ar"/>
              </w:rPr>
              <w:t>类别</w:t>
            </w:r>
          </w:p>
        </w:tc>
        <w:tc>
          <w:tcPr>
            <w:tcW w:w="74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1"/>
                <w:szCs w:val="21"/>
                <w:u w:val="none"/>
              </w:rPr>
            </w:pPr>
            <w:r>
              <w:rPr>
                <w:rStyle w:val="54"/>
                <w:rFonts w:hint="eastAsia" w:ascii="仿宋" w:hAnsi="仿宋" w:eastAsia="仿宋" w:cs="仿宋"/>
                <w:color w:val="auto"/>
                <w:sz w:val="21"/>
                <w:szCs w:val="21"/>
                <w:lang w:val="en-US" w:eastAsia="zh-CN" w:bidi="ar"/>
              </w:rPr>
              <w:t>行政区域</w:t>
            </w:r>
            <w:r>
              <w:rPr>
                <w:rStyle w:val="55"/>
                <w:rFonts w:hint="eastAsia" w:ascii="仿宋" w:hAnsi="仿宋" w:eastAsia="仿宋" w:cs="仿宋"/>
                <w:color w:val="auto"/>
                <w:sz w:val="21"/>
                <w:szCs w:val="21"/>
                <w:lang w:val="en-US" w:eastAsia="zh-CN" w:bidi="ar"/>
              </w:rPr>
              <w:t xml:space="preserve">  </w:t>
            </w:r>
          </w:p>
        </w:tc>
        <w:tc>
          <w:tcPr>
            <w:tcW w:w="2616" w:type="pct"/>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1"/>
                <w:szCs w:val="21"/>
                <w:u w:val="none"/>
              </w:rPr>
            </w:pPr>
            <w:r>
              <w:rPr>
                <w:rFonts w:hint="eastAsia" w:ascii="仿宋" w:hAnsi="仿宋" w:eastAsia="仿宋" w:cs="仿宋"/>
                <w:b/>
                <w:bCs/>
                <w:i w:val="0"/>
                <w:iCs w:val="0"/>
                <w:color w:val="auto"/>
                <w:kern w:val="0"/>
                <w:sz w:val="21"/>
                <w:szCs w:val="21"/>
                <w:u w:val="none"/>
                <w:lang w:val="en-US" w:eastAsia="zh-CN" w:bidi="ar"/>
              </w:rPr>
              <w:t>总投资（万元）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4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b/>
                <w:bCs/>
                <w:i w:val="0"/>
                <w:iCs w:val="0"/>
                <w:color w:val="auto"/>
                <w:sz w:val="21"/>
                <w:szCs w:val="21"/>
                <w:u w:val="none"/>
              </w:rPr>
            </w:pPr>
          </w:p>
        </w:tc>
        <w:tc>
          <w:tcPr>
            <w:tcW w:w="11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auto"/>
                <w:sz w:val="21"/>
                <w:szCs w:val="21"/>
                <w:u w:val="none"/>
              </w:rPr>
            </w:pPr>
          </w:p>
        </w:tc>
        <w:tc>
          <w:tcPr>
            <w:tcW w:w="7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auto"/>
                <w:sz w:val="21"/>
                <w:szCs w:val="21"/>
                <w:u w:val="none"/>
              </w:rPr>
            </w:pPr>
          </w:p>
        </w:tc>
        <w:tc>
          <w:tcPr>
            <w:tcW w:w="2616"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b/>
                <w:bCs/>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44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b/>
                <w:bCs/>
                <w:i w:val="0"/>
                <w:iCs w:val="0"/>
                <w:color w:val="auto"/>
                <w:sz w:val="21"/>
                <w:szCs w:val="21"/>
                <w:u w:val="none"/>
              </w:rPr>
            </w:pPr>
          </w:p>
        </w:tc>
        <w:tc>
          <w:tcPr>
            <w:tcW w:w="11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auto"/>
                <w:sz w:val="21"/>
                <w:szCs w:val="21"/>
                <w:u w:val="none"/>
              </w:rPr>
            </w:pPr>
          </w:p>
        </w:tc>
        <w:tc>
          <w:tcPr>
            <w:tcW w:w="7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auto"/>
                <w:sz w:val="21"/>
                <w:szCs w:val="21"/>
                <w:u w:val="none"/>
              </w:rPr>
            </w:pPr>
          </w:p>
        </w:tc>
        <w:tc>
          <w:tcPr>
            <w:tcW w:w="8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1"/>
                <w:szCs w:val="21"/>
                <w:u w:val="none"/>
              </w:rPr>
            </w:pPr>
            <w:r>
              <w:rPr>
                <w:rFonts w:hint="eastAsia" w:ascii="仿宋" w:hAnsi="仿宋" w:eastAsia="仿宋" w:cs="仿宋"/>
                <w:b/>
                <w:bCs/>
                <w:i w:val="0"/>
                <w:iCs w:val="0"/>
                <w:color w:val="auto"/>
                <w:kern w:val="0"/>
                <w:sz w:val="21"/>
                <w:szCs w:val="21"/>
                <w:u w:val="none"/>
                <w:lang w:val="en-US" w:eastAsia="zh-CN" w:bidi="ar"/>
              </w:rPr>
              <w:t>合计</w:t>
            </w:r>
          </w:p>
        </w:tc>
        <w:tc>
          <w:tcPr>
            <w:tcW w:w="8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1"/>
                <w:szCs w:val="21"/>
                <w:u w:val="none"/>
              </w:rPr>
            </w:pPr>
            <w:r>
              <w:rPr>
                <w:rFonts w:hint="eastAsia" w:ascii="仿宋" w:hAnsi="仿宋" w:eastAsia="仿宋" w:cs="仿宋"/>
                <w:b/>
                <w:bCs/>
                <w:i w:val="0"/>
                <w:iCs w:val="0"/>
                <w:color w:val="auto"/>
                <w:kern w:val="0"/>
                <w:sz w:val="21"/>
                <w:szCs w:val="21"/>
                <w:u w:val="none"/>
                <w:lang w:val="en-US" w:eastAsia="zh-CN" w:bidi="ar"/>
              </w:rPr>
              <w:t>财政资金</w:t>
            </w:r>
          </w:p>
        </w:tc>
        <w:tc>
          <w:tcPr>
            <w:tcW w:w="8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1"/>
                <w:szCs w:val="21"/>
                <w:u w:val="none"/>
              </w:rPr>
            </w:pPr>
            <w:r>
              <w:rPr>
                <w:rFonts w:hint="eastAsia" w:ascii="仿宋" w:hAnsi="仿宋" w:eastAsia="仿宋" w:cs="仿宋"/>
                <w:b/>
                <w:bCs/>
                <w:i w:val="0"/>
                <w:iCs w:val="0"/>
                <w:color w:val="auto"/>
                <w:kern w:val="0"/>
                <w:sz w:val="21"/>
                <w:szCs w:val="21"/>
                <w:u w:val="none"/>
                <w:lang w:val="en-US" w:eastAsia="zh-CN" w:bidi="ar"/>
              </w:rPr>
              <w:t>其他资金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4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b/>
                <w:bCs/>
                <w:i w:val="0"/>
                <w:iCs w:val="0"/>
                <w:color w:val="auto"/>
                <w:sz w:val="21"/>
                <w:szCs w:val="21"/>
                <w:u w:val="none"/>
              </w:rPr>
            </w:pPr>
          </w:p>
        </w:tc>
        <w:tc>
          <w:tcPr>
            <w:tcW w:w="11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auto"/>
                <w:sz w:val="21"/>
                <w:szCs w:val="21"/>
                <w:u w:val="none"/>
              </w:rPr>
            </w:pPr>
          </w:p>
        </w:tc>
        <w:tc>
          <w:tcPr>
            <w:tcW w:w="7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auto"/>
                <w:sz w:val="21"/>
                <w:szCs w:val="21"/>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auto"/>
                <w:sz w:val="21"/>
                <w:szCs w:val="21"/>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auto"/>
                <w:sz w:val="21"/>
                <w:szCs w:val="21"/>
                <w:u w:val="none"/>
              </w:rPr>
            </w:pPr>
          </w:p>
        </w:tc>
        <w:tc>
          <w:tcPr>
            <w:tcW w:w="8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w:t>
            </w:r>
          </w:p>
        </w:tc>
        <w:tc>
          <w:tcPr>
            <w:tcW w:w="119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1"/>
                <w:szCs w:val="21"/>
                <w:u w:val="none"/>
              </w:rPr>
            </w:pPr>
            <w:r>
              <w:rPr>
                <w:rFonts w:hint="eastAsia" w:ascii="仿宋" w:hAnsi="仿宋" w:eastAsia="仿宋" w:cs="仿宋"/>
                <w:b/>
                <w:bCs/>
                <w:i w:val="0"/>
                <w:iCs w:val="0"/>
                <w:color w:val="auto"/>
                <w:kern w:val="0"/>
                <w:sz w:val="21"/>
                <w:szCs w:val="21"/>
                <w:u w:val="none"/>
                <w:lang w:val="en-US" w:eastAsia="zh-CN" w:bidi="ar"/>
              </w:rPr>
              <w:t>国家重点帮扶县</w:t>
            </w:r>
          </w:p>
        </w:tc>
        <w:tc>
          <w:tcPr>
            <w:tcW w:w="74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道孚县</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492551.29</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434552.86</w:t>
            </w:r>
          </w:p>
        </w:tc>
        <w:tc>
          <w:tcPr>
            <w:tcW w:w="14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57998.43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w:t>
            </w:r>
          </w:p>
        </w:tc>
        <w:tc>
          <w:tcPr>
            <w:tcW w:w="11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auto"/>
                <w:sz w:val="21"/>
                <w:szCs w:val="21"/>
                <w:u w:val="none"/>
              </w:rPr>
            </w:pPr>
          </w:p>
        </w:tc>
        <w:tc>
          <w:tcPr>
            <w:tcW w:w="74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炉霍县</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167157.87</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153352.25</w:t>
            </w:r>
          </w:p>
        </w:tc>
        <w:tc>
          <w:tcPr>
            <w:tcW w:w="14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13805.62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3</w:t>
            </w:r>
          </w:p>
        </w:tc>
        <w:tc>
          <w:tcPr>
            <w:tcW w:w="11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auto"/>
                <w:sz w:val="21"/>
                <w:szCs w:val="21"/>
                <w:u w:val="none"/>
              </w:rPr>
            </w:pPr>
          </w:p>
        </w:tc>
        <w:tc>
          <w:tcPr>
            <w:tcW w:w="74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甘孜县</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408947.88</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366695.27</w:t>
            </w:r>
          </w:p>
        </w:tc>
        <w:tc>
          <w:tcPr>
            <w:tcW w:w="14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42252.61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4</w:t>
            </w:r>
          </w:p>
        </w:tc>
        <w:tc>
          <w:tcPr>
            <w:tcW w:w="11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auto"/>
                <w:sz w:val="21"/>
                <w:szCs w:val="21"/>
                <w:u w:val="none"/>
              </w:rPr>
            </w:pPr>
          </w:p>
        </w:tc>
        <w:tc>
          <w:tcPr>
            <w:tcW w:w="74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新龙县</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349484.16</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315833.67</w:t>
            </w:r>
          </w:p>
        </w:tc>
        <w:tc>
          <w:tcPr>
            <w:tcW w:w="14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33650.49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5</w:t>
            </w:r>
          </w:p>
        </w:tc>
        <w:tc>
          <w:tcPr>
            <w:tcW w:w="11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auto"/>
                <w:sz w:val="21"/>
                <w:szCs w:val="21"/>
                <w:u w:val="none"/>
              </w:rPr>
            </w:pPr>
          </w:p>
        </w:tc>
        <w:tc>
          <w:tcPr>
            <w:tcW w:w="74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德格县</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396469.92</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235774.54</w:t>
            </w:r>
          </w:p>
        </w:tc>
        <w:tc>
          <w:tcPr>
            <w:tcW w:w="14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160695.37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6</w:t>
            </w:r>
          </w:p>
        </w:tc>
        <w:tc>
          <w:tcPr>
            <w:tcW w:w="11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auto"/>
                <w:sz w:val="21"/>
                <w:szCs w:val="21"/>
                <w:u w:val="none"/>
              </w:rPr>
            </w:pPr>
          </w:p>
        </w:tc>
        <w:tc>
          <w:tcPr>
            <w:tcW w:w="74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白玉县</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258085.76</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218696.61</w:t>
            </w:r>
          </w:p>
        </w:tc>
        <w:tc>
          <w:tcPr>
            <w:tcW w:w="14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39389.15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7</w:t>
            </w:r>
          </w:p>
        </w:tc>
        <w:tc>
          <w:tcPr>
            <w:tcW w:w="11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auto"/>
                <w:sz w:val="21"/>
                <w:szCs w:val="21"/>
                <w:u w:val="none"/>
              </w:rPr>
            </w:pPr>
          </w:p>
        </w:tc>
        <w:tc>
          <w:tcPr>
            <w:tcW w:w="74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石渠县</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559665.56</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416451.73</w:t>
            </w:r>
          </w:p>
        </w:tc>
        <w:tc>
          <w:tcPr>
            <w:tcW w:w="14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143213.83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8</w:t>
            </w:r>
          </w:p>
        </w:tc>
        <w:tc>
          <w:tcPr>
            <w:tcW w:w="11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auto"/>
                <w:sz w:val="21"/>
                <w:szCs w:val="21"/>
                <w:u w:val="none"/>
              </w:rPr>
            </w:pPr>
          </w:p>
        </w:tc>
        <w:tc>
          <w:tcPr>
            <w:tcW w:w="74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色达县</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318200.29</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287130.84</w:t>
            </w:r>
          </w:p>
        </w:tc>
        <w:tc>
          <w:tcPr>
            <w:tcW w:w="14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31069.45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9</w:t>
            </w:r>
          </w:p>
        </w:tc>
        <w:tc>
          <w:tcPr>
            <w:tcW w:w="11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auto"/>
                <w:sz w:val="21"/>
                <w:szCs w:val="21"/>
                <w:u w:val="none"/>
              </w:rPr>
            </w:pPr>
          </w:p>
        </w:tc>
        <w:tc>
          <w:tcPr>
            <w:tcW w:w="74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理塘县</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166982.71</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158713.45</w:t>
            </w:r>
          </w:p>
        </w:tc>
        <w:tc>
          <w:tcPr>
            <w:tcW w:w="14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8269.26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10</w:t>
            </w:r>
          </w:p>
        </w:tc>
        <w:tc>
          <w:tcPr>
            <w:tcW w:w="11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auto"/>
                <w:sz w:val="21"/>
                <w:szCs w:val="21"/>
                <w:u w:val="none"/>
              </w:rPr>
            </w:pPr>
          </w:p>
        </w:tc>
        <w:tc>
          <w:tcPr>
            <w:tcW w:w="74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1"/>
                <w:szCs w:val="21"/>
                <w:u w:val="none"/>
              </w:rPr>
            </w:pPr>
            <w:r>
              <w:rPr>
                <w:rFonts w:hint="eastAsia" w:ascii="仿宋" w:hAnsi="仿宋" w:eastAsia="仿宋" w:cs="仿宋"/>
                <w:b/>
                <w:bCs/>
                <w:i w:val="0"/>
                <w:iCs w:val="0"/>
                <w:color w:val="auto"/>
                <w:kern w:val="0"/>
                <w:sz w:val="21"/>
                <w:szCs w:val="21"/>
                <w:u w:val="none"/>
                <w:lang w:val="en-US" w:eastAsia="zh-CN" w:bidi="ar"/>
              </w:rPr>
              <w:t>小计</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u w:val="none"/>
                <w:lang w:val="en-US" w:eastAsia="zh-CN" w:bidi="ar"/>
              </w:rPr>
            </w:pPr>
            <w:r>
              <w:rPr>
                <w:rFonts w:hint="default" w:ascii="仿宋" w:hAnsi="仿宋" w:eastAsia="仿宋" w:cs="仿宋"/>
                <w:b/>
                <w:bCs/>
                <w:i w:val="0"/>
                <w:iCs w:val="0"/>
                <w:color w:val="auto"/>
                <w:kern w:val="0"/>
                <w:sz w:val="21"/>
                <w:szCs w:val="21"/>
                <w:u w:val="none"/>
                <w:lang w:val="en-US" w:eastAsia="zh-CN" w:bidi="ar"/>
              </w:rPr>
              <w:t>3117545.43</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u w:val="none"/>
                <w:lang w:val="en-US" w:eastAsia="zh-CN" w:bidi="ar"/>
              </w:rPr>
            </w:pPr>
            <w:r>
              <w:rPr>
                <w:rFonts w:hint="default" w:ascii="仿宋" w:hAnsi="仿宋" w:eastAsia="仿宋" w:cs="仿宋"/>
                <w:b/>
                <w:bCs/>
                <w:i w:val="0"/>
                <w:iCs w:val="0"/>
                <w:color w:val="auto"/>
                <w:kern w:val="0"/>
                <w:sz w:val="21"/>
                <w:szCs w:val="21"/>
                <w:u w:val="none"/>
                <w:lang w:val="en-US" w:eastAsia="zh-CN" w:bidi="ar"/>
              </w:rPr>
              <w:t>2587201.22</w:t>
            </w:r>
          </w:p>
        </w:tc>
        <w:tc>
          <w:tcPr>
            <w:tcW w:w="14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u w:val="none"/>
                <w:lang w:val="en-US" w:eastAsia="zh-CN" w:bidi="ar"/>
              </w:rPr>
            </w:pPr>
            <w:r>
              <w:rPr>
                <w:rFonts w:hint="default" w:ascii="仿宋" w:hAnsi="仿宋" w:eastAsia="仿宋" w:cs="仿宋"/>
                <w:b/>
                <w:bCs/>
                <w:i w:val="0"/>
                <w:iCs w:val="0"/>
                <w:color w:val="auto"/>
                <w:kern w:val="0"/>
                <w:sz w:val="21"/>
                <w:szCs w:val="21"/>
                <w:u w:val="none"/>
                <w:lang w:val="en-US" w:eastAsia="zh-CN" w:bidi="ar"/>
              </w:rPr>
              <w:t>530344.21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11</w:t>
            </w:r>
          </w:p>
        </w:tc>
        <w:tc>
          <w:tcPr>
            <w:tcW w:w="119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1"/>
                <w:szCs w:val="21"/>
                <w:u w:val="none"/>
              </w:rPr>
            </w:pPr>
            <w:r>
              <w:rPr>
                <w:rFonts w:hint="eastAsia" w:ascii="仿宋" w:hAnsi="仿宋" w:eastAsia="仿宋" w:cs="仿宋"/>
                <w:b/>
                <w:bCs/>
                <w:i w:val="0"/>
                <w:iCs w:val="0"/>
                <w:color w:val="auto"/>
                <w:kern w:val="0"/>
                <w:sz w:val="21"/>
                <w:szCs w:val="21"/>
                <w:u w:val="none"/>
                <w:lang w:val="en-US" w:eastAsia="zh-CN" w:bidi="ar"/>
              </w:rPr>
              <w:t>省重点帮扶县</w:t>
            </w:r>
          </w:p>
        </w:tc>
        <w:tc>
          <w:tcPr>
            <w:tcW w:w="74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康定市</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189275.58</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166766.25</w:t>
            </w:r>
          </w:p>
        </w:tc>
        <w:tc>
          <w:tcPr>
            <w:tcW w:w="14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22509.33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12</w:t>
            </w:r>
          </w:p>
        </w:tc>
        <w:tc>
          <w:tcPr>
            <w:tcW w:w="11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auto"/>
                <w:sz w:val="21"/>
                <w:szCs w:val="21"/>
                <w:u w:val="none"/>
              </w:rPr>
            </w:pPr>
          </w:p>
        </w:tc>
        <w:tc>
          <w:tcPr>
            <w:tcW w:w="74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泸定县</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133124.59</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97030.09</w:t>
            </w:r>
          </w:p>
        </w:tc>
        <w:tc>
          <w:tcPr>
            <w:tcW w:w="14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36094.50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13</w:t>
            </w:r>
          </w:p>
        </w:tc>
        <w:tc>
          <w:tcPr>
            <w:tcW w:w="11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auto"/>
                <w:sz w:val="21"/>
                <w:szCs w:val="21"/>
                <w:u w:val="none"/>
              </w:rPr>
            </w:pPr>
          </w:p>
        </w:tc>
        <w:tc>
          <w:tcPr>
            <w:tcW w:w="74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丹巴县</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234702.62</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171430.40</w:t>
            </w:r>
          </w:p>
        </w:tc>
        <w:tc>
          <w:tcPr>
            <w:tcW w:w="14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63272.22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14</w:t>
            </w:r>
          </w:p>
        </w:tc>
        <w:tc>
          <w:tcPr>
            <w:tcW w:w="11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auto"/>
                <w:sz w:val="21"/>
                <w:szCs w:val="21"/>
                <w:u w:val="none"/>
              </w:rPr>
            </w:pPr>
          </w:p>
        </w:tc>
        <w:tc>
          <w:tcPr>
            <w:tcW w:w="74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九龙县</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315817.28</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231906.53</w:t>
            </w:r>
          </w:p>
        </w:tc>
        <w:tc>
          <w:tcPr>
            <w:tcW w:w="14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83910.75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15</w:t>
            </w:r>
          </w:p>
        </w:tc>
        <w:tc>
          <w:tcPr>
            <w:tcW w:w="11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auto"/>
                <w:sz w:val="21"/>
                <w:szCs w:val="21"/>
                <w:u w:val="none"/>
              </w:rPr>
            </w:pPr>
          </w:p>
        </w:tc>
        <w:tc>
          <w:tcPr>
            <w:tcW w:w="74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雅江县</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331842.29</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256720.51</w:t>
            </w:r>
          </w:p>
        </w:tc>
        <w:tc>
          <w:tcPr>
            <w:tcW w:w="14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75121.78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16</w:t>
            </w:r>
          </w:p>
        </w:tc>
        <w:tc>
          <w:tcPr>
            <w:tcW w:w="11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auto"/>
                <w:sz w:val="21"/>
                <w:szCs w:val="21"/>
                <w:u w:val="none"/>
              </w:rPr>
            </w:pPr>
          </w:p>
        </w:tc>
        <w:tc>
          <w:tcPr>
            <w:tcW w:w="74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巴塘县</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83870.93</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80097.82</w:t>
            </w:r>
          </w:p>
        </w:tc>
        <w:tc>
          <w:tcPr>
            <w:tcW w:w="14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3773.11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17</w:t>
            </w:r>
          </w:p>
        </w:tc>
        <w:tc>
          <w:tcPr>
            <w:tcW w:w="11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auto"/>
                <w:sz w:val="21"/>
                <w:szCs w:val="21"/>
                <w:u w:val="none"/>
              </w:rPr>
            </w:pPr>
          </w:p>
        </w:tc>
        <w:tc>
          <w:tcPr>
            <w:tcW w:w="74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乡城县</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235538.03</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143304.87</w:t>
            </w:r>
          </w:p>
        </w:tc>
        <w:tc>
          <w:tcPr>
            <w:tcW w:w="14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92233.16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18</w:t>
            </w:r>
          </w:p>
        </w:tc>
        <w:tc>
          <w:tcPr>
            <w:tcW w:w="11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auto"/>
                <w:sz w:val="21"/>
                <w:szCs w:val="21"/>
                <w:u w:val="none"/>
              </w:rPr>
            </w:pPr>
          </w:p>
        </w:tc>
        <w:tc>
          <w:tcPr>
            <w:tcW w:w="74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稻城县</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163182.31</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123377.91</w:t>
            </w:r>
          </w:p>
        </w:tc>
        <w:tc>
          <w:tcPr>
            <w:tcW w:w="14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39804.40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19</w:t>
            </w:r>
          </w:p>
        </w:tc>
        <w:tc>
          <w:tcPr>
            <w:tcW w:w="11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auto"/>
                <w:sz w:val="21"/>
                <w:szCs w:val="21"/>
                <w:u w:val="none"/>
              </w:rPr>
            </w:pPr>
          </w:p>
        </w:tc>
        <w:tc>
          <w:tcPr>
            <w:tcW w:w="74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得荣县</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91945.04</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90795.04</w:t>
            </w:r>
          </w:p>
        </w:tc>
        <w:tc>
          <w:tcPr>
            <w:tcW w:w="14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1150.00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20</w:t>
            </w:r>
          </w:p>
        </w:tc>
        <w:tc>
          <w:tcPr>
            <w:tcW w:w="11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auto"/>
                <w:sz w:val="21"/>
                <w:szCs w:val="21"/>
                <w:u w:val="none"/>
              </w:rPr>
            </w:pPr>
          </w:p>
        </w:tc>
        <w:tc>
          <w:tcPr>
            <w:tcW w:w="74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1"/>
                <w:szCs w:val="21"/>
                <w:u w:val="none"/>
              </w:rPr>
            </w:pPr>
            <w:r>
              <w:rPr>
                <w:rFonts w:hint="eastAsia" w:ascii="仿宋" w:hAnsi="仿宋" w:eastAsia="仿宋" w:cs="仿宋"/>
                <w:b/>
                <w:bCs/>
                <w:i w:val="0"/>
                <w:iCs w:val="0"/>
                <w:color w:val="auto"/>
                <w:kern w:val="0"/>
                <w:sz w:val="21"/>
                <w:szCs w:val="21"/>
                <w:u w:val="none"/>
                <w:lang w:val="en-US" w:eastAsia="zh-CN" w:bidi="ar"/>
              </w:rPr>
              <w:t>小计</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u w:val="none"/>
                <w:lang w:val="en-US" w:eastAsia="zh-CN" w:bidi="ar"/>
              </w:rPr>
            </w:pPr>
            <w:r>
              <w:rPr>
                <w:rFonts w:hint="default" w:ascii="仿宋" w:hAnsi="仿宋" w:eastAsia="仿宋" w:cs="仿宋"/>
                <w:b/>
                <w:bCs/>
                <w:i w:val="0"/>
                <w:iCs w:val="0"/>
                <w:color w:val="auto"/>
                <w:kern w:val="0"/>
                <w:sz w:val="21"/>
                <w:szCs w:val="21"/>
                <w:u w:val="none"/>
                <w:lang w:val="en-US" w:eastAsia="zh-CN" w:bidi="ar"/>
              </w:rPr>
              <w:t>1779298.66</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u w:val="none"/>
                <w:lang w:val="en-US" w:eastAsia="zh-CN" w:bidi="ar"/>
              </w:rPr>
            </w:pPr>
            <w:r>
              <w:rPr>
                <w:rFonts w:hint="default" w:ascii="仿宋" w:hAnsi="仿宋" w:eastAsia="仿宋" w:cs="仿宋"/>
                <w:b/>
                <w:bCs/>
                <w:i w:val="0"/>
                <w:iCs w:val="0"/>
                <w:color w:val="auto"/>
                <w:kern w:val="0"/>
                <w:sz w:val="21"/>
                <w:szCs w:val="21"/>
                <w:u w:val="none"/>
                <w:lang w:val="en-US" w:eastAsia="zh-CN" w:bidi="ar"/>
              </w:rPr>
              <w:t>1361429.41</w:t>
            </w:r>
          </w:p>
        </w:tc>
        <w:tc>
          <w:tcPr>
            <w:tcW w:w="14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u w:val="none"/>
                <w:lang w:val="en-US" w:eastAsia="zh-CN" w:bidi="ar"/>
              </w:rPr>
            </w:pPr>
            <w:r>
              <w:rPr>
                <w:rFonts w:hint="default" w:ascii="仿宋" w:hAnsi="仿宋" w:eastAsia="仿宋" w:cs="仿宋"/>
                <w:b/>
                <w:bCs/>
                <w:i w:val="0"/>
                <w:iCs w:val="0"/>
                <w:color w:val="auto"/>
                <w:kern w:val="0"/>
                <w:sz w:val="21"/>
                <w:szCs w:val="21"/>
                <w:u w:val="none"/>
                <w:lang w:val="en-US" w:eastAsia="zh-CN" w:bidi="ar"/>
              </w:rPr>
              <w:t>417869.25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163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1"/>
                <w:szCs w:val="21"/>
                <w:u w:val="none"/>
              </w:rPr>
            </w:pPr>
            <w:r>
              <w:rPr>
                <w:rFonts w:hint="eastAsia" w:ascii="仿宋" w:hAnsi="仿宋" w:eastAsia="仿宋" w:cs="仿宋"/>
                <w:b/>
                <w:bCs/>
                <w:i w:val="0"/>
                <w:iCs w:val="0"/>
                <w:color w:val="auto"/>
                <w:kern w:val="0"/>
                <w:sz w:val="21"/>
                <w:szCs w:val="21"/>
                <w:u w:val="none"/>
                <w:lang w:val="en-US" w:eastAsia="zh-CN" w:bidi="ar"/>
              </w:rPr>
              <w:t>合  计</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1"/>
                <w:szCs w:val="21"/>
                <w:u w:val="none"/>
              </w:rPr>
            </w:pPr>
            <w:r>
              <w:rPr>
                <w:rFonts w:hint="eastAsia" w:ascii="仿宋" w:hAnsi="仿宋" w:eastAsia="仿宋" w:cs="仿宋"/>
                <w:b/>
                <w:bCs/>
                <w:i w:val="0"/>
                <w:iCs w:val="0"/>
                <w:color w:val="auto"/>
                <w:kern w:val="0"/>
                <w:sz w:val="21"/>
                <w:szCs w:val="21"/>
                <w:u w:val="none"/>
                <w:lang w:val="en-US" w:eastAsia="zh-CN" w:bidi="ar"/>
              </w:rPr>
              <w:t>甘孜州</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u w:val="none"/>
                <w:lang w:val="en-US" w:eastAsia="zh-CN" w:bidi="ar"/>
              </w:rPr>
            </w:pPr>
            <w:r>
              <w:rPr>
                <w:rFonts w:hint="default" w:ascii="仿宋" w:hAnsi="仿宋" w:eastAsia="仿宋" w:cs="仿宋"/>
                <w:b/>
                <w:bCs/>
                <w:i w:val="0"/>
                <w:iCs w:val="0"/>
                <w:color w:val="auto"/>
                <w:kern w:val="0"/>
                <w:sz w:val="21"/>
                <w:szCs w:val="21"/>
                <w:u w:val="none"/>
                <w:lang w:val="en-US" w:eastAsia="zh-CN" w:bidi="ar"/>
              </w:rPr>
              <w:t>4896844.09</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u w:val="none"/>
                <w:lang w:val="en-US" w:eastAsia="zh-CN" w:bidi="ar"/>
              </w:rPr>
            </w:pPr>
            <w:r>
              <w:rPr>
                <w:rFonts w:hint="default" w:ascii="仿宋" w:hAnsi="仿宋" w:eastAsia="仿宋" w:cs="仿宋"/>
                <w:b/>
                <w:bCs/>
                <w:i w:val="0"/>
                <w:iCs w:val="0"/>
                <w:color w:val="auto"/>
                <w:kern w:val="0"/>
                <w:sz w:val="21"/>
                <w:szCs w:val="21"/>
                <w:u w:val="none"/>
                <w:lang w:val="en-US" w:eastAsia="zh-CN" w:bidi="ar"/>
              </w:rPr>
              <w:t>3948630.63</w:t>
            </w:r>
          </w:p>
        </w:tc>
        <w:tc>
          <w:tcPr>
            <w:tcW w:w="14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u w:val="none"/>
                <w:lang w:val="en-US" w:eastAsia="zh-CN" w:bidi="ar"/>
              </w:rPr>
            </w:pPr>
            <w:r>
              <w:rPr>
                <w:rFonts w:hint="default" w:ascii="仿宋" w:hAnsi="仿宋" w:eastAsia="仿宋" w:cs="仿宋"/>
                <w:b/>
                <w:bCs/>
                <w:i w:val="0"/>
                <w:iCs w:val="0"/>
                <w:color w:val="auto"/>
                <w:kern w:val="0"/>
                <w:sz w:val="21"/>
                <w:szCs w:val="21"/>
                <w:u w:val="none"/>
                <w:lang w:val="en-US" w:eastAsia="zh-CN" w:bidi="ar"/>
              </w:rPr>
              <w:t>948213.46</w:t>
            </w:r>
          </w:p>
        </w:tc>
      </w:tr>
    </w:tbl>
    <w:p>
      <w:pPr>
        <w:pStyle w:val="5"/>
        <w:tabs>
          <w:tab w:val="clear" w:pos="0"/>
        </w:tabs>
        <w:suppressAutoHyphens w:val="0"/>
        <w:snapToGrid w:val="0"/>
        <w:spacing w:before="0" w:after="0" w:line="360" w:lineRule="auto"/>
        <w:ind w:firstLine="643" w:firstLineChars="200"/>
        <w:jc w:val="left"/>
        <w:rPr>
          <w:rFonts w:hint="eastAsia" w:ascii="楷体" w:hAnsi="楷体" w:eastAsia="楷体" w:cs="黑体"/>
          <w:bCs w:val="0"/>
          <w:color w:val="auto"/>
          <w:kern w:val="0"/>
          <w:highlight w:val="none"/>
        </w:rPr>
      </w:pPr>
      <w:bookmarkStart w:id="141" w:name="_Toc15295"/>
      <w:r>
        <w:rPr>
          <w:rFonts w:hint="eastAsia" w:ascii="楷体" w:hAnsi="楷体" w:eastAsia="楷体" w:cs="黑体"/>
          <w:bCs w:val="0"/>
          <w:color w:val="auto"/>
          <w:kern w:val="0"/>
          <w:highlight w:val="none"/>
        </w:rPr>
        <w:t>二</w:t>
      </w:r>
      <w:r>
        <w:rPr>
          <w:rFonts w:hint="eastAsia" w:ascii="楷体" w:hAnsi="楷体" w:eastAsia="楷体" w:cs="黑体"/>
          <w:bCs w:val="0"/>
          <w:color w:val="auto"/>
          <w:kern w:val="0"/>
          <w:highlight w:val="none"/>
          <w:lang w:eastAsia="zh-CN"/>
        </w:rPr>
        <w:t>、</w:t>
      </w:r>
      <w:r>
        <w:rPr>
          <w:rFonts w:hint="eastAsia" w:ascii="楷体" w:hAnsi="楷体" w:eastAsia="楷体" w:cs="黑体"/>
          <w:bCs w:val="0"/>
          <w:color w:val="auto"/>
          <w:kern w:val="0"/>
          <w:highlight w:val="none"/>
        </w:rPr>
        <w:t>资金筹措</w:t>
      </w:r>
      <w:bookmarkEnd w:id="139"/>
      <w:bookmarkEnd w:id="140"/>
      <w:bookmarkEnd w:id="141"/>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rPr>
          <w:rFonts w:hint="eastAsia" w:ascii="仿宋" w:hAnsi="仿宋" w:eastAsia="仿宋" w:cs="仿宋_GB2312"/>
          <w:bCs/>
          <w:color w:val="auto"/>
          <w:highlight w:val="none"/>
          <w:lang w:val="en-US" w:eastAsia="zh-CN"/>
        </w:rPr>
      </w:pPr>
      <w:r>
        <w:rPr>
          <w:rFonts w:hint="eastAsia" w:ascii="仿宋" w:hAnsi="仿宋" w:cs="仿宋_GB2312"/>
          <w:bCs/>
          <w:color w:val="auto"/>
          <w:highlight w:val="none"/>
        </w:rPr>
        <w:t>按照中央支持、州县（市）投入、东西部协作、省内对口帮扶、经营主体融资、农户自筹等资金筹措原则，规划建设项目总投资</w:t>
      </w:r>
      <w:r>
        <w:rPr>
          <w:rFonts w:hint="eastAsia" w:ascii="仿宋" w:hAnsi="仿宋" w:cs="仿宋"/>
          <w:bCs/>
          <w:color w:val="auto"/>
          <w:highlight w:val="none"/>
          <w:lang w:val="en-US" w:eastAsia="zh-CN"/>
        </w:rPr>
        <w:t>489.68</w:t>
      </w:r>
      <w:r>
        <w:rPr>
          <w:rFonts w:hint="eastAsia" w:ascii="仿宋" w:hAnsi="仿宋" w:eastAsia="仿宋" w:cs="仿宋"/>
          <w:bCs/>
          <w:color w:val="auto"/>
          <w:highlight w:val="none"/>
        </w:rPr>
        <w:t>亿元</w:t>
      </w:r>
      <w:r>
        <w:rPr>
          <w:rFonts w:hint="eastAsia" w:ascii="仿宋" w:hAnsi="仿宋" w:cs="仿宋_GB2312"/>
          <w:bCs/>
          <w:color w:val="auto"/>
          <w:highlight w:val="none"/>
        </w:rPr>
        <w:t>。投资来源为：财政资金</w:t>
      </w:r>
      <w:r>
        <w:rPr>
          <w:rFonts w:hint="eastAsia" w:ascii="仿宋" w:hAnsi="仿宋" w:cs="仿宋_GB2312"/>
          <w:bCs/>
          <w:color w:val="auto"/>
          <w:highlight w:val="none"/>
          <w:lang w:eastAsia="zh-CN"/>
        </w:rPr>
        <w:t>（</w:t>
      </w:r>
      <w:r>
        <w:rPr>
          <w:rFonts w:hint="eastAsia" w:ascii="仿宋" w:hAnsi="仿宋" w:cs="仿宋_GB2312"/>
          <w:bCs/>
          <w:color w:val="auto"/>
          <w:highlight w:val="none"/>
        </w:rPr>
        <w:t>中</w:t>
      </w:r>
      <w:r>
        <w:rPr>
          <w:rFonts w:hint="eastAsia" w:ascii="仿宋" w:hAnsi="仿宋" w:cs="仿宋_GB2312"/>
          <w:bCs/>
          <w:color w:val="auto"/>
          <w:highlight w:val="none"/>
          <w:lang w:val="en-US" w:eastAsia="zh-CN"/>
        </w:rPr>
        <w:t>省</w:t>
      </w:r>
      <w:r>
        <w:rPr>
          <w:rFonts w:hint="eastAsia" w:ascii="仿宋" w:hAnsi="仿宋" w:cs="仿宋_GB2312"/>
          <w:bCs/>
          <w:color w:val="auto"/>
          <w:highlight w:val="none"/>
        </w:rPr>
        <w:t>支持、州县（市）投入</w:t>
      </w:r>
      <w:r>
        <w:rPr>
          <w:rFonts w:hint="eastAsia" w:ascii="仿宋" w:hAnsi="仿宋" w:cs="仿宋_GB2312"/>
          <w:bCs/>
          <w:color w:val="auto"/>
          <w:highlight w:val="none"/>
          <w:lang w:val="en-US" w:eastAsia="zh-CN"/>
        </w:rPr>
        <w:t>等</w:t>
      </w:r>
      <w:r>
        <w:rPr>
          <w:rFonts w:hint="eastAsia" w:ascii="仿宋" w:hAnsi="仿宋" w:cs="仿宋_GB2312"/>
          <w:bCs/>
          <w:color w:val="auto"/>
          <w:highlight w:val="none"/>
          <w:lang w:eastAsia="zh-CN"/>
        </w:rPr>
        <w:t>）394</w:t>
      </w:r>
      <w:r>
        <w:rPr>
          <w:rFonts w:hint="eastAsia" w:ascii="仿宋" w:hAnsi="仿宋" w:cs="仿宋_GB2312"/>
          <w:bCs/>
          <w:color w:val="auto"/>
          <w:highlight w:val="none"/>
          <w:lang w:val="en-US" w:eastAsia="zh-CN"/>
        </w:rPr>
        <w:t>.</w:t>
      </w:r>
      <w:r>
        <w:rPr>
          <w:rFonts w:hint="eastAsia" w:ascii="仿宋" w:hAnsi="仿宋" w:cs="仿宋_GB2312"/>
          <w:bCs/>
          <w:color w:val="auto"/>
          <w:highlight w:val="none"/>
          <w:lang w:eastAsia="zh-CN"/>
        </w:rPr>
        <w:t>86</w:t>
      </w:r>
      <w:r>
        <w:rPr>
          <w:rFonts w:hint="eastAsia" w:ascii="仿宋" w:hAnsi="仿宋" w:cs="仿宋_GB2312"/>
          <w:bCs/>
          <w:color w:val="auto"/>
          <w:highlight w:val="none"/>
        </w:rPr>
        <w:t>亿元，</w:t>
      </w:r>
      <w:r>
        <w:rPr>
          <w:rFonts w:hint="eastAsia" w:ascii="仿宋" w:hAnsi="仿宋" w:cs="仿宋_GB2312"/>
          <w:bCs/>
          <w:color w:val="auto"/>
          <w:highlight w:val="none"/>
          <w:lang w:val="en-US" w:eastAsia="zh-CN"/>
        </w:rPr>
        <w:t>其他</w:t>
      </w:r>
      <w:r>
        <w:rPr>
          <w:rFonts w:hint="eastAsia" w:ascii="仿宋" w:hAnsi="仿宋" w:cs="仿宋_GB2312"/>
          <w:bCs/>
          <w:color w:val="auto"/>
          <w:highlight w:val="none"/>
        </w:rPr>
        <w:t>资金</w:t>
      </w:r>
      <w:r>
        <w:rPr>
          <w:rFonts w:hint="eastAsia" w:ascii="仿宋" w:hAnsi="仿宋" w:cs="仿宋_GB2312"/>
          <w:bCs/>
          <w:color w:val="auto"/>
          <w:highlight w:val="none"/>
          <w:lang w:eastAsia="zh-CN"/>
        </w:rPr>
        <w:t>（</w:t>
      </w:r>
      <w:r>
        <w:rPr>
          <w:rFonts w:hint="eastAsia" w:ascii="仿宋" w:hAnsi="仿宋" w:cs="仿宋_GB2312"/>
          <w:bCs/>
          <w:color w:val="auto"/>
          <w:highlight w:val="none"/>
        </w:rPr>
        <w:t>东西部协作、省内对口帮扶、经营主体融资、农户自筹</w:t>
      </w:r>
      <w:r>
        <w:rPr>
          <w:rFonts w:hint="eastAsia" w:ascii="仿宋" w:hAnsi="仿宋" w:cs="仿宋_GB2312"/>
          <w:bCs/>
          <w:color w:val="auto"/>
          <w:highlight w:val="none"/>
          <w:lang w:val="en-US" w:eastAsia="zh-CN"/>
        </w:rPr>
        <w:t>等</w:t>
      </w:r>
      <w:r>
        <w:rPr>
          <w:rFonts w:hint="eastAsia" w:ascii="仿宋" w:hAnsi="仿宋" w:cs="仿宋_GB2312"/>
          <w:bCs/>
          <w:color w:val="auto"/>
          <w:highlight w:val="none"/>
          <w:lang w:eastAsia="zh-CN"/>
        </w:rPr>
        <w:t>）</w:t>
      </w:r>
      <w:r>
        <w:rPr>
          <w:rFonts w:hint="eastAsia" w:ascii="仿宋" w:hAnsi="仿宋" w:cs="仿宋_GB2312"/>
          <w:bCs/>
          <w:color w:val="auto"/>
          <w:highlight w:val="none"/>
          <w:lang w:val="en-US" w:eastAsia="zh-CN"/>
        </w:rPr>
        <w:t>94.82</w:t>
      </w:r>
      <w:r>
        <w:rPr>
          <w:rFonts w:hint="eastAsia" w:ascii="仿宋" w:hAnsi="仿宋" w:cs="仿宋_GB2312"/>
          <w:bCs/>
          <w:color w:val="auto"/>
          <w:highlight w:val="none"/>
        </w:rPr>
        <w:t>亿元。</w:t>
      </w:r>
    </w:p>
    <w:p>
      <w:pPr>
        <w:pStyle w:val="5"/>
        <w:tabs>
          <w:tab w:val="clear" w:pos="0"/>
        </w:tabs>
        <w:suppressAutoHyphens w:val="0"/>
        <w:snapToGrid w:val="0"/>
        <w:spacing w:before="0" w:after="0" w:line="360" w:lineRule="auto"/>
        <w:ind w:firstLine="643" w:firstLineChars="200"/>
        <w:jc w:val="left"/>
        <w:rPr>
          <w:rFonts w:hint="eastAsia" w:ascii="楷体" w:hAnsi="楷体" w:eastAsia="楷体" w:cs="黑体"/>
          <w:bCs w:val="0"/>
          <w:color w:val="auto"/>
          <w:kern w:val="0"/>
          <w:highlight w:val="none"/>
          <w:lang w:val="en-US" w:eastAsia="zh-CN"/>
        </w:rPr>
      </w:pPr>
      <w:bookmarkStart w:id="142" w:name="_Toc8101"/>
      <w:r>
        <w:rPr>
          <w:rFonts w:hint="eastAsia" w:ascii="楷体" w:hAnsi="楷体" w:eastAsia="楷体" w:cs="黑体"/>
          <w:bCs w:val="0"/>
          <w:color w:val="auto"/>
          <w:kern w:val="0"/>
          <w:highlight w:val="none"/>
          <w:lang w:val="en-US" w:eastAsia="zh-CN"/>
        </w:rPr>
        <w:t>三</w:t>
      </w:r>
      <w:r>
        <w:rPr>
          <w:rFonts w:hint="eastAsia" w:ascii="楷体" w:hAnsi="楷体" w:eastAsia="楷体" w:cs="黑体"/>
          <w:bCs w:val="0"/>
          <w:color w:val="auto"/>
          <w:kern w:val="0"/>
          <w:highlight w:val="none"/>
        </w:rPr>
        <w:t>、</w:t>
      </w:r>
      <w:r>
        <w:rPr>
          <w:rFonts w:hint="eastAsia" w:ascii="楷体" w:hAnsi="楷体" w:eastAsia="楷体" w:cs="黑体"/>
          <w:bCs w:val="0"/>
          <w:color w:val="auto"/>
          <w:kern w:val="0"/>
          <w:highlight w:val="none"/>
          <w:lang w:val="en-US" w:eastAsia="zh-CN"/>
        </w:rPr>
        <w:t>效益预测</w:t>
      </w:r>
      <w:bookmarkEnd w:id="142"/>
    </w:p>
    <w:p>
      <w:pPr>
        <w:keepNext w:val="0"/>
        <w:keepLines w:val="0"/>
        <w:pageBreakBefore w:val="0"/>
        <w:widowControl w:val="0"/>
        <w:kinsoku/>
        <w:wordWrap/>
        <w:overflowPunct/>
        <w:topLinePunct w:val="0"/>
        <w:autoSpaceDE/>
        <w:autoSpaceDN/>
        <w:bidi w:val="0"/>
        <w:adjustRightInd/>
        <w:snapToGrid w:val="0"/>
        <w:spacing w:line="360" w:lineRule="auto"/>
        <w:ind w:firstLine="643" w:firstLineChars="200"/>
        <w:textAlignment w:val="auto"/>
        <w:rPr>
          <w:rFonts w:hint="default" w:ascii="仿宋" w:hAnsi="仿宋" w:eastAsia="仿宋" w:cs="仿宋_GB2312"/>
          <w:bCs/>
          <w:color w:val="auto"/>
          <w:highlight w:val="none"/>
          <w:lang w:val="en-US" w:eastAsia="zh-CN"/>
        </w:rPr>
      </w:pPr>
      <w:r>
        <w:rPr>
          <w:rFonts w:hint="eastAsia" w:ascii="仿宋" w:hAnsi="仿宋" w:cs="仿宋_GB2312"/>
          <w:b/>
          <w:bCs w:val="0"/>
          <w:i w:val="0"/>
          <w:iCs w:val="0"/>
          <w:color w:val="auto"/>
          <w:highlight w:val="none"/>
          <w:lang w:val="en-US" w:eastAsia="zh-CN"/>
        </w:rPr>
        <w:t>经济效益</w:t>
      </w:r>
      <w:r>
        <w:rPr>
          <w:rFonts w:hint="eastAsia" w:ascii="仿宋" w:hAnsi="仿宋" w:cs="仿宋_GB2312"/>
          <w:bCs/>
          <w:color w:val="auto"/>
          <w:highlight w:val="none"/>
          <w:lang w:val="en-US" w:eastAsia="zh-CN"/>
        </w:rPr>
        <w:t>。到2025年，实现地区生产总值达到650亿元。农</w:t>
      </w:r>
      <w:r>
        <w:rPr>
          <w:rFonts w:hint="eastAsia" w:ascii="仿宋" w:hAnsi="仿宋" w:cs="仿宋_GB2312"/>
          <w:bCs/>
          <w:color w:val="auto"/>
          <w:highlight w:val="none"/>
        </w:rPr>
        <w:t>村公路村村通工程全面推进，对外大通道和区内交通网络初步形成；</w:t>
      </w:r>
      <w:r>
        <w:rPr>
          <w:rFonts w:hint="eastAsia" w:ascii="仿宋" w:hAnsi="仿宋" w:cs="仿宋_GB2312"/>
          <w:bCs/>
          <w:color w:val="auto"/>
          <w:highlight w:val="none"/>
          <w:lang w:val="en-US" w:eastAsia="zh-CN"/>
        </w:rPr>
        <w:t>农田中小型水利和高标准农田顺利推进；农村精品线路形成；</w:t>
      </w:r>
      <w:r>
        <w:rPr>
          <w:rFonts w:hint="eastAsia" w:ascii="仿宋" w:hAnsi="仿宋" w:cs="仿宋_GB2312"/>
          <w:bCs/>
          <w:color w:val="auto"/>
          <w:highlight w:val="none"/>
        </w:rPr>
        <w:t>牦牛、藏</w:t>
      </w:r>
      <w:r>
        <w:rPr>
          <w:rFonts w:hint="eastAsia" w:ascii="仿宋" w:hAnsi="仿宋" w:cs="仿宋_GB2312"/>
          <w:bCs/>
          <w:color w:val="auto"/>
          <w:highlight w:val="none"/>
          <w:lang w:val="en-US" w:eastAsia="zh-CN"/>
        </w:rPr>
        <w:t>猪</w:t>
      </w:r>
      <w:r>
        <w:rPr>
          <w:rFonts w:hint="eastAsia" w:ascii="仿宋" w:hAnsi="仿宋" w:cs="仿宋_GB2312"/>
          <w:bCs/>
          <w:color w:val="auto"/>
          <w:highlight w:val="none"/>
        </w:rPr>
        <w:t>、乳制品等畜</w:t>
      </w:r>
      <w:r>
        <w:rPr>
          <w:rFonts w:hint="eastAsia" w:ascii="仿宋" w:hAnsi="仿宋" w:cs="仿宋_GB2312"/>
          <w:bCs/>
          <w:color w:val="auto"/>
          <w:highlight w:val="none"/>
          <w:lang w:val="en-US" w:eastAsia="zh-CN"/>
        </w:rPr>
        <w:t>牧</w:t>
      </w:r>
      <w:r>
        <w:rPr>
          <w:rFonts w:hint="eastAsia" w:ascii="仿宋" w:hAnsi="仿宋" w:cs="仿宋_GB2312"/>
          <w:bCs/>
          <w:color w:val="auto"/>
          <w:highlight w:val="none"/>
        </w:rPr>
        <w:t>产品和</w:t>
      </w:r>
      <w:r>
        <w:rPr>
          <w:rFonts w:hint="eastAsia" w:ascii="仿宋" w:hAnsi="仿宋" w:cs="仿宋_GB2312"/>
          <w:bCs/>
          <w:color w:val="auto"/>
          <w:highlight w:val="none"/>
          <w:lang w:val="en-US" w:eastAsia="zh-CN"/>
        </w:rPr>
        <w:t>粮食</w:t>
      </w:r>
      <w:r>
        <w:rPr>
          <w:rFonts w:hint="eastAsia" w:ascii="仿宋" w:hAnsi="仿宋" w:cs="仿宋_GB2312"/>
          <w:bCs/>
          <w:color w:val="auto"/>
          <w:highlight w:val="none"/>
        </w:rPr>
        <w:t>、</w:t>
      </w:r>
      <w:r>
        <w:rPr>
          <w:rFonts w:hint="eastAsia" w:ascii="仿宋" w:hAnsi="仿宋" w:cs="仿宋_GB2312"/>
          <w:bCs/>
          <w:color w:val="auto"/>
          <w:highlight w:val="none"/>
          <w:lang w:val="en-US" w:eastAsia="zh-CN"/>
        </w:rPr>
        <w:t>蔬菜</w:t>
      </w:r>
      <w:r>
        <w:rPr>
          <w:rFonts w:hint="eastAsia" w:ascii="仿宋" w:hAnsi="仿宋" w:cs="仿宋_GB2312"/>
          <w:bCs/>
          <w:color w:val="auto"/>
          <w:highlight w:val="none"/>
        </w:rPr>
        <w:t>、道地中药材等特色农</w:t>
      </w:r>
      <w:r>
        <w:rPr>
          <w:rFonts w:hint="eastAsia" w:ascii="仿宋" w:hAnsi="仿宋" w:cs="仿宋_GB2312"/>
          <w:bCs/>
          <w:color w:val="auto"/>
          <w:highlight w:val="none"/>
          <w:lang w:val="en-US" w:eastAsia="zh-CN"/>
        </w:rPr>
        <w:t>牧</w:t>
      </w:r>
      <w:r>
        <w:rPr>
          <w:rFonts w:hint="eastAsia" w:ascii="仿宋" w:hAnsi="仿宋" w:cs="仿宋_GB2312"/>
          <w:bCs/>
          <w:color w:val="auto"/>
          <w:highlight w:val="none"/>
        </w:rPr>
        <w:t>业优势凸显；</w:t>
      </w:r>
      <w:r>
        <w:rPr>
          <w:rFonts w:hint="eastAsia" w:ascii="仿宋" w:hAnsi="仿宋" w:cs="仿宋_GB2312"/>
          <w:bCs/>
          <w:color w:val="auto"/>
          <w:highlight w:val="none"/>
          <w:lang w:val="en-US" w:eastAsia="zh-CN"/>
        </w:rPr>
        <w:t>农产品全产业链体系</w:t>
      </w:r>
      <w:r>
        <w:rPr>
          <w:rFonts w:hint="eastAsia" w:ascii="仿宋" w:hAnsi="仿宋" w:cs="仿宋_GB2312"/>
          <w:bCs/>
          <w:color w:val="auto"/>
          <w:highlight w:val="none"/>
        </w:rPr>
        <w:t>进一步完善；</w:t>
      </w:r>
      <w:r>
        <w:rPr>
          <w:rFonts w:hint="eastAsia" w:ascii="仿宋" w:hAnsi="仿宋" w:cs="仿宋_GB2312"/>
          <w:bCs/>
          <w:color w:val="auto"/>
          <w:highlight w:val="none"/>
          <w:lang w:val="en-US" w:eastAsia="zh-CN"/>
        </w:rPr>
        <w:t>城乡融合逐步提高，</w:t>
      </w:r>
      <w:r>
        <w:rPr>
          <w:rFonts w:hint="eastAsia" w:ascii="仿宋" w:hAnsi="仿宋" w:cs="仿宋_GB2312"/>
          <w:bCs/>
          <w:color w:val="auto"/>
          <w:highlight w:val="none"/>
        </w:rPr>
        <w:t>产业结构得到优化，</w:t>
      </w:r>
      <w:r>
        <w:rPr>
          <w:rFonts w:hint="eastAsia" w:ascii="仿宋" w:hAnsi="仿宋" w:cs="仿宋_GB2312"/>
          <w:bCs/>
          <w:color w:val="auto"/>
          <w:highlight w:val="none"/>
          <w:lang w:val="en-US" w:eastAsia="zh-CN"/>
        </w:rPr>
        <w:t>州、</w:t>
      </w:r>
      <w:r>
        <w:rPr>
          <w:rFonts w:hint="eastAsia" w:ascii="仿宋" w:hAnsi="仿宋" w:cs="仿宋_GB2312"/>
          <w:bCs/>
          <w:color w:val="auto"/>
          <w:highlight w:val="none"/>
        </w:rPr>
        <w:t>县</w:t>
      </w:r>
      <w:r>
        <w:rPr>
          <w:rFonts w:hint="eastAsia" w:ascii="仿宋" w:hAnsi="仿宋" w:cs="仿宋_GB2312"/>
          <w:bCs/>
          <w:color w:val="auto"/>
          <w:highlight w:val="none"/>
          <w:lang w:eastAsia="zh-CN"/>
        </w:rPr>
        <w:t>（</w:t>
      </w:r>
      <w:r>
        <w:rPr>
          <w:rFonts w:hint="eastAsia" w:ascii="仿宋" w:hAnsi="仿宋" w:cs="仿宋_GB2312"/>
          <w:bCs/>
          <w:color w:val="auto"/>
          <w:highlight w:val="none"/>
          <w:lang w:val="en-US" w:eastAsia="zh-CN"/>
        </w:rPr>
        <w:t>市</w:t>
      </w:r>
      <w:r>
        <w:rPr>
          <w:rFonts w:hint="eastAsia" w:ascii="仿宋" w:hAnsi="仿宋" w:cs="仿宋_GB2312"/>
          <w:bCs/>
          <w:color w:val="auto"/>
          <w:highlight w:val="none"/>
          <w:lang w:eastAsia="zh-CN"/>
        </w:rPr>
        <w:t>）</w:t>
      </w:r>
      <w:r>
        <w:rPr>
          <w:rFonts w:hint="eastAsia" w:ascii="仿宋" w:hAnsi="仿宋" w:cs="仿宋_GB2312"/>
          <w:bCs/>
          <w:color w:val="auto"/>
          <w:highlight w:val="none"/>
        </w:rPr>
        <w:t>域经济实力逐步增强，地震灾区实现发展振兴目标，</w:t>
      </w:r>
      <w:r>
        <w:rPr>
          <w:rFonts w:hint="eastAsia" w:ascii="仿宋" w:hAnsi="仿宋" w:cs="仿宋_GB2312"/>
          <w:bCs/>
          <w:color w:val="auto"/>
          <w:highlight w:val="none"/>
          <w:lang w:val="en-US" w:eastAsia="zh-CN"/>
        </w:rPr>
        <w:t>涉藏地区</w:t>
      </w:r>
      <w:r>
        <w:rPr>
          <w:rFonts w:hint="eastAsia" w:ascii="仿宋" w:hAnsi="仿宋" w:cs="仿宋_GB2312"/>
          <w:bCs/>
          <w:color w:val="auto"/>
          <w:highlight w:val="none"/>
        </w:rPr>
        <w:t>经济实现跨越式发展，</w:t>
      </w:r>
      <w:r>
        <w:rPr>
          <w:rFonts w:hint="eastAsia" w:ascii="仿宋" w:hAnsi="仿宋" w:cs="仿宋_GB2312"/>
          <w:bCs/>
          <w:color w:val="auto"/>
          <w:highlight w:val="none"/>
          <w:lang w:val="en-US" w:eastAsia="zh-CN"/>
        </w:rPr>
        <w:t>为“十四五”进一步推进脱贫地区发展，巩固脱贫攻坚成果，增加农牧民收入，缩小地区差距，全面推进乡村振兴奠定基础。</w:t>
      </w:r>
    </w:p>
    <w:p>
      <w:pPr>
        <w:keepNext w:val="0"/>
        <w:keepLines w:val="0"/>
        <w:pageBreakBefore w:val="0"/>
        <w:widowControl w:val="0"/>
        <w:kinsoku/>
        <w:wordWrap/>
        <w:overflowPunct/>
        <w:topLinePunct w:val="0"/>
        <w:autoSpaceDE/>
        <w:autoSpaceDN/>
        <w:bidi w:val="0"/>
        <w:adjustRightInd/>
        <w:snapToGrid w:val="0"/>
        <w:spacing w:line="360" w:lineRule="auto"/>
        <w:ind w:firstLine="643" w:firstLineChars="200"/>
        <w:textAlignment w:val="auto"/>
        <w:rPr>
          <w:rFonts w:hint="default" w:ascii="仿宋" w:hAnsi="仿宋" w:cs="仿宋_GB2312"/>
          <w:bCs/>
          <w:color w:val="auto"/>
          <w:highlight w:val="none"/>
          <w:lang w:val="en-US" w:eastAsia="zh-CN"/>
        </w:rPr>
      </w:pPr>
      <w:r>
        <w:rPr>
          <w:rFonts w:hint="eastAsia" w:ascii="仿宋" w:hAnsi="仿宋" w:cs="仿宋_GB2312"/>
          <w:b/>
          <w:bCs w:val="0"/>
          <w:color w:val="auto"/>
          <w:highlight w:val="none"/>
          <w:lang w:val="en-US" w:eastAsia="zh-CN"/>
        </w:rPr>
        <w:t>社会效益</w:t>
      </w:r>
      <w:r>
        <w:rPr>
          <w:rFonts w:hint="eastAsia" w:ascii="仿宋" w:hAnsi="仿宋" w:cs="仿宋_GB2312"/>
          <w:bCs/>
          <w:color w:val="auto"/>
          <w:highlight w:val="none"/>
          <w:lang w:val="en-US" w:eastAsia="zh-CN"/>
        </w:rPr>
        <w:t>。到2025年，农村居民人均可支配收入达到22500元，新增就业岗位3.5万个。九年制义务教育和控辍保学成果得到巩固，学前教育、义务教育、普通高中、中职教育协调发展，农村中小学办学条件得到改善，乡村寄宿制校舍顺利推进，师资队伍得到保障，劳动力素质进一步提高；公共卫生服务体系进一步完善，医疗卫生服务能力不断增强；文化产业健康发展，民族文化遗产挖掘与保护得到加强；社会保障体系更加健全，社会保险制度更加完善，就业渠道进一步拓宽，主要公共服务指标达到全省平均水平。易地扶贫搬迁的安置区基础配套和公共服务设施更加完善，产业得到有效发展，安置群众能有效融入当地社区，搬迁群众就业得到保障。</w:t>
      </w:r>
    </w:p>
    <w:p>
      <w:pPr>
        <w:keepNext w:val="0"/>
        <w:keepLines w:val="0"/>
        <w:pageBreakBefore w:val="0"/>
        <w:widowControl w:val="0"/>
        <w:kinsoku/>
        <w:wordWrap/>
        <w:overflowPunct/>
        <w:topLinePunct w:val="0"/>
        <w:autoSpaceDE/>
        <w:autoSpaceDN/>
        <w:bidi w:val="0"/>
        <w:adjustRightInd/>
        <w:snapToGrid w:val="0"/>
        <w:spacing w:line="360" w:lineRule="auto"/>
        <w:ind w:firstLine="643" w:firstLineChars="200"/>
        <w:textAlignment w:val="auto"/>
        <w:rPr>
          <w:rFonts w:hint="eastAsia" w:ascii="仿宋" w:hAnsi="仿宋" w:eastAsia="仿宋" w:cs="仿宋_GB2312"/>
          <w:bCs/>
          <w:color w:val="auto"/>
          <w:highlight w:val="none"/>
          <w:lang w:eastAsia="zh-CN"/>
        </w:rPr>
      </w:pPr>
      <w:r>
        <w:rPr>
          <w:rFonts w:hint="eastAsia" w:ascii="仿宋" w:hAnsi="仿宋" w:cs="仿宋_GB2312"/>
          <w:b/>
          <w:bCs w:val="0"/>
          <w:color w:val="auto"/>
          <w:highlight w:val="none"/>
          <w:lang w:val="en-US" w:eastAsia="zh-CN"/>
        </w:rPr>
        <w:t>生态效益</w:t>
      </w:r>
      <w:r>
        <w:rPr>
          <w:rFonts w:hint="eastAsia" w:ascii="仿宋" w:hAnsi="仿宋" w:cs="仿宋_GB2312"/>
          <w:bCs/>
          <w:color w:val="auto"/>
          <w:highlight w:val="none"/>
          <w:lang w:val="en-US" w:eastAsia="zh-CN"/>
        </w:rPr>
        <w:t>。到2025年，脱贫地区的土地综合整治、生态廊道、退耕还林等</w:t>
      </w:r>
      <w:r>
        <w:rPr>
          <w:rFonts w:hint="eastAsia" w:ascii="仿宋" w:hAnsi="仿宋" w:cs="仿宋_GB2312"/>
          <w:bCs/>
          <w:color w:val="auto"/>
          <w:highlight w:val="none"/>
        </w:rPr>
        <w:t>重点生态工程建设取得明显成效</w:t>
      </w:r>
      <w:r>
        <w:rPr>
          <w:rFonts w:hint="eastAsia" w:ascii="仿宋" w:hAnsi="仿宋" w:cs="仿宋_GB2312"/>
          <w:bCs/>
          <w:color w:val="auto"/>
          <w:highlight w:val="none"/>
          <w:lang w:eastAsia="zh-CN"/>
        </w:rPr>
        <w:t>，</w:t>
      </w:r>
      <w:r>
        <w:rPr>
          <w:rFonts w:hint="eastAsia" w:ascii="仿宋" w:hAnsi="仿宋" w:cs="仿宋_GB2312"/>
          <w:bCs/>
          <w:color w:val="auto"/>
          <w:highlight w:val="none"/>
          <w:lang w:val="en-US" w:eastAsia="zh-CN"/>
        </w:rPr>
        <w:t>草原、湿地、水土流失等得到</w:t>
      </w:r>
      <w:r>
        <w:rPr>
          <w:rFonts w:hint="eastAsia" w:ascii="仿宋" w:hAnsi="仿宋" w:cs="仿宋_GB2312"/>
          <w:bCs/>
          <w:color w:val="auto"/>
          <w:highlight w:val="none"/>
        </w:rPr>
        <w:t>有效治理，</w:t>
      </w:r>
      <w:r>
        <w:rPr>
          <w:rFonts w:hint="eastAsia" w:ascii="仿宋" w:hAnsi="仿宋" w:cs="仿宋_GB2312"/>
          <w:bCs/>
          <w:color w:val="auto"/>
          <w:highlight w:val="none"/>
          <w:lang w:val="en-US" w:eastAsia="zh-CN"/>
        </w:rPr>
        <w:t>草地综合植被覆盖达到84.8%，</w:t>
      </w:r>
      <w:r>
        <w:rPr>
          <w:rFonts w:hint="eastAsia" w:ascii="仿宋" w:hAnsi="仿宋" w:cs="仿宋_GB2312"/>
          <w:bCs/>
          <w:color w:val="auto"/>
          <w:highlight w:val="none"/>
        </w:rPr>
        <w:t>森林覆盖率</w:t>
      </w:r>
      <w:r>
        <w:rPr>
          <w:rFonts w:hint="eastAsia" w:ascii="仿宋" w:hAnsi="仿宋" w:cs="仿宋_GB2312"/>
          <w:bCs/>
          <w:color w:val="auto"/>
          <w:highlight w:val="none"/>
          <w:lang w:val="en-US" w:eastAsia="zh-CN"/>
        </w:rPr>
        <w:t>达到35.56%，农村灾害地区生态进一步恢复，</w:t>
      </w:r>
      <w:r>
        <w:rPr>
          <w:rFonts w:hint="eastAsia" w:ascii="仿宋" w:hAnsi="仿宋" w:cs="仿宋_GB2312"/>
          <w:bCs/>
          <w:color w:val="auto"/>
          <w:highlight w:val="none"/>
        </w:rPr>
        <w:t>生物多样性得到有效保护，水源涵养能力和水土保持能力得到较大提高。</w:t>
      </w:r>
      <w:r>
        <w:rPr>
          <w:rFonts w:hint="eastAsia" w:ascii="仿宋" w:hAnsi="仿宋" w:cs="仿宋_GB2312"/>
          <w:bCs/>
          <w:color w:val="auto"/>
          <w:highlight w:val="none"/>
          <w:lang w:val="en-US" w:eastAsia="zh-CN"/>
        </w:rPr>
        <w:t>农村人居环境综合治理得到加强，</w:t>
      </w:r>
      <w:r>
        <w:rPr>
          <w:rFonts w:hint="eastAsia" w:ascii="仿宋" w:hAnsi="仿宋" w:cs="仿宋_GB2312"/>
          <w:bCs/>
          <w:color w:val="auto"/>
          <w:highlight w:val="none"/>
        </w:rPr>
        <w:t>重点流域</w:t>
      </w:r>
      <w:r>
        <w:rPr>
          <w:rFonts w:hint="eastAsia" w:ascii="仿宋" w:hAnsi="仿宋" w:cs="仿宋_GB2312"/>
          <w:bCs/>
          <w:color w:val="auto"/>
          <w:highlight w:val="none"/>
          <w:lang w:val="en-US" w:eastAsia="zh-CN"/>
        </w:rPr>
        <w:t>水污染和农业面源污染得到有效控制，行政村生活污水有效治理比例达到60%，畜禽粪污综合利用率达到85%，</w:t>
      </w:r>
      <w:r>
        <w:rPr>
          <w:rFonts w:hint="eastAsia" w:ascii="仿宋" w:hAnsi="仿宋" w:cs="仿宋_GB2312"/>
          <w:bCs/>
          <w:color w:val="auto"/>
          <w:highlight w:val="none"/>
        </w:rPr>
        <w:t>资源综合利用水平得到提高，防灾减灾能力进一步提高，</w:t>
      </w:r>
      <w:r>
        <w:rPr>
          <w:rFonts w:hint="eastAsia" w:ascii="仿宋" w:hAnsi="仿宋" w:cs="仿宋_GB2312"/>
          <w:bCs/>
          <w:color w:val="auto"/>
          <w:highlight w:val="none"/>
          <w:lang w:val="en-US" w:eastAsia="zh-CN"/>
        </w:rPr>
        <w:t>涉藏地区</w:t>
      </w:r>
      <w:r>
        <w:rPr>
          <w:rFonts w:hint="eastAsia" w:ascii="仿宋" w:hAnsi="仿宋" w:cs="仿宋_GB2312"/>
          <w:bCs/>
          <w:color w:val="auto"/>
          <w:highlight w:val="none"/>
        </w:rPr>
        <w:t>生态建设得到巩固，区域生态系统实现良性循环。</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rPr>
          <w:rFonts w:hint="eastAsia" w:ascii="仿宋" w:hAnsi="仿宋" w:cs="仿宋_GB2312"/>
          <w:bCs/>
          <w:color w:val="auto"/>
          <w:highlight w:val="none"/>
        </w:rPr>
      </w:pPr>
    </w:p>
    <w:p>
      <w:pPr>
        <w:rPr>
          <w:rFonts w:hint="eastAsia"/>
          <w:color w:val="auto"/>
        </w:rPr>
      </w:pPr>
    </w:p>
    <w:p>
      <w:pPr>
        <w:rPr>
          <w:rFonts w:hint="eastAsia"/>
          <w:color w:val="auto"/>
        </w:rPr>
        <w:sectPr>
          <w:pgSz w:w="11906" w:h="16838"/>
          <w:pgMar w:top="1440" w:right="1800" w:bottom="1440" w:left="1800" w:header="851" w:footer="992" w:gutter="0"/>
          <w:pgNumType w:fmt="decimal"/>
          <w:cols w:space="425" w:num="1"/>
          <w:docGrid w:type="lines" w:linePitch="312" w:charSpace="0"/>
        </w:sectPr>
      </w:pPr>
    </w:p>
    <w:p>
      <w:pPr>
        <w:pStyle w:val="4"/>
        <w:tabs>
          <w:tab w:val="clear" w:pos="0"/>
        </w:tabs>
        <w:suppressAutoHyphens w:val="0"/>
        <w:spacing w:after="240" w:line="360" w:lineRule="auto"/>
        <w:jc w:val="center"/>
        <w:rPr>
          <w:rFonts w:ascii="黑体" w:hAnsi="黑体" w:eastAsia="黑体"/>
          <w:b w:val="0"/>
          <w:bCs w:val="0"/>
          <w:color w:val="auto"/>
          <w:kern w:val="2"/>
          <w:sz w:val="32"/>
          <w:szCs w:val="32"/>
          <w:highlight w:val="none"/>
        </w:rPr>
      </w:pPr>
      <w:bookmarkStart w:id="143" w:name="_Toc19868"/>
      <w:bookmarkStart w:id="144" w:name="_Toc2850"/>
      <w:bookmarkStart w:id="145" w:name="_Toc15239"/>
      <w:r>
        <w:rPr>
          <w:rFonts w:hint="eastAsia" w:ascii="黑体" w:hAnsi="黑体" w:eastAsia="黑体"/>
          <w:b w:val="0"/>
          <w:bCs w:val="0"/>
          <w:color w:val="auto"/>
          <w:kern w:val="2"/>
          <w:sz w:val="32"/>
          <w:szCs w:val="32"/>
          <w:highlight w:val="none"/>
        </w:rPr>
        <w:t>第</w:t>
      </w:r>
      <w:r>
        <w:rPr>
          <w:rFonts w:hint="eastAsia" w:ascii="黑体" w:hAnsi="黑体" w:eastAsia="黑体"/>
          <w:b w:val="0"/>
          <w:bCs w:val="0"/>
          <w:color w:val="auto"/>
          <w:kern w:val="2"/>
          <w:sz w:val="32"/>
          <w:szCs w:val="32"/>
          <w:highlight w:val="none"/>
          <w:lang w:val="en-US" w:eastAsia="zh-CN"/>
        </w:rPr>
        <w:t>十</w:t>
      </w:r>
      <w:r>
        <w:rPr>
          <w:rFonts w:hint="eastAsia" w:ascii="黑体" w:hAnsi="黑体" w:eastAsia="黑体"/>
          <w:b w:val="0"/>
          <w:bCs w:val="0"/>
          <w:color w:val="auto"/>
          <w:kern w:val="2"/>
          <w:sz w:val="32"/>
          <w:szCs w:val="32"/>
          <w:highlight w:val="none"/>
        </w:rPr>
        <w:t xml:space="preserve">章 </w:t>
      </w:r>
      <w:r>
        <w:rPr>
          <w:rFonts w:ascii="黑体" w:hAnsi="黑体" w:eastAsia="黑体"/>
          <w:b w:val="0"/>
          <w:bCs w:val="0"/>
          <w:color w:val="auto"/>
          <w:kern w:val="2"/>
          <w:sz w:val="32"/>
          <w:szCs w:val="32"/>
          <w:highlight w:val="none"/>
        </w:rPr>
        <w:t xml:space="preserve"> </w:t>
      </w:r>
      <w:r>
        <w:rPr>
          <w:rFonts w:hint="eastAsia" w:ascii="黑体" w:hAnsi="黑体" w:eastAsia="黑体"/>
          <w:b w:val="0"/>
          <w:bCs w:val="0"/>
          <w:color w:val="auto"/>
          <w:kern w:val="2"/>
          <w:sz w:val="32"/>
          <w:szCs w:val="32"/>
          <w:highlight w:val="none"/>
        </w:rPr>
        <w:t>保障措施</w:t>
      </w:r>
      <w:bookmarkEnd w:id="143"/>
      <w:bookmarkEnd w:id="144"/>
      <w:bookmarkEnd w:id="145"/>
    </w:p>
    <w:p>
      <w:pPr>
        <w:pStyle w:val="5"/>
        <w:tabs>
          <w:tab w:val="clear" w:pos="0"/>
        </w:tabs>
        <w:suppressAutoHyphens w:val="0"/>
        <w:snapToGrid w:val="0"/>
        <w:spacing w:before="0" w:after="0" w:line="360" w:lineRule="auto"/>
        <w:ind w:firstLine="643" w:firstLineChars="200"/>
        <w:jc w:val="left"/>
        <w:rPr>
          <w:rFonts w:hint="eastAsia" w:ascii="楷体" w:hAnsi="楷体" w:eastAsia="楷体" w:cs="黑体"/>
          <w:bCs w:val="0"/>
          <w:color w:val="auto"/>
          <w:kern w:val="0"/>
          <w:highlight w:val="none"/>
        </w:rPr>
      </w:pPr>
      <w:bookmarkStart w:id="146" w:name="_Toc15921"/>
      <w:bookmarkStart w:id="147" w:name="_Toc10339"/>
      <w:bookmarkStart w:id="148" w:name="_Toc7819"/>
      <w:r>
        <w:rPr>
          <w:rFonts w:hint="eastAsia" w:ascii="楷体" w:hAnsi="楷体" w:eastAsia="楷体" w:cs="黑体"/>
          <w:bCs w:val="0"/>
          <w:color w:val="auto"/>
          <w:kern w:val="0"/>
          <w:highlight w:val="none"/>
        </w:rPr>
        <w:t>一</w:t>
      </w:r>
      <w:r>
        <w:rPr>
          <w:rFonts w:hint="eastAsia" w:ascii="楷体" w:hAnsi="楷体" w:eastAsia="楷体" w:cs="黑体"/>
          <w:bCs w:val="0"/>
          <w:color w:val="auto"/>
          <w:kern w:val="0"/>
          <w:highlight w:val="none"/>
          <w:lang w:eastAsia="zh-CN"/>
        </w:rPr>
        <w:t>、</w:t>
      </w:r>
      <w:r>
        <w:rPr>
          <w:rFonts w:hint="eastAsia" w:ascii="楷体" w:hAnsi="楷体" w:eastAsia="楷体" w:cs="黑体"/>
          <w:bCs w:val="0"/>
          <w:color w:val="auto"/>
          <w:kern w:val="0"/>
          <w:highlight w:val="none"/>
          <w:lang w:val="en-US" w:eastAsia="zh-CN"/>
        </w:rPr>
        <w:t>强化</w:t>
      </w:r>
      <w:r>
        <w:rPr>
          <w:rFonts w:hint="eastAsia" w:ascii="楷体" w:hAnsi="楷体" w:eastAsia="楷体" w:cs="黑体"/>
          <w:bCs w:val="0"/>
          <w:color w:val="auto"/>
          <w:kern w:val="0"/>
          <w:highlight w:val="none"/>
        </w:rPr>
        <w:t>组织保障</w:t>
      </w:r>
      <w:bookmarkEnd w:id="146"/>
      <w:bookmarkEnd w:id="147"/>
      <w:bookmarkEnd w:id="148"/>
    </w:p>
    <w:p>
      <w:pPr>
        <w:keepNext w:val="0"/>
        <w:keepLines w:val="0"/>
        <w:pageBreakBefore w:val="0"/>
        <w:widowControl w:val="0"/>
        <w:kinsoku/>
        <w:wordWrap/>
        <w:overflowPunct/>
        <w:topLinePunct w:val="0"/>
        <w:autoSpaceDE/>
        <w:autoSpaceDN/>
        <w:bidi w:val="0"/>
        <w:adjustRightInd/>
        <w:snapToGrid w:val="0"/>
        <w:ind w:firstLine="640" w:firstLineChars="200"/>
        <w:textAlignment w:val="auto"/>
        <w:rPr>
          <w:rFonts w:ascii="仿宋" w:hAnsi="仿宋" w:cs="仿宋_GB2312"/>
          <w:bCs/>
          <w:color w:val="auto"/>
          <w:highlight w:val="none"/>
        </w:rPr>
      </w:pPr>
      <w:r>
        <w:rPr>
          <w:rFonts w:hint="eastAsia" w:ascii="仿宋" w:hAnsi="仿宋" w:cs="仿宋_GB2312"/>
          <w:bCs/>
          <w:color w:val="auto"/>
          <w:highlight w:val="none"/>
        </w:rPr>
        <w:t>健全州、县（市）、乡（镇）、村四级抓落实的工作机制，强化党政一把手负总责的领导责任制。充分发挥州</w:t>
      </w:r>
      <w:r>
        <w:rPr>
          <w:rFonts w:hint="eastAsia" w:ascii="仿宋" w:hAnsi="仿宋" w:cs="仿宋_GB2312"/>
          <w:bCs/>
          <w:color w:val="auto"/>
          <w:highlight w:val="none"/>
          <w:lang w:eastAsia="zh-CN"/>
        </w:rPr>
        <w:t>、</w:t>
      </w:r>
      <w:r>
        <w:rPr>
          <w:rFonts w:hint="eastAsia" w:ascii="仿宋" w:hAnsi="仿宋" w:cs="仿宋_GB2312"/>
          <w:bCs/>
          <w:color w:val="auto"/>
          <w:highlight w:val="none"/>
        </w:rPr>
        <w:t>县</w:t>
      </w:r>
      <w:r>
        <w:rPr>
          <w:rFonts w:hint="eastAsia" w:ascii="仿宋" w:hAnsi="仿宋" w:cs="仿宋_GB2312"/>
          <w:bCs/>
          <w:color w:val="auto"/>
          <w:highlight w:val="none"/>
          <w:lang w:eastAsia="zh-CN"/>
        </w:rPr>
        <w:t>（</w:t>
      </w:r>
      <w:r>
        <w:rPr>
          <w:rFonts w:hint="eastAsia" w:ascii="仿宋" w:hAnsi="仿宋" w:cs="仿宋_GB2312"/>
          <w:bCs/>
          <w:color w:val="auto"/>
          <w:highlight w:val="none"/>
          <w:lang w:val="en-US" w:eastAsia="zh-CN"/>
        </w:rPr>
        <w:t>市</w:t>
      </w:r>
      <w:r>
        <w:rPr>
          <w:rFonts w:hint="eastAsia" w:ascii="仿宋" w:hAnsi="仿宋" w:cs="仿宋_GB2312"/>
          <w:bCs/>
          <w:color w:val="auto"/>
          <w:highlight w:val="none"/>
          <w:lang w:eastAsia="zh-CN"/>
        </w:rPr>
        <w:t>）</w:t>
      </w:r>
      <w:r>
        <w:rPr>
          <w:rFonts w:hint="eastAsia" w:ascii="仿宋" w:hAnsi="仿宋" w:cs="仿宋_GB2312"/>
          <w:bCs/>
          <w:color w:val="auto"/>
          <w:highlight w:val="none"/>
          <w:lang w:val="en-US" w:eastAsia="zh-CN"/>
        </w:rPr>
        <w:t>党</w:t>
      </w:r>
      <w:r>
        <w:rPr>
          <w:rFonts w:hint="eastAsia" w:ascii="仿宋" w:hAnsi="仿宋" w:cs="仿宋_GB2312"/>
          <w:bCs/>
          <w:color w:val="auto"/>
          <w:highlight w:val="none"/>
        </w:rPr>
        <w:t>委农村工作领导小组作用，建立统一高效</w:t>
      </w:r>
      <w:r>
        <w:rPr>
          <w:rFonts w:hint="eastAsia" w:ascii="仿宋" w:hAnsi="仿宋" w:cs="仿宋_GB2312"/>
          <w:bCs/>
          <w:color w:val="auto"/>
          <w:highlight w:val="none"/>
          <w:lang w:val="en-US" w:eastAsia="zh-CN"/>
        </w:rPr>
        <w:t>地</w:t>
      </w:r>
      <w:r>
        <w:rPr>
          <w:rFonts w:hint="eastAsia" w:ascii="仿宋" w:hAnsi="仿宋" w:cs="仿宋_GB2312"/>
          <w:bCs/>
          <w:color w:val="auto"/>
          <w:highlight w:val="none"/>
        </w:rPr>
        <w:t>实现巩固拓展脱贫攻坚成果同乡村振兴有效衔接的决策议事协调工作机制。调整优化乡村振兴机构职能。做好巩固拓展脱贫攻坚成果同全面推进乡村振兴在工作力量、组织保障等方面的有机结合。强化党建引领，切实加强农村基层组织建设，充分发挥基层组织的示范引领和战斗堡垒作用，注重从优秀党员、返乡农民工、致富带头人中选拔培养干部，优化配强村两委班子。持续开展城乡党建结对共建和“两新联万村·党建助振兴”等行动。</w:t>
      </w:r>
    </w:p>
    <w:p>
      <w:pPr>
        <w:pStyle w:val="5"/>
        <w:tabs>
          <w:tab w:val="clear" w:pos="0"/>
        </w:tabs>
        <w:suppressAutoHyphens w:val="0"/>
        <w:snapToGrid w:val="0"/>
        <w:spacing w:before="0" w:after="0" w:line="360" w:lineRule="auto"/>
        <w:ind w:firstLine="643" w:firstLineChars="200"/>
        <w:jc w:val="left"/>
        <w:rPr>
          <w:rFonts w:hint="default" w:ascii="楷体" w:hAnsi="楷体" w:eastAsia="楷体" w:cs="黑体"/>
          <w:bCs w:val="0"/>
          <w:color w:val="auto"/>
          <w:kern w:val="0"/>
          <w:highlight w:val="none"/>
          <w:lang w:val="en-US" w:eastAsia="zh-CN"/>
        </w:rPr>
      </w:pPr>
      <w:bookmarkStart w:id="149" w:name="_Toc28517"/>
      <w:bookmarkStart w:id="150" w:name="_Toc15812"/>
      <w:bookmarkStart w:id="151" w:name="_Toc20576"/>
      <w:r>
        <w:rPr>
          <w:rFonts w:hint="eastAsia" w:ascii="楷体" w:hAnsi="楷体" w:eastAsia="楷体" w:cs="黑体"/>
          <w:bCs w:val="0"/>
          <w:color w:val="auto"/>
          <w:kern w:val="0"/>
          <w:highlight w:val="none"/>
        </w:rPr>
        <w:t>二</w:t>
      </w:r>
      <w:r>
        <w:rPr>
          <w:rFonts w:hint="eastAsia" w:ascii="楷体" w:hAnsi="楷体" w:eastAsia="楷体" w:cs="黑体"/>
          <w:bCs w:val="0"/>
          <w:color w:val="auto"/>
          <w:kern w:val="0"/>
          <w:highlight w:val="none"/>
          <w:lang w:eastAsia="zh-CN"/>
        </w:rPr>
        <w:t>、</w:t>
      </w:r>
      <w:r>
        <w:rPr>
          <w:rFonts w:hint="eastAsia" w:ascii="楷体" w:hAnsi="楷体" w:eastAsia="楷体" w:cs="黑体"/>
          <w:bCs w:val="0"/>
          <w:color w:val="auto"/>
          <w:kern w:val="0"/>
          <w:highlight w:val="none"/>
          <w:lang w:val="en-US" w:eastAsia="zh-CN"/>
        </w:rPr>
        <w:t>加强政策衔接</w:t>
      </w:r>
      <w:bookmarkEnd w:id="149"/>
      <w:bookmarkEnd w:id="150"/>
      <w:bookmarkEnd w:id="151"/>
    </w:p>
    <w:p>
      <w:pPr>
        <w:keepNext w:val="0"/>
        <w:keepLines w:val="0"/>
        <w:pageBreakBefore w:val="0"/>
        <w:widowControl w:val="0"/>
        <w:kinsoku/>
        <w:wordWrap/>
        <w:overflowPunct/>
        <w:topLinePunct w:val="0"/>
        <w:autoSpaceDE/>
        <w:autoSpaceDN/>
        <w:bidi w:val="0"/>
        <w:adjustRightInd/>
        <w:snapToGrid w:val="0"/>
        <w:ind w:firstLine="643" w:firstLineChars="200"/>
        <w:textAlignment w:val="auto"/>
        <w:rPr>
          <w:rFonts w:hint="eastAsia" w:ascii="仿宋" w:hAnsi="仿宋" w:cs="仿宋_GB2312"/>
          <w:bCs/>
          <w:color w:val="auto"/>
          <w:highlight w:val="none"/>
        </w:rPr>
      </w:pPr>
      <w:bookmarkStart w:id="152" w:name="_Toc62661947"/>
      <w:r>
        <w:rPr>
          <w:rFonts w:hint="eastAsia" w:ascii="仿宋" w:hAnsi="仿宋" w:cs="仿宋_GB2312"/>
          <w:b/>
          <w:bCs/>
          <w:color w:val="auto"/>
          <w:highlight w:val="none"/>
          <w:lang w:val="en-US" w:eastAsia="zh-CN"/>
        </w:rPr>
        <w:t>做好</w:t>
      </w:r>
      <w:r>
        <w:rPr>
          <w:rFonts w:hint="eastAsia" w:ascii="仿宋" w:hAnsi="仿宋" w:cs="仿宋_GB2312"/>
          <w:b/>
          <w:bCs/>
          <w:color w:val="auto"/>
          <w:highlight w:val="none"/>
        </w:rPr>
        <w:t>财政</w:t>
      </w:r>
      <w:r>
        <w:rPr>
          <w:rFonts w:hint="eastAsia" w:ascii="仿宋" w:hAnsi="仿宋" w:cs="仿宋_GB2312"/>
          <w:b/>
          <w:bCs/>
          <w:color w:val="auto"/>
          <w:highlight w:val="none"/>
          <w:lang w:val="en-US" w:eastAsia="zh-CN"/>
        </w:rPr>
        <w:t>投入政策衔接</w:t>
      </w:r>
      <w:r>
        <w:rPr>
          <w:rFonts w:hint="eastAsia" w:ascii="仿宋" w:hAnsi="仿宋" w:cs="仿宋_GB2312"/>
          <w:b/>
          <w:bCs/>
          <w:color w:val="auto"/>
          <w:highlight w:val="none"/>
        </w:rPr>
        <w:t>。</w:t>
      </w:r>
      <w:r>
        <w:rPr>
          <w:rFonts w:hint="eastAsia" w:ascii="仿宋" w:hAnsi="仿宋" w:cs="仿宋_GB2312"/>
          <w:bCs/>
          <w:color w:val="auto"/>
          <w:highlight w:val="none"/>
        </w:rPr>
        <w:t>全面落实每年州级公共财政支出中预算安排本级衔接资金达到一定比例，各县（市）市级财政根据巩固拓展脱贫攻坚成果同乡村振兴有效衔接的任务需要及财力情况，每年预算安排一定规模的衔接资金，保持投入力度总体稳定。加强过渡期内财政衔接推进乡村振兴补助资金管理，制定具体的资金管理办法。优化支出结构</w:t>
      </w:r>
      <w:r>
        <w:rPr>
          <w:rFonts w:hint="eastAsia" w:ascii="仿宋" w:hAnsi="仿宋" w:cs="仿宋_GB2312"/>
          <w:bCs/>
          <w:color w:val="auto"/>
          <w:highlight w:val="none"/>
          <w:lang w:eastAsia="zh-CN"/>
        </w:rPr>
        <w:t>，适当向乡村振兴重点帮扶县、帮扶村倾斜</w:t>
      </w:r>
      <w:r>
        <w:rPr>
          <w:rFonts w:hint="eastAsia" w:ascii="仿宋" w:hAnsi="仿宋" w:cs="仿宋_GB2312"/>
          <w:bCs/>
          <w:color w:val="auto"/>
          <w:highlight w:val="none"/>
        </w:rPr>
        <w:t>。统筹可支配财力，支持“十三五”易地扶贫搬迁融资资金偿还。对农村低收入人口的救助帮扶，通过现有资金支出渠道支持。实行涉农资金统筹整合试点政策。确保以工代赈中央预算内投资落实到项目，及时足额发放劳务报酬。调整支持重点</w:t>
      </w:r>
      <w:r>
        <w:rPr>
          <w:rFonts w:hint="eastAsia" w:ascii="仿宋" w:hAnsi="仿宋" w:cs="仿宋_GB2312"/>
          <w:bCs/>
          <w:color w:val="auto"/>
          <w:highlight w:val="none"/>
          <w:lang w:eastAsia="zh-CN"/>
        </w:rPr>
        <w:t>，</w:t>
      </w:r>
      <w:r>
        <w:rPr>
          <w:rFonts w:hint="eastAsia" w:ascii="仿宋" w:hAnsi="仿宋" w:cs="仿宋_GB2312"/>
          <w:bCs/>
          <w:color w:val="auto"/>
          <w:highlight w:val="none"/>
        </w:rPr>
        <w:t>强化县级管理责任，县级可统筹安排不超过</w:t>
      </w:r>
      <w:r>
        <w:rPr>
          <w:rFonts w:ascii="仿宋" w:hAnsi="仿宋"/>
          <w:bCs/>
          <w:color w:val="auto"/>
          <w:highlight w:val="none"/>
        </w:rPr>
        <w:t>30</w:t>
      </w:r>
      <w:r>
        <w:rPr>
          <w:rFonts w:hint="eastAsia" w:ascii="仿宋" w:hAnsi="仿宋" w:cs="仿宋_GB2312"/>
          <w:bCs/>
          <w:color w:val="auto"/>
          <w:highlight w:val="none"/>
        </w:rPr>
        <w:t>%</w:t>
      </w:r>
      <w:r>
        <w:rPr>
          <w:rFonts w:hint="eastAsia" w:ascii="仿宋" w:hAnsi="仿宋" w:cs="仿宋_GB2312"/>
          <w:bCs/>
          <w:color w:val="auto"/>
          <w:highlight w:val="none"/>
          <w:lang w:val="en-US" w:eastAsia="zh-CN"/>
        </w:rPr>
        <w:t>地</w:t>
      </w:r>
      <w:r>
        <w:rPr>
          <w:rFonts w:hint="eastAsia" w:ascii="仿宋" w:hAnsi="仿宋" w:cs="仿宋_GB2312"/>
          <w:bCs/>
          <w:color w:val="auto"/>
          <w:highlight w:val="none"/>
        </w:rPr>
        <w:t>到县衔接资金，支持非脱贫村发展产业、补齐必要的基础设施短板及县级乡村振兴规划相关项目。逐步提高用于培育和壮大欠发达地区特色优势产业并逐年提高资金占比。推动产销对接和消费</w:t>
      </w:r>
      <w:r>
        <w:rPr>
          <w:rFonts w:hint="eastAsia" w:ascii="仿宋" w:hAnsi="仿宋" w:cs="仿宋_GB2312"/>
          <w:bCs/>
          <w:color w:val="auto"/>
          <w:highlight w:val="none"/>
          <w:lang w:val="en-US" w:eastAsia="zh-CN"/>
        </w:rPr>
        <w:t>帮扶</w:t>
      </w:r>
      <w:r>
        <w:rPr>
          <w:rFonts w:hint="eastAsia" w:ascii="仿宋" w:hAnsi="仿宋" w:cs="仿宋_GB2312"/>
          <w:bCs/>
          <w:color w:val="auto"/>
          <w:highlight w:val="none"/>
        </w:rPr>
        <w:t>。</w:t>
      </w:r>
    </w:p>
    <w:bookmarkEnd w:id="152"/>
    <w:p>
      <w:pPr>
        <w:keepNext w:val="0"/>
        <w:keepLines w:val="0"/>
        <w:pageBreakBefore w:val="0"/>
        <w:widowControl w:val="0"/>
        <w:kinsoku/>
        <w:wordWrap/>
        <w:overflowPunct/>
        <w:topLinePunct w:val="0"/>
        <w:autoSpaceDE/>
        <w:autoSpaceDN/>
        <w:bidi w:val="0"/>
        <w:adjustRightInd/>
        <w:snapToGrid w:val="0"/>
        <w:ind w:firstLine="643" w:firstLineChars="200"/>
        <w:textAlignment w:val="auto"/>
        <w:rPr>
          <w:rFonts w:hint="eastAsia" w:ascii="仿宋" w:hAnsi="仿宋" w:cs="仿宋_GB2312"/>
          <w:bCs/>
          <w:color w:val="auto"/>
          <w:highlight w:val="none"/>
        </w:rPr>
      </w:pPr>
      <w:r>
        <w:rPr>
          <w:rFonts w:hint="eastAsia" w:ascii="仿宋" w:hAnsi="仿宋" w:cs="仿宋_GB2312"/>
          <w:b/>
          <w:bCs/>
          <w:color w:val="auto"/>
          <w:highlight w:val="none"/>
          <w:lang w:val="en-US" w:eastAsia="zh-CN"/>
        </w:rPr>
        <w:t>做好</w:t>
      </w:r>
      <w:r>
        <w:rPr>
          <w:rFonts w:hint="eastAsia" w:ascii="仿宋" w:hAnsi="仿宋" w:cs="仿宋_GB2312"/>
          <w:b/>
          <w:bCs/>
          <w:color w:val="auto"/>
          <w:highlight w:val="none"/>
        </w:rPr>
        <w:t>金融服务</w:t>
      </w:r>
      <w:r>
        <w:rPr>
          <w:rFonts w:hint="eastAsia" w:ascii="仿宋" w:hAnsi="仿宋" w:cs="仿宋_GB2312"/>
          <w:b/>
          <w:bCs/>
          <w:color w:val="auto"/>
          <w:highlight w:val="none"/>
          <w:lang w:val="en-US" w:eastAsia="zh-CN"/>
        </w:rPr>
        <w:t>政策衔接</w:t>
      </w:r>
      <w:r>
        <w:rPr>
          <w:rFonts w:hint="eastAsia" w:ascii="仿宋" w:hAnsi="仿宋" w:cs="仿宋_GB2312"/>
          <w:b/>
          <w:bCs/>
          <w:color w:val="auto"/>
          <w:highlight w:val="none"/>
        </w:rPr>
        <w:t>。</w:t>
      </w:r>
      <w:r>
        <w:rPr>
          <w:rFonts w:hint="eastAsia" w:ascii="仿宋" w:hAnsi="仿宋" w:cs="仿宋_GB2312"/>
          <w:b w:val="0"/>
          <w:bCs w:val="0"/>
          <w:color w:val="auto"/>
          <w:highlight w:val="none"/>
          <w:lang w:val="en-US" w:eastAsia="zh-Hans"/>
        </w:rPr>
        <w:t>实施金融帮扶惠农增收行动</w:t>
      </w:r>
      <w:r>
        <w:rPr>
          <w:rFonts w:hint="default" w:ascii="仿宋" w:hAnsi="仿宋" w:cs="仿宋_GB2312"/>
          <w:b w:val="0"/>
          <w:bCs w:val="0"/>
          <w:color w:val="auto"/>
          <w:highlight w:val="none"/>
          <w:lang w:eastAsia="zh-Hans"/>
        </w:rPr>
        <w:t>，主动对接农行、农商行等金融机构，做好过渡期脱贫人口以及监测对象“小额信贷”和“富民贷”工作，积极支持农牧民发展特色优势产业，支持涉农企业、村集体经济组织和专业合作社发展壮大。争取农行、农发行、农商行等金融机构支持，探索建立区域特色显著的金融支农惠农示范区，撬动社会资本投入乡村振兴，积极发挥金融惠农作用。加强与各类金融机构协作，支持金融产品和金融服务创新，努力实现在信贷资源配置、资金转移定价（贷款利率、理财产品定价和农户存款）等方面向农牧民群众倾斜，实现通过金融服务 促进农牧民增收目标。</w:t>
      </w:r>
      <w:r>
        <w:rPr>
          <w:rFonts w:hint="eastAsia" w:ascii="仿宋" w:hAnsi="仿宋" w:cs="仿宋_GB2312"/>
          <w:bCs/>
          <w:color w:val="auto"/>
          <w:highlight w:val="none"/>
        </w:rPr>
        <w:t>完善农牧业政策保险，鼓励各地因地制宜开发优势特色农产品保险。继续实施牦牛、青稞、羊肚菌保险，提高农牧业防灾抗灾能力，保障农牧业稳定健康发展。密切结合不同区域、不同示范村、不同产业基础、不同市场主体、不同业态、不同农牧民家庭的特点，基于“一村一策”“一区一策”的原则，加大对重点领域金融支持力度，创新金融产品与金融服务模式。聚焦产业发展，推动一二三产业融合发展</w:t>
      </w:r>
      <w:r>
        <w:rPr>
          <w:rFonts w:hint="default" w:ascii="仿宋" w:hAnsi="仿宋" w:cs="仿宋_GB2312"/>
          <w:bCs/>
          <w:color w:val="auto"/>
          <w:highlight w:val="none"/>
        </w:rPr>
        <w:t>，</w:t>
      </w:r>
      <w:r>
        <w:rPr>
          <w:rFonts w:hint="eastAsia" w:ascii="仿宋" w:hAnsi="仿宋" w:cs="仿宋_GB2312"/>
          <w:bCs/>
          <w:color w:val="auto"/>
          <w:highlight w:val="none"/>
        </w:rPr>
        <w:t>积极满足农田水利、农产品加工业、农产品冷链仓储物流及烘干等重点领域的合力融资需求。</w:t>
      </w:r>
    </w:p>
    <w:p>
      <w:pPr>
        <w:keepNext w:val="0"/>
        <w:keepLines w:val="0"/>
        <w:pageBreakBefore w:val="0"/>
        <w:widowControl w:val="0"/>
        <w:kinsoku/>
        <w:wordWrap/>
        <w:overflowPunct/>
        <w:topLinePunct w:val="0"/>
        <w:autoSpaceDE/>
        <w:autoSpaceDN/>
        <w:bidi w:val="0"/>
        <w:adjustRightInd/>
        <w:snapToGrid w:val="0"/>
        <w:ind w:firstLine="643" w:firstLineChars="200"/>
        <w:textAlignment w:val="auto"/>
        <w:rPr>
          <w:rFonts w:hint="eastAsia" w:ascii="仿宋" w:hAnsi="仿宋" w:cs="仿宋_GB2312"/>
          <w:bCs/>
          <w:color w:val="auto"/>
          <w:highlight w:val="none"/>
        </w:rPr>
      </w:pPr>
      <w:r>
        <w:rPr>
          <w:rFonts w:hint="eastAsia" w:ascii="仿宋" w:hAnsi="仿宋" w:cs="仿宋_GB2312"/>
          <w:b/>
          <w:bCs w:val="0"/>
          <w:color w:val="auto"/>
          <w:highlight w:val="none"/>
          <w:lang w:val="en-US" w:eastAsia="zh-CN"/>
        </w:rPr>
        <w:t>做好土地支持政策衔接。</w:t>
      </w:r>
      <w:r>
        <w:rPr>
          <w:rFonts w:hint="eastAsia" w:ascii="仿宋" w:hAnsi="仿宋" w:cs="仿宋_GB2312"/>
          <w:bCs/>
          <w:color w:val="auto"/>
          <w:highlight w:val="none"/>
        </w:rPr>
        <w:t>坚持最严格耕地保护制度，强化耕地保护主体责任，严格控制非农建设占用耕地，深入推进农村乱占耕地建房专项整治行动，坚决遏制耕地“非农化”、防止“非粮化”。以国土空间规划为依据，按照应保尽保原则，完善城乡建设用地增减挂钩工作机制，新增建设用地计划指标优先保障巩固拓展脱贫攻坚成果和乡村振兴用地需要，过渡期内专项安排脱贫县年度新增建设用地计划指标，专项指标不得挪用；允许通过村庄整治、宅基地腾退等节余的建设用地，优先满足农业产业发展需要。鼓励预留一定比例的增减挂钩</w:t>
      </w:r>
      <w:r>
        <w:rPr>
          <w:rFonts w:hint="eastAsia" w:ascii="仿宋" w:hAnsi="仿宋" w:cs="仿宋_GB2312"/>
          <w:bCs/>
          <w:color w:val="auto"/>
          <w:highlight w:val="none"/>
          <w:lang w:eastAsia="zh-CN"/>
        </w:rPr>
        <w:t>节余</w:t>
      </w:r>
      <w:r>
        <w:rPr>
          <w:rFonts w:hint="eastAsia" w:ascii="仿宋" w:hAnsi="仿宋" w:cs="仿宋_GB2312"/>
          <w:bCs/>
          <w:color w:val="auto"/>
          <w:highlight w:val="none"/>
        </w:rPr>
        <w:t>指标，用于支持农村新产业新业态发展。将农产品烘干、冷链设施、农产品初加工设施、农产品储藏流通设施、休闲采摘设施作为农业附属设施纳入农业设施用地范围。支持脱贫县生态保护修复项目优先申报中央、省重点项目入库。在受地质灾害威胁的重大隐患点，加大普适性专业监测设备推广力度，鼓励探索创新搬迁安置方式，引导受地质灾害威胁群众向县城、中心镇、中心村聚集。</w:t>
      </w:r>
    </w:p>
    <w:p>
      <w:pPr>
        <w:pStyle w:val="5"/>
        <w:tabs>
          <w:tab w:val="clear" w:pos="0"/>
        </w:tabs>
        <w:suppressAutoHyphens w:val="0"/>
        <w:snapToGrid w:val="0"/>
        <w:spacing w:before="0" w:after="0" w:line="360" w:lineRule="auto"/>
        <w:ind w:firstLine="643" w:firstLineChars="200"/>
        <w:jc w:val="left"/>
        <w:rPr>
          <w:rFonts w:hint="eastAsia" w:ascii="楷体" w:hAnsi="楷体" w:eastAsia="楷体" w:cs="黑体"/>
          <w:bCs w:val="0"/>
          <w:color w:val="auto"/>
          <w:kern w:val="0"/>
          <w:highlight w:val="none"/>
        </w:rPr>
      </w:pPr>
      <w:bookmarkStart w:id="153" w:name="_Toc28851"/>
      <w:bookmarkStart w:id="154" w:name="_Toc28063"/>
      <w:bookmarkStart w:id="155" w:name="_Toc15644"/>
      <w:r>
        <w:rPr>
          <w:rFonts w:hint="eastAsia" w:ascii="楷体" w:hAnsi="楷体" w:eastAsia="楷体" w:cs="黑体"/>
          <w:bCs w:val="0"/>
          <w:color w:val="auto"/>
          <w:kern w:val="0"/>
          <w:highlight w:val="none"/>
          <w:lang w:val="en-US" w:eastAsia="zh-CN"/>
        </w:rPr>
        <w:t>三、</w:t>
      </w:r>
      <w:r>
        <w:rPr>
          <w:rFonts w:hint="eastAsia" w:ascii="楷体" w:hAnsi="楷体" w:eastAsia="楷体" w:cs="黑体"/>
          <w:bCs w:val="0"/>
          <w:color w:val="auto"/>
          <w:kern w:val="0"/>
          <w:highlight w:val="none"/>
        </w:rPr>
        <w:t>做好规划实施</w:t>
      </w:r>
      <w:bookmarkEnd w:id="153"/>
      <w:bookmarkEnd w:id="154"/>
      <w:bookmarkEnd w:id="155"/>
    </w:p>
    <w:p>
      <w:pPr>
        <w:keepNext w:val="0"/>
        <w:keepLines w:val="0"/>
        <w:pageBreakBefore w:val="0"/>
        <w:widowControl w:val="0"/>
        <w:kinsoku/>
        <w:wordWrap/>
        <w:overflowPunct/>
        <w:topLinePunct w:val="0"/>
        <w:autoSpaceDE/>
        <w:autoSpaceDN/>
        <w:bidi w:val="0"/>
        <w:adjustRightInd/>
        <w:snapToGrid w:val="0"/>
        <w:ind w:firstLine="640" w:firstLineChars="200"/>
        <w:textAlignment w:val="auto"/>
        <w:rPr>
          <w:rFonts w:hint="eastAsia" w:ascii="仿宋" w:hAnsi="仿宋" w:cs="仿宋_GB2312"/>
          <w:bCs/>
          <w:color w:val="auto"/>
          <w:highlight w:val="none"/>
          <w:lang w:val="en-US" w:eastAsia="zh-CN"/>
        </w:rPr>
      </w:pPr>
      <w:r>
        <w:rPr>
          <w:rFonts w:hint="eastAsia" w:ascii="仿宋" w:hAnsi="仿宋" w:cs="仿宋_GB2312"/>
          <w:bCs/>
          <w:color w:val="auto"/>
          <w:highlight w:val="none"/>
        </w:rPr>
        <w:t>加强重点项目的规划、筛选和储备，强力推进建设</w:t>
      </w:r>
      <w:r>
        <w:rPr>
          <w:rFonts w:hint="eastAsia" w:ascii="仿宋" w:hAnsi="仿宋" w:cs="仿宋_GB2312"/>
          <w:bCs/>
          <w:color w:val="auto"/>
          <w:highlight w:val="none"/>
          <w:lang w:eastAsia="zh-CN"/>
        </w:rPr>
        <w:t>；</w:t>
      </w:r>
      <w:r>
        <w:rPr>
          <w:rFonts w:hint="eastAsia" w:ascii="仿宋" w:hAnsi="仿宋" w:cs="仿宋_GB2312"/>
          <w:bCs/>
          <w:color w:val="auto"/>
          <w:highlight w:val="none"/>
        </w:rPr>
        <w:t>实行项目动态管理制度</w:t>
      </w:r>
      <w:r>
        <w:rPr>
          <w:rFonts w:hint="eastAsia" w:ascii="仿宋" w:hAnsi="仿宋" w:cs="仿宋_GB2312"/>
          <w:bCs/>
          <w:color w:val="auto"/>
          <w:highlight w:val="none"/>
          <w:lang w:eastAsia="zh-CN"/>
        </w:rPr>
        <w:t>，</w:t>
      </w:r>
      <w:r>
        <w:rPr>
          <w:rFonts w:hint="eastAsia" w:ascii="仿宋" w:hAnsi="仿宋" w:cs="仿宋_GB2312"/>
          <w:bCs/>
          <w:color w:val="auto"/>
          <w:highlight w:val="none"/>
        </w:rPr>
        <w:t>建立完善全州、各县（市）巩固拓展脱贫攻坚成果和乡村振兴项目库，提前做好项目储备，严格项目论证入库</w:t>
      </w:r>
      <w:r>
        <w:rPr>
          <w:rFonts w:hint="eastAsia" w:ascii="仿宋" w:hAnsi="仿宋" w:cs="仿宋_GB2312"/>
          <w:bCs/>
          <w:color w:val="auto"/>
          <w:highlight w:val="none"/>
          <w:lang w:eastAsia="zh-CN"/>
        </w:rPr>
        <w:t>，推行适时滚动调整，做好重点项目规划的优化和滚动调整</w:t>
      </w:r>
      <w:r>
        <w:rPr>
          <w:rFonts w:hint="eastAsia" w:ascii="仿宋" w:hAnsi="仿宋" w:cs="仿宋_GB2312"/>
          <w:bCs/>
          <w:color w:val="auto"/>
          <w:highlight w:val="none"/>
        </w:rPr>
        <w:t>。</w:t>
      </w:r>
      <w:r>
        <w:rPr>
          <w:rFonts w:hint="eastAsia" w:ascii="仿宋" w:hAnsi="仿宋" w:cs="仿宋_GB2312"/>
          <w:bCs/>
          <w:color w:val="auto"/>
          <w:highlight w:val="none"/>
          <w:lang w:val="en-US" w:eastAsia="zh-CN"/>
        </w:rPr>
        <w:t>围绕“导、加、链、育、防</w:t>
      </w:r>
      <w:r>
        <w:rPr>
          <w:rStyle w:val="30"/>
          <w:rFonts w:hint="eastAsia" w:ascii="仿宋" w:hAnsi="仿宋" w:cs="仿宋_GB2312"/>
          <w:bCs/>
          <w:color w:val="auto"/>
          <w:highlight w:val="none"/>
          <w:lang w:val="en-US" w:eastAsia="zh-CN"/>
        </w:rPr>
        <w:footnoteReference w:id="4"/>
      </w:r>
      <w:r>
        <w:rPr>
          <w:rFonts w:hint="eastAsia" w:ascii="仿宋" w:hAnsi="仿宋" w:cs="仿宋_GB2312"/>
          <w:bCs/>
          <w:color w:val="auto"/>
          <w:highlight w:val="none"/>
          <w:lang w:val="en-US" w:eastAsia="zh-CN"/>
        </w:rPr>
        <w:t>”做好产业选择，扩大项目储备规模，提高项目储备质量，增强项目可选择性，加快项目实施进度。</w:t>
      </w:r>
      <w:r>
        <w:rPr>
          <w:rFonts w:hint="eastAsia" w:ascii="仿宋" w:hAnsi="仿宋" w:cs="仿宋_GB2312"/>
          <w:bCs/>
          <w:color w:val="auto"/>
          <w:highlight w:val="none"/>
        </w:rPr>
        <w:t>将脱贫地区巩固拓展脱贫攻坚成果和乡村振兴重大工程项目纳入“十四五”相关规划</w:t>
      </w:r>
      <w:r>
        <w:rPr>
          <w:rFonts w:hint="eastAsia" w:ascii="仿宋" w:hAnsi="仿宋" w:cs="仿宋_GB2312"/>
          <w:bCs/>
          <w:color w:val="auto"/>
          <w:highlight w:val="none"/>
          <w:lang w:val="en-US" w:eastAsia="zh-CN"/>
        </w:rPr>
        <w:t>。</w:t>
      </w:r>
      <w:r>
        <w:rPr>
          <w:rFonts w:hint="eastAsia" w:ascii="仿宋" w:hAnsi="仿宋" w:cs="仿宋_GB2312"/>
          <w:bCs/>
          <w:color w:val="auto"/>
          <w:highlight w:val="none"/>
        </w:rPr>
        <w:t>建立健全扶贫项目资产信息化管理台账，落实公益性资产管护主体，明确管护责任</w:t>
      </w:r>
      <w:r>
        <w:rPr>
          <w:rFonts w:hint="eastAsia" w:ascii="仿宋" w:hAnsi="仿宋" w:cs="仿宋_GB2312"/>
          <w:bCs/>
          <w:color w:val="auto"/>
          <w:highlight w:val="none"/>
          <w:lang w:eastAsia="zh-CN"/>
        </w:rPr>
        <w:t>，</w:t>
      </w:r>
      <w:r>
        <w:rPr>
          <w:rFonts w:hint="eastAsia" w:ascii="仿宋" w:hAnsi="仿宋" w:cs="仿宋_GB2312"/>
          <w:bCs/>
          <w:color w:val="auto"/>
          <w:highlight w:val="none"/>
        </w:rPr>
        <w:t>明晰经营性资产产权关系，分级确定州、县（市）、乡（镇）、村、户资产权属，明确监管主体责任，完善资产监管体系。健全扶贫资产风险防范机制，确保扶贫资产保值增值，全面提高资产收益。</w:t>
      </w:r>
    </w:p>
    <w:p>
      <w:pPr>
        <w:pStyle w:val="5"/>
        <w:tabs>
          <w:tab w:val="clear" w:pos="0"/>
        </w:tabs>
        <w:suppressAutoHyphens w:val="0"/>
        <w:snapToGrid w:val="0"/>
        <w:spacing w:before="0" w:after="0" w:line="360" w:lineRule="auto"/>
        <w:ind w:firstLine="643" w:firstLineChars="200"/>
        <w:jc w:val="left"/>
        <w:rPr>
          <w:rFonts w:hint="default" w:ascii="楷体" w:hAnsi="楷体" w:eastAsia="楷体" w:cs="黑体"/>
          <w:bCs w:val="0"/>
          <w:color w:val="auto"/>
          <w:kern w:val="0"/>
          <w:highlight w:val="none"/>
          <w:lang w:val="en-US" w:eastAsia="zh-CN"/>
        </w:rPr>
      </w:pPr>
      <w:bookmarkStart w:id="156" w:name="_Toc22746"/>
      <w:bookmarkStart w:id="157" w:name="_Toc10722"/>
      <w:bookmarkStart w:id="158" w:name="_Toc12658"/>
      <w:r>
        <w:rPr>
          <w:rFonts w:hint="eastAsia" w:ascii="楷体" w:hAnsi="楷体" w:eastAsia="楷体" w:cs="黑体"/>
          <w:bCs w:val="0"/>
          <w:color w:val="auto"/>
          <w:kern w:val="0"/>
          <w:highlight w:val="none"/>
          <w:lang w:val="en-US" w:eastAsia="zh-CN"/>
        </w:rPr>
        <w:t>四、注重能力提升</w:t>
      </w:r>
      <w:bookmarkEnd w:id="156"/>
    </w:p>
    <w:p>
      <w:pPr>
        <w:keepNext w:val="0"/>
        <w:keepLines w:val="0"/>
        <w:pageBreakBefore w:val="0"/>
        <w:widowControl w:val="0"/>
        <w:kinsoku/>
        <w:wordWrap/>
        <w:overflowPunct/>
        <w:topLinePunct w:val="0"/>
        <w:autoSpaceDE/>
        <w:autoSpaceDN/>
        <w:bidi w:val="0"/>
        <w:adjustRightInd/>
        <w:snapToGrid w:val="0"/>
        <w:ind w:firstLine="640" w:firstLineChars="200"/>
        <w:textAlignment w:val="auto"/>
        <w:rPr>
          <w:rFonts w:hint="eastAsia" w:ascii="仿宋" w:hAnsi="仿宋" w:cs="仿宋_GB2312"/>
          <w:bCs/>
          <w:color w:val="auto"/>
          <w:highlight w:val="none"/>
          <w:lang w:val="en-US" w:eastAsia="zh-CN"/>
        </w:rPr>
      </w:pPr>
      <w:r>
        <w:rPr>
          <w:rFonts w:hint="eastAsia" w:ascii="仿宋" w:hAnsi="仿宋" w:cs="仿宋_GB2312"/>
          <w:bCs/>
          <w:color w:val="auto"/>
          <w:highlight w:val="none"/>
          <w:lang w:val="en-US" w:eastAsia="zh-CN"/>
        </w:rPr>
        <w:t>聚焦“重点在乡村、关键看队伍、闭环抓资料”工作要求，着力解决基层想干不会干、举一未反三、系统未细化等问题，实现目标导向、问题导向、结果导向相统一，在基层形成可借鉴、能复制、易推广的工作规范，实施巩固拓展脱贫攻坚成果同乡村振兴有效衔接“三大计划”。</w:t>
      </w:r>
      <w:r>
        <w:rPr>
          <w:rFonts w:hint="eastAsia" w:ascii="仿宋" w:hAnsi="仿宋" w:cs="仿宋_GB2312"/>
          <w:b w:val="0"/>
          <w:bCs w:val="0"/>
          <w:color w:val="auto"/>
          <w:highlight w:val="none"/>
          <w:lang w:val="en-US" w:eastAsia="zh-CN"/>
        </w:rPr>
        <w:t>持续实施巩固衔接乡村工作样板打造计划，切实把巩固衔接工作的重心下沉到乡村，以点带面打造乡村工作样板；持续实施巩固衔接工作“政策通”培养计划，充分发挥“政策通”人员的传帮带作用，加强入户访谈翻译员、向导员和明白人培养；持续实施巩固衔接工作资料规范提升计划，不断提升文档资料规范化水平，</w:t>
      </w:r>
      <w:r>
        <w:rPr>
          <w:rFonts w:hint="eastAsia" w:ascii="仿宋" w:hAnsi="仿宋" w:cs="仿宋_GB2312"/>
          <w:bCs/>
          <w:color w:val="auto"/>
          <w:highlight w:val="none"/>
          <w:lang w:val="en-US" w:eastAsia="zh-CN"/>
        </w:rPr>
        <w:t>推动全州巩固衔接工作实现标准化、制度化和特色化。</w:t>
      </w:r>
    </w:p>
    <w:p>
      <w:pPr>
        <w:pStyle w:val="5"/>
        <w:tabs>
          <w:tab w:val="clear" w:pos="0"/>
        </w:tabs>
        <w:suppressAutoHyphens w:val="0"/>
        <w:snapToGrid w:val="0"/>
        <w:spacing w:before="0" w:after="0" w:line="360" w:lineRule="auto"/>
        <w:ind w:firstLine="643" w:firstLineChars="200"/>
        <w:jc w:val="left"/>
        <w:rPr>
          <w:rFonts w:hint="eastAsia" w:ascii="楷体" w:hAnsi="楷体" w:eastAsia="楷体" w:cs="黑体"/>
          <w:bCs w:val="0"/>
          <w:color w:val="auto"/>
          <w:kern w:val="0"/>
          <w:highlight w:val="none"/>
          <w:lang w:val="en-US" w:eastAsia="zh-CN"/>
        </w:rPr>
      </w:pPr>
      <w:bookmarkStart w:id="159" w:name="_Toc31919"/>
      <w:r>
        <w:rPr>
          <w:rFonts w:hint="eastAsia" w:ascii="楷体" w:hAnsi="楷体" w:eastAsia="楷体" w:cs="黑体"/>
          <w:bCs w:val="0"/>
          <w:color w:val="auto"/>
          <w:kern w:val="0"/>
          <w:highlight w:val="none"/>
          <w:lang w:val="en-US" w:eastAsia="zh-CN"/>
        </w:rPr>
        <w:t>五、完善监督考核</w:t>
      </w:r>
      <w:bookmarkEnd w:id="157"/>
      <w:bookmarkEnd w:id="158"/>
      <w:bookmarkEnd w:id="159"/>
    </w:p>
    <w:p>
      <w:pPr>
        <w:snapToGrid w:val="0"/>
        <w:ind w:firstLine="640" w:firstLineChars="200"/>
        <w:rPr>
          <w:rFonts w:ascii="仿宋" w:hAnsi="仿宋"/>
          <w:b/>
          <w:bCs/>
          <w:color w:val="auto"/>
          <w:kern w:val="0"/>
          <w:sz w:val="28"/>
          <w:szCs w:val="28"/>
          <w:highlight w:val="none"/>
        </w:rPr>
      </w:pPr>
      <w:r>
        <w:rPr>
          <w:rFonts w:hint="eastAsia" w:ascii="仿宋" w:hAnsi="仿宋" w:cs="仿宋_GB2312"/>
          <w:bCs/>
          <w:color w:val="auto"/>
          <w:highlight w:val="none"/>
          <w:lang w:val="en-US" w:eastAsia="zh-CN"/>
        </w:rPr>
        <w:t>建立</w:t>
      </w:r>
      <w:r>
        <w:rPr>
          <w:rFonts w:hint="eastAsia" w:ascii="仿宋" w:hAnsi="仿宋" w:cs="仿宋_GB2312"/>
          <w:bCs/>
          <w:color w:val="auto"/>
          <w:highlight w:val="none"/>
        </w:rPr>
        <w:t>项目资产长效运行管理机制</w:t>
      </w:r>
      <w:r>
        <w:rPr>
          <w:rFonts w:hint="eastAsia" w:ascii="仿宋" w:hAnsi="仿宋" w:cs="仿宋_GB2312"/>
          <w:bCs/>
          <w:color w:val="auto"/>
          <w:highlight w:val="none"/>
          <w:lang w:eastAsia="zh-CN"/>
        </w:rPr>
        <w:t>，</w:t>
      </w:r>
      <w:r>
        <w:rPr>
          <w:rFonts w:hint="eastAsia" w:ascii="仿宋" w:hAnsi="仿宋" w:cs="仿宋_GB2312"/>
          <w:bCs/>
          <w:color w:val="auto"/>
          <w:highlight w:val="none"/>
          <w:lang w:val="en-US" w:eastAsia="zh-CN"/>
        </w:rPr>
        <w:t>分类管理项目资产，以县为主体组织</w:t>
      </w:r>
      <w:r>
        <w:rPr>
          <w:rFonts w:hint="eastAsia" w:ascii="仿宋" w:hAnsi="仿宋" w:cs="仿宋_GB2312"/>
          <w:bCs/>
          <w:color w:val="auto"/>
          <w:highlight w:val="none"/>
          <w:lang w:eastAsia="zh-CN"/>
        </w:rPr>
        <w:t>开展扶贫项目资产</w:t>
      </w:r>
      <w:r>
        <w:rPr>
          <w:rFonts w:hint="eastAsia" w:ascii="仿宋" w:hAnsi="仿宋" w:cs="仿宋_GB2312"/>
          <w:bCs/>
          <w:color w:val="auto"/>
          <w:highlight w:val="none"/>
          <w:lang w:val="en-US" w:eastAsia="zh-CN"/>
        </w:rPr>
        <w:t>后续</w:t>
      </w:r>
      <w:r>
        <w:rPr>
          <w:rFonts w:hint="eastAsia" w:ascii="仿宋" w:hAnsi="仿宋" w:cs="仿宋_GB2312"/>
          <w:bCs/>
          <w:color w:val="auto"/>
          <w:highlight w:val="none"/>
          <w:lang w:eastAsia="zh-CN"/>
        </w:rPr>
        <w:t>管理“回头看”，</w:t>
      </w:r>
      <w:r>
        <w:rPr>
          <w:rFonts w:hint="eastAsia" w:ascii="仿宋" w:hAnsi="仿宋" w:cs="仿宋_GB2312"/>
          <w:bCs/>
          <w:color w:val="auto"/>
          <w:highlight w:val="none"/>
          <w:lang w:val="en-US" w:eastAsia="zh-CN"/>
        </w:rPr>
        <w:t>加强纪律监督、审计监督、行业监督和社会监督，</w:t>
      </w:r>
      <w:r>
        <w:rPr>
          <w:rFonts w:hint="eastAsia" w:ascii="仿宋" w:hAnsi="仿宋" w:cs="仿宋_GB2312"/>
          <w:bCs/>
          <w:color w:val="auto"/>
          <w:highlight w:val="none"/>
          <w:lang w:eastAsia="zh-CN"/>
        </w:rPr>
        <w:t>发挥驻村工作队、村务监督委员会、村集体经济组织监事会等监督作用，严格落实公告公示制度，做好后续跟踪监测。</w:t>
      </w:r>
      <w:r>
        <w:rPr>
          <w:rFonts w:hint="eastAsia" w:ascii="仿宋" w:hAnsi="仿宋" w:cs="仿宋_GB2312"/>
          <w:bCs/>
          <w:color w:val="auto"/>
          <w:highlight w:val="none"/>
          <w:lang w:val="en-US" w:eastAsia="zh-CN"/>
        </w:rPr>
        <w:t>加强衔接资金管理，严格按照中央和省、州衔接资金管理办法，积极适应巩固衔接工作形势的发展变化，进一步优化衔接资金使用结构，用好用活资金政策，突出资金支持重点。强化资金绩效监管考核、评价，把评价结果作为各县（市）党政领导班子领导干部推进乡村振兴战略实绩考核、县（市）实施乡村振兴战略分类考评激励创建推荐、州级衔接资金分配等的重要参考依据。</w:t>
      </w:r>
      <w:r>
        <w:rPr>
          <w:rFonts w:hint="eastAsia" w:ascii="仿宋" w:hAnsi="仿宋" w:cs="仿宋_GB2312"/>
          <w:bCs/>
          <w:color w:val="auto"/>
          <w:highlight w:val="none"/>
        </w:rPr>
        <w:t>对标对表</w:t>
      </w:r>
      <w:r>
        <w:rPr>
          <w:rFonts w:hint="eastAsia" w:ascii="仿宋" w:hAnsi="仿宋" w:cs="仿宋_GB2312"/>
          <w:bCs/>
          <w:color w:val="auto"/>
          <w:highlight w:val="none"/>
          <w:lang w:val="en-US" w:eastAsia="zh-CN"/>
        </w:rPr>
        <w:t>后</w:t>
      </w:r>
      <w:r>
        <w:rPr>
          <w:rFonts w:hint="eastAsia" w:ascii="仿宋" w:hAnsi="仿宋" w:cs="仿宋_GB2312"/>
          <w:bCs/>
          <w:color w:val="auto"/>
          <w:highlight w:val="none"/>
        </w:rPr>
        <w:t>评估管理办法规定指标和“九个聚焦”年度重点考评内容</w:t>
      </w:r>
      <w:r>
        <w:rPr>
          <w:rFonts w:hint="eastAsia" w:ascii="仿宋" w:hAnsi="仿宋" w:cs="仿宋_GB2312"/>
          <w:bCs/>
          <w:color w:val="auto"/>
          <w:highlight w:val="none"/>
          <w:lang w:eastAsia="zh-CN"/>
        </w:rPr>
        <w:t>，充分发挥好考核评估“指挥棒”作用，全力推动责任落实、政策落实、工作落实</w:t>
      </w:r>
      <w:r>
        <w:rPr>
          <w:rFonts w:hint="eastAsia" w:ascii="仿宋" w:hAnsi="仿宋" w:cs="仿宋_GB2312"/>
          <w:bCs/>
          <w:color w:val="auto"/>
          <w:highlight w:val="none"/>
        </w:rPr>
        <w:t>。强化考核结果运用，将考核结果作为干部选拔任用、评先奖优、问责追责的重要参考。对因责任不落实、执行不到位以及玩忽职守、滥用职权、徇私舞弊，导致防止</w:t>
      </w:r>
      <w:r>
        <w:rPr>
          <w:rFonts w:hint="eastAsia" w:ascii="仿宋" w:hAnsi="仿宋" w:cs="仿宋_GB2312"/>
          <w:bCs/>
          <w:color w:val="auto"/>
          <w:highlight w:val="none"/>
          <w:lang w:eastAsia="zh-CN"/>
        </w:rPr>
        <w:t>返（致）贫</w:t>
      </w:r>
      <w:r>
        <w:rPr>
          <w:rFonts w:hint="eastAsia" w:ascii="仿宋" w:hAnsi="仿宋" w:cs="仿宋_GB2312"/>
          <w:bCs/>
          <w:color w:val="auto"/>
          <w:highlight w:val="none"/>
        </w:rPr>
        <w:t>帮扶不力的，依据《甘孜州脱贫攻坚工作问责暂行办法》严肃追责问责；涉嫌违法违纪的，移送纪委监委、司法机关依法依规严肃处理。</w:t>
      </w:r>
    </w:p>
    <w:p>
      <w:pPr>
        <w:pStyle w:val="10"/>
        <w:rPr>
          <w:rFonts w:hint="eastAsia" w:ascii="仿宋" w:hAnsi="仿宋" w:cs="仿宋_GB2312"/>
          <w:bCs/>
          <w:color w:val="auto"/>
          <w:highlight w:val="none"/>
        </w:rPr>
      </w:pPr>
    </w:p>
    <w:p>
      <w:pPr>
        <w:rPr>
          <w:rFonts w:hint="eastAsia"/>
          <w:color w:val="auto"/>
        </w:rPr>
        <w:sectPr>
          <w:pgSz w:w="11906" w:h="16838"/>
          <w:pgMar w:top="1440" w:right="1800" w:bottom="1440" w:left="1800" w:header="851" w:footer="992" w:gutter="0"/>
          <w:pgNumType w:fmt="decimal"/>
          <w:cols w:space="425" w:num="1"/>
          <w:docGrid w:type="lines" w:linePitch="312" w:charSpace="0"/>
        </w:sectPr>
      </w:pPr>
    </w:p>
    <w:p>
      <w:pPr>
        <w:pStyle w:val="5"/>
        <w:keepNext/>
        <w:keepLines/>
        <w:pageBreakBefore w:val="0"/>
        <w:widowControl w:val="0"/>
        <w:tabs>
          <w:tab w:val="clear" w:pos="0"/>
        </w:tabs>
        <w:suppressAutoHyphens w:val="0"/>
        <w:kinsoku/>
        <w:wordWrap/>
        <w:overflowPunct/>
        <w:topLinePunct w:val="0"/>
        <w:autoSpaceDE/>
        <w:autoSpaceDN/>
        <w:bidi w:val="0"/>
        <w:adjustRightInd/>
        <w:snapToGrid w:val="0"/>
        <w:spacing w:before="0" w:after="0" w:line="360" w:lineRule="auto"/>
        <w:ind w:firstLine="0" w:firstLineChars="0"/>
        <w:jc w:val="center"/>
        <w:textAlignment w:val="auto"/>
        <w:rPr>
          <w:rFonts w:hint="eastAsia" w:ascii="楷体" w:hAnsi="楷体" w:eastAsia="楷体" w:cs="黑体"/>
          <w:bCs w:val="0"/>
          <w:color w:val="auto"/>
          <w:kern w:val="0"/>
          <w:highlight w:val="none"/>
          <w:lang w:val="en-US" w:eastAsia="zh-CN"/>
        </w:rPr>
      </w:pPr>
      <w:bookmarkStart w:id="160" w:name="_Toc5457"/>
      <w:bookmarkStart w:id="161" w:name="_Toc30638"/>
      <w:bookmarkStart w:id="162" w:name="_Toc18126"/>
      <w:r>
        <w:rPr>
          <w:rFonts w:hint="eastAsia" w:ascii="楷体" w:hAnsi="楷体" w:eastAsia="楷体" w:cs="黑体"/>
          <w:bCs w:val="0"/>
          <w:color w:val="auto"/>
          <w:kern w:val="0"/>
          <w:highlight w:val="none"/>
          <w:lang w:val="en-US" w:eastAsia="zh-CN"/>
        </w:rPr>
        <w:t>附 件</w:t>
      </w:r>
      <w:bookmarkEnd w:id="160"/>
    </w:p>
    <w:p>
      <w:pPr>
        <w:pStyle w:val="5"/>
        <w:keepNext/>
        <w:keepLines/>
        <w:pageBreakBefore w:val="0"/>
        <w:widowControl w:val="0"/>
        <w:tabs>
          <w:tab w:val="clear" w:pos="0"/>
        </w:tabs>
        <w:suppressAutoHyphens w:val="0"/>
        <w:kinsoku/>
        <w:wordWrap/>
        <w:overflowPunct/>
        <w:topLinePunct w:val="0"/>
        <w:autoSpaceDE/>
        <w:autoSpaceDN/>
        <w:bidi w:val="0"/>
        <w:adjustRightInd/>
        <w:snapToGrid w:val="0"/>
        <w:spacing w:before="0" w:after="0" w:line="360" w:lineRule="auto"/>
        <w:ind w:firstLine="0" w:firstLineChars="0"/>
        <w:jc w:val="center"/>
        <w:textAlignment w:val="auto"/>
        <w:rPr>
          <w:rFonts w:hint="eastAsia" w:ascii="楷体" w:hAnsi="楷体" w:eastAsia="楷体" w:cs="黑体"/>
          <w:bCs w:val="0"/>
          <w:color w:val="auto"/>
          <w:kern w:val="0"/>
          <w:highlight w:val="none"/>
        </w:rPr>
      </w:pPr>
      <w:bookmarkStart w:id="163" w:name="_Toc24828"/>
      <w:r>
        <w:rPr>
          <w:rFonts w:hint="eastAsia" w:ascii="楷体" w:hAnsi="楷体" w:eastAsia="楷体" w:cs="黑体"/>
          <w:bCs w:val="0"/>
          <w:color w:val="auto"/>
          <w:kern w:val="0"/>
          <w:highlight w:val="none"/>
        </w:rPr>
        <w:t>附件1  多规研读</w:t>
      </w:r>
      <w:bookmarkEnd w:id="161"/>
      <w:bookmarkEnd w:id="162"/>
      <w:bookmarkEnd w:id="163"/>
    </w:p>
    <w:p>
      <w:pPr>
        <w:pStyle w:val="6"/>
        <w:keepNext/>
        <w:keepLines/>
        <w:pageBreakBefore w:val="0"/>
        <w:widowControl w:val="0"/>
        <w:kinsoku/>
        <w:wordWrap/>
        <w:overflowPunct/>
        <w:topLinePunct w:val="0"/>
        <w:autoSpaceDE/>
        <w:autoSpaceDN/>
        <w:bidi w:val="0"/>
        <w:adjustRightInd/>
        <w:snapToGrid/>
        <w:spacing w:before="0" w:after="0" w:line="620" w:lineRule="exact"/>
        <w:ind w:firstLine="643" w:firstLineChars="200"/>
        <w:textAlignment w:val="auto"/>
        <w:rPr>
          <w:rFonts w:hint="eastAsia" w:ascii="楷体" w:hAnsi="楷体" w:eastAsia="楷体" w:cs="楷体"/>
          <w:color w:val="auto"/>
        </w:rPr>
      </w:pPr>
      <w:bookmarkStart w:id="164" w:name="_Toc6990"/>
      <w:bookmarkStart w:id="165" w:name="_Toc31163"/>
      <w:bookmarkStart w:id="166" w:name="_Toc18480"/>
      <w:r>
        <w:rPr>
          <w:rFonts w:hint="eastAsia" w:ascii="楷体" w:hAnsi="楷体" w:eastAsia="楷体" w:cs="楷体"/>
          <w:color w:val="auto"/>
        </w:rPr>
        <w:t>（一）《甘孜藏族自治州国民经济和社会发展第十四个五年规划和二〇三五年远景目标纲要》研读</w:t>
      </w:r>
      <w:bookmarkEnd w:id="164"/>
      <w:bookmarkEnd w:id="165"/>
      <w:bookmarkEnd w:id="166"/>
    </w:p>
    <w:tbl>
      <w:tblPr>
        <w:tblStyle w:val="25"/>
        <w:tblW w:w="9781"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tcPr>
          <w:p>
            <w:pPr>
              <w:pStyle w:val="10"/>
              <w:spacing w:line="420" w:lineRule="exact"/>
              <w:ind w:left="0" w:leftChars="0" w:firstLine="0" w:firstLineChars="0"/>
              <w:jc w:val="center"/>
              <w:rPr>
                <w:rFonts w:ascii="黑体" w:hAnsi="黑体" w:eastAsia="黑体" w:cs="黑体"/>
                <w:b/>
                <w:color w:val="auto"/>
                <w:sz w:val="21"/>
                <w:szCs w:val="24"/>
                <w:highlight w:val="none"/>
              </w:rPr>
            </w:pPr>
            <w:r>
              <w:rPr>
                <w:rFonts w:hint="eastAsia" w:ascii="黑体" w:hAnsi="黑体" w:eastAsia="黑体" w:cs="黑体"/>
                <w:b/>
                <w:color w:val="auto"/>
                <w:sz w:val="21"/>
                <w:szCs w:val="24"/>
                <w:highlight w:val="none"/>
              </w:rPr>
              <w:t>专栏</w:t>
            </w:r>
            <w:r>
              <w:rPr>
                <w:rFonts w:ascii="黑体" w:hAnsi="黑体" w:eastAsia="黑体"/>
                <w:b/>
                <w:color w:val="auto"/>
                <w:sz w:val="21"/>
                <w:szCs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tcPr>
          <w:p>
            <w:pPr>
              <w:widowControl/>
              <w:spacing w:line="240" w:lineRule="auto"/>
              <w:jc w:val="left"/>
              <w:rPr>
                <w:rFonts w:ascii="黑体" w:hAnsi="黑体" w:eastAsia="黑体" w:cs="楷体"/>
                <w:b/>
                <w:color w:val="auto"/>
                <w:sz w:val="21"/>
                <w:szCs w:val="21"/>
                <w:highlight w:val="none"/>
              </w:rPr>
            </w:pPr>
            <w:r>
              <w:rPr>
                <w:rFonts w:ascii="黑体" w:hAnsi="黑体" w:eastAsia="黑体"/>
                <w:b/>
                <w:color w:val="auto"/>
                <w:sz w:val="21"/>
                <w:szCs w:val="21"/>
                <w:highlight w:val="none"/>
              </w:rPr>
              <w:t>1</w:t>
            </w:r>
            <w:r>
              <w:rPr>
                <w:rFonts w:hint="eastAsia" w:ascii="黑体" w:hAnsi="黑体" w:eastAsia="黑体" w:cs="楷体"/>
                <w:b/>
                <w:color w:val="auto"/>
                <w:sz w:val="21"/>
                <w:szCs w:val="21"/>
                <w:highlight w:val="none"/>
              </w:rPr>
              <w:t>．总体要求</w:t>
            </w:r>
          </w:p>
          <w:p>
            <w:pPr>
              <w:widowControl/>
              <w:spacing w:line="240" w:lineRule="auto"/>
              <w:ind w:firstLine="420" w:firstLineChars="200"/>
              <w:jc w:val="left"/>
              <w:rPr>
                <w:rFonts w:ascii="黑体" w:hAnsi="黑体" w:eastAsia="黑体" w:cs="楷体"/>
                <w:color w:val="auto"/>
                <w:sz w:val="21"/>
                <w:szCs w:val="21"/>
                <w:highlight w:val="none"/>
              </w:rPr>
            </w:pPr>
            <w:r>
              <w:rPr>
                <w:rFonts w:ascii="黑体" w:hAnsi="黑体" w:eastAsia="黑体" w:cs="楷体"/>
                <w:color w:val="auto"/>
                <w:sz w:val="21"/>
                <w:szCs w:val="21"/>
                <w:highlight w:val="none"/>
              </w:rPr>
              <w:t>围绕建设美丽生态和谐社会主义现代化新甘孜“一个目标”，突出长治久安和高质量发展“两个关键”，统筹推进国家全域旅游示范区、国家生态文明建设示范区、全国市域社会治理现代化示范州“三创联动”，切实抓好稳定、发展、生态、民生“四件大事”，大力实施依法治州、生态建设、乡村振兴、交通先行、产业富民、新型城镇化“六大战略”，</w:t>
            </w:r>
            <w:r>
              <w:rPr>
                <w:rFonts w:hint="eastAsia" w:ascii="黑体" w:hAnsi="黑体" w:eastAsia="黑体" w:cs="楷体"/>
                <w:color w:val="auto"/>
                <w:sz w:val="21"/>
                <w:szCs w:val="21"/>
                <w:highlight w:val="none"/>
              </w:rPr>
              <w:t>融入新发展格局，</w:t>
            </w:r>
            <w:r>
              <w:rPr>
                <w:rFonts w:ascii="黑体" w:hAnsi="黑体" w:eastAsia="黑体" w:cs="楷体"/>
                <w:color w:val="auto"/>
                <w:sz w:val="21"/>
                <w:szCs w:val="21"/>
                <w:highlight w:val="none"/>
              </w:rPr>
              <w:t>推进治理体系和治理能力现代化</w:t>
            </w:r>
            <w:r>
              <w:rPr>
                <w:rFonts w:hint="eastAsia" w:ascii="黑体" w:hAnsi="黑体" w:eastAsia="黑体" w:cs="楷体"/>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tcPr>
          <w:p>
            <w:pPr>
              <w:widowControl/>
              <w:spacing w:line="240" w:lineRule="auto"/>
              <w:jc w:val="left"/>
              <w:rPr>
                <w:rFonts w:ascii="黑体" w:hAnsi="黑体" w:eastAsia="黑体" w:cs="楷体"/>
                <w:b/>
                <w:color w:val="auto"/>
                <w:sz w:val="21"/>
                <w:szCs w:val="21"/>
                <w:highlight w:val="none"/>
              </w:rPr>
            </w:pPr>
            <w:r>
              <w:rPr>
                <w:rFonts w:ascii="黑体" w:hAnsi="黑体" w:eastAsia="黑体"/>
                <w:b/>
                <w:color w:val="auto"/>
                <w:sz w:val="21"/>
                <w:szCs w:val="21"/>
                <w:highlight w:val="none"/>
              </w:rPr>
              <w:t>2</w:t>
            </w:r>
            <w:r>
              <w:rPr>
                <w:rFonts w:hint="eastAsia" w:ascii="黑体" w:hAnsi="黑体" w:eastAsia="黑体" w:cs="楷体"/>
                <w:b/>
                <w:color w:val="auto"/>
                <w:sz w:val="21"/>
                <w:szCs w:val="21"/>
                <w:highlight w:val="none"/>
              </w:rPr>
              <w:t>．发展目标</w:t>
            </w:r>
          </w:p>
          <w:p>
            <w:pPr>
              <w:widowControl/>
              <w:spacing w:line="240" w:lineRule="auto"/>
              <w:ind w:firstLine="420" w:firstLineChars="200"/>
              <w:jc w:val="left"/>
              <w:rPr>
                <w:rFonts w:hint="eastAsia" w:ascii="黑体" w:hAnsi="黑体" w:eastAsia="黑体" w:cs="楷体"/>
                <w:color w:val="auto"/>
                <w:sz w:val="21"/>
                <w:szCs w:val="21"/>
                <w:highlight w:val="none"/>
                <w:lang w:eastAsia="zh-CN"/>
              </w:rPr>
            </w:pPr>
            <w:r>
              <w:rPr>
                <w:rFonts w:hint="eastAsia" w:ascii="黑体" w:hAnsi="黑体" w:eastAsia="黑体" w:cs="楷体"/>
                <w:color w:val="auto"/>
                <w:sz w:val="21"/>
                <w:szCs w:val="21"/>
                <w:highlight w:val="none"/>
              </w:rPr>
              <w:t>努力成为新时代</w:t>
            </w:r>
            <w:r>
              <w:rPr>
                <w:rFonts w:hint="eastAsia" w:ascii="黑体" w:hAnsi="黑体" w:eastAsia="黑体" w:cs="楷体"/>
                <w:color w:val="auto"/>
                <w:sz w:val="21"/>
                <w:szCs w:val="21"/>
                <w:highlight w:val="none"/>
                <w:lang w:val="en-US" w:eastAsia="zh-CN"/>
              </w:rPr>
              <w:t>涉藏</w:t>
            </w:r>
            <w:r>
              <w:rPr>
                <w:rFonts w:hint="eastAsia" w:ascii="黑体" w:hAnsi="黑体" w:eastAsia="黑体" w:cs="楷体"/>
                <w:color w:val="auto"/>
                <w:sz w:val="21"/>
                <w:szCs w:val="21"/>
                <w:highlight w:val="none"/>
              </w:rPr>
              <w:t>地区践行新发展理念、推动青藏高原建设全国乃至国际生态文明高地、全面展示中国特色社会主义民族区域自治制度优越性的生动样板和典范。建成涉藏生态经济强州；筑牢长江、黄河上游生态安全屏障；建设无碳示范州；建成民族地区更高水平小康生活样板区；建成川西北重要交通枢纽；建成涉藏地区重要数据中心；建成辐射川滇青藏的重要物流中心；建成涉藏地区开放合作新高地；实施新型城镇化战略；构建川藏铁路综合经济带；发展三大流域经济带；打造国际生态文化旅游目的地、国际自驾游目的地、红色旅游发展示范区；建设国家级水风光一体化可再生能源基地；建设川藏高原食品饮料加工中心；打造康巴地区特色中医药生产加工基地；打造涉藏地区特色文旅产品生产销售中心；打造川藏高原新兴产业制造基地；建设甘孜州云计算中心；实施“</w:t>
            </w:r>
            <w:r>
              <w:rPr>
                <w:rFonts w:ascii="黑体" w:hAnsi="黑体" w:eastAsia="黑体"/>
                <w:color w:val="auto"/>
                <w:sz w:val="21"/>
                <w:szCs w:val="21"/>
                <w:highlight w:val="none"/>
              </w:rPr>
              <w:t>1</w:t>
            </w:r>
            <w:r>
              <w:rPr>
                <w:rFonts w:hint="eastAsia" w:ascii="黑体" w:hAnsi="黑体" w:eastAsia="黑体" w:cs="楷体"/>
                <w:color w:val="auto"/>
                <w:sz w:val="21"/>
                <w:szCs w:val="21"/>
                <w:highlight w:val="none"/>
                <w:lang w:eastAsia="zh-CN"/>
              </w:rPr>
              <w:t>＋</w:t>
            </w:r>
            <w:r>
              <w:rPr>
                <w:rFonts w:ascii="黑体" w:hAnsi="黑体" w:eastAsia="黑体"/>
                <w:color w:val="auto"/>
                <w:sz w:val="21"/>
                <w:szCs w:val="21"/>
                <w:highlight w:val="none"/>
              </w:rPr>
              <w:t>8</w:t>
            </w:r>
            <w:r>
              <w:rPr>
                <w:rFonts w:hint="eastAsia" w:ascii="黑体" w:hAnsi="黑体" w:eastAsia="黑体" w:cs="楷体"/>
                <w:color w:val="auto"/>
                <w:sz w:val="21"/>
                <w:szCs w:val="21"/>
                <w:highlight w:val="none"/>
                <w:lang w:eastAsia="zh-CN"/>
              </w:rPr>
              <w:t>＋</w:t>
            </w:r>
            <w:r>
              <w:rPr>
                <w:rFonts w:ascii="黑体" w:hAnsi="黑体" w:eastAsia="黑体"/>
                <w:color w:val="auto"/>
                <w:sz w:val="21"/>
                <w:szCs w:val="21"/>
                <w:highlight w:val="none"/>
              </w:rPr>
              <w:t>18</w:t>
            </w:r>
            <w:r>
              <w:rPr>
                <w:rFonts w:hint="eastAsia" w:ascii="黑体" w:hAnsi="黑体" w:eastAsia="黑体" w:cs="楷体"/>
                <w:color w:val="auto"/>
                <w:sz w:val="21"/>
                <w:szCs w:val="21"/>
                <w:highlight w:val="none"/>
                <w:lang w:eastAsia="zh-CN"/>
              </w:rPr>
              <w:t>＋</w:t>
            </w:r>
            <w:r>
              <w:rPr>
                <w:rFonts w:hint="eastAsia" w:ascii="黑体" w:hAnsi="黑体" w:eastAsia="黑体" w:cs="楷体"/>
                <w:color w:val="auto"/>
                <w:sz w:val="21"/>
                <w:szCs w:val="21"/>
                <w:highlight w:val="none"/>
              </w:rPr>
              <w:t>N”现代农业园计划；加强打造现代高原特色农牧业基地；加强智慧农业基础设施建设，加快发展数字农业；创建全国青稞优质高产高效示范区；</w:t>
            </w:r>
            <w:r>
              <w:rPr>
                <w:rFonts w:hint="eastAsia" w:ascii="黑体" w:hAnsi="黑体" w:eastAsia="黑体" w:cs="楷体"/>
                <w:color w:val="auto"/>
                <w:sz w:val="21"/>
                <w:szCs w:val="21"/>
                <w:highlight w:val="none"/>
                <w:lang w:eastAsia="zh-CN"/>
              </w:rPr>
              <w:t>铸牢中华民族共同体意识</w:t>
            </w:r>
            <w:r>
              <w:rPr>
                <w:rFonts w:hint="eastAsia" w:ascii="黑体" w:hAnsi="黑体" w:eastAsia="黑体" w:cs="楷体"/>
                <w:color w:val="auto"/>
                <w:sz w:val="21"/>
                <w:szCs w:val="21"/>
                <w:highlight w:val="none"/>
              </w:rPr>
              <w:t>；实施中华优秀传统文化传承发展工程</w:t>
            </w:r>
            <w:r>
              <w:rPr>
                <w:rFonts w:hint="eastAsia" w:ascii="黑体" w:hAnsi="黑体" w:eastAsia="黑体" w:cs="楷体"/>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tcPr>
          <w:p>
            <w:pPr>
              <w:widowControl/>
              <w:spacing w:line="240" w:lineRule="auto"/>
              <w:jc w:val="left"/>
              <w:rPr>
                <w:rFonts w:ascii="黑体" w:hAnsi="黑体" w:eastAsia="黑体" w:cs="楷体"/>
                <w:b/>
                <w:color w:val="auto"/>
                <w:sz w:val="21"/>
                <w:szCs w:val="21"/>
                <w:highlight w:val="none"/>
              </w:rPr>
            </w:pPr>
            <w:r>
              <w:rPr>
                <w:rFonts w:ascii="黑体" w:hAnsi="黑体" w:eastAsia="黑体"/>
                <w:b/>
                <w:color w:val="auto"/>
                <w:sz w:val="21"/>
                <w:szCs w:val="21"/>
                <w:highlight w:val="none"/>
              </w:rPr>
              <w:t>3</w:t>
            </w:r>
            <w:r>
              <w:rPr>
                <w:rFonts w:hint="eastAsia" w:ascii="黑体" w:hAnsi="黑体" w:eastAsia="黑体" w:cs="楷体"/>
                <w:b/>
                <w:color w:val="auto"/>
                <w:sz w:val="21"/>
                <w:szCs w:val="21"/>
                <w:highlight w:val="none"/>
              </w:rPr>
              <w:t>．全面实施乡村振兴战略</w:t>
            </w:r>
          </w:p>
          <w:p>
            <w:pPr>
              <w:widowControl/>
              <w:spacing w:line="240" w:lineRule="auto"/>
              <w:ind w:firstLine="420" w:firstLineChars="200"/>
              <w:jc w:val="left"/>
              <w:rPr>
                <w:rFonts w:ascii="黑体" w:hAnsi="黑体" w:eastAsia="黑体" w:cs="楷体"/>
                <w:color w:val="auto"/>
                <w:sz w:val="21"/>
                <w:szCs w:val="21"/>
                <w:highlight w:val="none"/>
              </w:rPr>
            </w:pPr>
            <w:r>
              <w:rPr>
                <w:rFonts w:hint="eastAsia" w:ascii="黑体" w:hAnsi="黑体" w:eastAsia="黑体" w:cs="楷体"/>
                <w:color w:val="auto"/>
                <w:sz w:val="21"/>
                <w:szCs w:val="21"/>
                <w:highlight w:val="none"/>
              </w:rPr>
              <w:t>坚持产业兴农、生态惠农、文化育农、人才助农、党建强农，促进脱贫攻坚与乡村振兴有机衔接，强化以工补农、以城带乡，推动形成工农互促、城乡互补、协调发展、共同繁荣的新型工农城乡关系，促进农业农村现代化。</w:t>
            </w:r>
          </w:p>
        </w:tc>
      </w:tr>
    </w:tbl>
    <w:p>
      <w:pPr>
        <w:pStyle w:val="6"/>
        <w:keepNext/>
        <w:keepLines/>
        <w:pageBreakBefore w:val="0"/>
        <w:widowControl w:val="0"/>
        <w:numPr>
          <w:ilvl w:val="0"/>
          <w:numId w:val="1"/>
        </w:numPr>
        <w:kinsoku/>
        <w:wordWrap/>
        <w:overflowPunct/>
        <w:topLinePunct w:val="0"/>
        <w:autoSpaceDE/>
        <w:autoSpaceDN/>
        <w:bidi w:val="0"/>
        <w:adjustRightInd/>
        <w:snapToGrid/>
        <w:spacing w:before="0" w:after="0" w:line="620" w:lineRule="exact"/>
        <w:ind w:firstLine="643" w:firstLineChars="200"/>
        <w:textAlignment w:val="auto"/>
        <w:rPr>
          <w:rFonts w:hint="eastAsia" w:ascii="楷体" w:hAnsi="楷体" w:eastAsia="楷体" w:cs="楷体"/>
          <w:color w:val="auto"/>
        </w:rPr>
      </w:pPr>
      <w:bookmarkStart w:id="167" w:name="_Toc19957"/>
      <w:bookmarkStart w:id="168" w:name="_Toc3491"/>
      <w:bookmarkStart w:id="169" w:name="_Toc1595"/>
      <w:r>
        <w:rPr>
          <w:rFonts w:hint="eastAsia" w:ascii="楷体" w:hAnsi="楷体" w:eastAsia="楷体" w:cs="楷体"/>
          <w:color w:val="auto"/>
        </w:rPr>
        <w:t>《甘孜州国土空间总体规划（2025-2035年）初步成果》研读</w:t>
      </w:r>
      <w:bookmarkEnd w:id="167"/>
      <w:bookmarkEnd w:id="168"/>
      <w:bookmarkEnd w:id="169"/>
    </w:p>
    <w:p>
      <w:pPr>
        <w:widowControl w:val="0"/>
        <w:numPr>
          <w:ilvl w:val="0"/>
          <w:numId w:val="0"/>
        </w:numPr>
        <w:spacing w:line="360" w:lineRule="auto"/>
        <w:jc w:val="both"/>
        <w:rPr>
          <w:rFonts w:hint="eastAsia"/>
        </w:rPr>
      </w:pPr>
    </w:p>
    <w:p>
      <w:pPr>
        <w:pStyle w:val="2"/>
        <w:rPr>
          <w:rFonts w:hint="eastAsia"/>
        </w:rPr>
      </w:pPr>
    </w:p>
    <w:p>
      <w:pPr>
        <w:pStyle w:val="2"/>
        <w:rPr>
          <w:rFonts w:hint="eastAsia"/>
        </w:rPr>
      </w:pPr>
    </w:p>
    <w:p>
      <w:pPr>
        <w:pStyle w:val="2"/>
        <w:rPr>
          <w:rFonts w:hint="eastAsia"/>
        </w:rPr>
      </w:pPr>
    </w:p>
    <w:tbl>
      <w:tblPr>
        <w:tblStyle w:val="25"/>
        <w:tblW w:w="9781" w:type="dxa"/>
        <w:tblInd w:w="-459" w:type="dxa"/>
        <w:tblLayout w:type="autofit"/>
        <w:tblCellMar>
          <w:top w:w="0" w:type="dxa"/>
          <w:left w:w="108" w:type="dxa"/>
          <w:bottom w:w="0" w:type="dxa"/>
          <w:right w:w="108" w:type="dxa"/>
        </w:tblCellMar>
      </w:tblPr>
      <w:tblGrid>
        <w:gridCol w:w="9781"/>
      </w:tblGrid>
      <w:tr>
        <w:tblPrEx>
          <w:tblCellMar>
            <w:top w:w="0" w:type="dxa"/>
            <w:left w:w="108" w:type="dxa"/>
            <w:bottom w:w="0" w:type="dxa"/>
            <w:right w:w="108" w:type="dxa"/>
          </w:tblCellMar>
        </w:tblPrEx>
        <w:tc>
          <w:tcPr>
            <w:tcW w:w="9781" w:type="dxa"/>
            <w:tcBorders>
              <w:top w:val="single" w:color="auto" w:sz="4" w:space="0"/>
              <w:left w:val="single" w:color="auto" w:sz="4" w:space="0"/>
              <w:bottom w:val="single" w:color="auto" w:sz="4" w:space="0"/>
              <w:right w:val="single" w:color="auto" w:sz="4" w:space="0"/>
            </w:tcBorders>
          </w:tcPr>
          <w:p>
            <w:pPr>
              <w:pStyle w:val="10"/>
              <w:spacing w:line="420" w:lineRule="exact"/>
              <w:ind w:left="0" w:leftChars="0" w:firstLine="0" w:firstLineChars="0"/>
              <w:jc w:val="center"/>
              <w:rPr>
                <w:rFonts w:ascii="黑体" w:hAnsi="黑体" w:eastAsia="黑体" w:cs="黑体"/>
                <w:b/>
                <w:color w:val="auto"/>
                <w:sz w:val="21"/>
                <w:szCs w:val="24"/>
                <w:highlight w:val="none"/>
              </w:rPr>
            </w:pPr>
            <w:r>
              <w:rPr>
                <w:rFonts w:hint="eastAsia" w:ascii="黑体" w:hAnsi="黑体" w:eastAsia="黑体" w:cs="黑体"/>
                <w:b/>
                <w:color w:val="auto"/>
                <w:sz w:val="21"/>
                <w:szCs w:val="24"/>
                <w:highlight w:val="none"/>
              </w:rPr>
              <w:t>专栏</w:t>
            </w:r>
            <w:r>
              <w:rPr>
                <w:rFonts w:ascii="黑体" w:hAnsi="黑体" w:eastAsia="黑体"/>
                <w:b/>
                <w:color w:val="auto"/>
                <w:sz w:val="21"/>
                <w:szCs w:val="24"/>
                <w:highlight w:val="none"/>
              </w:rPr>
              <w:t>2</w:t>
            </w:r>
          </w:p>
        </w:tc>
      </w:tr>
      <w:tr>
        <w:tblPrEx>
          <w:tblCellMar>
            <w:top w:w="0" w:type="dxa"/>
            <w:left w:w="108" w:type="dxa"/>
            <w:bottom w:w="0" w:type="dxa"/>
            <w:right w:w="108" w:type="dxa"/>
          </w:tblCellMar>
        </w:tblPrEx>
        <w:tc>
          <w:tcPr>
            <w:tcW w:w="9781" w:type="dxa"/>
            <w:tcBorders>
              <w:top w:val="single" w:color="auto" w:sz="4" w:space="0"/>
              <w:left w:val="single" w:color="auto" w:sz="4" w:space="0"/>
              <w:bottom w:val="single" w:color="auto" w:sz="4" w:space="0"/>
              <w:right w:val="single" w:color="auto" w:sz="4" w:space="0"/>
            </w:tcBorders>
          </w:tcPr>
          <w:p>
            <w:pPr>
              <w:widowControl/>
              <w:spacing w:line="320" w:lineRule="exact"/>
              <w:jc w:val="left"/>
              <w:rPr>
                <w:rFonts w:ascii="黑体" w:hAnsi="黑体" w:eastAsia="黑体" w:cs="楷体"/>
                <w:b/>
                <w:color w:val="auto"/>
                <w:sz w:val="21"/>
                <w:szCs w:val="21"/>
                <w:highlight w:val="none"/>
              </w:rPr>
            </w:pPr>
            <w:r>
              <w:rPr>
                <w:rFonts w:ascii="黑体" w:hAnsi="黑体" w:eastAsia="黑体"/>
                <w:b/>
                <w:color w:val="auto"/>
                <w:sz w:val="21"/>
                <w:szCs w:val="21"/>
                <w:highlight w:val="none"/>
              </w:rPr>
              <w:t>1</w:t>
            </w:r>
            <w:r>
              <w:rPr>
                <w:rFonts w:hint="eastAsia" w:ascii="黑体" w:hAnsi="黑体" w:eastAsia="黑体" w:cs="楷体"/>
                <w:b/>
                <w:color w:val="auto"/>
                <w:sz w:val="21"/>
                <w:szCs w:val="21"/>
                <w:highlight w:val="none"/>
              </w:rPr>
              <w:t>．刚性约束</w:t>
            </w:r>
          </w:p>
          <w:p>
            <w:pPr>
              <w:widowControl/>
              <w:spacing w:line="320" w:lineRule="exact"/>
              <w:ind w:firstLine="422" w:firstLineChars="200"/>
              <w:jc w:val="left"/>
              <w:rPr>
                <w:rFonts w:ascii="黑体" w:hAnsi="黑体" w:eastAsia="黑体" w:cs="楷体"/>
                <w:color w:val="auto"/>
                <w:sz w:val="21"/>
                <w:szCs w:val="21"/>
                <w:highlight w:val="none"/>
              </w:rPr>
            </w:pPr>
            <w:r>
              <w:rPr>
                <w:rFonts w:hint="eastAsia" w:ascii="黑体" w:hAnsi="黑体" w:eastAsia="黑体" w:cs="楷体"/>
                <w:b/>
                <w:color w:val="auto"/>
                <w:sz w:val="21"/>
                <w:szCs w:val="21"/>
                <w:highlight w:val="none"/>
              </w:rPr>
              <w:t>生态红线。</w:t>
            </w:r>
            <w:r>
              <w:rPr>
                <w:rFonts w:hint="eastAsia" w:ascii="黑体" w:hAnsi="黑体" w:eastAsia="黑体" w:cs="楷体"/>
                <w:color w:val="auto"/>
                <w:sz w:val="21"/>
                <w:szCs w:val="21"/>
                <w:highlight w:val="none"/>
              </w:rPr>
              <w:t>划定生态保护红线面积</w:t>
            </w:r>
            <w:r>
              <w:rPr>
                <w:rFonts w:ascii="黑体" w:hAnsi="黑体" w:eastAsia="黑体"/>
                <w:color w:val="auto"/>
                <w:sz w:val="21"/>
                <w:szCs w:val="21"/>
                <w:highlight w:val="none"/>
              </w:rPr>
              <w:t>6</w:t>
            </w:r>
            <w:r>
              <w:rPr>
                <w:rFonts w:hint="eastAsia" w:ascii="黑体" w:hAnsi="黑体" w:eastAsia="黑体" w:cs="楷体"/>
                <w:color w:val="auto"/>
                <w:sz w:val="21"/>
                <w:szCs w:val="21"/>
                <w:highlight w:val="none"/>
              </w:rPr>
              <w:t>.</w:t>
            </w:r>
            <w:r>
              <w:rPr>
                <w:rFonts w:ascii="黑体" w:hAnsi="黑体" w:eastAsia="黑体"/>
                <w:color w:val="auto"/>
                <w:sz w:val="21"/>
                <w:szCs w:val="21"/>
                <w:highlight w:val="none"/>
              </w:rPr>
              <w:t>96</w:t>
            </w:r>
            <w:r>
              <w:rPr>
                <w:rFonts w:hint="eastAsia" w:ascii="黑体" w:hAnsi="黑体" w:eastAsia="黑体" w:cs="楷体"/>
                <w:color w:val="auto"/>
                <w:sz w:val="21"/>
                <w:szCs w:val="21"/>
                <w:highlight w:val="none"/>
              </w:rPr>
              <w:t>万平方公里，</w:t>
            </w:r>
            <w:r>
              <w:rPr>
                <w:rFonts w:hint="eastAsia" w:ascii="黑体" w:hAnsi="黑体" w:eastAsia="黑体" w:cs="楷体"/>
                <w:color w:val="auto"/>
                <w:sz w:val="21"/>
                <w:szCs w:val="21"/>
                <w:highlight w:val="none"/>
                <w:lang w:eastAsia="zh-CN"/>
              </w:rPr>
              <w:t>占</w:t>
            </w:r>
            <w:r>
              <w:rPr>
                <w:rFonts w:hint="eastAsia" w:ascii="黑体" w:hAnsi="黑体" w:eastAsia="黑体" w:cs="楷体"/>
                <w:color w:val="auto"/>
                <w:sz w:val="21"/>
                <w:szCs w:val="21"/>
                <w:highlight w:val="none"/>
              </w:rPr>
              <w:t>州域总面积的</w:t>
            </w:r>
            <w:r>
              <w:rPr>
                <w:rFonts w:ascii="黑体" w:hAnsi="黑体" w:eastAsia="黑体"/>
                <w:color w:val="auto"/>
                <w:sz w:val="21"/>
                <w:szCs w:val="21"/>
                <w:highlight w:val="none"/>
              </w:rPr>
              <w:t>46</w:t>
            </w:r>
            <w:r>
              <w:rPr>
                <w:rFonts w:hint="eastAsia" w:ascii="黑体" w:hAnsi="黑体" w:eastAsia="黑体" w:cs="楷体"/>
                <w:color w:val="auto"/>
                <w:sz w:val="21"/>
                <w:szCs w:val="21"/>
                <w:highlight w:val="none"/>
              </w:rPr>
              <w:t>.</w:t>
            </w:r>
            <w:r>
              <w:rPr>
                <w:rFonts w:ascii="黑体" w:hAnsi="黑体" w:eastAsia="黑体"/>
                <w:color w:val="auto"/>
                <w:sz w:val="21"/>
                <w:szCs w:val="21"/>
                <w:highlight w:val="none"/>
              </w:rPr>
              <w:t>47</w:t>
            </w:r>
            <w:r>
              <w:rPr>
                <w:rFonts w:hint="eastAsia" w:ascii="黑体" w:hAnsi="黑体" w:eastAsia="黑体" w:cs="楷体"/>
                <w:color w:val="auto"/>
                <w:sz w:val="21"/>
                <w:szCs w:val="21"/>
                <w:highlight w:val="none"/>
              </w:rPr>
              <w:t>%；分布范围广，主要分布于石渠、理塘、白玉等县；保护类型以自然保护地、水源地、生态公益林为主；整合后自然保护地全纳入生态保护红线范围。全州生态安全格局为</w:t>
            </w:r>
            <w:r>
              <w:rPr>
                <w:rFonts w:ascii="黑体" w:hAnsi="黑体" w:eastAsia="黑体" w:cs="楷体"/>
                <w:color w:val="auto"/>
                <w:sz w:val="21"/>
                <w:szCs w:val="21"/>
                <w:highlight w:val="none"/>
              </w:rPr>
              <w:t>“三廊三区多点 ”</w:t>
            </w:r>
            <w:r>
              <w:rPr>
                <w:rFonts w:hint="eastAsia" w:ascii="黑体" w:hAnsi="黑体" w:eastAsia="黑体" w:cs="楷体"/>
                <w:color w:val="auto"/>
                <w:sz w:val="21"/>
                <w:szCs w:val="21"/>
                <w:highlight w:val="none"/>
              </w:rPr>
              <w:t>。（附图</w:t>
            </w:r>
            <w:r>
              <w:rPr>
                <w:rFonts w:ascii="黑体" w:hAnsi="黑体" w:eastAsia="黑体"/>
                <w:color w:val="auto"/>
                <w:sz w:val="21"/>
                <w:szCs w:val="21"/>
                <w:highlight w:val="none"/>
              </w:rPr>
              <w:t>1</w:t>
            </w:r>
            <w:r>
              <w:rPr>
                <w:rFonts w:hint="eastAsia" w:ascii="黑体" w:hAnsi="黑体" w:eastAsia="黑体" w:cs="楷体"/>
                <w:color w:val="auto"/>
                <w:sz w:val="21"/>
                <w:szCs w:val="21"/>
                <w:highlight w:val="none"/>
              </w:rPr>
              <w:t>）</w:t>
            </w:r>
          </w:p>
          <w:p>
            <w:pPr>
              <w:jc w:val="center"/>
              <w:rPr>
                <w:rFonts w:hint="eastAsia" w:ascii="楷体" w:hAnsi="楷体" w:eastAsia="楷体" w:cs="楷体"/>
                <w:color w:val="auto"/>
                <w:sz w:val="21"/>
                <w:szCs w:val="21"/>
              </w:rPr>
            </w:pPr>
            <w:r>
              <w:rPr>
                <w:rFonts w:hint="eastAsia" w:ascii="楷体" w:hAnsi="楷体" w:eastAsia="楷体" w:cs="楷体"/>
                <w:color w:val="auto"/>
                <w:sz w:val="21"/>
                <w:szCs w:val="21"/>
              </w:rPr>
              <w:drawing>
                <wp:anchor distT="0" distB="0" distL="114300" distR="114300" simplePos="0" relativeHeight="251660288" behindDoc="0" locked="0" layoutInCell="1" allowOverlap="1">
                  <wp:simplePos x="0" y="0"/>
                  <wp:positionH relativeFrom="column">
                    <wp:posOffset>-5715</wp:posOffset>
                  </wp:positionH>
                  <wp:positionV relativeFrom="paragraph">
                    <wp:posOffset>134620</wp:posOffset>
                  </wp:positionV>
                  <wp:extent cx="2781300" cy="3492500"/>
                  <wp:effectExtent l="19050" t="19050" r="19050" b="12700"/>
                  <wp:wrapSquare wrapText="bothSides"/>
                  <wp:docPr id="5" name="图片 5" descr="C:\Users\ADMINI~1\AppData\Local\Temp\163955579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1\AppData\Local\Temp\1639555795(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781300" cy="3492500"/>
                          </a:xfrm>
                          <a:prstGeom prst="rect">
                            <a:avLst/>
                          </a:prstGeom>
                          <a:noFill/>
                          <a:ln>
                            <a:solidFill>
                              <a:prstClr val="black"/>
                            </a:solidFill>
                          </a:ln>
                        </pic:spPr>
                      </pic:pic>
                    </a:graphicData>
                  </a:graphic>
                </wp:anchor>
              </w:drawing>
            </w:r>
            <w:r>
              <w:rPr>
                <w:rFonts w:hint="eastAsia" w:ascii="楷体" w:hAnsi="楷体" w:eastAsia="楷体" w:cs="楷体"/>
                <w:color w:val="auto"/>
                <w:sz w:val="21"/>
                <w:szCs w:val="21"/>
              </w:rPr>
              <w:drawing>
                <wp:anchor distT="0" distB="0" distL="114300" distR="114300" simplePos="0" relativeHeight="251661312" behindDoc="0" locked="0" layoutInCell="1" allowOverlap="1">
                  <wp:simplePos x="0" y="0"/>
                  <wp:positionH relativeFrom="column">
                    <wp:posOffset>2851785</wp:posOffset>
                  </wp:positionH>
                  <wp:positionV relativeFrom="paragraph">
                    <wp:posOffset>96520</wp:posOffset>
                  </wp:positionV>
                  <wp:extent cx="3263900" cy="3530600"/>
                  <wp:effectExtent l="19050" t="19050" r="12700" b="12700"/>
                  <wp:wrapSquare wrapText="bothSides"/>
                  <wp:docPr id="409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图片 4"/>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a:xfrm>
                            <a:off x="0" y="0"/>
                            <a:ext cx="3263900" cy="3530600"/>
                          </a:xfrm>
                          <a:prstGeom prst="rect">
                            <a:avLst/>
                          </a:prstGeom>
                          <a:noFill/>
                          <a:ln>
                            <a:solidFill>
                              <a:prstClr val="black"/>
                            </a:solidFill>
                          </a:ln>
                        </pic:spPr>
                      </pic:pic>
                    </a:graphicData>
                  </a:graphic>
                </wp:anchor>
              </w:drawing>
            </w:r>
            <w:r>
              <w:rPr>
                <w:rFonts w:hint="eastAsia" w:ascii="楷体" w:hAnsi="楷体" w:eastAsia="楷体" w:cs="楷体"/>
                <w:color w:val="auto"/>
                <w:sz w:val="21"/>
                <w:szCs w:val="21"/>
              </w:rPr>
              <w:t>图1  甘孜关键生态区示意图                   甘孜州生态安全格局图</w:t>
            </w:r>
          </w:p>
          <w:p>
            <w:pPr>
              <w:widowControl/>
              <w:spacing w:line="240" w:lineRule="auto"/>
              <w:ind w:firstLine="422" w:firstLineChars="200"/>
              <w:jc w:val="left"/>
              <w:rPr>
                <w:rFonts w:ascii="黑体" w:hAnsi="黑体" w:eastAsia="黑体" w:cs="楷体"/>
                <w:color w:val="auto"/>
                <w:sz w:val="21"/>
                <w:szCs w:val="21"/>
                <w:highlight w:val="none"/>
              </w:rPr>
            </w:pPr>
            <w:r>
              <w:rPr>
                <w:rFonts w:hint="eastAsia" w:ascii="黑体" w:hAnsi="黑体" w:eastAsia="黑体" w:cs="楷体"/>
                <w:b/>
                <w:color w:val="auto"/>
                <w:sz w:val="21"/>
                <w:szCs w:val="21"/>
                <w:highlight w:val="none"/>
              </w:rPr>
              <w:t>永久基本农田。</w:t>
            </w:r>
            <w:r>
              <w:rPr>
                <w:rFonts w:hint="eastAsia" w:ascii="黑体" w:hAnsi="黑体" w:eastAsia="黑体" w:cs="楷体"/>
                <w:color w:val="auto"/>
                <w:sz w:val="21"/>
                <w:szCs w:val="21"/>
                <w:highlight w:val="none"/>
              </w:rPr>
              <w:t>规划至</w:t>
            </w:r>
            <w:r>
              <w:rPr>
                <w:rFonts w:ascii="黑体" w:hAnsi="黑体" w:eastAsia="黑体"/>
                <w:color w:val="auto"/>
                <w:sz w:val="21"/>
                <w:szCs w:val="21"/>
                <w:highlight w:val="none"/>
              </w:rPr>
              <w:t>2020</w:t>
            </w:r>
            <w:r>
              <w:rPr>
                <w:rFonts w:hint="eastAsia" w:ascii="黑体" w:hAnsi="黑体" w:eastAsia="黑体" w:cs="楷体"/>
                <w:color w:val="auto"/>
                <w:sz w:val="21"/>
                <w:szCs w:val="21"/>
                <w:highlight w:val="none"/>
              </w:rPr>
              <w:t>年全州永久基本农田保护目标为</w:t>
            </w:r>
            <w:r>
              <w:rPr>
                <w:rFonts w:ascii="黑体" w:hAnsi="黑体" w:eastAsia="黑体"/>
                <w:color w:val="auto"/>
                <w:sz w:val="21"/>
                <w:szCs w:val="21"/>
                <w:highlight w:val="none"/>
              </w:rPr>
              <w:t>65513</w:t>
            </w:r>
            <w:r>
              <w:rPr>
                <w:rFonts w:hint="eastAsia" w:ascii="黑体" w:hAnsi="黑体" w:eastAsia="黑体" w:cs="楷体"/>
                <w:color w:val="auto"/>
                <w:sz w:val="21"/>
                <w:szCs w:val="21"/>
                <w:highlight w:val="none"/>
              </w:rPr>
              <w:t>.</w:t>
            </w:r>
            <w:r>
              <w:rPr>
                <w:rFonts w:ascii="黑体" w:hAnsi="黑体" w:eastAsia="黑体"/>
                <w:color w:val="auto"/>
                <w:sz w:val="21"/>
                <w:szCs w:val="21"/>
                <w:highlight w:val="none"/>
              </w:rPr>
              <w:t>33</w:t>
            </w:r>
            <w:r>
              <w:rPr>
                <w:rFonts w:hint="eastAsia" w:ascii="黑体" w:hAnsi="黑体" w:eastAsia="黑体" w:cs="楷体"/>
                <w:color w:val="auto"/>
                <w:sz w:val="21"/>
                <w:szCs w:val="21"/>
                <w:highlight w:val="none"/>
              </w:rPr>
              <w:t xml:space="preserve">公顷，实际划定永久基本农田 </w:t>
            </w:r>
            <w:r>
              <w:rPr>
                <w:rFonts w:ascii="黑体" w:hAnsi="黑体" w:eastAsia="黑体"/>
                <w:color w:val="auto"/>
                <w:sz w:val="21"/>
                <w:szCs w:val="21"/>
                <w:highlight w:val="none"/>
              </w:rPr>
              <w:t>65872</w:t>
            </w:r>
            <w:r>
              <w:rPr>
                <w:rFonts w:hint="eastAsia" w:ascii="黑体" w:hAnsi="黑体" w:eastAsia="黑体" w:cs="楷体"/>
                <w:color w:val="auto"/>
                <w:sz w:val="21"/>
                <w:szCs w:val="21"/>
                <w:highlight w:val="none"/>
              </w:rPr>
              <w:t>.</w:t>
            </w:r>
            <w:r>
              <w:rPr>
                <w:rFonts w:ascii="黑体" w:hAnsi="黑体" w:eastAsia="黑体"/>
                <w:color w:val="auto"/>
                <w:sz w:val="21"/>
                <w:szCs w:val="21"/>
                <w:highlight w:val="none"/>
              </w:rPr>
              <w:t>67</w:t>
            </w:r>
            <w:r>
              <w:rPr>
                <w:rFonts w:hint="eastAsia" w:ascii="黑体" w:hAnsi="黑体" w:eastAsia="黑体" w:cs="楷体"/>
                <w:color w:val="auto"/>
                <w:sz w:val="21"/>
                <w:szCs w:val="21"/>
                <w:highlight w:val="none"/>
              </w:rPr>
              <w:t>公顷，依据“三调”数据，原划定永久基本农田中现状耕地面积为</w:t>
            </w:r>
            <w:r>
              <w:rPr>
                <w:rFonts w:ascii="黑体" w:hAnsi="黑体" w:eastAsia="黑体"/>
                <w:color w:val="auto"/>
                <w:sz w:val="21"/>
                <w:szCs w:val="21"/>
                <w:highlight w:val="none"/>
              </w:rPr>
              <w:t>44774</w:t>
            </w:r>
            <w:r>
              <w:rPr>
                <w:rFonts w:hint="eastAsia" w:ascii="黑体" w:hAnsi="黑体" w:eastAsia="黑体" w:cs="楷体"/>
                <w:color w:val="auto"/>
                <w:sz w:val="21"/>
                <w:szCs w:val="21"/>
                <w:highlight w:val="none"/>
              </w:rPr>
              <w:t>.</w:t>
            </w:r>
            <w:r>
              <w:rPr>
                <w:rFonts w:ascii="黑体" w:hAnsi="黑体" w:eastAsia="黑体"/>
                <w:color w:val="auto"/>
                <w:sz w:val="21"/>
                <w:szCs w:val="21"/>
                <w:highlight w:val="none"/>
              </w:rPr>
              <w:t>55</w:t>
            </w:r>
            <w:r>
              <w:rPr>
                <w:rFonts w:hint="eastAsia" w:ascii="黑体" w:hAnsi="黑体" w:eastAsia="黑体" w:cs="楷体"/>
                <w:color w:val="auto"/>
                <w:sz w:val="21"/>
                <w:szCs w:val="21"/>
                <w:highlight w:val="none"/>
              </w:rPr>
              <w:t>公顷，现状非耕地面积为</w:t>
            </w:r>
            <w:r>
              <w:rPr>
                <w:rFonts w:ascii="黑体" w:hAnsi="黑体" w:eastAsia="黑体"/>
                <w:color w:val="auto"/>
                <w:sz w:val="21"/>
                <w:szCs w:val="21"/>
                <w:highlight w:val="none"/>
              </w:rPr>
              <w:t>21098</w:t>
            </w:r>
            <w:r>
              <w:rPr>
                <w:rFonts w:hint="eastAsia" w:ascii="黑体" w:hAnsi="黑体" w:eastAsia="黑体" w:cs="楷体"/>
                <w:color w:val="auto"/>
                <w:sz w:val="21"/>
                <w:szCs w:val="21"/>
                <w:highlight w:val="none"/>
              </w:rPr>
              <w:t>.</w:t>
            </w:r>
            <w:r>
              <w:rPr>
                <w:rFonts w:ascii="黑体" w:hAnsi="黑体" w:eastAsia="黑体"/>
                <w:color w:val="auto"/>
                <w:sz w:val="21"/>
                <w:szCs w:val="21"/>
                <w:highlight w:val="none"/>
              </w:rPr>
              <w:t>12</w:t>
            </w:r>
            <w:r>
              <w:rPr>
                <w:rFonts w:hint="eastAsia" w:ascii="黑体" w:hAnsi="黑体" w:eastAsia="黑体" w:cs="楷体"/>
                <w:color w:val="auto"/>
                <w:sz w:val="21"/>
                <w:szCs w:val="21"/>
                <w:highlight w:val="none"/>
              </w:rPr>
              <w:t>公顷。全州永久基本农田缺口面积为</w:t>
            </w:r>
            <w:r>
              <w:rPr>
                <w:rFonts w:ascii="黑体" w:hAnsi="黑体" w:eastAsia="黑体"/>
                <w:color w:val="auto"/>
                <w:sz w:val="21"/>
                <w:szCs w:val="21"/>
                <w:highlight w:val="none"/>
              </w:rPr>
              <w:t>20738</w:t>
            </w:r>
            <w:r>
              <w:rPr>
                <w:rFonts w:hint="eastAsia" w:ascii="黑体" w:hAnsi="黑体" w:eastAsia="黑体" w:cs="楷体"/>
                <w:color w:val="auto"/>
                <w:sz w:val="21"/>
                <w:szCs w:val="21"/>
                <w:highlight w:val="none"/>
              </w:rPr>
              <w:t>.</w:t>
            </w:r>
            <w:r>
              <w:rPr>
                <w:rFonts w:ascii="黑体" w:hAnsi="黑体" w:eastAsia="黑体"/>
                <w:color w:val="auto"/>
                <w:sz w:val="21"/>
                <w:szCs w:val="21"/>
                <w:highlight w:val="none"/>
              </w:rPr>
              <w:t>78</w:t>
            </w:r>
            <w:r>
              <w:rPr>
                <w:rFonts w:hint="eastAsia" w:ascii="黑体" w:hAnsi="黑体" w:eastAsia="黑体" w:cs="楷体"/>
                <w:color w:val="auto"/>
                <w:sz w:val="21"/>
                <w:szCs w:val="21"/>
                <w:highlight w:val="none"/>
              </w:rPr>
              <w:t>公顷。</w:t>
            </w:r>
          </w:p>
          <w:p>
            <w:pPr>
              <w:widowControl/>
              <w:spacing w:line="240" w:lineRule="auto"/>
              <w:ind w:firstLine="422" w:firstLineChars="200"/>
              <w:jc w:val="left"/>
              <w:rPr>
                <w:rFonts w:ascii="黑体" w:hAnsi="黑体" w:eastAsia="黑体" w:cs="楷体"/>
                <w:color w:val="auto"/>
                <w:sz w:val="21"/>
                <w:szCs w:val="21"/>
                <w:highlight w:val="none"/>
              </w:rPr>
            </w:pPr>
            <w:r>
              <w:rPr>
                <w:rFonts w:ascii="黑体" w:hAnsi="黑体" w:eastAsia="黑体" w:cs="楷体"/>
                <w:b/>
                <w:color w:val="auto"/>
                <w:sz w:val="21"/>
                <w:szCs w:val="21"/>
                <w:highlight w:val="none"/>
              </w:rPr>
              <w:t>城镇开发边界</w:t>
            </w:r>
            <w:r>
              <w:rPr>
                <w:rFonts w:hint="eastAsia" w:ascii="黑体" w:hAnsi="黑体" w:eastAsia="黑体" w:cs="楷体"/>
                <w:b/>
                <w:color w:val="auto"/>
                <w:sz w:val="21"/>
                <w:szCs w:val="21"/>
                <w:highlight w:val="none"/>
              </w:rPr>
              <w:t>。</w:t>
            </w:r>
            <w:r>
              <w:rPr>
                <w:rFonts w:hint="eastAsia" w:ascii="黑体" w:hAnsi="黑体" w:eastAsia="黑体" w:cs="楷体"/>
                <w:color w:val="auto"/>
                <w:sz w:val="21"/>
                <w:szCs w:val="21"/>
                <w:highlight w:val="none"/>
              </w:rPr>
              <w:t>规划稿全州上报划定各市县开发边界总面积约</w:t>
            </w:r>
            <w:r>
              <w:rPr>
                <w:rFonts w:ascii="黑体" w:hAnsi="黑体" w:eastAsia="黑体"/>
                <w:color w:val="auto"/>
                <w:sz w:val="21"/>
                <w:szCs w:val="21"/>
                <w:highlight w:val="none"/>
              </w:rPr>
              <w:t>282</w:t>
            </w:r>
            <w:r>
              <w:rPr>
                <w:rFonts w:hint="eastAsia" w:ascii="黑体" w:hAnsi="黑体" w:eastAsia="黑体" w:cs="楷体"/>
                <w:color w:val="auto"/>
                <w:sz w:val="21"/>
                <w:szCs w:val="21"/>
                <w:highlight w:val="none"/>
              </w:rPr>
              <w:t>平方公里，其中集中建设区面积约</w:t>
            </w:r>
            <w:r>
              <w:rPr>
                <w:rFonts w:ascii="黑体" w:hAnsi="黑体" w:eastAsia="黑体"/>
                <w:color w:val="auto"/>
                <w:sz w:val="21"/>
                <w:szCs w:val="21"/>
                <w:highlight w:val="none"/>
              </w:rPr>
              <w:t>183</w:t>
            </w:r>
            <w:r>
              <w:rPr>
                <w:rFonts w:hint="eastAsia" w:ascii="黑体" w:hAnsi="黑体" w:eastAsia="黑体" w:cs="楷体"/>
                <w:color w:val="auto"/>
                <w:sz w:val="21"/>
                <w:szCs w:val="21"/>
                <w:highlight w:val="none"/>
              </w:rPr>
              <w:t xml:space="preserve"> 平方公里。上报划定各市县中心城区开发边界总面积约</w:t>
            </w:r>
            <w:r>
              <w:rPr>
                <w:rFonts w:ascii="黑体" w:hAnsi="黑体" w:eastAsia="黑体"/>
                <w:color w:val="auto"/>
                <w:sz w:val="21"/>
                <w:szCs w:val="21"/>
                <w:highlight w:val="none"/>
              </w:rPr>
              <w:t>149</w:t>
            </w:r>
            <w:r>
              <w:rPr>
                <w:rFonts w:hint="eastAsia" w:ascii="黑体" w:hAnsi="黑体" w:eastAsia="黑体" w:cs="楷体"/>
                <w:color w:val="auto"/>
                <w:sz w:val="21"/>
                <w:szCs w:val="21"/>
                <w:highlight w:val="none"/>
              </w:rPr>
              <w:t>平方公里，其中集中建设区面积约</w:t>
            </w:r>
            <w:r>
              <w:rPr>
                <w:rFonts w:ascii="黑体" w:hAnsi="黑体" w:eastAsia="黑体"/>
                <w:color w:val="auto"/>
                <w:sz w:val="21"/>
                <w:szCs w:val="21"/>
                <w:highlight w:val="none"/>
              </w:rPr>
              <w:t>97</w:t>
            </w:r>
            <w:r>
              <w:rPr>
                <w:rFonts w:hint="eastAsia" w:ascii="黑体" w:hAnsi="黑体" w:eastAsia="黑体" w:cs="楷体"/>
                <w:color w:val="auto"/>
                <w:sz w:val="21"/>
                <w:szCs w:val="21"/>
                <w:highlight w:val="none"/>
              </w:rPr>
              <w:t>.</w:t>
            </w:r>
            <w:r>
              <w:rPr>
                <w:rFonts w:ascii="黑体" w:hAnsi="黑体" w:eastAsia="黑体"/>
                <w:color w:val="auto"/>
                <w:sz w:val="21"/>
                <w:szCs w:val="21"/>
                <w:highlight w:val="none"/>
              </w:rPr>
              <w:t>5</w:t>
            </w:r>
            <w:r>
              <w:rPr>
                <w:rFonts w:hint="eastAsia" w:ascii="黑体" w:hAnsi="黑体" w:eastAsia="黑体" w:cs="楷体"/>
                <w:color w:val="auto"/>
                <w:sz w:val="21"/>
                <w:szCs w:val="21"/>
                <w:highlight w:val="none"/>
              </w:rPr>
              <w:t>平方公里，新增建设用地总面积约</w:t>
            </w:r>
            <w:r>
              <w:rPr>
                <w:rFonts w:ascii="黑体" w:hAnsi="黑体" w:eastAsia="黑体"/>
                <w:color w:val="auto"/>
                <w:sz w:val="21"/>
                <w:szCs w:val="21"/>
                <w:highlight w:val="none"/>
              </w:rPr>
              <w:t>48</w:t>
            </w:r>
            <w:r>
              <w:rPr>
                <w:rFonts w:hint="eastAsia" w:ascii="黑体" w:hAnsi="黑体" w:eastAsia="黑体" w:cs="楷体"/>
                <w:color w:val="auto"/>
                <w:sz w:val="21"/>
                <w:szCs w:val="21"/>
                <w:highlight w:val="none"/>
              </w:rPr>
              <w:t>.</w:t>
            </w:r>
            <w:r>
              <w:rPr>
                <w:rFonts w:ascii="黑体" w:hAnsi="黑体" w:eastAsia="黑体"/>
                <w:color w:val="auto"/>
                <w:sz w:val="21"/>
                <w:szCs w:val="21"/>
                <w:highlight w:val="none"/>
              </w:rPr>
              <w:t>5</w:t>
            </w:r>
            <w:r>
              <w:rPr>
                <w:rFonts w:hint="eastAsia" w:ascii="黑体" w:hAnsi="黑体" w:eastAsia="黑体" w:cs="楷体"/>
                <w:color w:val="auto"/>
                <w:sz w:val="21"/>
                <w:szCs w:val="21"/>
                <w:highlight w:val="none"/>
              </w:rPr>
              <w:t>平方公里（现状城区建设用地</w:t>
            </w:r>
            <w:r>
              <w:rPr>
                <w:rFonts w:ascii="黑体" w:hAnsi="黑体" w:eastAsia="黑体"/>
                <w:color w:val="auto"/>
                <w:sz w:val="21"/>
                <w:szCs w:val="21"/>
                <w:highlight w:val="none"/>
              </w:rPr>
              <w:t>49</w:t>
            </w:r>
            <w:r>
              <w:rPr>
                <w:rFonts w:hint="eastAsia" w:ascii="黑体" w:hAnsi="黑体" w:eastAsia="黑体" w:cs="楷体"/>
                <w:color w:val="auto"/>
                <w:sz w:val="21"/>
                <w:szCs w:val="21"/>
                <w:highlight w:val="none"/>
              </w:rPr>
              <w:t>平方公里）。上报划定各市县乡镇开发边界总面积约</w:t>
            </w:r>
            <w:r>
              <w:rPr>
                <w:rFonts w:ascii="黑体" w:hAnsi="黑体" w:eastAsia="黑体"/>
                <w:color w:val="auto"/>
                <w:sz w:val="21"/>
                <w:szCs w:val="21"/>
                <w:highlight w:val="none"/>
              </w:rPr>
              <w:t>133</w:t>
            </w:r>
            <w:r>
              <w:rPr>
                <w:rFonts w:hint="eastAsia" w:ascii="黑体" w:hAnsi="黑体" w:eastAsia="黑体" w:cs="楷体"/>
                <w:color w:val="auto"/>
                <w:sz w:val="21"/>
                <w:szCs w:val="21"/>
                <w:highlight w:val="none"/>
              </w:rPr>
              <w:t>平方公里，集中建设区面积约</w:t>
            </w:r>
            <w:r>
              <w:rPr>
                <w:rFonts w:ascii="黑体" w:hAnsi="黑体" w:eastAsia="黑体"/>
                <w:color w:val="auto"/>
                <w:sz w:val="21"/>
                <w:szCs w:val="21"/>
                <w:highlight w:val="none"/>
              </w:rPr>
              <w:t>85</w:t>
            </w:r>
            <w:r>
              <w:rPr>
                <w:rFonts w:hint="eastAsia" w:ascii="黑体" w:hAnsi="黑体" w:eastAsia="黑体" w:cs="楷体"/>
                <w:color w:val="auto"/>
                <w:sz w:val="21"/>
                <w:szCs w:val="21"/>
                <w:highlight w:val="none"/>
              </w:rPr>
              <w:t>.</w:t>
            </w:r>
            <w:r>
              <w:rPr>
                <w:rFonts w:ascii="黑体" w:hAnsi="黑体" w:eastAsia="黑体"/>
                <w:color w:val="auto"/>
                <w:sz w:val="21"/>
                <w:szCs w:val="21"/>
                <w:highlight w:val="none"/>
              </w:rPr>
              <w:t>5</w:t>
            </w:r>
            <w:r>
              <w:rPr>
                <w:rFonts w:hint="eastAsia" w:ascii="黑体" w:hAnsi="黑体" w:eastAsia="黑体" w:cs="楷体"/>
                <w:color w:val="auto"/>
                <w:sz w:val="21"/>
                <w:szCs w:val="21"/>
                <w:highlight w:val="none"/>
              </w:rPr>
              <w:t>平方公里。</w:t>
            </w:r>
          </w:p>
        </w:tc>
      </w:tr>
      <w:tr>
        <w:tblPrEx>
          <w:tblCellMar>
            <w:top w:w="0" w:type="dxa"/>
            <w:left w:w="108" w:type="dxa"/>
            <w:bottom w:w="0" w:type="dxa"/>
            <w:right w:w="108" w:type="dxa"/>
          </w:tblCellMar>
        </w:tblPrEx>
        <w:trPr>
          <w:trHeight w:val="6960" w:hRule="atLeast"/>
        </w:trPr>
        <w:tc>
          <w:tcPr>
            <w:tcW w:w="9781" w:type="dxa"/>
            <w:tcBorders>
              <w:top w:val="single" w:color="auto" w:sz="4" w:space="0"/>
              <w:left w:val="single" w:color="auto" w:sz="4" w:space="0"/>
              <w:bottom w:val="single" w:color="auto" w:sz="4" w:space="0"/>
              <w:right w:val="single" w:color="auto" w:sz="4" w:space="0"/>
            </w:tcBorders>
          </w:tcPr>
          <w:p>
            <w:pPr>
              <w:widowControl/>
              <w:spacing w:line="240" w:lineRule="auto"/>
              <w:jc w:val="left"/>
              <w:rPr>
                <w:rFonts w:ascii="黑体" w:hAnsi="黑体" w:eastAsia="黑体" w:cs="楷体"/>
                <w:b/>
                <w:color w:val="auto"/>
                <w:sz w:val="21"/>
                <w:szCs w:val="21"/>
                <w:highlight w:val="none"/>
              </w:rPr>
            </w:pPr>
            <w:r>
              <w:rPr>
                <w:rFonts w:ascii="黑体" w:hAnsi="黑体" w:eastAsia="黑体"/>
                <w:b/>
                <w:color w:val="auto"/>
                <w:sz w:val="21"/>
                <w:szCs w:val="21"/>
                <w:highlight w:val="none"/>
              </w:rPr>
              <w:t>2</w:t>
            </w:r>
            <w:r>
              <w:rPr>
                <w:rFonts w:hint="eastAsia" w:ascii="黑体" w:hAnsi="黑体" w:eastAsia="黑体" w:cs="楷体"/>
                <w:b/>
                <w:color w:val="auto"/>
                <w:sz w:val="21"/>
                <w:szCs w:val="21"/>
                <w:highlight w:val="none"/>
              </w:rPr>
              <w:t>．甘孜州城镇结构规划（</w:t>
            </w:r>
            <w:r>
              <w:rPr>
                <w:rFonts w:hint="eastAsia" w:ascii="黑体" w:hAnsi="黑体" w:eastAsia="黑体" w:cs="楷体"/>
                <w:color w:val="auto"/>
                <w:sz w:val="21"/>
                <w:szCs w:val="21"/>
                <w:highlight w:val="none"/>
              </w:rPr>
              <w:t>附图</w:t>
            </w:r>
            <w:r>
              <w:rPr>
                <w:rFonts w:ascii="黑体" w:hAnsi="黑体" w:eastAsia="黑体"/>
                <w:color w:val="auto"/>
                <w:sz w:val="21"/>
                <w:szCs w:val="21"/>
                <w:highlight w:val="none"/>
              </w:rPr>
              <w:t>2</w:t>
            </w:r>
            <w:r>
              <w:rPr>
                <w:rFonts w:hint="eastAsia" w:ascii="黑体" w:hAnsi="黑体" w:eastAsia="黑体" w:cs="楷体"/>
                <w:color w:val="auto"/>
                <w:sz w:val="21"/>
                <w:szCs w:val="21"/>
                <w:highlight w:val="none"/>
              </w:rPr>
              <w:t>）</w:t>
            </w:r>
          </w:p>
          <w:p>
            <w:pPr>
              <w:widowControl/>
              <w:spacing w:line="240" w:lineRule="auto"/>
              <w:ind w:firstLine="420" w:firstLineChars="200"/>
              <w:jc w:val="left"/>
              <w:rPr>
                <w:rFonts w:ascii="黑体" w:hAnsi="黑体" w:eastAsia="黑体" w:cs="楷体"/>
                <w:color w:val="auto"/>
                <w:sz w:val="21"/>
                <w:szCs w:val="21"/>
                <w:highlight w:val="none"/>
              </w:rPr>
            </w:pPr>
            <w:r>
              <w:rPr>
                <w:rFonts w:hint="eastAsia" w:ascii="黑体" w:hAnsi="黑体" w:eastAsia="黑体" w:cs="楷体"/>
                <w:color w:val="auto"/>
                <w:sz w:val="21"/>
                <w:szCs w:val="21"/>
                <w:highlight w:val="none"/>
              </w:rPr>
              <w:t>规划形成“一核三副，三轴多点”的城镇结构空间布局。</w:t>
            </w:r>
          </w:p>
          <w:p>
            <w:pPr>
              <w:pStyle w:val="10"/>
              <w:ind w:left="0" w:leftChars="0" w:firstLine="0" w:firstLineChars="0"/>
              <w:rPr>
                <w:rFonts w:ascii="黑体" w:hAnsi="黑体" w:eastAsia="黑体"/>
                <w:color w:val="auto"/>
                <w:highlight w:val="none"/>
              </w:rPr>
            </w:pPr>
            <w:r>
              <w:rPr>
                <w:rFonts w:ascii="黑体" w:hAnsi="黑体" w:eastAsia="黑体" w:cs="楷体"/>
                <w:color w:val="auto"/>
                <w:sz w:val="21"/>
                <w:szCs w:val="21"/>
                <w:highlight w:val="none"/>
              </w:rPr>
              <mc:AlternateContent>
                <mc:Choice Requires="wps">
                  <w:drawing>
                    <wp:anchor distT="45720" distB="45720" distL="114300" distR="114300" simplePos="0" relativeHeight="251664384" behindDoc="0" locked="0" layoutInCell="1" allowOverlap="1">
                      <wp:simplePos x="0" y="0"/>
                      <wp:positionH relativeFrom="column">
                        <wp:posOffset>24765</wp:posOffset>
                      </wp:positionH>
                      <wp:positionV relativeFrom="paragraph">
                        <wp:posOffset>10795</wp:posOffset>
                      </wp:positionV>
                      <wp:extent cx="2360930" cy="337185"/>
                      <wp:effectExtent l="0" t="0" r="0" b="0"/>
                      <wp:wrapNone/>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360930" cy="337185"/>
                              </a:xfrm>
                              <a:prstGeom prst="rect">
                                <a:avLst/>
                              </a:prstGeom>
                              <a:noFill/>
                              <a:ln w="9525">
                                <a:noFill/>
                                <a:miter lim="800000"/>
                              </a:ln>
                            </wps:spPr>
                            <wps:txbx>
                              <w:txbxContent>
                                <w:p>
                                  <w:pPr>
                                    <w:jc w:val="center"/>
                                    <w:rPr>
                                      <w:rFonts w:hint="eastAsia" w:ascii="楷体" w:hAnsi="楷体" w:eastAsia="楷体" w:cs="楷体"/>
                                      <w:sz w:val="21"/>
                                      <w:szCs w:val="21"/>
                                    </w:rPr>
                                  </w:pPr>
                                  <w:r>
                                    <w:rPr>
                                      <w:rFonts w:hint="eastAsia" w:ascii="楷体" w:hAnsi="楷体" w:eastAsia="楷体" w:cs="楷体"/>
                                      <w:sz w:val="21"/>
                                      <w:szCs w:val="21"/>
                                    </w:rPr>
                                    <w:t>甘孜州战略区位示意图</w:t>
                                  </w:r>
                                </w:p>
                              </w:txbxContent>
                            </wps:txbx>
                            <wps:bodyPr rot="0" vert="horz" wrap="square" lIns="91440" tIns="45720" rIns="91440" bIns="45720" anchor="t" anchorCtr="0">
                              <a:noAutofit/>
                            </wps:bodyPr>
                          </wps:wsp>
                        </a:graphicData>
                      </a:graphic>
                      <wp14:sizeRelH relativeFrom="margin">
                        <wp14:pctWidth>40000</wp14:pctWidth>
                      </wp14:sizeRelH>
                      <wp14:sizeRelV relativeFrom="page">
                        <wp14:pctHeight>0</wp14:pctHeight>
                      </wp14:sizeRelV>
                    </wp:anchor>
                  </w:drawing>
                </mc:Choice>
                <mc:Fallback>
                  <w:pict>
                    <v:shape id="文本框 2" o:spid="_x0000_s1026" o:spt="202" type="#_x0000_t202" style="position:absolute;left:0pt;margin-left:1.95pt;margin-top:0.85pt;height:26.55pt;width:185.9pt;z-index:251664384;mso-width-relative:margin;mso-height-relative:page;mso-width-percent:400;" filled="f" stroked="f" coordsize="21600,21600" o:gfxdata="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8ZYc&#10;qNUAAAAGAQAADwAAAAAAAAABACAAAAAiAAAAZHJzL2Rvd25yZXYueG1sUEsBAhQAFAAAAAgAh07i&#10;QGyn1EclAgAAKwQAAA4AAAAAAAAAAQAgAAAAJAEAAGRycy9lMm9Eb2MueG1sUEsFBgAAAAAGAAYA&#10;WQEAALsFAAAAAA==&#10;">
                      <v:fill on="f" focussize="0,0"/>
                      <v:stroke on="f" miterlimit="8" joinstyle="miter"/>
                      <v:imagedata o:title=""/>
                      <o:lock v:ext="edit" aspectratio="f"/>
                      <v:textbox>
                        <w:txbxContent>
                          <w:p>
                            <w:pPr>
                              <w:jc w:val="center"/>
                              <w:rPr>
                                <w:rFonts w:hint="eastAsia" w:ascii="楷体" w:hAnsi="楷体" w:eastAsia="楷体" w:cs="楷体"/>
                                <w:sz w:val="21"/>
                                <w:szCs w:val="21"/>
                              </w:rPr>
                            </w:pPr>
                            <w:r>
                              <w:rPr>
                                <w:rFonts w:hint="eastAsia" w:ascii="楷体" w:hAnsi="楷体" w:eastAsia="楷体" w:cs="楷体"/>
                                <w:sz w:val="21"/>
                                <w:szCs w:val="21"/>
                              </w:rPr>
                              <w:t>甘孜州战略区位示意图</w:t>
                            </w:r>
                          </w:p>
                        </w:txbxContent>
                      </v:textbox>
                    </v:shape>
                  </w:pict>
                </mc:Fallback>
              </mc:AlternateContent>
            </w:r>
            <w:r>
              <w:rPr>
                <w:rFonts w:ascii="黑体" w:hAnsi="黑体" w:eastAsia="黑体"/>
                <w:color w:val="auto"/>
                <w:highlight w:val="none"/>
              </w:rPr>
              <w:drawing>
                <wp:anchor distT="0" distB="0" distL="114300" distR="114300" simplePos="0" relativeHeight="251663360" behindDoc="1" locked="0" layoutInCell="1" allowOverlap="1">
                  <wp:simplePos x="0" y="0"/>
                  <wp:positionH relativeFrom="column">
                    <wp:posOffset>3522980</wp:posOffset>
                  </wp:positionH>
                  <wp:positionV relativeFrom="paragraph">
                    <wp:posOffset>45720</wp:posOffset>
                  </wp:positionV>
                  <wp:extent cx="2410460" cy="3528695"/>
                  <wp:effectExtent l="0" t="0" r="8890" b="0"/>
                  <wp:wrapTight wrapText="bothSides">
                    <wp:wrapPolygon>
                      <wp:start x="0" y="0"/>
                      <wp:lineTo x="0" y="21456"/>
                      <wp:lineTo x="21509" y="21456"/>
                      <wp:lineTo x="21509" y="0"/>
                      <wp:lineTo x="0" y="0"/>
                    </wp:wrapPolygon>
                  </wp:wrapTight>
                  <wp:docPr id="10" name="图片 10" descr="C:\Users\ADMINI~1\AppData\Local\Temp\16395494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1\AppData\Local\Temp\1639549480(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410460" cy="3528695"/>
                          </a:xfrm>
                          <a:prstGeom prst="rect">
                            <a:avLst/>
                          </a:prstGeom>
                          <a:noFill/>
                          <a:ln>
                            <a:noFill/>
                          </a:ln>
                        </pic:spPr>
                      </pic:pic>
                    </a:graphicData>
                  </a:graphic>
                </wp:anchor>
              </w:drawing>
            </w:r>
            <w:r>
              <w:rPr>
                <w:rFonts w:ascii="黑体" w:hAnsi="黑体" w:eastAsia="黑体"/>
                <w:color w:val="auto"/>
                <w:highlight w:val="none"/>
              </w:rPr>
              <mc:AlternateContent>
                <mc:Choice Requires="wps">
                  <w:drawing>
                    <wp:anchor distT="0" distB="0" distL="114300" distR="114300" simplePos="0" relativeHeight="251662336" behindDoc="0" locked="0" layoutInCell="1" allowOverlap="1">
                      <wp:simplePos x="0" y="0"/>
                      <wp:positionH relativeFrom="column">
                        <wp:posOffset>2411095</wp:posOffset>
                      </wp:positionH>
                      <wp:positionV relativeFrom="paragraph">
                        <wp:posOffset>1490345</wp:posOffset>
                      </wp:positionV>
                      <wp:extent cx="997585" cy="419100"/>
                      <wp:effectExtent l="0" t="0" r="12700" b="19050"/>
                      <wp:wrapNone/>
                      <wp:docPr id="8" name="左右箭头 8"/>
                      <wp:cNvGraphicFramePr/>
                      <a:graphic xmlns:a="http://schemas.openxmlformats.org/drawingml/2006/main">
                        <a:graphicData uri="http://schemas.microsoft.com/office/word/2010/wordprocessingShape">
                          <wps:wsp>
                            <wps:cNvSpPr/>
                            <wps:spPr>
                              <a:xfrm>
                                <a:off x="0" y="0"/>
                                <a:ext cx="997527" cy="419100"/>
                              </a:xfrm>
                              <a:prstGeom prst="lef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9" type="#_x0000_t69" style="position:absolute;left:0pt;margin-left:189.85pt;margin-top:117.35pt;height:33pt;width:78.55pt;z-index:251662336;v-text-anchor:middle;mso-width-relative:page;mso-height-relative:page;" filled="f" stroked="t" coordsize="21600,21600" o:gfxdata="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Fqs7gTZAAAACwEAAA8AAAAAAAAAAQAgAAAAIgAAAGRycy9kb3ducmV2&#10;LnhtbFBLAQIUABQAAAAIAIdO4kAEhvWHbQIAAMMEAAAOAAAAAAAAAAEAIAAAACgBAABkcnMvZTJv&#10;RG9jLnhtbFBLBQYAAAAABgAGAFkBAAAHBgAAAAA=&#10;" adj="4537,5400">
                      <v:fill on="f" focussize="0,0"/>
                      <v:stroke weight="1pt" color="#000000 [3213]" joinstyle="round"/>
                      <v:imagedata o:title=""/>
                      <o:lock v:ext="edit" aspectratio="f"/>
                    </v:shape>
                  </w:pict>
                </mc:Fallback>
              </mc:AlternateContent>
            </w:r>
            <w:r>
              <w:rPr>
                <w:rFonts w:ascii="黑体" w:hAnsi="黑体" w:eastAsia="黑体"/>
                <w:color w:val="auto"/>
                <w:highlight w:val="none"/>
              </w:rPr>
              <w:drawing>
                <wp:inline distT="0" distB="0" distL="0" distR="0">
                  <wp:extent cx="2265045" cy="1563370"/>
                  <wp:effectExtent l="0" t="0" r="5715" b="6350"/>
                  <wp:docPr id="6" name="图片 6" descr="C:\Users\ADMINI~1\AppData\Local\Temp\16395489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1\AppData\Local\Temp\1639548940(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291648" cy="1582281"/>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黑体" w:hAnsi="黑体" w:eastAsia="黑体"/>
                <w:color w:val="auto"/>
                <w:highlight w:val="none"/>
              </w:rPr>
            </w:pPr>
          </w:p>
          <w:p>
            <w:pPr>
              <w:pStyle w:val="10"/>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textAlignment w:val="auto"/>
              <w:rPr>
                <w:rFonts w:ascii="黑体" w:hAnsi="黑体" w:eastAsia="黑体"/>
                <w:color w:val="auto"/>
                <w:sz w:val="22"/>
                <w:highlight w:val="none"/>
              </w:rPr>
            </w:pPr>
            <w:r>
              <w:rPr>
                <w:rFonts w:ascii="黑体" w:hAnsi="黑体" w:eastAsia="黑体" w:cs="楷体"/>
                <w:color w:val="auto"/>
                <w:sz w:val="21"/>
                <w:szCs w:val="21"/>
                <w:highlight w:val="none"/>
              </w:rPr>
              <mc:AlternateContent>
                <mc:Choice Requires="wps">
                  <w:drawing>
                    <wp:anchor distT="45720" distB="45720" distL="114300" distR="114300" simplePos="0" relativeHeight="251665408" behindDoc="0" locked="0" layoutInCell="1" allowOverlap="1">
                      <wp:simplePos x="0" y="0"/>
                      <wp:positionH relativeFrom="column">
                        <wp:posOffset>40005</wp:posOffset>
                      </wp:positionH>
                      <wp:positionV relativeFrom="paragraph">
                        <wp:posOffset>1487170</wp:posOffset>
                      </wp:positionV>
                      <wp:extent cx="2360930" cy="312420"/>
                      <wp:effectExtent l="0" t="0" r="0" b="0"/>
                      <wp:wrapNone/>
                      <wp:docPr id="1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360930" cy="312420"/>
                              </a:xfrm>
                              <a:prstGeom prst="rect">
                                <a:avLst/>
                              </a:prstGeom>
                              <a:noFill/>
                              <a:ln w="9525">
                                <a:noFill/>
                                <a:miter lim="800000"/>
                              </a:ln>
                            </wps:spPr>
                            <wps:txbx>
                              <w:txbxContent>
                                <w:p>
                                  <w:pPr>
                                    <w:jc w:val="center"/>
                                    <w:rPr>
                                      <w:rFonts w:hint="eastAsia" w:ascii="楷体" w:hAnsi="楷体" w:eastAsia="楷体" w:cs="楷体"/>
                                      <w:sz w:val="21"/>
                                      <w:szCs w:val="21"/>
                                    </w:rPr>
                                  </w:pPr>
                                  <w:r>
                                    <w:rPr>
                                      <w:rFonts w:hint="eastAsia" w:ascii="楷体" w:hAnsi="楷体" w:eastAsia="楷体" w:cs="楷体"/>
                                      <w:sz w:val="21"/>
                                      <w:szCs w:val="21"/>
                                    </w:rPr>
                                    <w:t>甘孜州与成渝经济圈联系示意图</w:t>
                                  </w:r>
                                </w:p>
                              </w:txbxContent>
                            </wps:txbx>
                            <wps:bodyPr rot="0" vert="horz" wrap="square" lIns="91440" tIns="45720" rIns="91440" bIns="45720" anchor="t" anchorCtr="0">
                              <a:noAutofit/>
                            </wps:bodyPr>
                          </wps:wsp>
                        </a:graphicData>
                      </a:graphic>
                      <wp14:sizeRelH relativeFrom="margin">
                        <wp14:pctWidth>40000</wp14:pctWidth>
                      </wp14:sizeRelH>
                      <wp14:sizeRelV relativeFrom="page">
                        <wp14:pctHeight>0</wp14:pctHeight>
                      </wp14:sizeRelV>
                    </wp:anchor>
                  </w:drawing>
                </mc:Choice>
                <mc:Fallback>
                  <w:pict>
                    <v:shape id="文本框 2" o:spid="_x0000_s1026" o:spt="202" type="#_x0000_t202" style="position:absolute;left:0pt;margin-left:3.15pt;margin-top:117.1pt;height:24.6pt;width:185.9pt;z-index:251665408;mso-width-relative:margin;mso-height-relative:page;mso-width-percent:400;" filled="f" stroked="f" coordsize="21600,21600" o:gfxdata="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Cpnk7NkAAAAJAQAADwAAAAAAAAABACAAAAAiAAAAZHJzL2Rvd25yZXYueG1sUEsBAhQAFAAAAAgA&#10;h07iQDBBeV0kAgAAKgQAAA4AAAAAAAAAAQAgAAAAKAEAAGRycy9lMm9Eb2MueG1sUEsFBgAAAAAG&#10;AAYAWQEAAL4FAAAAAA==&#10;">
                      <v:fill on="f" focussize="0,0"/>
                      <v:stroke on="f" miterlimit="8" joinstyle="miter"/>
                      <v:imagedata o:title=""/>
                      <o:lock v:ext="edit" aspectratio="f"/>
                      <v:textbox>
                        <w:txbxContent>
                          <w:p>
                            <w:pPr>
                              <w:jc w:val="center"/>
                              <w:rPr>
                                <w:rFonts w:hint="eastAsia" w:ascii="楷体" w:hAnsi="楷体" w:eastAsia="楷体" w:cs="楷体"/>
                                <w:sz w:val="21"/>
                                <w:szCs w:val="21"/>
                              </w:rPr>
                            </w:pPr>
                            <w:r>
                              <w:rPr>
                                <w:rFonts w:hint="eastAsia" w:ascii="楷体" w:hAnsi="楷体" w:eastAsia="楷体" w:cs="楷体"/>
                                <w:sz w:val="21"/>
                                <w:szCs w:val="21"/>
                              </w:rPr>
                              <w:t>甘孜州与成渝经济圈联系示意图</w:t>
                            </w:r>
                          </w:p>
                        </w:txbxContent>
                      </v:textbox>
                    </v:shape>
                  </w:pict>
                </mc:Fallback>
              </mc:AlternateContent>
            </w:r>
            <w:r>
              <w:rPr>
                <w:rFonts w:ascii="黑体" w:hAnsi="黑体" w:eastAsia="黑体" w:cs="楷体"/>
                <w:color w:val="auto"/>
                <w:sz w:val="21"/>
                <w:szCs w:val="21"/>
                <w:highlight w:val="none"/>
              </w:rPr>
              <mc:AlternateContent>
                <mc:Choice Requires="wps">
                  <w:drawing>
                    <wp:anchor distT="45720" distB="45720" distL="114300" distR="114300" simplePos="0" relativeHeight="251666432" behindDoc="0" locked="0" layoutInCell="1" allowOverlap="1">
                      <wp:simplePos x="0" y="0"/>
                      <wp:positionH relativeFrom="column">
                        <wp:posOffset>3522980</wp:posOffset>
                      </wp:positionH>
                      <wp:positionV relativeFrom="paragraph">
                        <wp:posOffset>1654810</wp:posOffset>
                      </wp:positionV>
                      <wp:extent cx="2410460" cy="346075"/>
                      <wp:effectExtent l="0" t="0" r="0" b="0"/>
                      <wp:wrapNone/>
                      <wp:docPr id="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410460" cy="346075"/>
                              </a:xfrm>
                              <a:prstGeom prst="rect">
                                <a:avLst/>
                              </a:prstGeom>
                              <a:noFill/>
                              <a:ln w="9525">
                                <a:noFill/>
                                <a:miter lim="800000"/>
                              </a:ln>
                            </wps:spPr>
                            <wps:txbx>
                              <w:txbxContent>
                                <w:p>
                                  <w:pPr>
                                    <w:jc w:val="center"/>
                                    <w:rPr>
                                      <w:rFonts w:hint="eastAsia" w:ascii="楷体" w:hAnsi="楷体" w:eastAsia="楷体" w:cs="楷体"/>
                                      <w:sz w:val="21"/>
                                      <w:szCs w:val="21"/>
                                    </w:rPr>
                                  </w:pPr>
                                  <w:r>
                                    <w:rPr>
                                      <w:rFonts w:hint="eastAsia" w:ascii="楷体" w:hAnsi="楷体" w:eastAsia="楷体" w:cs="楷体"/>
                                      <w:sz w:val="21"/>
                                      <w:szCs w:val="21"/>
                                      <w:lang w:val="en-US" w:eastAsia="zh-CN"/>
                                    </w:rPr>
                                    <w:t>附</w:t>
                                  </w:r>
                                  <w:r>
                                    <w:rPr>
                                      <w:rFonts w:hint="eastAsia" w:ascii="楷体" w:hAnsi="楷体" w:eastAsia="楷体" w:cs="楷体"/>
                                      <w:sz w:val="21"/>
                                      <w:szCs w:val="21"/>
                                    </w:rPr>
                                    <w:t>图2  甘孜州城镇结构规划图</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77.4pt;margin-top:130.3pt;height:27.25pt;width:189.8pt;z-index:251666432;mso-width-relative:page;mso-height-relative:page;" filled="f" stroked="f" coordsize="21600,21600" o:gfxdata="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TOE2&#10;btkAAAALAQAADwAAAAAAAAABACAAAAAiAAAAZHJzL2Rvd25yZXYueG1sUEsBAhQAFAAAAAgAh07i&#10;QCcl280hAgAAKgQAAA4AAAAAAAAAAQAgAAAAKAEAAGRycy9lMm9Eb2MueG1sUEsFBgAAAAAGAAYA&#10;WQEAALsFAAAAAA==&#10;">
                      <v:fill on="f" focussize="0,0"/>
                      <v:stroke on="f" miterlimit="8" joinstyle="miter"/>
                      <v:imagedata o:title=""/>
                      <o:lock v:ext="edit" aspectratio="f"/>
                      <v:textbox>
                        <w:txbxContent>
                          <w:p>
                            <w:pPr>
                              <w:jc w:val="center"/>
                              <w:rPr>
                                <w:rFonts w:hint="eastAsia" w:ascii="楷体" w:hAnsi="楷体" w:eastAsia="楷体" w:cs="楷体"/>
                                <w:sz w:val="21"/>
                                <w:szCs w:val="21"/>
                              </w:rPr>
                            </w:pPr>
                            <w:r>
                              <w:rPr>
                                <w:rFonts w:hint="eastAsia" w:ascii="楷体" w:hAnsi="楷体" w:eastAsia="楷体" w:cs="楷体"/>
                                <w:sz w:val="21"/>
                                <w:szCs w:val="21"/>
                                <w:lang w:val="en-US" w:eastAsia="zh-CN"/>
                              </w:rPr>
                              <w:t>附</w:t>
                            </w:r>
                            <w:r>
                              <w:rPr>
                                <w:rFonts w:hint="eastAsia" w:ascii="楷体" w:hAnsi="楷体" w:eastAsia="楷体" w:cs="楷体"/>
                                <w:sz w:val="21"/>
                                <w:szCs w:val="21"/>
                              </w:rPr>
                              <w:t>图2  甘孜州城镇结构规划图</w:t>
                            </w:r>
                          </w:p>
                        </w:txbxContent>
                      </v:textbox>
                    </v:shape>
                  </w:pict>
                </mc:Fallback>
              </mc:AlternateContent>
            </w:r>
            <w:r>
              <w:rPr>
                <w:rFonts w:ascii="黑体" w:hAnsi="黑体" w:eastAsia="黑体"/>
                <w:color w:val="auto"/>
                <w:highlight w:val="none"/>
              </w:rPr>
              <w:drawing>
                <wp:inline distT="0" distB="0" distL="0" distR="0">
                  <wp:extent cx="2265045" cy="1762760"/>
                  <wp:effectExtent l="0" t="0" r="5715" b="5080"/>
                  <wp:docPr id="7" name="图片 7" descr="C:\Users\ADMINI~1\AppData\Local\Temp\16395491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1\AppData\Local\Temp\1639549109(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283405" cy="1776970"/>
                          </a:xfrm>
                          <a:prstGeom prst="rect">
                            <a:avLst/>
                          </a:prstGeom>
                          <a:noFill/>
                          <a:ln>
                            <a:noFill/>
                          </a:ln>
                        </pic:spPr>
                      </pic:pic>
                    </a:graphicData>
                  </a:graphic>
                </wp:inline>
              </w:drawing>
            </w:r>
          </w:p>
        </w:tc>
      </w:tr>
      <w:tr>
        <w:tblPrEx>
          <w:tblCellMar>
            <w:top w:w="0" w:type="dxa"/>
            <w:left w:w="108" w:type="dxa"/>
            <w:bottom w:w="0" w:type="dxa"/>
            <w:right w:w="108" w:type="dxa"/>
          </w:tblCellMar>
        </w:tblPrEx>
        <w:tc>
          <w:tcPr>
            <w:tcW w:w="9781" w:type="dxa"/>
            <w:tcBorders>
              <w:top w:val="single" w:color="auto" w:sz="4" w:space="0"/>
            </w:tcBorders>
          </w:tcPr>
          <w:p>
            <w:pPr>
              <w:widowControl/>
              <w:spacing w:line="240" w:lineRule="auto"/>
              <w:jc w:val="left"/>
              <w:rPr>
                <w:rFonts w:ascii="黑体" w:hAnsi="黑体" w:eastAsia="黑体" w:cs="楷体"/>
                <w:b/>
                <w:color w:val="auto"/>
                <w:sz w:val="21"/>
                <w:szCs w:val="21"/>
                <w:highlight w:val="none"/>
              </w:rPr>
            </w:pPr>
            <w:r>
              <w:rPr>
                <w:rFonts w:ascii="黑体" w:hAnsi="黑体" w:eastAsia="黑体"/>
                <w:b/>
                <w:color w:val="auto"/>
                <w:sz w:val="21"/>
                <w:szCs w:val="21"/>
                <w:highlight w:val="none"/>
              </w:rPr>
              <w:t>3</w:t>
            </w:r>
            <w:r>
              <w:rPr>
                <w:rFonts w:hint="eastAsia" w:ascii="黑体" w:hAnsi="黑体" w:eastAsia="黑体" w:cs="楷体"/>
                <w:b/>
                <w:color w:val="auto"/>
                <w:sz w:val="21"/>
                <w:szCs w:val="21"/>
                <w:highlight w:val="none"/>
              </w:rPr>
              <w:t>．甘孜州综合交通布局规划</w:t>
            </w:r>
            <w:r>
              <w:rPr>
                <w:rFonts w:hint="eastAsia" w:ascii="黑体" w:hAnsi="黑体" w:eastAsia="黑体" w:cs="楷体"/>
                <w:color w:val="auto"/>
                <w:sz w:val="21"/>
                <w:szCs w:val="21"/>
                <w:highlight w:val="none"/>
              </w:rPr>
              <w:t>（附图</w:t>
            </w:r>
            <w:r>
              <w:rPr>
                <w:rFonts w:ascii="黑体" w:hAnsi="黑体" w:eastAsia="黑体"/>
                <w:color w:val="auto"/>
                <w:sz w:val="21"/>
                <w:szCs w:val="21"/>
                <w:highlight w:val="none"/>
              </w:rPr>
              <w:t>3</w:t>
            </w:r>
            <w:r>
              <w:rPr>
                <w:rFonts w:hint="eastAsia" w:ascii="黑体" w:hAnsi="黑体" w:eastAsia="黑体" w:cs="楷体"/>
                <w:color w:val="auto"/>
                <w:sz w:val="21"/>
                <w:szCs w:val="21"/>
                <w:highlight w:val="none"/>
              </w:rPr>
              <w:t>）</w:t>
            </w:r>
          </w:p>
          <w:p>
            <w:pPr>
              <w:widowControl/>
              <w:spacing w:line="240" w:lineRule="auto"/>
              <w:ind w:firstLine="420" w:firstLineChars="200"/>
              <w:jc w:val="left"/>
              <w:rPr>
                <w:rFonts w:ascii="黑体" w:hAnsi="黑体" w:eastAsia="黑体" w:cs="楷体"/>
                <w:color w:val="auto"/>
                <w:sz w:val="21"/>
                <w:szCs w:val="21"/>
                <w:highlight w:val="none"/>
              </w:rPr>
            </w:pPr>
            <w:r>
              <w:rPr>
                <w:rFonts w:hint="eastAsia" w:ascii="黑体" w:hAnsi="黑体" w:eastAsia="黑体" w:cs="楷体"/>
                <w:color w:val="auto"/>
                <w:sz w:val="21"/>
                <w:szCs w:val="21"/>
                <w:highlight w:val="none"/>
              </w:rPr>
              <w:t>规划形成“四枢纽、四机场、五园区、六通道”的综合交通体系格局。</w:t>
            </w:r>
          </w:p>
          <w:p>
            <w:pPr>
              <w:pStyle w:val="10"/>
              <w:ind w:left="0" w:leftChars="0" w:firstLine="0" w:firstLineChars="0"/>
              <w:rPr>
                <w:rFonts w:ascii="黑体" w:hAnsi="黑体" w:eastAsia="黑体"/>
                <w:color w:val="auto"/>
                <w:highlight w:val="none"/>
              </w:rPr>
            </w:pPr>
            <w:r>
              <w:rPr>
                <w:rFonts w:ascii="黑体" w:hAnsi="黑体" w:eastAsia="黑体" w:cs="楷体"/>
                <w:color w:val="auto"/>
                <w:sz w:val="21"/>
                <w:szCs w:val="21"/>
                <w:highlight w:val="none"/>
              </w:rPr>
              <mc:AlternateContent>
                <mc:Choice Requires="wps">
                  <w:drawing>
                    <wp:anchor distT="45720" distB="45720" distL="114300" distR="114300" simplePos="0" relativeHeight="251669504" behindDoc="0" locked="0" layoutInCell="1" allowOverlap="1">
                      <wp:simplePos x="0" y="0"/>
                      <wp:positionH relativeFrom="column">
                        <wp:posOffset>42545</wp:posOffset>
                      </wp:positionH>
                      <wp:positionV relativeFrom="paragraph">
                        <wp:posOffset>88900</wp:posOffset>
                      </wp:positionV>
                      <wp:extent cx="2950845" cy="405130"/>
                      <wp:effectExtent l="0" t="0" r="0" b="0"/>
                      <wp:wrapNone/>
                      <wp:docPr id="2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951018" cy="405130"/>
                              </a:xfrm>
                              <a:prstGeom prst="rect">
                                <a:avLst/>
                              </a:prstGeom>
                              <a:noFill/>
                              <a:ln w="9525">
                                <a:noFill/>
                                <a:miter lim="800000"/>
                              </a:ln>
                            </wps:spPr>
                            <wps:txbx>
                              <w:txbxContent>
                                <w:p>
                                  <w:pPr>
                                    <w:jc w:val="center"/>
                                    <w:rPr>
                                      <w:rFonts w:hint="eastAsia" w:ascii="楷体" w:hAnsi="楷体" w:eastAsia="楷体" w:cs="楷体"/>
                                      <w:sz w:val="21"/>
                                      <w:szCs w:val="21"/>
                                    </w:rPr>
                                  </w:pPr>
                                  <w:r>
                                    <w:rPr>
                                      <w:rFonts w:hint="eastAsia" w:ascii="楷体" w:hAnsi="楷体" w:eastAsia="楷体" w:cs="楷体"/>
                                      <w:sz w:val="21"/>
                                      <w:szCs w:val="21"/>
                                    </w:rPr>
                                    <w:t>甘孜州依托快速通道对接成渝青藏滇示意图</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35pt;margin-top:7pt;height:31.9pt;width:232.35pt;z-index:251669504;mso-width-relative:page;mso-height-relative:page;" filled="f" stroked="f" coordsize="21600,21600" o:gfxdata="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Ypkp7U&#10;AAAABwEAAA8AAAAAAAAAAQAgAAAAIgAAAGRycy9kb3ducmV2LnhtbFBLAQIUABQAAAAIAIdO4kCZ&#10;7RHbJAIAACoEAAAOAAAAAAAAAAEAIAAAACMBAABkcnMvZTJvRG9jLnhtbFBLBQYAAAAABgAGAFkB&#10;AAC5BQAAAAA=&#10;">
                      <v:fill on="f" focussize="0,0"/>
                      <v:stroke on="f" miterlimit="8" joinstyle="miter"/>
                      <v:imagedata o:title=""/>
                      <o:lock v:ext="edit" aspectratio="f"/>
                      <v:textbox>
                        <w:txbxContent>
                          <w:p>
                            <w:pPr>
                              <w:jc w:val="center"/>
                              <w:rPr>
                                <w:rFonts w:hint="eastAsia" w:ascii="楷体" w:hAnsi="楷体" w:eastAsia="楷体" w:cs="楷体"/>
                                <w:sz w:val="21"/>
                                <w:szCs w:val="21"/>
                              </w:rPr>
                            </w:pPr>
                            <w:r>
                              <w:rPr>
                                <w:rFonts w:hint="eastAsia" w:ascii="楷体" w:hAnsi="楷体" w:eastAsia="楷体" w:cs="楷体"/>
                                <w:sz w:val="21"/>
                                <w:szCs w:val="21"/>
                              </w:rPr>
                              <w:t>甘孜州依托快速通道对接成渝青藏滇示意图</w:t>
                            </w:r>
                          </w:p>
                        </w:txbxContent>
                      </v:textbox>
                    </v:shape>
                  </w:pict>
                </mc:Fallback>
              </mc:AlternateContent>
            </w:r>
            <w:r>
              <w:rPr>
                <w:rFonts w:ascii="黑体" w:hAnsi="黑体" w:eastAsia="黑体" w:cs="楷体"/>
                <w:color w:val="auto"/>
                <w:sz w:val="21"/>
                <w:szCs w:val="21"/>
                <w:highlight w:val="none"/>
              </w:rPr>
              <mc:AlternateContent>
                <mc:Choice Requires="wps">
                  <w:drawing>
                    <wp:anchor distT="45720" distB="45720" distL="114300" distR="114300" simplePos="0" relativeHeight="251670528" behindDoc="0" locked="0" layoutInCell="1" allowOverlap="1">
                      <wp:simplePos x="0" y="0"/>
                      <wp:positionH relativeFrom="column">
                        <wp:posOffset>3554730</wp:posOffset>
                      </wp:positionH>
                      <wp:positionV relativeFrom="paragraph">
                        <wp:posOffset>2821305</wp:posOffset>
                      </wp:positionV>
                      <wp:extent cx="2379345" cy="405130"/>
                      <wp:effectExtent l="0" t="0" r="0" b="0"/>
                      <wp:wrapNone/>
                      <wp:docPr id="2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379345" cy="405130"/>
                              </a:xfrm>
                              <a:prstGeom prst="rect">
                                <a:avLst/>
                              </a:prstGeom>
                              <a:noFill/>
                              <a:ln w="9525">
                                <a:noFill/>
                                <a:miter lim="800000"/>
                              </a:ln>
                            </wps:spPr>
                            <wps:txbx>
                              <w:txbxContent>
                                <w:p>
                                  <w:pPr>
                                    <w:jc w:val="center"/>
                                    <w:rPr>
                                      <w:rFonts w:hint="eastAsia" w:ascii="楷体" w:hAnsi="楷体" w:eastAsia="楷体" w:cs="楷体"/>
                                      <w:sz w:val="21"/>
                                      <w:szCs w:val="21"/>
                                    </w:rPr>
                                  </w:pPr>
                                  <w:r>
                                    <w:rPr>
                                      <w:rFonts w:hint="eastAsia" w:ascii="楷体" w:hAnsi="楷体" w:eastAsia="楷体" w:cs="楷体"/>
                                      <w:sz w:val="21"/>
                                      <w:szCs w:val="21"/>
                                      <w:lang w:val="en-US" w:eastAsia="zh-CN"/>
                                    </w:rPr>
                                    <w:t>附</w:t>
                                  </w:r>
                                  <w:r>
                                    <w:rPr>
                                      <w:rFonts w:hint="eastAsia" w:ascii="楷体" w:hAnsi="楷体" w:eastAsia="楷体" w:cs="楷体"/>
                                      <w:sz w:val="21"/>
                                      <w:szCs w:val="21"/>
                                    </w:rPr>
                                    <w:t>图3 综合交通布局规划图</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79.9pt;margin-top:222.15pt;height:31.9pt;width:187.35pt;z-index:251670528;mso-width-relative:page;mso-height-relative:page;" filled="f" stroked="f" coordsize="21600,21600" o:gfxdata="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UX5Ho9cAAAALAQAADwAAAAAAAAABACAAAAAiAAAAZHJzL2Rvd25yZXYueG1sUEsBAhQAFAAAAAgA&#10;h07iQPA+pPYmAgAAKgQAAA4AAAAAAAAAAQAgAAAAJgEAAGRycy9lMm9Eb2MueG1sUEsFBgAAAAAG&#10;AAYAWQEAAL4FAAAAAA==&#10;">
                      <v:fill on="f" focussize="0,0"/>
                      <v:stroke on="f" miterlimit="8" joinstyle="miter"/>
                      <v:imagedata o:title=""/>
                      <o:lock v:ext="edit" aspectratio="f"/>
                      <v:textbox>
                        <w:txbxContent>
                          <w:p>
                            <w:pPr>
                              <w:jc w:val="center"/>
                              <w:rPr>
                                <w:rFonts w:hint="eastAsia" w:ascii="楷体" w:hAnsi="楷体" w:eastAsia="楷体" w:cs="楷体"/>
                                <w:sz w:val="21"/>
                                <w:szCs w:val="21"/>
                              </w:rPr>
                            </w:pPr>
                            <w:r>
                              <w:rPr>
                                <w:rFonts w:hint="eastAsia" w:ascii="楷体" w:hAnsi="楷体" w:eastAsia="楷体" w:cs="楷体"/>
                                <w:sz w:val="21"/>
                                <w:szCs w:val="21"/>
                                <w:lang w:val="en-US" w:eastAsia="zh-CN"/>
                              </w:rPr>
                              <w:t>附</w:t>
                            </w:r>
                            <w:r>
                              <w:rPr>
                                <w:rFonts w:hint="eastAsia" w:ascii="楷体" w:hAnsi="楷体" w:eastAsia="楷体" w:cs="楷体"/>
                                <w:sz w:val="21"/>
                                <w:szCs w:val="21"/>
                              </w:rPr>
                              <w:t>图3 综合交通布局规划图</w:t>
                            </w:r>
                          </w:p>
                        </w:txbxContent>
                      </v:textbox>
                    </v:shape>
                  </w:pict>
                </mc:Fallback>
              </mc:AlternateContent>
            </w:r>
            <w:r>
              <w:rPr>
                <w:rFonts w:ascii="黑体" w:hAnsi="黑体" w:eastAsia="黑体"/>
                <w:color w:val="auto"/>
                <w:highlight w:val="none"/>
              </w:rPr>
              <mc:AlternateContent>
                <mc:Choice Requires="wps">
                  <w:drawing>
                    <wp:anchor distT="0" distB="0" distL="114300" distR="114300" simplePos="0" relativeHeight="251667456" behindDoc="0" locked="0" layoutInCell="1" allowOverlap="1">
                      <wp:simplePos x="0" y="0"/>
                      <wp:positionH relativeFrom="column">
                        <wp:posOffset>2942590</wp:posOffset>
                      </wp:positionH>
                      <wp:positionV relativeFrom="paragraph">
                        <wp:posOffset>1494790</wp:posOffset>
                      </wp:positionV>
                      <wp:extent cx="546100" cy="317500"/>
                      <wp:effectExtent l="0" t="0" r="25400" b="25400"/>
                      <wp:wrapNone/>
                      <wp:docPr id="19" name="左右箭头 19"/>
                      <wp:cNvGraphicFramePr/>
                      <a:graphic xmlns:a="http://schemas.openxmlformats.org/drawingml/2006/main">
                        <a:graphicData uri="http://schemas.microsoft.com/office/word/2010/wordprocessingShape">
                          <wps:wsp>
                            <wps:cNvSpPr/>
                            <wps:spPr>
                              <a:xfrm>
                                <a:off x="0" y="0"/>
                                <a:ext cx="546100" cy="317500"/>
                              </a:xfrm>
                              <a:prstGeom prst="lef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9" type="#_x0000_t69" style="position:absolute;left:0pt;margin-left:231.7pt;margin-top:117.7pt;height:25pt;width:43pt;z-index:251667456;v-text-anchor:middle;mso-width-relative:page;mso-height-relative:page;" filled="f" stroked="t" coordsize="21600,21600" o:gfxdata="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LASxyvYAAAACwEAAA8AAAAAAAAAAQAgAAAAIgAAAGRycy9kb3ducmV2Lnht&#10;bFBLAQIUABQAAAAIAIdO4kA7jEbDawIAAMUEAAAOAAAAAAAAAAEAIAAAACcBAABkcnMvZTJvRG9j&#10;LnhtbFBLBQYAAAAABgAGAFkBAAAEBgAAAAA=&#10;" adj="6279,5400">
                      <v:fill on="f" focussize="0,0"/>
                      <v:stroke weight="1pt" color="#000000 [3213]" joinstyle="round"/>
                      <v:imagedata o:title=""/>
                      <o:lock v:ext="edit" aspectratio="f"/>
                    </v:shape>
                  </w:pict>
                </mc:Fallback>
              </mc:AlternateContent>
            </w:r>
            <w:r>
              <w:rPr>
                <w:rFonts w:ascii="黑体" w:hAnsi="黑体" w:eastAsia="黑体"/>
                <w:color w:val="auto"/>
                <w:highlight w:val="none"/>
              </w:rPr>
              <w:drawing>
                <wp:inline distT="0" distB="0" distL="0" distR="0">
                  <wp:extent cx="2938145" cy="2784475"/>
                  <wp:effectExtent l="0" t="0" r="0" b="0"/>
                  <wp:docPr id="18" name="图片 18" descr="C:\Users\ADMINI~1\AppData\Local\Temp\163954719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I~1\AppData\Local\Temp\1639547192(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938718" cy="2784763"/>
                          </a:xfrm>
                          <a:prstGeom prst="rect">
                            <a:avLst/>
                          </a:prstGeom>
                          <a:noFill/>
                          <a:ln>
                            <a:noFill/>
                          </a:ln>
                        </pic:spPr>
                      </pic:pic>
                    </a:graphicData>
                  </a:graphic>
                </wp:inline>
              </w:drawing>
            </w:r>
          </w:p>
          <w:p>
            <w:pPr>
              <w:spacing w:line="240" w:lineRule="auto"/>
              <w:rPr>
                <w:rFonts w:ascii="黑体" w:hAnsi="黑体" w:eastAsia="黑体"/>
                <w:color w:val="auto"/>
                <w:sz w:val="21"/>
                <w:highlight w:val="none"/>
              </w:rPr>
            </w:pPr>
            <w:r>
              <w:rPr>
                <w:rFonts w:ascii="黑体" w:hAnsi="黑体" w:eastAsia="黑体"/>
                <w:color w:val="auto"/>
                <w:highlight w:val="none"/>
              </w:rPr>
              <w:drawing>
                <wp:anchor distT="0" distB="0" distL="114300" distR="114300" simplePos="0" relativeHeight="251668480" behindDoc="0" locked="0" layoutInCell="1" allowOverlap="1">
                  <wp:simplePos x="0" y="0"/>
                  <wp:positionH relativeFrom="column">
                    <wp:posOffset>3550285</wp:posOffset>
                  </wp:positionH>
                  <wp:positionV relativeFrom="paragraph">
                    <wp:posOffset>-2865755</wp:posOffset>
                  </wp:positionV>
                  <wp:extent cx="2378710" cy="2667000"/>
                  <wp:effectExtent l="0" t="0" r="2540" b="0"/>
                  <wp:wrapSquare wrapText="bothSides"/>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4" cstate="print">
                            <a:extLst>
                              <a:ext uri="{28A0092B-C50C-407E-A947-70E740481C1C}">
                                <a14:useLocalDpi xmlns:a14="http://schemas.microsoft.com/office/drawing/2010/main" val="0"/>
                              </a:ext>
                            </a:extLst>
                          </a:blip>
                          <a:srcRect l="12776" t="21365" r="17468" b="5344"/>
                          <a:stretch>
                            <a:fillRect/>
                          </a:stretch>
                        </pic:blipFill>
                        <pic:spPr>
                          <a:xfrm>
                            <a:off x="0" y="0"/>
                            <a:ext cx="2378710" cy="2667000"/>
                          </a:xfrm>
                          <a:prstGeom prst="rect">
                            <a:avLst/>
                          </a:prstGeom>
                          <a:noFill/>
                          <a:ln>
                            <a:noFill/>
                          </a:ln>
                        </pic:spPr>
                      </pic:pic>
                    </a:graphicData>
                  </a:graphic>
                </wp:anchor>
              </w:drawing>
            </w:r>
          </w:p>
        </w:tc>
      </w:tr>
      <w:tr>
        <w:tblPrEx>
          <w:tblCellMar>
            <w:top w:w="0" w:type="dxa"/>
            <w:left w:w="108" w:type="dxa"/>
            <w:bottom w:w="0" w:type="dxa"/>
            <w:right w:w="108" w:type="dxa"/>
          </w:tblCellMar>
        </w:tblPrEx>
        <w:tc>
          <w:tcPr>
            <w:tcW w:w="9781" w:type="dxa"/>
          </w:tcPr>
          <w:p>
            <w:pPr>
              <w:widowControl/>
              <w:spacing w:line="240" w:lineRule="auto"/>
              <w:jc w:val="left"/>
              <w:rPr>
                <w:rFonts w:ascii="黑体" w:hAnsi="黑体" w:eastAsia="黑体" w:cs="楷体"/>
                <w:b/>
                <w:color w:val="auto"/>
                <w:sz w:val="21"/>
                <w:szCs w:val="21"/>
                <w:highlight w:val="none"/>
              </w:rPr>
            </w:pPr>
            <w:r>
              <w:rPr>
                <w:rFonts w:ascii="黑体" w:hAnsi="黑体" w:eastAsia="黑体"/>
                <w:b/>
                <w:color w:val="auto"/>
                <w:sz w:val="21"/>
                <w:szCs w:val="21"/>
                <w:highlight w:val="none"/>
              </w:rPr>
              <w:t>4</w:t>
            </w:r>
            <w:r>
              <w:rPr>
                <w:rFonts w:hint="eastAsia" w:ascii="黑体" w:hAnsi="黑体" w:eastAsia="黑体" w:cs="楷体"/>
                <w:b/>
                <w:color w:val="auto"/>
                <w:sz w:val="21"/>
                <w:szCs w:val="21"/>
                <w:highlight w:val="none"/>
              </w:rPr>
              <w:t>．甘孜州产业发展格局规划</w:t>
            </w:r>
            <w:r>
              <w:rPr>
                <w:rFonts w:hint="eastAsia" w:ascii="黑体" w:hAnsi="黑体" w:eastAsia="黑体" w:cs="楷体"/>
                <w:color w:val="auto"/>
                <w:sz w:val="21"/>
                <w:szCs w:val="21"/>
                <w:highlight w:val="none"/>
              </w:rPr>
              <w:t>（附图</w:t>
            </w:r>
            <w:r>
              <w:rPr>
                <w:rFonts w:ascii="黑体" w:hAnsi="黑体" w:eastAsia="黑体"/>
                <w:color w:val="auto"/>
                <w:sz w:val="21"/>
                <w:szCs w:val="21"/>
                <w:highlight w:val="none"/>
              </w:rPr>
              <w:t>4</w:t>
            </w:r>
            <w:r>
              <w:rPr>
                <w:rFonts w:hint="eastAsia" w:ascii="黑体" w:hAnsi="黑体" w:eastAsia="黑体" w:cs="楷体"/>
                <w:color w:val="auto"/>
                <w:sz w:val="21"/>
                <w:szCs w:val="21"/>
                <w:highlight w:val="none"/>
              </w:rPr>
              <w:t>）</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ascii="黑体" w:hAnsi="黑体" w:eastAsia="黑体" w:cs="楷体"/>
                <w:color w:val="auto"/>
                <w:sz w:val="21"/>
                <w:szCs w:val="21"/>
                <w:highlight w:val="none"/>
              </w:rPr>
            </w:pPr>
            <w:r>
              <w:rPr>
                <w:rFonts w:ascii="黑体" w:hAnsi="黑体" w:eastAsia="黑体"/>
                <w:color w:val="auto"/>
                <w:highlight w:val="none"/>
              </w:rPr>
              <w:drawing>
                <wp:anchor distT="0" distB="0" distL="114300" distR="114300" simplePos="0" relativeHeight="251671552" behindDoc="1" locked="0" layoutInCell="1" allowOverlap="1">
                  <wp:simplePos x="0" y="0"/>
                  <wp:positionH relativeFrom="column">
                    <wp:posOffset>-11430</wp:posOffset>
                  </wp:positionH>
                  <wp:positionV relativeFrom="paragraph">
                    <wp:posOffset>2177415</wp:posOffset>
                  </wp:positionV>
                  <wp:extent cx="2597785" cy="1412875"/>
                  <wp:effectExtent l="0" t="0" r="0" b="0"/>
                  <wp:wrapTight wrapText="bothSides">
                    <wp:wrapPolygon>
                      <wp:start x="0" y="0"/>
                      <wp:lineTo x="0" y="21260"/>
                      <wp:lineTo x="21384" y="21260"/>
                      <wp:lineTo x="21384" y="0"/>
                      <wp:lineTo x="0" y="0"/>
                    </wp:wrapPolygon>
                  </wp:wrapTight>
                  <wp:docPr id="24" name="图片 24" descr="C:\Users\ADMINI~1\AppData\Local\Temp\163954938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I~1\AppData\Local\Temp\1639549387(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597785" cy="1412875"/>
                          </a:xfrm>
                          <a:prstGeom prst="rect">
                            <a:avLst/>
                          </a:prstGeom>
                          <a:noFill/>
                          <a:ln>
                            <a:noFill/>
                          </a:ln>
                        </pic:spPr>
                      </pic:pic>
                    </a:graphicData>
                  </a:graphic>
                </wp:anchor>
              </w:drawing>
            </w:r>
            <w:r>
              <w:rPr>
                <w:rFonts w:ascii="黑体" w:hAnsi="黑体" w:eastAsia="黑体"/>
                <w:color w:val="auto"/>
                <w:highlight w:val="none"/>
              </w:rPr>
              <w:drawing>
                <wp:anchor distT="0" distB="0" distL="114300" distR="114300" simplePos="0" relativeHeight="251673600" behindDoc="1" locked="0" layoutInCell="1" allowOverlap="1">
                  <wp:simplePos x="0" y="0"/>
                  <wp:positionH relativeFrom="column">
                    <wp:posOffset>2945130</wp:posOffset>
                  </wp:positionH>
                  <wp:positionV relativeFrom="paragraph">
                    <wp:posOffset>316230</wp:posOffset>
                  </wp:positionV>
                  <wp:extent cx="3109595" cy="3241040"/>
                  <wp:effectExtent l="0" t="0" r="0" b="0"/>
                  <wp:wrapTight wrapText="bothSides">
                    <wp:wrapPolygon>
                      <wp:start x="0" y="0"/>
                      <wp:lineTo x="0" y="21456"/>
                      <wp:lineTo x="21437" y="21456"/>
                      <wp:lineTo x="21437" y="0"/>
                      <wp:lineTo x="0" y="0"/>
                    </wp:wrapPolygon>
                  </wp:wrapTight>
                  <wp:docPr id="25" name="图片 25" descr="C:\Users\ADMINI~1\AppData\Local\Temp\163955798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I~1\AppData\Local\Temp\1639557988(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109595" cy="3241040"/>
                          </a:xfrm>
                          <a:prstGeom prst="rect">
                            <a:avLst/>
                          </a:prstGeom>
                          <a:noFill/>
                          <a:ln>
                            <a:noFill/>
                          </a:ln>
                        </pic:spPr>
                      </pic:pic>
                    </a:graphicData>
                  </a:graphic>
                </wp:anchor>
              </w:drawing>
            </w:r>
            <w:r>
              <w:rPr>
                <w:rFonts w:ascii="黑体" w:hAnsi="黑体" w:eastAsia="黑体" w:cs="楷体"/>
                <w:color w:val="auto"/>
                <w:sz w:val="21"/>
                <w:szCs w:val="21"/>
                <w:highlight w:val="none"/>
              </w:rPr>
              <mc:AlternateContent>
                <mc:Choice Requires="wps">
                  <w:drawing>
                    <wp:anchor distT="45720" distB="45720" distL="114300" distR="114300" simplePos="0" relativeHeight="251676672" behindDoc="0" locked="0" layoutInCell="1" allowOverlap="1">
                      <wp:simplePos x="0" y="0"/>
                      <wp:positionH relativeFrom="column">
                        <wp:posOffset>2941320</wp:posOffset>
                      </wp:positionH>
                      <wp:positionV relativeFrom="paragraph">
                        <wp:posOffset>3512185</wp:posOffset>
                      </wp:positionV>
                      <wp:extent cx="3109595" cy="405130"/>
                      <wp:effectExtent l="0" t="0" r="0" b="0"/>
                      <wp:wrapNone/>
                      <wp:docPr id="28"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109595" cy="405130"/>
                              </a:xfrm>
                              <a:prstGeom prst="rect">
                                <a:avLst/>
                              </a:prstGeom>
                              <a:noFill/>
                              <a:ln w="9525">
                                <a:noFill/>
                                <a:miter lim="800000"/>
                              </a:ln>
                            </wps:spPr>
                            <wps:txbx>
                              <w:txbxContent>
                                <w:p>
                                  <w:pPr>
                                    <w:jc w:val="center"/>
                                    <w:rPr>
                                      <w:rFonts w:hint="eastAsia" w:ascii="楷体" w:hAnsi="楷体" w:eastAsia="楷体" w:cs="楷体"/>
                                      <w:sz w:val="21"/>
                                      <w:szCs w:val="21"/>
                                    </w:rPr>
                                  </w:pPr>
                                  <w:r>
                                    <w:rPr>
                                      <w:rFonts w:hint="eastAsia" w:ascii="楷体" w:hAnsi="楷体" w:eastAsia="楷体" w:cs="楷体"/>
                                      <w:sz w:val="21"/>
                                      <w:szCs w:val="21"/>
                                      <w:lang w:val="en-US" w:eastAsia="zh-CN"/>
                                    </w:rPr>
                                    <w:t>附</w:t>
                                  </w:r>
                                  <w:r>
                                    <w:rPr>
                                      <w:rFonts w:hint="eastAsia" w:ascii="楷体" w:hAnsi="楷体" w:eastAsia="楷体" w:cs="楷体"/>
                                      <w:sz w:val="21"/>
                                      <w:szCs w:val="21"/>
                                    </w:rPr>
                                    <w:t>图4 甘孜州产业格局规划图</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31.6pt;margin-top:276.55pt;height:31.9pt;width:244.85pt;z-index:251676672;mso-width-relative:page;mso-height-relative:page;" filled="f" stroked="f" coordsize="21600,21600" o:gfxdata="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M5wjHrZAAAACwEAAA8AAAAAAAAAAQAgAAAAIgAAAGRycy9kb3ducmV2LnhtbFBLAQIUABQAAAAI&#10;AIdO4kBMFkr+JQIAACoEAAAOAAAAAAAAAAEAIAAAACgBAABkcnMvZTJvRG9jLnhtbFBLBQYAAAAA&#10;BgAGAFkBAAC/BQAAAAA=&#10;">
                      <v:fill on="f" focussize="0,0"/>
                      <v:stroke on="f" miterlimit="8" joinstyle="miter"/>
                      <v:imagedata o:title=""/>
                      <o:lock v:ext="edit" aspectratio="f"/>
                      <v:textbox>
                        <w:txbxContent>
                          <w:p>
                            <w:pPr>
                              <w:jc w:val="center"/>
                              <w:rPr>
                                <w:rFonts w:hint="eastAsia" w:ascii="楷体" w:hAnsi="楷体" w:eastAsia="楷体" w:cs="楷体"/>
                                <w:sz w:val="21"/>
                                <w:szCs w:val="21"/>
                              </w:rPr>
                            </w:pPr>
                            <w:r>
                              <w:rPr>
                                <w:rFonts w:hint="eastAsia" w:ascii="楷体" w:hAnsi="楷体" w:eastAsia="楷体" w:cs="楷体"/>
                                <w:sz w:val="21"/>
                                <w:szCs w:val="21"/>
                                <w:lang w:val="en-US" w:eastAsia="zh-CN"/>
                              </w:rPr>
                              <w:t>附</w:t>
                            </w:r>
                            <w:r>
                              <w:rPr>
                                <w:rFonts w:hint="eastAsia" w:ascii="楷体" w:hAnsi="楷体" w:eastAsia="楷体" w:cs="楷体"/>
                                <w:sz w:val="21"/>
                                <w:szCs w:val="21"/>
                              </w:rPr>
                              <w:t>图4 甘孜州产业格局规划图</w:t>
                            </w:r>
                          </w:p>
                        </w:txbxContent>
                      </v:textbox>
                    </v:shape>
                  </w:pict>
                </mc:Fallback>
              </mc:AlternateContent>
            </w:r>
            <w:r>
              <w:rPr>
                <w:rFonts w:hint="eastAsia" w:ascii="黑体" w:hAnsi="黑体" w:eastAsia="黑体"/>
                <w:color w:val="auto"/>
                <w:highlight w:val="none"/>
              </w:rPr>
              <w:drawing>
                <wp:anchor distT="0" distB="0" distL="114300" distR="114300" simplePos="0" relativeHeight="251672576" behindDoc="0" locked="0" layoutInCell="1" allowOverlap="1">
                  <wp:simplePos x="0" y="0"/>
                  <wp:positionH relativeFrom="column">
                    <wp:posOffset>635</wp:posOffset>
                  </wp:positionH>
                  <wp:positionV relativeFrom="paragraph">
                    <wp:posOffset>405130</wp:posOffset>
                  </wp:positionV>
                  <wp:extent cx="2586990" cy="1772285"/>
                  <wp:effectExtent l="0" t="0" r="3810" b="0"/>
                  <wp:wrapSquare wrapText="bothSides"/>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86990" cy="1772285"/>
                          </a:xfrm>
                          <a:prstGeom prst="rect">
                            <a:avLst/>
                          </a:prstGeom>
                        </pic:spPr>
                      </pic:pic>
                    </a:graphicData>
                  </a:graphic>
                </wp:anchor>
              </w:drawing>
            </w:r>
            <w:r>
              <w:rPr>
                <w:rFonts w:hint="eastAsia" w:ascii="黑体" w:hAnsi="黑体" w:eastAsia="黑体" w:cs="楷体"/>
                <w:color w:val="auto"/>
                <w:sz w:val="21"/>
                <w:szCs w:val="21"/>
                <w:highlight w:val="none"/>
              </w:rPr>
              <w:t>规划构建“一区一廊，三片三带，多圈多点”的产业发展格局。</w:t>
            </w:r>
          </w:p>
          <w:p>
            <w:pPr>
              <w:pStyle w:val="10"/>
              <w:ind w:left="0" w:leftChars="0" w:firstLine="0" w:firstLineChars="0"/>
              <w:rPr>
                <w:rFonts w:ascii="黑体" w:hAnsi="黑体" w:eastAsia="黑体"/>
                <w:color w:val="auto"/>
                <w:highlight w:val="none"/>
              </w:rPr>
            </w:pPr>
            <w:r>
              <w:rPr>
                <w:rFonts w:ascii="黑体" w:hAnsi="黑体" w:eastAsia="黑体"/>
                <w:color w:val="auto"/>
                <w:highlight w:val="none"/>
              </w:rPr>
              <mc:AlternateContent>
                <mc:Choice Requires="wps">
                  <w:drawing>
                    <wp:anchor distT="0" distB="0" distL="114300" distR="114300" simplePos="0" relativeHeight="251674624" behindDoc="0" locked="0" layoutInCell="1" allowOverlap="1">
                      <wp:simplePos x="0" y="0"/>
                      <wp:positionH relativeFrom="column">
                        <wp:posOffset>-170180</wp:posOffset>
                      </wp:positionH>
                      <wp:positionV relativeFrom="paragraph">
                        <wp:posOffset>-644525</wp:posOffset>
                      </wp:positionV>
                      <wp:extent cx="546100" cy="317500"/>
                      <wp:effectExtent l="0" t="0" r="25400" b="25400"/>
                      <wp:wrapNone/>
                      <wp:docPr id="26" name="左右箭头 26"/>
                      <wp:cNvGraphicFramePr/>
                      <a:graphic xmlns:a="http://schemas.openxmlformats.org/drawingml/2006/main">
                        <a:graphicData uri="http://schemas.microsoft.com/office/word/2010/wordprocessingShape">
                          <wps:wsp>
                            <wps:cNvSpPr/>
                            <wps:spPr>
                              <a:xfrm>
                                <a:off x="0" y="0"/>
                                <a:ext cx="546100" cy="317500"/>
                              </a:xfrm>
                              <a:prstGeom prst="lef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9" type="#_x0000_t69" style="position:absolute;left:0pt;margin-left:-13.4pt;margin-top:-50.75pt;height:25pt;width:43pt;z-index:251674624;v-text-anchor:middle;mso-width-relative:page;mso-height-relative:page;" filled="f" stroked="t" coordsize="21600,21600" o:gfxdata="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O1BawLXAAAACwEAAA8AAAAAAAAAAQAgAAAAIgAAAGRycy9kb3ducmV2Lnht&#10;bFBLAQIUABQAAAAIAIdO4kA6dSG0bAIAAMUEAAAOAAAAAAAAAAEAIAAAACYBAABkcnMvZTJvRG9j&#10;LnhtbFBLBQYAAAAABgAGAFkBAAAEBgAAAAA=&#10;" adj="6279,5400">
                      <v:fill on="f" focussize="0,0"/>
                      <v:stroke weight="1pt" color="#000000 [3213]" joinstyle="round"/>
                      <v:imagedata o:title=""/>
                      <o:lock v:ext="edit" aspectratio="f"/>
                    </v:shape>
                  </w:pict>
                </mc:Fallback>
              </mc:AlternateContent>
            </w:r>
          </w:p>
          <w:p>
            <w:pPr>
              <w:pStyle w:val="10"/>
              <w:ind w:left="0" w:leftChars="0" w:firstLine="0" w:firstLineChars="0"/>
              <w:rPr>
                <w:rFonts w:ascii="黑体" w:hAnsi="黑体" w:eastAsia="黑体"/>
                <w:color w:val="auto"/>
                <w:highlight w:val="none"/>
              </w:rPr>
            </w:pPr>
            <w:r>
              <w:rPr>
                <w:rFonts w:ascii="黑体" w:hAnsi="黑体" w:eastAsia="黑体" w:cs="楷体"/>
                <w:color w:val="auto"/>
                <w:sz w:val="21"/>
                <w:szCs w:val="21"/>
                <w:highlight w:val="none"/>
              </w:rPr>
              <mc:AlternateContent>
                <mc:Choice Requires="wps">
                  <w:drawing>
                    <wp:anchor distT="45720" distB="45720" distL="114300" distR="114300" simplePos="0" relativeHeight="251675648" behindDoc="0" locked="0" layoutInCell="1" allowOverlap="1">
                      <wp:simplePos x="0" y="0"/>
                      <wp:positionH relativeFrom="column">
                        <wp:posOffset>-2667000</wp:posOffset>
                      </wp:positionH>
                      <wp:positionV relativeFrom="paragraph">
                        <wp:posOffset>280035</wp:posOffset>
                      </wp:positionV>
                      <wp:extent cx="2597785" cy="336550"/>
                      <wp:effectExtent l="0" t="0" r="0" b="0"/>
                      <wp:wrapNone/>
                      <wp:docPr id="2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597785" cy="336550"/>
                              </a:xfrm>
                              <a:prstGeom prst="rect">
                                <a:avLst/>
                              </a:prstGeom>
                              <a:noFill/>
                              <a:ln w="9525">
                                <a:noFill/>
                                <a:miter lim="800000"/>
                              </a:ln>
                            </wps:spPr>
                            <wps:txbx>
                              <w:txbxContent>
                                <w:p>
                                  <w:pPr>
                                    <w:jc w:val="center"/>
                                    <w:rPr>
                                      <w:rFonts w:hint="eastAsia" w:ascii="楷体" w:hAnsi="楷体" w:eastAsia="楷体" w:cs="楷体"/>
                                      <w:sz w:val="21"/>
                                      <w:szCs w:val="21"/>
                                    </w:rPr>
                                  </w:pPr>
                                  <w:r>
                                    <w:rPr>
                                      <w:rFonts w:hint="eastAsia" w:ascii="楷体" w:hAnsi="楷体" w:eastAsia="楷体" w:cs="楷体"/>
                                      <w:sz w:val="21"/>
                                      <w:szCs w:val="21"/>
                                    </w:rPr>
                                    <w:t>川藏铁路甘孜段说明图</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10pt;margin-top:22.05pt;height:26.5pt;width:204.55pt;z-index:251675648;mso-width-relative:page;mso-height-relative:page;" filled="f" stroked="f" coordsize="21600,21600" o:gfxdata="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T8&#10;Z+zVAAAACgEAAA8AAAAAAAAAAQAgAAAAIgAAAGRycy9kb3ducmV2LnhtbFBLAQIUABQAAAAIAIdO&#10;4kAbqNSZJgIAACoEAAAOAAAAAAAAAAEAIAAAACQBAABkcnMvZTJvRG9jLnhtbFBLBQYAAAAABgAG&#10;AFkBAAC8BQAAAAA=&#10;">
                      <v:fill on="f" focussize="0,0"/>
                      <v:stroke on="f" miterlimit="8" joinstyle="miter"/>
                      <v:imagedata o:title=""/>
                      <o:lock v:ext="edit" aspectratio="f"/>
                      <v:textbox>
                        <w:txbxContent>
                          <w:p>
                            <w:pPr>
                              <w:jc w:val="center"/>
                              <w:rPr>
                                <w:rFonts w:hint="eastAsia" w:ascii="楷体" w:hAnsi="楷体" w:eastAsia="楷体" w:cs="楷体"/>
                                <w:sz w:val="21"/>
                                <w:szCs w:val="21"/>
                              </w:rPr>
                            </w:pPr>
                            <w:r>
                              <w:rPr>
                                <w:rFonts w:hint="eastAsia" w:ascii="楷体" w:hAnsi="楷体" w:eastAsia="楷体" w:cs="楷体"/>
                                <w:sz w:val="21"/>
                                <w:szCs w:val="21"/>
                              </w:rPr>
                              <w:t>川藏铁路甘孜段说明图</w:t>
                            </w:r>
                          </w:p>
                        </w:txbxContent>
                      </v:textbox>
                    </v:shape>
                  </w:pict>
                </mc:Fallback>
              </mc:AlternateContent>
            </w:r>
          </w:p>
          <w:p>
            <w:pPr>
              <w:pStyle w:val="10"/>
              <w:ind w:left="0" w:leftChars="0" w:firstLine="0" w:firstLineChars="0"/>
              <w:rPr>
                <w:rFonts w:ascii="黑体" w:hAnsi="黑体" w:eastAsia="黑体"/>
                <w:color w:val="auto"/>
                <w:highlight w:val="none"/>
              </w:rPr>
            </w:pPr>
          </w:p>
        </w:tc>
      </w:tr>
      <w:tr>
        <w:tblPrEx>
          <w:tblCellMar>
            <w:top w:w="0" w:type="dxa"/>
            <w:left w:w="108" w:type="dxa"/>
            <w:bottom w:w="0" w:type="dxa"/>
            <w:right w:w="108" w:type="dxa"/>
          </w:tblCellMar>
        </w:tblPrEx>
        <w:tc>
          <w:tcPr>
            <w:tcW w:w="9781" w:type="dxa"/>
          </w:tcPr>
          <w:p>
            <w:pPr>
              <w:widowControl/>
              <w:spacing w:line="240" w:lineRule="auto"/>
              <w:jc w:val="left"/>
              <w:rPr>
                <w:rFonts w:ascii="黑体" w:hAnsi="黑体" w:eastAsia="黑体" w:cs="楷体"/>
                <w:b/>
                <w:color w:val="auto"/>
                <w:sz w:val="21"/>
                <w:szCs w:val="21"/>
                <w:highlight w:val="none"/>
              </w:rPr>
            </w:pPr>
            <w:r>
              <w:rPr>
                <w:rFonts w:ascii="黑体" w:hAnsi="黑体" w:eastAsia="黑体"/>
                <w:color w:val="auto"/>
                <w:highlight w:val="none"/>
              </w:rPr>
              <w:drawing>
                <wp:anchor distT="0" distB="0" distL="114300" distR="114300" simplePos="0" relativeHeight="251677696" behindDoc="0" locked="0" layoutInCell="1" allowOverlap="1">
                  <wp:simplePos x="0" y="0"/>
                  <wp:positionH relativeFrom="column">
                    <wp:posOffset>3003550</wp:posOffset>
                  </wp:positionH>
                  <wp:positionV relativeFrom="paragraph">
                    <wp:posOffset>5715</wp:posOffset>
                  </wp:positionV>
                  <wp:extent cx="3132455" cy="3376295"/>
                  <wp:effectExtent l="0" t="0" r="6985" b="6985"/>
                  <wp:wrapSquare wrapText="bothSides"/>
                  <wp:docPr id="29" name="图片 29" descr="C:\Users\ADMINI~1\AppData\Local\Temp\163955897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1\AppData\Local\Temp\1639558970(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3132455" cy="3376295"/>
                          </a:xfrm>
                          <a:prstGeom prst="rect">
                            <a:avLst/>
                          </a:prstGeom>
                          <a:noFill/>
                          <a:ln>
                            <a:noFill/>
                          </a:ln>
                        </pic:spPr>
                      </pic:pic>
                    </a:graphicData>
                  </a:graphic>
                </wp:anchor>
              </w:drawing>
            </w:r>
            <w:r>
              <w:rPr>
                <w:rFonts w:ascii="黑体" w:hAnsi="黑体" w:eastAsia="黑体"/>
                <w:b/>
                <w:color w:val="auto"/>
                <w:sz w:val="21"/>
                <w:szCs w:val="21"/>
                <w:highlight w:val="none"/>
              </w:rPr>
              <w:t>5</w:t>
            </w:r>
            <w:r>
              <w:rPr>
                <w:rFonts w:hint="eastAsia" w:ascii="黑体" w:hAnsi="黑体" w:eastAsia="黑体" w:cs="楷体"/>
                <w:b/>
                <w:color w:val="auto"/>
                <w:sz w:val="21"/>
                <w:szCs w:val="21"/>
                <w:highlight w:val="none"/>
              </w:rPr>
              <w:t>．甘孜州乡村振兴格局规划</w:t>
            </w:r>
            <w:r>
              <w:rPr>
                <w:rFonts w:hint="eastAsia" w:ascii="黑体" w:hAnsi="黑体" w:eastAsia="黑体" w:cs="楷体"/>
                <w:color w:val="auto"/>
                <w:sz w:val="21"/>
                <w:szCs w:val="21"/>
                <w:highlight w:val="none"/>
              </w:rPr>
              <w:t>（图</w:t>
            </w:r>
            <w:r>
              <w:rPr>
                <w:rFonts w:ascii="黑体" w:hAnsi="黑体" w:eastAsia="黑体"/>
                <w:color w:val="auto"/>
                <w:sz w:val="21"/>
                <w:szCs w:val="21"/>
                <w:highlight w:val="none"/>
              </w:rPr>
              <w:t>5</w:t>
            </w:r>
            <w:r>
              <w:rPr>
                <w:rFonts w:hint="eastAsia" w:ascii="黑体" w:hAnsi="黑体" w:eastAsia="黑体" w:cs="楷体"/>
                <w:color w:val="auto"/>
                <w:sz w:val="21"/>
                <w:szCs w:val="21"/>
                <w:highlight w:val="none"/>
              </w:rPr>
              <w:t>）</w:t>
            </w:r>
          </w:p>
          <w:p>
            <w:pPr>
              <w:widowControl/>
              <w:spacing w:line="240" w:lineRule="auto"/>
              <w:ind w:firstLine="420" w:firstLineChars="200"/>
              <w:jc w:val="left"/>
              <w:rPr>
                <w:rFonts w:ascii="黑体" w:hAnsi="黑体" w:eastAsia="黑体" w:cs="楷体"/>
                <w:color w:val="auto"/>
                <w:sz w:val="21"/>
                <w:szCs w:val="21"/>
                <w:highlight w:val="none"/>
              </w:rPr>
            </w:pPr>
            <w:r>
              <w:rPr>
                <w:rFonts w:hint="eastAsia" w:ascii="黑体" w:hAnsi="黑体" w:eastAsia="黑体" w:cs="楷体"/>
                <w:color w:val="auto"/>
                <w:sz w:val="21"/>
                <w:szCs w:val="21"/>
                <w:highlight w:val="none"/>
              </w:rPr>
              <w:t>“三片三轴三带”</w:t>
            </w:r>
            <w:r>
              <w:rPr>
                <w:rFonts w:hint="eastAsia" w:ascii="黑体" w:hAnsi="黑体" w:eastAsia="黑体" w:cs="楷体"/>
                <w:color w:val="auto"/>
                <w:sz w:val="21"/>
                <w:szCs w:val="21"/>
                <w:highlight w:val="none"/>
                <w:lang w:eastAsia="zh-CN"/>
              </w:rPr>
              <w:t>，</w:t>
            </w:r>
            <w:r>
              <w:rPr>
                <w:rFonts w:hint="eastAsia" w:ascii="黑体" w:hAnsi="黑体" w:eastAsia="黑体" w:cs="楷体"/>
                <w:color w:val="auto"/>
                <w:sz w:val="21"/>
                <w:szCs w:val="21"/>
                <w:highlight w:val="none"/>
              </w:rPr>
              <w:t>以农区、牧区、半农半牧区为乡村振兴三大主要片区；以国道</w:t>
            </w:r>
            <w:r>
              <w:rPr>
                <w:rFonts w:ascii="黑体" w:hAnsi="黑体" w:eastAsia="黑体"/>
                <w:color w:val="auto"/>
                <w:sz w:val="21"/>
                <w:szCs w:val="21"/>
                <w:highlight w:val="none"/>
              </w:rPr>
              <w:t>317</w:t>
            </w:r>
            <w:r>
              <w:rPr>
                <w:rFonts w:hint="eastAsia" w:ascii="黑体" w:hAnsi="黑体" w:eastAsia="黑体" w:cs="楷体"/>
                <w:color w:val="auto"/>
                <w:sz w:val="21"/>
                <w:szCs w:val="21"/>
                <w:highlight w:val="none"/>
              </w:rPr>
              <w:t>、</w:t>
            </w:r>
            <w:r>
              <w:rPr>
                <w:rFonts w:ascii="黑体" w:hAnsi="黑体" w:eastAsia="黑体"/>
                <w:color w:val="auto"/>
                <w:sz w:val="21"/>
                <w:szCs w:val="21"/>
                <w:highlight w:val="none"/>
              </w:rPr>
              <w:t>318</w:t>
            </w:r>
            <w:r>
              <w:rPr>
                <w:rFonts w:hint="eastAsia" w:ascii="黑体" w:hAnsi="黑体" w:eastAsia="黑体" w:cs="楷体"/>
                <w:color w:val="auto"/>
                <w:sz w:val="21"/>
                <w:szCs w:val="21"/>
                <w:highlight w:val="none"/>
              </w:rPr>
              <w:t>线（川藏铁路）及其连接线国道</w:t>
            </w:r>
            <w:r>
              <w:rPr>
                <w:rFonts w:ascii="黑体" w:hAnsi="黑体" w:eastAsia="黑体"/>
                <w:color w:val="auto"/>
                <w:sz w:val="21"/>
                <w:szCs w:val="21"/>
                <w:highlight w:val="none"/>
              </w:rPr>
              <w:t>227</w:t>
            </w:r>
            <w:r>
              <w:rPr>
                <w:rFonts w:hint="eastAsia" w:ascii="黑体" w:hAnsi="黑体" w:eastAsia="黑体" w:cs="楷体"/>
                <w:color w:val="auto"/>
                <w:sz w:val="21"/>
                <w:szCs w:val="21"/>
                <w:highlight w:val="none"/>
              </w:rPr>
              <w:t>为城乡发展的三条主要轴线；以大渡河、雅砻江、金沙江流域为乡村特色产业三大支撑带。</w:t>
            </w:r>
          </w:p>
          <w:p>
            <w:pPr>
              <w:pStyle w:val="10"/>
              <w:ind w:left="0" w:leftChars="0" w:firstLine="0" w:firstLineChars="0"/>
              <w:rPr>
                <w:rFonts w:ascii="黑体" w:hAnsi="黑体" w:eastAsia="黑体"/>
                <w:color w:val="auto"/>
                <w:highlight w:val="none"/>
              </w:rPr>
            </w:pPr>
          </w:p>
          <w:p>
            <w:pPr>
              <w:rPr>
                <w:rFonts w:ascii="黑体" w:hAnsi="黑体" w:eastAsia="黑体"/>
                <w:color w:val="auto"/>
                <w:highlight w:val="none"/>
              </w:rPr>
            </w:pPr>
          </w:p>
          <w:p>
            <w:pPr>
              <w:pStyle w:val="10"/>
              <w:ind w:left="640" w:firstLine="640"/>
              <w:rPr>
                <w:rFonts w:ascii="黑体" w:hAnsi="黑体" w:eastAsia="黑体"/>
                <w:color w:val="auto"/>
                <w:highlight w:val="none"/>
              </w:rPr>
            </w:pPr>
          </w:p>
          <w:p>
            <w:pPr>
              <w:rPr>
                <w:rFonts w:ascii="黑体" w:hAnsi="黑体" w:eastAsia="黑体"/>
                <w:color w:val="auto"/>
                <w:highlight w:val="none"/>
              </w:rPr>
            </w:pPr>
          </w:p>
          <w:p>
            <w:pPr>
              <w:pStyle w:val="10"/>
              <w:spacing w:line="240" w:lineRule="auto"/>
              <w:ind w:left="0" w:leftChars="0" w:firstLine="0" w:firstLineChars="0"/>
              <w:rPr>
                <w:rFonts w:ascii="黑体" w:hAnsi="黑体" w:eastAsia="黑体"/>
                <w:color w:val="auto"/>
                <w:sz w:val="21"/>
                <w:highlight w:val="none"/>
              </w:rPr>
            </w:pPr>
            <w:r>
              <w:rPr>
                <w:rFonts w:ascii="黑体" w:hAnsi="黑体" w:eastAsia="黑体" w:cs="楷体"/>
                <w:color w:val="auto"/>
                <w:sz w:val="21"/>
                <w:szCs w:val="21"/>
                <w:highlight w:val="none"/>
              </w:rPr>
              <mc:AlternateContent>
                <mc:Choice Requires="wps">
                  <w:drawing>
                    <wp:anchor distT="45720" distB="45720" distL="114300" distR="114300" simplePos="0" relativeHeight="251678720" behindDoc="0" locked="0" layoutInCell="1" allowOverlap="1">
                      <wp:simplePos x="0" y="0"/>
                      <wp:positionH relativeFrom="column">
                        <wp:posOffset>2987040</wp:posOffset>
                      </wp:positionH>
                      <wp:positionV relativeFrom="paragraph">
                        <wp:posOffset>423545</wp:posOffset>
                      </wp:positionV>
                      <wp:extent cx="3133090" cy="328930"/>
                      <wp:effectExtent l="0" t="0" r="0" b="0"/>
                      <wp:wrapNone/>
                      <wp:docPr id="3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133090" cy="328930"/>
                              </a:xfrm>
                              <a:prstGeom prst="rect">
                                <a:avLst/>
                              </a:prstGeom>
                              <a:noFill/>
                              <a:ln w="9525">
                                <a:noFill/>
                                <a:miter lim="800000"/>
                              </a:ln>
                            </wps:spPr>
                            <wps:txbx>
                              <w:txbxContent>
                                <w:p>
                                  <w:pPr>
                                    <w:jc w:val="center"/>
                                    <w:rPr>
                                      <w:rFonts w:hint="eastAsia" w:ascii="楷体" w:hAnsi="楷体" w:eastAsia="楷体" w:cs="楷体"/>
                                      <w:sz w:val="21"/>
                                      <w:szCs w:val="21"/>
                                    </w:rPr>
                                  </w:pPr>
                                  <w:r>
                                    <w:rPr>
                                      <w:rFonts w:hint="eastAsia" w:ascii="楷体" w:hAnsi="楷体" w:eastAsia="楷体" w:cs="楷体"/>
                                      <w:sz w:val="21"/>
                                      <w:szCs w:val="21"/>
                                      <w:lang w:val="en-US" w:eastAsia="zh-CN"/>
                                    </w:rPr>
                                    <w:t>附</w:t>
                                  </w:r>
                                  <w:r>
                                    <w:rPr>
                                      <w:rFonts w:hint="eastAsia" w:ascii="楷体" w:hAnsi="楷体" w:eastAsia="楷体" w:cs="楷体"/>
                                      <w:sz w:val="21"/>
                                      <w:szCs w:val="21"/>
                                    </w:rPr>
                                    <w:t>图5 甘孜州乡村振兴格局规划图</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35.2pt;margin-top:33.35pt;height:25.9pt;width:246.7pt;z-index:251678720;mso-width-relative:page;mso-height-relative:page;" filled="f" stroked="f" coordsize="21600,21600" o:gfxdata="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1twg2&#10;1wAAAAoBAAAPAAAAAAAAAAEAIAAAACIAAABkcnMvZG93bnJldi54bWxQSwECFAAUAAAACACHTuJA&#10;PWWbhyICAAAqBAAADgAAAAAAAAABACAAAAAmAQAAZHJzL2Uyb0RvYy54bWxQSwUGAAAAAAYABgBZ&#10;AQAAugUAAAAA&#10;">
                      <v:fill on="f" focussize="0,0"/>
                      <v:stroke on="f" miterlimit="8" joinstyle="miter"/>
                      <v:imagedata o:title=""/>
                      <o:lock v:ext="edit" aspectratio="f"/>
                      <v:textbox>
                        <w:txbxContent>
                          <w:p>
                            <w:pPr>
                              <w:jc w:val="center"/>
                              <w:rPr>
                                <w:rFonts w:hint="eastAsia" w:ascii="楷体" w:hAnsi="楷体" w:eastAsia="楷体" w:cs="楷体"/>
                                <w:sz w:val="21"/>
                                <w:szCs w:val="21"/>
                              </w:rPr>
                            </w:pPr>
                            <w:r>
                              <w:rPr>
                                <w:rFonts w:hint="eastAsia" w:ascii="楷体" w:hAnsi="楷体" w:eastAsia="楷体" w:cs="楷体"/>
                                <w:sz w:val="21"/>
                                <w:szCs w:val="21"/>
                                <w:lang w:val="en-US" w:eastAsia="zh-CN"/>
                              </w:rPr>
                              <w:t>附</w:t>
                            </w:r>
                            <w:r>
                              <w:rPr>
                                <w:rFonts w:hint="eastAsia" w:ascii="楷体" w:hAnsi="楷体" w:eastAsia="楷体" w:cs="楷体"/>
                                <w:sz w:val="21"/>
                                <w:szCs w:val="21"/>
                              </w:rPr>
                              <w:t>图5 甘孜州乡村振兴格局规划图</w:t>
                            </w:r>
                          </w:p>
                        </w:txbxContent>
                      </v:textbox>
                    </v:shape>
                  </w:pict>
                </mc:Fallback>
              </mc:AlternateContent>
            </w:r>
          </w:p>
        </w:tc>
      </w:tr>
      <w:tr>
        <w:tblPrEx>
          <w:tblCellMar>
            <w:top w:w="0" w:type="dxa"/>
            <w:left w:w="108" w:type="dxa"/>
            <w:bottom w:w="0" w:type="dxa"/>
            <w:right w:w="108" w:type="dxa"/>
          </w:tblCellMar>
        </w:tblPrEx>
        <w:tc>
          <w:tcPr>
            <w:tcW w:w="9781" w:type="dxa"/>
          </w:tcPr>
          <w:p>
            <w:pPr>
              <w:pStyle w:val="10"/>
              <w:spacing w:line="240" w:lineRule="auto"/>
              <w:ind w:left="0" w:leftChars="0" w:firstLine="0" w:firstLineChars="0"/>
              <w:rPr>
                <w:rFonts w:ascii="黑体" w:hAnsi="黑体" w:eastAsia="黑体"/>
                <w:color w:val="auto"/>
                <w:sz w:val="21"/>
                <w:highlight w:val="none"/>
              </w:rPr>
            </w:pPr>
          </w:p>
        </w:tc>
      </w:tr>
      <w:tr>
        <w:tblPrEx>
          <w:tblCellMar>
            <w:top w:w="0" w:type="dxa"/>
            <w:left w:w="108" w:type="dxa"/>
            <w:bottom w:w="0" w:type="dxa"/>
            <w:right w:w="108" w:type="dxa"/>
          </w:tblCellMar>
        </w:tblPrEx>
        <w:tc>
          <w:tcPr>
            <w:tcW w:w="9781" w:type="dxa"/>
          </w:tcPr>
          <w:p>
            <w:pPr>
              <w:widowControl/>
              <w:spacing w:line="240" w:lineRule="auto"/>
              <w:jc w:val="left"/>
              <w:rPr>
                <w:rFonts w:ascii="黑体" w:hAnsi="黑体" w:eastAsia="黑体" w:cs="楷体"/>
                <w:b/>
                <w:color w:val="auto"/>
                <w:sz w:val="21"/>
                <w:szCs w:val="21"/>
                <w:highlight w:val="none"/>
              </w:rPr>
            </w:pPr>
            <w:r>
              <w:rPr>
                <w:rFonts w:ascii="黑体" w:hAnsi="黑体" w:eastAsia="黑体"/>
                <w:color w:val="auto"/>
                <w:highlight w:val="none"/>
              </w:rPr>
              <w:drawing>
                <wp:anchor distT="0" distB="0" distL="114300" distR="114300" simplePos="0" relativeHeight="251679744" behindDoc="0" locked="0" layoutInCell="1" allowOverlap="1">
                  <wp:simplePos x="0" y="0"/>
                  <wp:positionH relativeFrom="column">
                    <wp:posOffset>3003550</wp:posOffset>
                  </wp:positionH>
                  <wp:positionV relativeFrom="paragraph">
                    <wp:posOffset>3810</wp:posOffset>
                  </wp:positionV>
                  <wp:extent cx="3132455" cy="3412490"/>
                  <wp:effectExtent l="0" t="0" r="0" b="0"/>
                  <wp:wrapSquare wrapText="bothSides"/>
                  <wp:docPr id="31" name="图片 31" descr="C:\Users\ADMINI~1\AppData\Local\Temp\16395590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ADMINI~1\AppData\Local\Temp\1639559043(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3132455" cy="3412490"/>
                          </a:xfrm>
                          <a:prstGeom prst="rect">
                            <a:avLst/>
                          </a:prstGeom>
                          <a:noFill/>
                          <a:ln>
                            <a:noFill/>
                          </a:ln>
                        </pic:spPr>
                      </pic:pic>
                    </a:graphicData>
                  </a:graphic>
                </wp:anchor>
              </w:drawing>
            </w:r>
            <w:r>
              <w:rPr>
                <w:rFonts w:ascii="黑体" w:hAnsi="黑体" w:eastAsia="黑体"/>
                <w:b/>
                <w:color w:val="auto"/>
                <w:sz w:val="21"/>
                <w:szCs w:val="21"/>
                <w:highlight w:val="none"/>
              </w:rPr>
              <w:t>6</w:t>
            </w:r>
            <w:r>
              <w:rPr>
                <w:rFonts w:hint="eastAsia" w:ascii="黑体" w:hAnsi="黑体" w:eastAsia="黑体" w:cs="楷体"/>
                <w:b/>
                <w:color w:val="auto"/>
                <w:sz w:val="21"/>
                <w:szCs w:val="21"/>
                <w:highlight w:val="none"/>
              </w:rPr>
              <w:t>．甘孜州农牧业发展格局规划</w:t>
            </w:r>
            <w:r>
              <w:rPr>
                <w:rFonts w:hint="eastAsia" w:ascii="黑体" w:hAnsi="黑体" w:eastAsia="黑体" w:cs="楷体"/>
                <w:color w:val="auto"/>
                <w:sz w:val="21"/>
                <w:szCs w:val="21"/>
                <w:highlight w:val="none"/>
              </w:rPr>
              <w:t>（附图</w:t>
            </w:r>
            <w:r>
              <w:rPr>
                <w:rFonts w:ascii="黑体" w:hAnsi="黑体" w:eastAsia="黑体"/>
                <w:color w:val="auto"/>
                <w:sz w:val="21"/>
                <w:szCs w:val="21"/>
                <w:highlight w:val="none"/>
              </w:rPr>
              <w:t>6</w:t>
            </w:r>
            <w:r>
              <w:rPr>
                <w:rFonts w:hint="eastAsia" w:ascii="黑体" w:hAnsi="黑体" w:eastAsia="黑体" w:cs="楷体"/>
                <w:color w:val="auto"/>
                <w:sz w:val="21"/>
                <w:szCs w:val="21"/>
                <w:highlight w:val="none"/>
              </w:rPr>
              <w:t>）</w:t>
            </w:r>
          </w:p>
          <w:p>
            <w:pPr>
              <w:widowControl/>
              <w:spacing w:line="240" w:lineRule="auto"/>
              <w:ind w:firstLine="420" w:firstLineChars="200"/>
              <w:jc w:val="left"/>
              <w:rPr>
                <w:rFonts w:ascii="黑体" w:hAnsi="黑体" w:eastAsia="黑体" w:cs="楷体"/>
                <w:color w:val="auto"/>
                <w:sz w:val="21"/>
                <w:szCs w:val="21"/>
                <w:highlight w:val="none"/>
              </w:rPr>
            </w:pPr>
            <w:r>
              <w:rPr>
                <w:rFonts w:hint="eastAsia" w:ascii="黑体" w:hAnsi="黑体" w:eastAsia="黑体" w:cs="楷体"/>
                <w:color w:val="auto"/>
                <w:sz w:val="21"/>
                <w:szCs w:val="21"/>
                <w:highlight w:val="none"/>
              </w:rPr>
              <w:t>“两区六片”，以康北石渠县为代表的畜牧业区与康南香格里拉特色农业区。六片：即农牧业发展六大片区，包括大渡河沿线片区、力邱河沿线片区、鲜水河沿线片区、色曲河沿线片区、金沙江沿线片区、雅砻江沿线片区。</w:t>
            </w:r>
          </w:p>
          <w:p>
            <w:pPr>
              <w:pStyle w:val="10"/>
              <w:ind w:left="640" w:firstLine="640"/>
              <w:rPr>
                <w:rFonts w:ascii="黑体" w:hAnsi="黑体" w:eastAsia="黑体"/>
                <w:color w:val="auto"/>
                <w:highlight w:val="none"/>
              </w:rPr>
            </w:pPr>
          </w:p>
          <w:p>
            <w:pPr>
              <w:rPr>
                <w:rFonts w:ascii="黑体" w:hAnsi="黑体" w:eastAsia="黑体"/>
                <w:color w:val="auto"/>
                <w:highlight w:val="none"/>
              </w:rPr>
            </w:pPr>
          </w:p>
          <w:p>
            <w:pPr>
              <w:pStyle w:val="10"/>
              <w:ind w:left="640" w:firstLine="640"/>
              <w:rPr>
                <w:rFonts w:ascii="黑体" w:hAnsi="黑体" w:eastAsia="黑体"/>
                <w:color w:val="auto"/>
                <w:highlight w:val="none"/>
              </w:rPr>
            </w:pPr>
          </w:p>
          <w:p>
            <w:pPr>
              <w:rPr>
                <w:rFonts w:ascii="黑体" w:hAnsi="黑体" w:eastAsia="黑体"/>
                <w:color w:val="auto"/>
                <w:highlight w:val="none"/>
              </w:rPr>
            </w:pPr>
          </w:p>
          <w:p>
            <w:pPr>
              <w:pStyle w:val="10"/>
              <w:spacing w:line="240" w:lineRule="auto"/>
              <w:ind w:left="640" w:firstLine="640"/>
              <w:rPr>
                <w:rFonts w:ascii="黑体" w:hAnsi="黑体" w:eastAsia="黑体"/>
                <w:color w:val="auto"/>
                <w:highlight w:val="none"/>
              </w:rPr>
            </w:pPr>
            <w:r>
              <w:rPr>
                <w:rFonts w:ascii="黑体" w:hAnsi="黑体" w:eastAsia="黑体" w:cs="楷体"/>
                <w:color w:val="auto"/>
                <w:sz w:val="21"/>
                <w:szCs w:val="21"/>
                <w:highlight w:val="none"/>
              </w:rPr>
              <mc:AlternateContent>
                <mc:Choice Requires="wps">
                  <w:drawing>
                    <wp:anchor distT="45720" distB="45720" distL="114300" distR="114300" simplePos="0" relativeHeight="251680768" behindDoc="0" locked="0" layoutInCell="1" allowOverlap="1">
                      <wp:simplePos x="0" y="0"/>
                      <wp:positionH relativeFrom="column">
                        <wp:posOffset>3032760</wp:posOffset>
                      </wp:positionH>
                      <wp:positionV relativeFrom="paragraph">
                        <wp:posOffset>477520</wp:posOffset>
                      </wp:positionV>
                      <wp:extent cx="3133090" cy="405130"/>
                      <wp:effectExtent l="0" t="0" r="0" b="0"/>
                      <wp:wrapNone/>
                      <wp:docPr id="3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133090" cy="405130"/>
                              </a:xfrm>
                              <a:prstGeom prst="rect">
                                <a:avLst/>
                              </a:prstGeom>
                              <a:noFill/>
                              <a:ln w="9525">
                                <a:noFill/>
                                <a:miter lim="800000"/>
                              </a:ln>
                            </wps:spPr>
                            <wps:txbx>
                              <w:txbxContent>
                                <w:p>
                                  <w:pPr>
                                    <w:jc w:val="center"/>
                                    <w:rPr>
                                      <w:rFonts w:hint="eastAsia" w:ascii="楷体" w:hAnsi="楷体" w:eastAsia="楷体" w:cs="楷体"/>
                                      <w:sz w:val="21"/>
                                      <w:szCs w:val="21"/>
                                    </w:rPr>
                                  </w:pPr>
                                  <w:r>
                                    <w:rPr>
                                      <w:rFonts w:hint="eastAsia" w:ascii="楷体" w:hAnsi="楷体" w:eastAsia="楷体" w:cs="楷体"/>
                                      <w:sz w:val="21"/>
                                      <w:szCs w:val="21"/>
                                      <w:lang w:val="en-US" w:eastAsia="zh-CN"/>
                                    </w:rPr>
                                    <w:t>附</w:t>
                                  </w:r>
                                  <w:r>
                                    <w:rPr>
                                      <w:rFonts w:hint="eastAsia" w:ascii="楷体" w:hAnsi="楷体" w:eastAsia="楷体" w:cs="楷体"/>
                                      <w:sz w:val="21"/>
                                      <w:szCs w:val="21"/>
                                    </w:rPr>
                                    <w:t>图6 甘孜州农牧业发展格局规划图</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38.8pt;margin-top:37.6pt;height:31.9pt;width:246.7pt;z-index:251680768;mso-width-relative:page;mso-height-relative:page;" filled="f" stroked="f" coordsize="21600,21600" o:gfxdata="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02Fzq9gAAAAKAQAADwAAAAAAAAABACAAAAAiAAAAZHJzL2Rvd25yZXYueG1sUEsBAhQAFAAAAAgA&#10;h07iQIzUZwslAgAAKgQAAA4AAAAAAAAAAQAgAAAAJwEAAGRycy9lMm9Eb2MueG1sUEsFBgAAAAAG&#10;AAYAWQEAAL4FAAAAAA==&#10;">
                      <v:fill on="f" focussize="0,0"/>
                      <v:stroke on="f" miterlimit="8" joinstyle="miter"/>
                      <v:imagedata o:title=""/>
                      <o:lock v:ext="edit" aspectratio="f"/>
                      <v:textbox>
                        <w:txbxContent>
                          <w:p>
                            <w:pPr>
                              <w:jc w:val="center"/>
                              <w:rPr>
                                <w:rFonts w:hint="eastAsia" w:ascii="楷体" w:hAnsi="楷体" w:eastAsia="楷体" w:cs="楷体"/>
                                <w:sz w:val="21"/>
                                <w:szCs w:val="21"/>
                              </w:rPr>
                            </w:pPr>
                            <w:r>
                              <w:rPr>
                                <w:rFonts w:hint="eastAsia" w:ascii="楷体" w:hAnsi="楷体" w:eastAsia="楷体" w:cs="楷体"/>
                                <w:sz w:val="21"/>
                                <w:szCs w:val="21"/>
                                <w:lang w:val="en-US" w:eastAsia="zh-CN"/>
                              </w:rPr>
                              <w:t>附</w:t>
                            </w:r>
                            <w:r>
                              <w:rPr>
                                <w:rFonts w:hint="eastAsia" w:ascii="楷体" w:hAnsi="楷体" w:eastAsia="楷体" w:cs="楷体"/>
                                <w:sz w:val="21"/>
                                <w:szCs w:val="21"/>
                              </w:rPr>
                              <w:t>图6 甘孜州农牧业发展格局规划图</w:t>
                            </w:r>
                          </w:p>
                        </w:txbxContent>
                      </v:textbox>
                    </v:shape>
                  </w:pict>
                </mc:Fallback>
              </mc:AlternateContent>
            </w:r>
          </w:p>
        </w:tc>
      </w:tr>
      <w:tr>
        <w:tblPrEx>
          <w:tblCellMar>
            <w:top w:w="0" w:type="dxa"/>
            <w:left w:w="108" w:type="dxa"/>
            <w:bottom w:w="0" w:type="dxa"/>
            <w:right w:w="108" w:type="dxa"/>
          </w:tblCellMar>
        </w:tblPrEx>
        <w:trPr>
          <w:trHeight w:val="491" w:hRule="atLeast"/>
        </w:trPr>
        <w:tc>
          <w:tcPr>
            <w:tcW w:w="9781" w:type="dxa"/>
          </w:tcPr>
          <w:p>
            <w:pPr>
              <w:pStyle w:val="10"/>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textAlignment w:val="auto"/>
              <w:rPr>
                <w:rFonts w:ascii="黑体" w:hAnsi="黑体" w:eastAsia="黑体"/>
                <w:color w:val="auto"/>
                <w:highlight w:val="none"/>
              </w:rPr>
            </w:pPr>
            <w:bookmarkStart w:id="170" w:name="_Toc20417"/>
            <w:bookmarkStart w:id="171" w:name="_Toc12756"/>
            <w:bookmarkStart w:id="172" w:name="_Toc5778"/>
          </w:p>
        </w:tc>
      </w:tr>
    </w:tbl>
    <w:p>
      <w:pPr>
        <w:pStyle w:val="6"/>
        <w:keepNext/>
        <w:keepLines/>
        <w:pageBreakBefore w:val="0"/>
        <w:widowControl w:val="0"/>
        <w:kinsoku/>
        <w:wordWrap/>
        <w:overflowPunct/>
        <w:topLinePunct w:val="0"/>
        <w:autoSpaceDE/>
        <w:autoSpaceDN/>
        <w:bidi w:val="0"/>
        <w:adjustRightInd/>
        <w:snapToGrid/>
        <w:spacing w:before="0" w:after="0" w:line="620" w:lineRule="exact"/>
        <w:ind w:firstLine="643" w:firstLineChars="200"/>
        <w:textAlignment w:val="auto"/>
        <w:rPr>
          <w:rFonts w:hint="eastAsia" w:ascii="楷体" w:hAnsi="楷体" w:eastAsia="楷体" w:cs="楷体"/>
          <w:color w:val="auto"/>
        </w:rPr>
      </w:pPr>
      <w:r>
        <w:rPr>
          <w:rFonts w:hint="eastAsia" w:ascii="楷体" w:hAnsi="楷体" w:eastAsia="楷体" w:cs="楷体"/>
          <w:color w:val="auto"/>
        </w:rPr>
        <w:t>（三）《甘孜藏族自治州“十四五”现代农业</w:t>
      </w:r>
      <w:r>
        <w:rPr>
          <w:rFonts w:hint="eastAsia" w:ascii="楷体" w:hAnsi="楷体" w:eastAsia="楷体" w:cs="楷体"/>
          <w:color w:val="auto"/>
          <w:lang w:val="en-US" w:eastAsia="zh-CN"/>
        </w:rPr>
        <w:t>产业</w:t>
      </w:r>
      <w:r>
        <w:rPr>
          <w:rFonts w:hint="eastAsia" w:ascii="楷体" w:hAnsi="楷体" w:eastAsia="楷体" w:cs="楷体"/>
          <w:color w:val="auto"/>
        </w:rPr>
        <w:t>发展规划》、《甘孜州“十四五”生态环境保护与建设规划》、《甘孜州“十四五”全域旅游发展规划》研读</w:t>
      </w:r>
      <w:bookmarkEnd w:id="170"/>
      <w:bookmarkEnd w:id="171"/>
      <w:bookmarkEnd w:id="172"/>
    </w:p>
    <w:tbl>
      <w:tblPr>
        <w:tblStyle w:val="25"/>
        <w:tblW w:w="9781" w:type="dxa"/>
        <w:tblInd w:w="-459" w:type="dxa"/>
        <w:tblLayout w:type="autofit"/>
        <w:tblCellMar>
          <w:top w:w="0" w:type="dxa"/>
          <w:left w:w="108" w:type="dxa"/>
          <w:bottom w:w="0" w:type="dxa"/>
          <w:right w:w="108" w:type="dxa"/>
        </w:tblCellMar>
      </w:tblPr>
      <w:tblGrid>
        <w:gridCol w:w="9781"/>
      </w:tblGrid>
      <w:tr>
        <w:tblPrEx>
          <w:tblCellMar>
            <w:top w:w="0" w:type="dxa"/>
            <w:left w:w="108" w:type="dxa"/>
            <w:bottom w:w="0" w:type="dxa"/>
            <w:right w:w="108" w:type="dxa"/>
          </w:tblCellMar>
        </w:tblPrEx>
        <w:trPr>
          <w:trHeight w:val="265" w:hRule="atLeast"/>
        </w:trPr>
        <w:tc>
          <w:tcPr>
            <w:tcW w:w="9781" w:type="dxa"/>
          </w:tcPr>
          <w:p>
            <w:pPr>
              <w:pStyle w:val="10"/>
              <w:spacing w:line="420" w:lineRule="exact"/>
              <w:ind w:left="0" w:leftChars="0" w:firstLine="0" w:firstLineChars="0"/>
              <w:jc w:val="center"/>
              <w:rPr>
                <w:rFonts w:ascii="黑体" w:hAnsi="黑体" w:eastAsia="黑体"/>
                <w:color w:val="auto"/>
                <w:sz w:val="28"/>
                <w:highlight w:val="none"/>
              </w:rPr>
            </w:pPr>
            <w:r>
              <w:rPr>
                <w:rFonts w:ascii="黑体" w:hAnsi="黑体" w:eastAsia="黑体" w:cs="楷体"/>
                <w:color w:val="auto"/>
                <w:sz w:val="21"/>
                <w:szCs w:val="21"/>
                <w:highlight w:val="none"/>
              </w:rPr>
              <mc:AlternateContent>
                <mc:Choice Requires="wps">
                  <w:drawing>
                    <wp:anchor distT="45720" distB="45720" distL="114300" distR="114300" simplePos="0" relativeHeight="251682816" behindDoc="0" locked="0" layoutInCell="1" allowOverlap="1">
                      <wp:simplePos x="0" y="0"/>
                      <wp:positionH relativeFrom="column">
                        <wp:posOffset>3453130</wp:posOffset>
                      </wp:positionH>
                      <wp:positionV relativeFrom="paragraph">
                        <wp:posOffset>229870</wp:posOffset>
                      </wp:positionV>
                      <wp:extent cx="2826385" cy="405130"/>
                      <wp:effectExtent l="0" t="0" r="0" b="0"/>
                      <wp:wrapNone/>
                      <wp:docPr id="3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826327" cy="405130"/>
                              </a:xfrm>
                              <a:prstGeom prst="rect">
                                <a:avLst/>
                              </a:prstGeom>
                              <a:noFill/>
                              <a:ln w="9525">
                                <a:noFill/>
                                <a:miter lim="800000"/>
                              </a:ln>
                            </wps:spPr>
                            <wps:txbx>
                              <w:txbxContent>
                                <w:p>
                                  <w:pPr>
                                    <w:jc w:val="center"/>
                                    <w:rPr>
                                      <w:rFonts w:hint="eastAsia" w:ascii="楷体" w:hAnsi="楷体" w:eastAsia="楷体" w:cs="楷体"/>
                                      <w:sz w:val="21"/>
                                      <w:szCs w:val="21"/>
                                    </w:rPr>
                                  </w:pPr>
                                  <w:r>
                                    <w:rPr>
                                      <w:rFonts w:hint="eastAsia" w:ascii="楷体" w:hAnsi="楷体" w:eastAsia="楷体" w:cs="楷体"/>
                                      <w:sz w:val="21"/>
                                      <w:szCs w:val="21"/>
                                      <w:lang w:val="en-US" w:eastAsia="zh-CN"/>
                                    </w:rPr>
                                    <w:t>附</w:t>
                                  </w:r>
                                  <w:r>
                                    <w:rPr>
                                      <w:rFonts w:hint="eastAsia" w:ascii="楷体" w:hAnsi="楷体" w:eastAsia="楷体" w:cs="楷体"/>
                                      <w:sz w:val="21"/>
                                      <w:szCs w:val="21"/>
                                    </w:rPr>
                                    <w:t>图7 甘孜州“十四五”农业发展区域布局图</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71.9pt;margin-top:18.1pt;height:31.9pt;width:222.55pt;z-index:251682816;mso-width-relative:page;mso-height-relative:page;" filled="f" stroked="f" coordsize="21600,21600" o:gfxdata="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63kCdcAAAAKAQAADwAAAAAAAAABACAAAAAiAAAAZHJzL2Rvd25yZXYueG1sUEsBAhQAFAAAAAgA&#10;h07iQOaOY3EmAgAAKgQAAA4AAAAAAAAAAQAgAAAAJgEAAGRycy9lMm9Eb2MueG1sUEsFBgAAAAAG&#10;AAYAWQEAAL4FAAAAAA==&#10;">
                      <v:fill on="f" focussize="0,0"/>
                      <v:stroke on="f" miterlimit="8" joinstyle="miter"/>
                      <v:imagedata o:title=""/>
                      <o:lock v:ext="edit" aspectratio="f"/>
                      <v:textbox>
                        <w:txbxContent>
                          <w:p>
                            <w:pPr>
                              <w:jc w:val="center"/>
                              <w:rPr>
                                <w:rFonts w:hint="eastAsia" w:ascii="楷体" w:hAnsi="楷体" w:eastAsia="楷体" w:cs="楷体"/>
                                <w:sz w:val="21"/>
                                <w:szCs w:val="21"/>
                              </w:rPr>
                            </w:pPr>
                            <w:r>
                              <w:rPr>
                                <w:rFonts w:hint="eastAsia" w:ascii="楷体" w:hAnsi="楷体" w:eastAsia="楷体" w:cs="楷体"/>
                                <w:sz w:val="21"/>
                                <w:szCs w:val="21"/>
                                <w:lang w:val="en-US" w:eastAsia="zh-CN"/>
                              </w:rPr>
                              <w:t>附</w:t>
                            </w:r>
                            <w:r>
                              <w:rPr>
                                <w:rFonts w:hint="eastAsia" w:ascii="楷体" w:hAnsi="楷体" w:eastAsia="楷体" w:cs="楷体"/>
                                <w:sz w:val="21"/>
                                <w:szCs w:val="21"/>
                              </w:rPr>
                              <w:t>图7 甘孜州“十四五”农业发展区域布局图</w:t>
                            </w:r>
                          </w:p>
                        </w:txbxContent>
                      </v:textbox>
                    </v:shape>
                  </w:pict>
                </mc:Fallback>
              </mc:AlternateContent>
            </w:r>
            <w:r>
              <w:rPr>
                <w:rFonts w:hint="eastAsia" w:ascii="黑体" w:hAnsi="黑体" w:eastAsia="黑体" w:cs="黑体"/>
                <w:b/>
                <w:color w:val="auto"/>
                <w:sz w:val="21"/>
                <w:szCs w:val="24"/>
                <w:highlight w:val="none"/>
              </w:rPr>
              <w:t>专栏</w:t>
            </w:r>
            <w:r>
              <w:rPr>
                <w:rFonts w:ascii="黑体" w:hAnsi="黑体" w:eastAsia="黑体"/>
                <w:b/>
                <w:color w:val="auto"/>
                <w:sz w:val="21"/>
                <w:szCs w:val="24"/>
                <w:highlight w:val="none"/>
              </w:rPr>
              <w:t>3</w:t>
            </w:r>
          </w:p>
        </w:tc>
      </w:tr>
      <w:tr>
        <w:tblPrEx>
          <w:tblCellMar>
            <w:top w:w="0" w:type="dxa"/>
            <w:left w:w="108" w:type="dxa"/>
            <w:bottom w:w="0" w:type="dxa"/>
            <w:right w:w="108" w:type="dxa"/>
          </w:tblCellMar>
        </w:tblPrEx>
        <w:tc>
          <w:tcPr>
            <w:tcW w:w="9781" w:type="dxa"/>
          </w:tcPr>
          <w:p>
            <w:pPr>
              <w:pStyle w:val="10"/>
              <w:spacing w:line="400" w:lineRule="exact"/>
              <w:ind w:left="0" w:leftChars="0" w:firstLine="344" w:firstLineChars="163"/>
              <w:rPr>
                <w:rFonts w:ascii="黑体" w:hAnsi="黑体" w:eastAsia="黑体" w:cs="楷体"/>
                <w:b/>
                <w:color w:val="auto"/>
                <w:sz w:val="21"/>
                <w:szCs w:val="21"/>
                <w:highlight w:val="none"/>
              </w:rPr>
            </w:pPr>
            <w:r>
              <w:rPr>
                <w:rFonts w:ascii="黑体" w:hAnsi="黑体" w:eastAsia="黑体"/>
                <w:b/>
                <w:color w:val="auto"/>
                <w:sz w:val="21"/>
                <w:szCs w:val="21"/>
                <w:highlight w:val="none"/>
              </w:rPr>
              <w:t>1</w:t>
            </w:r>
            <w:r>
              <w:rPr>
                <w:rFonts w:hint="eastAsia" w:ascii="黑体" w:hAnsi="黑体" w:eastAsia="黑体" w:cs="楷体"/>
                <w:b/>
                <w:color w:val="auto"/>
                <w:sz w:val="21"/>
                <w:szCs w:val="21"/>
                <w:highlight w:val="none"/>
              </w:rPr>
              <w:t>．《甘孜藏族自治州“十四五”现代农业</w:t>
            </w:r>
            <w:r>
              <w:rPr>
                <w:rFonts w:hint="eastAsia" w:ascii="黑体" w:hAnsi="黑体" w:eastAsia="黑体" w:cs="楷体"/>
                <w:b/>
                <w:color w:val="auto"/>
                <w:sz w:val="21"/>
                <w:szCs w:val="21"/>
                <w:highlight w:val="none"/>
                <w:lang w:val="en-US" w:eastAsia="zh-CN"/>
              </w:rPr>
              <w:t>产业</w:t>
            </w:r>
            <w:r>
              <w:rPr>
                <w:rFonts w:hint="eastAsia" w:ascii="黑体" w:hAnsi="黑体" w:eastAsia="黑体" w:cs="楷体"/>
                <w:b/>
                <w:color w:val="auto"/>
                <w:sz w:val="21"/>
                <w:szCs w:val="21"/>
                <w:highlight w:val="none"/>
              </w:rPr>
              <w:t>发展规划》</w:t>
            </w:r>
          </w:p>
          <w:p>
            <w:pPr>
              <w:spacing w:line="400" w:lineRule="exact"/>
              <w:ind w:firstLine="422" w:firstLineChars="200"/>
              <w:rPr>
                <w:rFonts w:hint="eastAsia" w:ascii="黑体" w:hAnsi="黑体" w:eastAsia="黑体"/>
                <w:b/>
                <w:bCs/>
                <w:color w:val="auto"/>
                <w:sz w:val="21"/>
                <w:highlight w:val="none"/>
              </w:rPr>
            </w:pPr>
            <w:r>
              <w:rPr>
                <w:rFonts w:hint="eastAsia" w:ascii="黑体" w:hAnsi="黑体" w:eastAsia="黑体"/>
                <w:b/>
                <w:bCs/>
                <w:color w:val="auto"/>
                <w:sz w:val="21"/>
                <w:highlight w:val="none"/>
              </w:rPr>
              <w:t>实现“</w:t>
            </w:r>
            <w:r>
              <w:rPr>
                <w:rFonts w:ascii="黑体" w:hAnsi="黑体" w:eastAsia="黑体"/>
                <w:b/>
                <w:bCs/>
                <w:color w:val="auto"/>
                <w:sz w:val="21"/>
                <w:highlight w:val="none"/>
              </w:rPr>
              <w:t>124126</w:t>
            </w:r>
            <w:r>
              <w:rPr>
                <w:rFonts w:hint="eastAsia" w:ascii="黑体" w:hAnsi="黑体" w:eastAsia="黑体"/>
                <w:b/>
                <w:bCs/>
                <w:color w:val="auto"/>
                <w:sz w:val="21"/>
                <w:highlight w:val="none"/>
              </w:rPr>
              <w:t>”发展目标。</w:t>
            </w:r>
          </w:p>
          <w:p>
            <w:pPr>
              <w:spacing w:line="400" w:lineRule="exact"/>
              <w:ind w:firstLine="422" w:firstLineChars="200"/>
              <w:rPr>
                <w:rFonts w:ascii="黑体" w:hAnsi="黑体" w:eastAsia="黑体"/>
                <w:color w:val="auto"/>
                <w:sz w:val="21"/>
                <w:highlight w:val="none"/>
              </w:rPr>
            </w:pPr>
            <w:r>
              <w:rPr>
                <w:rFonts w:hint="eastAsia" w:ascii="黑体" w:hAnsi="黑体" w:eastAsia="黑体"/>
                <w:b/>
                <w:bCs/>
                <w:color w:val="auto"/>
                <w:sz w:val="21"/>
                <w:highlight w:val="none"/>
              </w:rPr>
              <w:drawing>
                <wp:anchor distT="0" distB="0" distL="114300" distR="114300" simplePos="0" relativeHeight="251681792" behindDoc="0" locked="0" layoutInCell="1" allowOverlap="1">
                  <wp:simplePos x="0" y="0"/>
                  <wp:positionH relativeFrom="column">
                    <wp:posOffset>3583940</wp:posOffset>
                  </wp:positionH>
                  <wp:positionV relativeFrom="paragraph">
                    <wp:posOffset>456565</wp:posOffset>
                  </wp:positionV>
                  <wp:extent cx="2555240" cy="3315970"/>
                  <wp:effectExtent l="0" t="0" r="0" b="0"/>
                  <wp:wrapSquare wrapText="bothSides"/>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30" cstate="print">
                            <a:extLst>
                              <a:ext uri="{28A0092B-C50C-407E-A947-70E740481C1C}">
                                <a14:useLocalDpi xmlns:a14="http://schemas.microsoft.com/office/drawing/2010/main" val="0"/>
                              </a:ext>
                            </a:extLst>
                          </a:blip>
                          <a:srcRect l="3796" t="9919" r="3927" b="5365"/>
                          <a:stretch>
                            <a:fillRect/>
                          </a:stretch>
                        </pic:blipFill>
                        <pic:spPr>
                          <a:xfrm>
                            <a:off x="0" y="0"/>
                            <a:ext cx="2555240" cy="3315970"/>
                          </a:xfrm>
                          <a:prstGeom prst="rect">
                            <a:avLst/>
                          </a:prstGeom>
                          <a:noFill/>
                          <a:ln>
                            <a:noFill/>
                          </a:ln>
                        </pic:spPr>
                      </pic:pic>
                    </a:graphicData>
                  </a:graphic>
                </wp:anchor>
              </w:drawing>
            </w:r>
            <w:r>
              <w:rPr>
                <w:rFonts w:hint="eastAsia" w:ascii="黑体" w:hAnsi="黑体" w:eastAsia="黑体"/>
                <w:b/>
                <w:bCs/>
                <w:color w:val="auto"/>
                <w:sz w:val="21"/>
                <w:highlight w:val="none"/>
              </w:rPr>
              <w:t>稳定“100万亩”</w:t>
            </w:r>
            <w:r>
              <w:rPr>
                <w:rFonts w:hint="eastAsia" w:ascii="黑体" w:hAnsi="黑体" w:eastAsia="黑体"/>
                <w:color w:val="auto"/>
                <w:sz w:val="21"/>
                <w:highlight w:val="none"/>
              </w:rPr>
              <w:t>，以粮食安天下为根本，全州粮食播种面积常年稳定在</w:t>
            </w:r>
            <w:r>
              <w:rPr>
                <w:rFonts w:ascii="黑体" w:hAnsi="黑体" w:eastAsia="黑体"/>
                <w:color w:val="auto"/>
                <w:sz w:val="21"/>
                <w:highlight w:val="none"/>
              </w:rPr>
              <w:t>100</w:t>
            </w:r>
            <w:r>
              <w:rPr>
                <w:rFonts w:hint="eastAsia" w:ascii="黑体" w:hAnsi="黑体" w:eastAsia="黑体"/>
                <w:color w:val="auto"/>
                <w:sz w:val="21"/>
                <w:highlight w:val="none"/>
              </w:rPr>
              <w:t>万亩，稳定全州基本农产品供给安全；</w:t>
            </w:r>
          </w:p>
          <w:p>
            <w:pPr>
              <w:spacing w:line="400" w:lineRule="exact"/>
              <w:ind w:firstLine="422" w:firstLineChars="200"/>
              <w:rPr>
                <w:rFonts w:ascii="黑体" w:hAnsi="黑体" w:eastAsia="黑体"/>
                <w:color w:val="auto"/>
                <w:sz w:val="21"/>
                <w:highlight w:val="none"/>
              </w:rPr>
            </w:pPr>
            <w:r>
              <w:rPr>
                <w:rFonts w:hint="eastAsia" w:ascii="黑体" w:hAnsi="黑体" w:eastAsia="黑体"/>
                <w:b/>
                <w:bCs/>
                <w:color w:val="auto"/>
                <w:sz w:val="21"/>
                <w:highlight w:val="none"/>
              </w:rPr>
              <w:t>突破“</w:t>
            </w:r>
            <w:r>
              <w:rPr>
                <w:rFonts w:ascii="黑体" w:hAnsi="黑体" w:eastAsia="黑体"/>
                <w:b/>
                <w:bCs/>
                <w:color w:val="auto"/>
                <w:sz w:val="21"/>
                <w:highlight w:val="none"/>
              </w:rPr>
              <w:t>2</w:t>
            </w:r>
            <w:r>
              <w:rPr>
                <w:rFonts w:hint="eastAsia" w:ascii="黑体" w:hAnsi="黑体" w:eastAsia="黑体"/>
                <w:b/>
                <w:bCs/>
                <w:color w:val="auto"/>
                <w:sz w:val="21"/>
                <w:highlight w:val="none"/>
              </w:rPr>
              <w:t>万元”</w:t>
            </w:r>
            <w:r>
              <w:rPr>
                <w:rFonts w:hint="eastAsia" w:ascii="黑体" w:hAnsi="黑体" w:eastAsia="黑体"/>
                <w:color w:val="auto"/>
                <w:sz w:val="21"/>
                <w:highlight w:val="none"/>
              </w:rPr>
              <w:t>，以农牧民增收为出发点，农村居民人均可支配收入突破</w:t>
            </w:r>
            <w:r>
              <w:rPr>
                <w:rFonts w:ascii="黑体" w:hAnsi="黑体" w:eastAsia="黑体"/>
                <w:color w:val="auto"/>
                <w:sz w:val="21"/>
                <w:highlight w:val="none"/>
              </w:rPr>
              <w:t>2</w:t>
            </w:r>
            <w:r>
              <w:rPr>
                <w:rFonts w:hint="eastAsia" w:ascii="黑体" w:hAnsi="黑体" w:eastAsia="黑体"/>
                <w:color w:val="auto"/>
                <w:sz w:val="21"/>
                <w:highlight w:val="none"/>
              </w:rPr>
              <w:t>万元，持续高速提高农牧民收入水平；</w:t>
            </w:r>
          </w:p>
          <w:p>
            <w:pPr>
              <w:spacing w:line="400" w:lineRule="exact"/>
              <w:ind w:firstLine="422" w:firstLineChars="200"/>
              <w:rPr>
                <w:rFonts w:ascii="黑体" w:hAnsi="黑体" w:eastAsia="黑体"/>
                <w:color w:val="auto"/>
                <w:sz w:val="21"/>
                <w:highlight w:val="none"/>
              </w:rPr>
            </w:pPr>
            <w:r>
              <w:rPr>
                <w:rFonts w:hint="eastAsia" w:ascii="黑体" w:hAnsi="黑体" w:eastAsia="黑体"/>
                <w:b/>
                <w:bCs/>
                <w:color w:val="auto"/>
                <w:sz w:val="21"/>
                <w:highlight w:val="none"/>
              </w:rPr>
              <w:t>实现“</w:t>
            </w:r>
            <w:r>
              <w:rPr>
                <w:rFonts w:ascii="黑体" w:hAnsi="黑体" w:eastAsia="黑体"/>
                <w:b/>
                <w:bCs/>
                <w:color w:val="auto"/>
                <w:sz w:val="21"/>
                <w:highlight w:val="none"/>
              </w:rPr>
              <w:t>4</w:t>
            </w:r>
            <w:r>
              <w:rPr>
                <w:rFonts w:hint="eastAsia" w:ascii="黑体" w:hAnsi="黑体" w:eastAsia="黑体"/>
                <w:b/>
                <w:bCs/>
                <w:color w:val="auto"/>
                <w:sz w:val="21"/>
                <w:highlight w:val="none"/>
              </w:rPr>
              <w:t>个增长点”</w:t>
            </w:r>
            <w:r>
              <w:rPr>
                <w:rFonts w:hint="eastAsia" w:ascii="黑体" w:hAnsi="黑体" w:eastAsia="黑体"/>
                <w:color w:val="auto"/>
                <w:sz w:val="21"/>
                <w:highlight w:val="none"/>
              </w:rPr>
              <w:t>，在经济发展上，以经济发展为统揽，全州农业总产值增速达</w:t>
            </w:r>
            <w:r>
              <w:rPr>
                <w:rFonts w:ascii="黑体" w:hAnsi="黑体" w:eastAsia="黑体"/>
                <w:color w:val="auto"/>
                <w:sz w:val="21"/>
                <w:highlight w:val="none"/>
              </w:rPr>
              <w:t>4</w:t>
            </w:r>
            <w:r>
              <w:rPr>
                <w:rFonts w:hint="eastAsia" w:ascii="黑体" w:hAnsi="黑体" w:eastAsia="黑体"/>
                <w:color w:val="auto"/>
                <w:sz w:val="21"/>
                <w:highlight w:val="none"/>
              </w:rPr>
              <w:t>%，为全州农业农村现代化奠定初步经济基础；</w:t>
            </w:r>
          </w:p>
          <w:p>
            <w:pPr>
              <w:spacing w:line="400" w:lineRule="exact"/>
              <w:ind w:firstLine="422" w:firstLineChars="200"/>
              <w:rPr>
                <w:rFonts w:ascii="黑体" w:hAnsi="黑体" w:eastAsia="黑体"/>
                <w:color w:val="auto"/>
                <w:sz w:val="21"/>
                <w:highlight w:val="none"/>
              </w:rPr>
            </w:pPr>
            <w:r>
              <w:rPr>
                <w:rFonts w:hint="eastAsia" w:ascii="黑体" w:hAnsi="黑体" w:eastAsia="黑体"/>
                <w:b/>
                <w:bCs/>
                <w:color w:val="auto"/>
                <w:sz w:val="21"/>
                <w:highlight w:val="none"/>
              </w:rPr>
              <w:t>构建“</w:t>
            </w:r>
            <w:r>
              <w:rPr>
                <w:rFonts w:ascii="黑体" w:hAnsi="黑体" w:eastAsia="黑体"/>
                <w:b/>
                <w:bCs/>
                <w:color w:val="auto"/>
                <w:sz w:val="21"/>
                <w:highlight w:val="none"/>
              </w:rPr>
              <w:t>10</w:t>
            </w:r>
            <w:r>
              <w:rPr>
                <w:rFonts w:hint="eastAsia" w:ascii="黑体" w:hAnsi="黑体" w:eastAsia="黑体"/>
                <w:b/>
                <w:bCs/>
                <w:color w:val="auto"/>
                <w:sz w:val="21"/>
                <w:highlight w:val="none"/>
                <w:lang w:eastAsia="zh-CN"/>
              </w:rPr>
              <w:t>＋</w:t>
            </w:r>
            <w:r>
              <w:rPr>
                <w:rFonts w:ascii="黑体" w:hAnsi="黑体" w:eastAsia="黑体"/>
                <w:b/>
                <w:bCs/>
                <w:color w:val="auto"/>
                <w:sz w:val="21"/>
                <w:highlight w:val="none"/>
              </w:rPr>
              <w:t>2</w:t>
            </w:r>
            <w:r>
              <w:rPr>
                <w:rFonts w:hint="eastAsia" w:ascii="黑体" w:hAnsi="黑体" w:eastAsia="黑体"/>
                <w:b/>
                <w:bCs/>
                <w:color w:val="auto"/>
                <w:sz w:val="21"/>
                <w:highlight w:val="none"/>
              </w:rPr>
              <w:t>”产业体系</w:t>
            </w:r>
            <w:r>
              <w:rPr>
                <w:rFonts w:hint="eastAsia" w:ascii="黑体" w:hAnsi="黑体" w:eastAsia="黑体"/>
                <w:color w:val="auto"/>
                <w:sz w:val="21"/>
                <w:highlight w:val="none"/>
              </w:rPr>
              <w:t>：推进“圣洁甘孜”酒、肉、粮、油、水、果、蔬、茶、菌、药</w:t>
            </w:r>
            <w:r>
              <w:rPr>
                <w:rFonts w:ascii="黑体" w:hAnsi="黑体" w:eastAsia="黑体"/>
                <w:color w:val="auto"/>
                <w:sz w:val="21"/>
                <w:highlight w:val="none"/>
              </w:rPr>
              <w:t>10</w:t>
            </w:r>
            <w:r>
              <w:rPr>
                <w:rFonts w:hint="eastAsia" w:ascii="黑体" w:hAnsi="黑体" w:eastAsia="黑体"/>
                <w:color w:val="auto"/>
                <w:sz w:val="21"/>
                <w:highlight w:val="none"/>
              </w:rPr>
              <w:t>大优势特色产业全产业链融合发展，夯实现代农业种业、烘干冷链物流</w:t>
            </w:r>
            <w:r>
              <w:rPr>
                <w:rFonts w:ascii="黑体" w:hAnsi="黑体" w:eastAsia="黑体"/>
                <w:color w:val="auto"/>
                <w:sz w:val="21"/>
                <w:highlight w:val="none"/>
              </w:rPr>
              <w:t>2</w:t>
            </w:r>
            <w:r>
              <w:rPr>
                <w:rFonts w:hint="eastAsia" w:ascii="黑体" w:hAnsi="黑体" w:eastAsia="黑体"/>
                <w:color w:val="auto"/>
                <w:sz w:val="21"/>
                <w:highlight w:val="none"/>
              </w:rPr>
              <w:t>大先导性支撑产业，构建现代农业“</w:t>
            </w:r>
            <w:r>
              <w:rPr>
                <w:rFonts w:ascii="黑体" w:hAnsi="黑体" w:eastAsia="黑体"/>
                <w:color w:val="auto"/>
                <w:sz w:val="21"/>
                <w:highlight w:val="none"/>
              </w:rPr>
              <w:t>10</w:t>
            </w:r>
            <w:r>
              <w:rPr>
                <w:rFonts w:hint="eastAsia" w:ascii="黑体" w:hAnsi="黑体" w:eastAsia="黑体"/>
                <w:color w:val="auto"/>
                <w:sz w:val="21"/>
                <w:highlight w:val="none"/>
                <w:lang w:eastAsia="zh-CN"/>
              </w:rPr>
              <w:t>＋</w:t>
            </w:r>
            <w:r>
              <w:rPr>
                <w:rFonts w:ascii="黑体" w:hAnsi="黑体" w:eastAsia="黑体"/>
                <w:color w:val="auto"/>
                <w:sz w:val="21"/>
                <w:highlight w:val="none"/>
              </w:rPr>
              <w:t>2</w:t>
            </w:r>
            <w:r>
              <w:rPr>
                <w:rFonts w:hint="eastAsia" w:ascii="黑体" w:hAnsi="黑体" w:eastAsia="黑体"/>
                <w:color w:val="auto"/>
                <w:sz w:val="21"/>
                <w:highlight w:val="none"/>
              </w:rPr>
              <w:t>”产业体系；</w:t>
            </w:r>
          </w:p>
          <w:p>
            <w:pPr>
              <w:spacing w:line="400" w:lineRule="exact"/>
              <w:ind w:firstLine="422" w:firstLineChars="200"/>
              <w:rPr>
                <w:rFonts w:ascii="黑体" w:hAnsi="黑体" w:eastAsia="黑体"/>
                <w:color w:val="auto"/>
                <w:sz w:val="21"/>
                <w:highlight w:val="none"/>
              </w:rPr>
            </w:pPr>
            <w:r>
              <w:rPr>
                <w:rFonts w:hint="eastAsia" w:ascii="黑体" w:hAnsi="黑体" w:eastAsia="黑体"/>
                <w:b/>
                <w:bCs/>
                <w:color w:val="auto"/>
                <w:sz w:val="21"/>
                <w:highlight w:val="none"/>
              </w:rPr>
              <w:t>推进“三江六带现代农业产业”：</w:t>
            </w:r>
            <w:r>
              <w:rPr>
                <w:rFonts w:hint="eastAsia" w:ascii="黑体" w:hAnsi="黑体" w:eastAsia="黑体"/>
                <w:b w:val="0"/>
                <w:bCs w:val="0"/>
                <w:color w:val="auto"/>
                <w:sz w:val="21"/>
                <w:highlight w:val="none"/>
              </w:rPr>
              <w:t>以优化产业结构为目的，打破县域行政区划界限，在大渡河、金沙江、雅砻江三大流域建设六个现代农业产业带。</w:t>
            </w:r>
          </w:p>
          <w:p>
            <w:pPr>
              <w:spacing w:line="400" w:lineRule="exact"/>
              <w:ind w:firstLine="422" w:firstLineChars="200"/>
              <w:rPr>
                <w:rFonts w:ascii="黑体" w:hAnsi="黑体" w:eastAsia="黑体"/>
                <w:color w:val="auto"/>
                <w:sz w:val="21"/>
                <w:highlight w:val="none"/>
              </w:rPr>
            </w:pPr>
            <w:r>
              <w:rPr>
                <w:rFonts w:hint="eastAsia" w:ascii="黑体" w:hAnsi="黑体" w:eastAsia="黑体"/>
                <w:b/>
                <w:color w:val="auto"/>
                <w:sz w:val="21"/>
                <w:highlight w:val="none"/>
              </w:rPr>
              <w:t>实施“四大产业”工程，促进现代畜牧业发展。</w:t>
            </w:r>
            <w:r>
              <w:rPr>
                <w:rFonts w:hint="eastAsia" w:ascii="黑体" w:hAnsi="黑体" w:eastAsia="黑体"/>
                <w:color w:val="auto"/>
                <w:sz w:val="21"/>
                <w:highlight w:val="none"/>
              </w:rPr>
              <w:t>建设藏（生）猪生产基地乡布局（</w:t>
            </w:r>
            <w:r>
              <w:rPr>
                <w:rFonts w:ascii="黑体" w:hAnsi="黑体" w:eastAsia="黑体"/>
                <w:color w:val="auto"/>
                <w:sz w:val="21"/>
                <w:highlight w:val="none"/>
              </w:rPr>
              <w:t>78</w:t>
            </w:r>
            <w:r>
              <w:rPr>
                <w:rFonts w:hint="eastAsia" w:ascii="黑体" w:hAnsi="黑体" w:eastAsia="黑体"/>
                <w:color w:val="auto"/>
                <w:sz w:val="21"/>
                <w:highlight w:val="none"/>
              </w:rPr>
              <w:t>个），东部布局</w:t>
            </w:r>
            <w:r>
              <w:rPr>
                <w:rFonts w:ascii="黑体" w:hAnsi="黑体" w:eastAsia="黑体"/>
                <w:color w:val="auto"/>
                <w:sz w:val="21"/>
                <w:highlight w:val="none"/>
              </w:rPr>
              <w:t>34</w:t>
            </w:r>
            <w:r>
              <w:rPr>
                <w:rFonts w:hint="eastAsia" w:ascii="黑体" w:hAnsi="黑体" w:eastAsia="黑体"/>
                <w:color w:val="auto"/>
                <w:sz w:val="21"/>
                <w:highlight w:val="none"/>
              </w:rPr>
              <w:t>个，南部布局</w:t>
            </w:r>
            <w:r>
              <w:rPr>
                <w:rFonts w:ascii="黑体" w:hAnsi="黑体" w:eastAsia="黑体"/>
                <w:color w:val="auto"/>
                <w:sz w:val="21"/>
                <w:highlight w:val="none"/>
              </w:rPr>
              <w:t>30</w:t>
            </w:r>
            <w:r>
              <w:rPr>
                <w:rFonts w:hint="eastAsia" w:ascii="黑体" w:hAnsi="黑体" w:eastAsia="黑体"/>
                <w:color w:val="auto"/>
                <w:sz w:val="21"/>
                <w:highlight w:val="none"/>
              </w:rPr>
              <w:t>个，北部布局</w:t>
            </w:r>
            <w:r>
              <w:rPr>
                <w:rFonts w:ascii="黑体" w:hAnsi="黑体" w:eastAsia="黑体"/>
                <w:color w:val="auto"/>
                <w:sz w:val="21"/>
                <w:highlight w:val="none"/>
              </w:rPr>
              <w:t>14</w:t>
            </w:r>
            <w:r>
              <w:rPr>
                <w:rFonts w:hint="eastAsia" w:ascii="黑体" w:hAnsi="黑体" w:eastAsia="黑体"/>
                <w:color w:val="auto"/>
                <w:sz w:val="21"/>
                <w:highlight w:val="none"/>
              </w:rPr>
              <w:t>个；新建集体牧场</w:t>
            </w:r>
            <w:r>
              <w:rPr>
                <w:rFonts w:ascii="黑体" w:hAnsi="黑体" w:eastAsia="黑体"/>
                <w:color w:val="auto"/>
                <w:sz w:val="21"/>
                <w:highlight w:val="none"/>
              </w:rPr>
              <w:t>100</w:t>
            </w:r>
            <w:r>
              <w:rPr>
                <w:rFonts w:hint="eastAsia" w:ascii="黑体" w:hAnsi="黑体" w:eastAsia="黑体"/>
                <w:color w:val="auto"/>
                <w:sz w:val="21"/>
                <w:highlight w:val="none"/>
              </w:rPr>
              <w:t>个、牦牛标准化适度规模养殖场</w:t>
            </w:r>
            <w:r>
              <w:rPr>
                <w:rFonts w:ascii="黑体" w:hAnsi="黑体" w:eastAsia="黑体"/>
                <w:color w:val="auto"/>
                <w:sz w:val="21"/>
                <w:highlight w:val="none"/>
              </w:rPr>
              <w:t>700</w:t>
            </w:r>
            <w:r>
              <w:rPr>
                <w:rFonts w:hint="eastAsia" w:ascii="黑体" w:hAnsi="黑体" w:eastAsia="黑体"/>
                <w:color w:val="auto"/>
                <w:sz w:val="21"/>
                <w:highlight w:val="none"/>
              </w:rPr>
              <w:t>个、扶持养殖大户</w:t>
            </w:r>
            <w:r>
              <w:rPr>
                <w:rFonts w:ascii="黑体" w:hAnsi="黑体" w:eastAsia="黑体"/>
                <w:color w:val="auto"/>
                <w:sz w:val="21"/>
                <w:highlight w:val="none"/>
              </w:rPr>
              <w:t>8000</w:t>
            </w:r>
            <w:r>
              <w:rPr>
                <w:rFonts w:hint="eastAsia" w:ascii="黑体" w:hAnsi="黑体" w:eastAsia="黑体"/>
                <w:color w:val="auto"/>
                <w:sz w:val="21"/>
                <w:highlight w:val="none"/>
              </w:rPr>
              <w:t>户；建设奶源基地</w:t>
            </w:r>
            <w:r>
              <w:rPr>
                <w:rFonts w:ascii="黑体" w:hAnsi="黑体" w:eastAsia="黑体"/>
                <w:color w:val="auto"/>
                <w:sz w:val="21"/>
                <w:highlight w:val="none"/>
              </w:rPr>
              <w:t>9</w:t>
            </w:r>
            <w:r>
              <w:rPr>
                <w:rFonts w:hint="eastAsia" w:ascii="黑体" w:hAnsi="黑体" w:eastAsia="黑体"/>
                <w:color w:val="auto"/>
                <w:sz w:val="21"/>
                <w:highlight w:val="none"/>
              </w:rPr>
              <w:t>个，</w:t>
            </w:r>
            <w:r>
              <w:rPr>
                <w:rFonts w:ascii="黑体" w:hAnsi="黑体" w:eastAsia="黑体"/>
                <w:color w:val="auto"/>
                <w:sz w:val="21"/>
                <w:highlight w:val="none"/>
              </w:rPr>
              <w:t>100</w:t>
            </w:r>
            <w:r>
              <w:rPr>
                <w:rFonts w:hint="eastAsia" w:ascii="黑体" w:hAnsi="黑体" w:eastAsia="黑体"/>
                <w:color w:val="auto"/>
                <w:sz w:val="21"/>
                <w:highlight w:val="none"/>
              </w:rPr>
              <w:t>个牦牛奶收购点，牦牛奶产业化加工达</w:t>
            </w:r>
            <w:r>
              <w:rPr>
                <w:rFonts w:ascii="黑体" w:hAnsi="黑体" w:eastAsia="黑体"/>
                <w:color w:val="auto"/>
                <w:sz w:val="21"/>
                <w:highlight w:val="none"/>
              </w:rPr>
              <w:t>5000</w:t>
            </w:r>
            <w:r>
              <w:rPr>
                <w:rFonts w:hint="eastAsia" w:ascii="黑体" w:hAnsi="黑体" w:eastAsia="黑体"/>
                <w:color w:val="auto"/>
                <w:sz w:val="21"/>
                <w:highlight w:val="none"/>
              </w:rPr>
              <w:t>吨以上；建设牧区防灾抗灾牧草储备基地</w:t>
            </w:r>
            <w:r>
              <w:rPr>
                <w:rFonts w:ascii="黑体" w:hAnsi="黑体" w:eastAsia="黑体"/>
                <w:color w:val="auto"/>
                <w:sz w:val="21"/>
                <w:highlight w:val="none"/>
              </w:rPr>
              <w:t>5</w:t>
            </w:r>
            <w:r>
              <w:rPr>
                <w:rFonts w:hint="eastAsia" w:ascii="黑体" w:hAnsi="黑体" w:eastAsia="黑体"/>
                <w:color w:val="auto"/>
                <w:sz w:val="21"/>
                <w:highlight w:val="none"/>
              </w:rPr>
              <w:t>万亩、牧草种子基地</w:t>
            </w:r>
            <w:r>
              <w:rPr>
                <w:rFonts w:ascii="黑体" w:hAnsi="黑体" w:eastAsia="黑体"/>
                <w:color w:val="auto"/>
                <w:sz w:val="21"/>
                <w:highlight w:val="none"/>
              </w:rPr>
              <w:t>1</w:t>
            </w:r>
            <w:r>
              <w:rPr>
                <w:rFonts w:hint="eastAsia" w:ascii="黑体" w:hAnsi="黑体" w:eastAsia="黑体"/>
                <w:color w:val="auto"/>
                <w:sz w:val="21"/>
                <w:highlight w:val="none"/>
              </w:rPr>
              <w:t>万亩、人工种草地建设</w:t>
            </w:r>
            <w:r>
              <w:rPr>
                <w:rFonts w:ascii="黑体" w:hAnsi="黑体" w:eastAsia="黑体"/>
                <w:color w:val="auto"/>
                <w:sz w:val="21"/>
                <w:highlight w:val="none"/>
              </w:rPr>
              <w:t>20</w:t>
            </w:r>
            <w:r>
              <w:rPr>
                <w:rFonts w:hint="eastAsia" w:ascii="黑体" w:hAnsi="黑体" w:eastAsia="黑体"/>
                <w:color w:val="auto"/>
                <w:sz w:val="21"/>
                <w:highlight w:val="none"/>
              </w:rPr>
              <w:t>万亩、半农半牧区种草养畜</w:t>
            </w:r>
            <w:r>
              <w:rPr>
                <w:rFonts w:ascii="黑体" w:hAnsi="黑体" w:eastAsia="黑体"/>
                <w:color w:val="auto"/>
                <w:sz w:val="21"/>
                <w:highlight w:val="none"/>
              </w:rPr>
              <w:t>5</w:t>
            </w:r>
            <w:r>
              <w:rPr>
                <w:rFonts w:hint="eastAsia" w:ascii="黑体" w:hAnsi="黑体" w:eastAsia="黑体"/>
                <w:color w:val="auto"/>
                <w:sz w:val="21"/>
                <w:highlight w:val="none"/>
              </w:rPr>
              <w:t>万亩。（附图</w:t>
            </w:r>
            <w:r>
              <w:rPr>
                <w:rFonts w:ascii="黑体" w:hAnsi="黑体" w:eastAsia="黑体"/>
                <w:color w:val="auto"/>
                <w:sz w:val="21"/>
                <w:highlight w:val="none"/>
              </w:rPr>
              <w:t>8</w:t>
            </w:r>
            <w:r>
              <w:rPr>
                <w:rFonts w:hint="eastAsia" w:ascii="黑体" w:hAnsi="黑体" w:eastAsia="黑体"/>
                <w:color w:val="auto"/>
                <w:sz w:val="21"/>
                <w:highlight w:val="none"/>
              </w:rPr>
              <w:t>）</w:t>
            </w:r>
          </w:p>
          <w:p>
            <w:pPr>
              <w:spacing w:line="400" w:lineRule="exact"/>
              <w:ind w:firstLine="420" w:firstLineChars="200"/>
              <w:rPr>
                <w:rFonts w:ascii="黑体" w:hAnsi="黑体" w:eastAsia="黑体"/>
                <w:b/>
                <w:color w:val="auto"/>
                <w:sz w:val="21"/>
                <w:highlight w:val="none"/>
              </w:rPr>
            </w:pPr>
            <w:r>
              <w:rPr>
                <w:rFonts w:ascii="黑体" w:hAnsi="黑体" w:eastAsia="黑体"/>
                <w:color w:val="auto"/>
                <w:sz w:val="21"/>
                <w:highlight w:val="none"/>
              </w:rPr>
              <mc:AlternateContent>
                <mc:Choice Requires="wps">
                  <w:drawing>
                    <wp:anchor distT="45720" distB="45720" distL="114300" distR="114300" simplePos="0" relativeHeight="251691008" behindDoc="0" locked="0" layoutInCell="1" allowOverlap="1">
                      <wp:simplePos x="0" y="0"/>
                      <wp:positionH relativeFrom="column">
                        <wp:posOffset>3010535</wp:posOffset>
                      </wp:positionH>
                      <wp:positionV relativeFrom="paragraph">
                        <wp:posOffset>7593965</wp:posOffset>
                      </wp:positionV>
                      <wp:extent cx="3097530" cy="405130"/>
                      <wp:effectExtent l="0" t="0" r="0" b="0"/>
                      <wp:wrapNone/>
                      <wp:docPr id="4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097530" cy="405130"/>
                              </a:xfrm>
                              <a:prstGeom prst="rect">
                                <a:avLst/>
                              </a:prstGeom>
                              <a:noFill/>
                              <a:ln w="9525">
                                <a:noFill/>
                                <a:miter lim="800000"/>
                              </a:ln>
                            </wps:spPr>
                            <wps:txbx>
                              <w:txbxContent>
                                <w:p>
                                  <w:pPr>
                                    <w:jc w:val="center"/>
                                    <w:rPr>
                                      <w:rFonts w:hint="eastAsia" w:ascii="楷体" w:hAnsi="楷体" w:eastAsia="楷体" w:cs="楷体"/>
                                      <w:sz w:val="21"/>
                                      <w:szCs w:val="21"/>
                                    </w:rPr>
                                  </w:pPr>
                                  <w:r>
                                    <w:rPr>
                                      <w:rFonts w:hint="eastAsia" w:ascii="楷体" w:hAnsi="楷体" w:eastAsia="楷体" w:cs="楷体"/>
                                      <w:sz w:val="21"/>
                                      <w:szCs w:val="21"/>
                                    </w:rPr>
                                    <w:t>附图11 甘孜州“十四五”现代种业布局图</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37.05pt;margin-top:597.95pt;height:31.9pt;width:243.9pt;z-index:251691008;mso-width-relative:page;mso-height-relative:page;" filled="f" stroked="f" coordsize="21600,21600" o:gfxdata="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zD&#10;qIHZAAAADQEAAA8AAAAAAAAAAQAgAAAAIgAAAGRycy9kb3ducmV2LnhtbFBLAQIUABQAAAAIAIdO&#10;4kAE3smGIgIAACoEAAAOAAAAAAAAAAEAIAAAACgBAABkcnMvZTJvRG9jLnhtbFBLBQYAAAAABgAG&#10;AFkBAAC8BQAAAAA=&#10;">
                      <v:fill on="f" focussize="0,0"/>
                      <v:stroke on="f" miterlimit="8" joinstyle="miter"/>
                      <v:imagedata o:title=""/>
                      <o:lock v:ext="edit" aspectratio="f"/>
                      <v:textbox>
                        <w:txbxContent>
                          <w:p>
                            <w:pPr>
                              <w:jc w:val="center"/>
                              <w:rPr>
                                <w:rFonts w:hint="eastAsia" w:ascii="楷体" w:hAnsi="楷体" w:eastAsia="楷体" w:cs="楷体"/>
                                <w:sz w:val="21"/>
                                <w:szCs w:val="21"/>
                              </w:rPr>
                            </w:pPr>
                            <w:r>
                              <w:rPr>
                                <w:rFonts w:hint="eastAsia" w:ascii="楷体" w:hAnsi="楷体" w:eastAsia="楷体" w:cs="楷体"/>
                                <w:sz w:val="21"/>
                                <w:szCs w:val="21"/>
                              </w:rPr>
                              <w:t>附图11 甘孜州“十四五”现代种业布局图</w:t>
                            </w:r>
                          </w:p>
                        </w:txbxContent>
                      </v:textbox>
                    </v:shape>
                  </w:pict>
                </mc:Fallback>
              </mc:AlternateContent>
            </w:r>
            <w:r>
              <w:rPr>
                <w:rFonts w:ascii="黑体" w:hAnsi="黑体" w:eastAsia="黑体"/>
                <w:color w:val="auto"/>
                <w:sz w:val="21"/>
                <w:highlight w:val="none"/>
              </w:rPr>
              <mc:AlternateContent>
                <mc:Choice Requires="wps">
                  <w:drawing>
                    <wp:anchor distT="45720" distB="45720" distL="114300" distR="114300" simplePos="0" relativeHeight="251689984" behindDoc="0" locked="0" layoutInCell="1" allowOverlap="1">
                      <wp:simplePos x="0" y="0"/>
                      <wp:positionH relativeFrom="column">
                        <wp:posOffset>-64770</wp:posOffset>
                      </wp:positionH>
                      <wp:positionV relativeFrom="paragraph">
                        <wp:posOffset>7602855</wp:posOffset>
                      </wp:positionV>
                      <wp:extent cx="3034030" cy="405130"/>
                      <wp:effectExtent l="0" t="0" r="0" b="0"/>
                      <wp:wrapNone/>
                      <wp:docPr id="4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034030" cy="405130"/>
                              </a:xfrm>
                              <a:prstGeom prst="rect">
                                <a:avLst/>
                              </a:prstGeom>
                              <a:noFill/>
                              <a:ln w="9525">
                                <a:noFill/>
                                <a:miter lim="800000"/>
                              </a:ln>
                            </wps:spPr>
                            <wps:txbx>
                              <w:txbxContent>
                                <w:p>
                                  <w:pPr>
                                    <w:jc w:val="center"/>
                                    <w:rPr>
                                      <w:rFonts w:hint="eastAsia" w:ascii="楷体" w:hAnsi="楷体" w:eastAsia="楷体" w:cs="楷体"/>
                                      <w:sz w:val="21"/>
                                      <w:szCs w:val="21"/>
                                    </w:rPr>
                                  </w:pPr>
                                  <w:r>
                                    <w:rPr>
                                      <w:rFonts w:hint="eastAsia" w:ascii="楷体" w:hAnsi="楷体" w:eastAsia="楷体" w:cs="楷体"/>
                                      <w:sz w:val="21"/>
                                      <w:szCs w:val="21"/>
                                    </w:rPr>
                                    <w:t>附图10 甘孜州“十四五”现代农业园区布局图</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5.1pt;margin-top:598.65pt;height:31.9pt;width:238.9pt;z-index:251689984;mso-width-relative:page;mso-height-relative:page;" filled="f" stroked="f" coordsize="21600,21600" o:gfxdata="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6L&#10;8ybZAAAADQEAAA8AAAAAAAAAAQAgAAAAIgAAAGRycy9kb3ducmV2LnhtbFBLAQIUABQAAAAIAIdO&#10;4kDDPdr9IgIAACoEAAAOAAAAAAAAAAEAIAAAACgBAABkcnMvZTJvRG9jLnhtbFBLBQYAAAAABgAG&#10;AFkBAAC8BQAAAAA=&#10;">
                      <v:fill on="f" focussize="0,0"/>
                      <v:stroke on="f" miterlimit="8" joinstyle="miter"/>
                      <v:imagedata o:title=""/>
                      <o:lock v:ext="edit" aspectratio="f"/>
                      <v:textbox>
                        <w:txbxContent>
                          <w:p>
                            <w:pPr>
                              <w:jc w:val="center"/>
                              <w:rPr>
                                <w:rFonts w:hint="eastAsia" w:ascii="楷体" w:hAnsi="楷体" w:eastAsia="楷体" w:cs="楷体"/>
                                <w:sz w:val="21"/>
                                <w:szCs w:val="21"/>
                              </w:rPr>
                            </w:pPr>
                            <w:r>
                              <w:rPr>
                                <w:rFonts w:hint="eastAsia" w:ascii="楷体" w:hAnsi="楷体" w:eastAsia="楷体" w:cs="楷体"/>
                                <w:sz w:val="21"/>
                                <w:szCs w:val="21"/>
                              </w:rPr>
                              <w:t>附图10 甘孜州“十四五”现代农业园区布局图</w:t>
                            </w:r>
                          </w:p>
                        </w:txbxContent>
                      </v:textbox>
                    </v:shape>
                  </w:pict>
                </mc:Fallback>
              </mc:AlternateContent>
            </w:r>
            <w:r>
              <w:rPr>
                <w:rFonts w:ascii="黑体" w:hAnsi="黑体" w:eastAsia="黑体" w:cs="楷体"/>
                <w:color w:val="auto"/>
                <w:sz w:val="21"/>
                <w:szCs w:val="21"/>
                <w:highlight w:val="none"/>
              </w:rPr>
              <mc:AlternateContent>
                <mc:Choice Requires="wps">
                  <w:drawing>
                    <wp:anchor distT="45720" distB="45720" distL="114300" distR="114300" simplePos="0" relativeHeight="251686912" behindDoc="0" locked="0" layoutInCell="1" allowOverlap="1">
                      <wp:simplePos x="0" y="0"/>
                      <wp:positionH relativeFrom="column">
                        <wp:posOffset>2996565</wp:posOffset>
                      </wp:positionH>
                      <wp:positionV relativeFrom="paragraph">
                        <wp:posOffset>3476625</wp:posOffset>
                      </wp:positionV>
                      <wp:extent cx="3097530" cy="405130"/>
                      <wp:effectExtent l="0" t="0" r="0" b="0"/>
                      <wp:wrapNone/>
                      <wp:docPr id="38"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097530" cy="405130"/>
                              </a:xfrm>
                              <a:prstGeom prst="rect">
                                <a:avLst/>
                              </a:prstGeom>
                              <a:noFill/>
                              <a:ln w="9525">
                                <a:noFill/>
                                <a:miter lim="800000"/>
                              </a:ln>
                            </wps:spPr>
                            <wps:txbx>
                              <w:txbxContent>
                                <w:p>
                                  <w:pPr>
                                    <w:jc w:val="center"/>
                                    <w:rPr>
                                      <w:rFonts w:ascii="Times New Roman" w:hAnsi="Times New Roman" w:eastAsia="方正楷体_GBK" w:cs="楷体"/>
                                      <w:sz w:val="21"/>
                                      <w:szCs w:val="21"/>
                                    </w:rPr>
                                  </w:pPr>
                                  <w:r>
                                    <w:rPr>
                                      <w:rFonts w:hint="eastAsia" w:ascii="楷体" w:hAnsi="楷体" w:eastAsia="楷体" w:cs="楷体"/>
                                      <w:sz w:val="21"/>
                                      <w:szCs w:val="21"/>
                                      <w:lang w:val="en-US" w:eastAsia="zh-CN"/>
                                    </w:rPr>
                                    <w:t>附</w:t>
                                  </w:r>
                                  <w:r>
                                    <w:rPr>
                                      <w:rFonts w:hint="eastAsia" w:ascii="楷体" w:hAnsi="楷体" w:eastAsia="楷体" w:cs="楷体"/>
                                      <w:sz w:val="21"/>
                                      <w:szCs w:val="21"/>
                                    </w:rPr>
                                    <w:t>图9 甘孜州“十四五”高原特色产业布局图</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35.95pt;margin-top:273.75pt;height:31.9pt;width:243.9pt;z-index:251686912;mso-width-relative:page;mso-height-relative:page;" filled="f" stroked="f" coordsize="21600,21600" o:gfxdata="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paPH&#10;udgAAAALAQAADwAAAAAAAAABACAAAAAiAAAAZHJzL2Rvd25yZXYueG1sUEsBAhQAFAAAAAgAh07i&#10;QN0EZ0oiAgAAKgQAAA4AAAAAAAAAAQAgAAAAJwEAAGRycy9lMm9Eb2MueG1sUEsFBgAAAAAGAAYA&#10;WQEAALsFAAAAAA==&#10;">
                      <v:fill on="f" focussize="0,0"/>
                      <v:stroke on="f" miterlimit="8" joinstyle="miter"/>
                      <v:imagedata o:title=""/>
                      <o:lock v:ext="edit" aspectratio="f"/>
                      <v:textbox>
                        <w:txbxContent>
                          <w:p>
                            <w:pPr>
                              <w:jc w:val="center"/>
                              <w:rPr>
                                <w:rFonts w:ascii="Times New Roman" w:hAnsi="Times New Roman" w:eastAsia="方正楷体_GBK" w:cs="楷体"/>
                                <w:sz w:val="21"/>
                                <w:szCs w:val="21"/>
                              </w:rPr>
                            </w:pPr>
                            <w:r>
                              <w:rPr>
                                <w:rFonts w:hint="eastAsia" w:ascii="楷体" w:hAnsi="楷体" w:eastAsia="楷体" w:cs="楷体"/>
                                <w:sz w:val="21"/>
                                <w:szCs w:val="21"/>
                                <w:lang w:val="en-US" w:eastAsia="zh-CN"/>
                              </w:rPr>
                              <w:t>附</w:t>
                            </w:r>
                            <w:r>
                              <w:rPr>
                                <w:rFonts w:hint="eastAsia" w:ascii="楷体" w:hAnsi="楷体" w:eastAsia="楷体" w:cs="楷体"/>
                                <w:sz w:val="21"/>
                                <w:szCs w:val="21"/>
                              </w:rPr>
                              <w:t>图9 甘孜州“十四五”高原特色产业布局图</w:t>
                            </w:r>
                          </w:p>
                        </w:txbxContent>
                      </v:textbox>
                    </v:shape>
                  </w:pict>
                </mc:Fallback>
              </mc:AlternateContent>
            </w:r>
            <w:r>
              <w:rPr>
                <w:rFonts w:ascii="黑体" w:hAnsi="黑体" w:eastAsia="黑体" w:cs="楷体"/>
                <w:color w:val="auto"/>
                <w:sz w:val="21"/>
                <w:szCs w:val="21"/>
                <w:highlight w:val="none"/>
              </w:rPr>
              <mc:AlternateContent>
                <mc:Choice Requires="wps">
                  <w:drawing>
                    <wp:anchor distT="45720" distB="45720" distL="114300" distR="114300" simplePos="0" relativeHeight="251685888" behindDoc="0" locked="0" layoutInCell="1" allowOverlap="1">
                      <wp:simplePos x="0" y="0"/>
                      <wp:positionH relativeFrom="column">
                        <wp:posOffset>-94615</wp:posOffset>
                      </wp:positionH>
                      <wp:positionV relativeFrom="paragraph">
                        <wp:posOffset>3511550</wp:posOffset>
                      </wp:positionV>
                      <wp:extent cx="3034030" cy="353695"/>
                      <wp:effectExtent l="0" t="0" r="0" b="0"/>
                      <wp:wrapNone/>
                      <wp:docPr id="3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034145" cy="353695"/>
                              </a:xfrm>
                              <a:prstGeom prst="rect">
                                <a:avLst/>
                              </a:prstGeom>
                              <a:noFill/>
                              <a:ln w="9525">
                                <a:noFill/>
                                <a:miter lim="800000"/>
                              </a:ln>
                            </wps:spPr>
                            <wps:txbx>
                              <w:txbxContent>
                                <w:p>
                                  <w:pPr>
                                    <w:jc w:val="center"/>
                                    <w:rPr>
                                      <w:rFonts w:hint="eastAsia" w:ascii="楷体" w:hAnsi="楷体" w:eastAsia="楷体" w:cs="楷体"/>
                                      <w:sz w:val="21"/>
                                      <w:szCs w:val="21"/>
                                    </w:rPr>
                                  </w:pPr>
                                  <w:r>
                                    <w:rPr>
                                      <w:rFonts w:hint="eastAsia" w:ascii="楷体" w:hAnsi="楷体" w:eastAsia="楷体" w:cs="楷体"/>
                                      <w:sz w:val="21"/>
                                      <w:szCs w:val="21"/>
                                    </w:rPr>
                                    <w:t>附图8 甘孜州“十四五”肉（畜禽）产业布局图</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7.45pt;margin-top:276.5pt;height:27.85pt;width:238.9pt;z-index:251685888;mso-width-relative:page;mso-height-relative:page;" filled="f" stroked="f" coordsize="21600,21600" o:gfxdata="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CsM65dkAAAALAQAADwAAAAAAAAABACAAAAAiAAAAZHJzL2Rvd25yZXYueG1sUEsBAhQAFAAAAAgA&#10;h07iQAXavMckAgAAKgQAAA4AAAAAAAAAAQAgAAAAKAEAAGRycy9lMm9Eb2MueG1sUEsFBgAAAAAG&#10;AAYAWQEAAL4FAAAAAA==&#10;">
                      <v:fill on="f" focussize="0,0"/>
                      <v:stroke on="f" miterlimit="8" joinstyle="miter"/>
                      <v:imagedata o:title=""/>
                      <o:lock v:ext="edit" aspectratio="f"/>
                      <v:textbox>
                        <w:txbxContent>
                          <w:p>
                            <w:pPr>
                              <w:jc w:val="center"/>
                              <w:rPr>
                                <w:rFonts w:hint="eastAsia" w:ascii="楷体" w:hAnsi="楷体" w:eastAsia="楷体" w:cs="楷体"/>
                                <w:sz w:val="21"/>
                                <w:szCs w:val="21"/>
                              </w:rPr>
                            </w:pPr>
                            <w:r>
                              <w:rPr>
                                <w:rFonts w:hint="eastAsia" w:ascii="楷体" w:hAnsi="楷体" w:eastAsia="楷体" w:cs="楷体"/>
                                <w:sz w:val="21"/>
                                <w:szCs w:val="21"/>
                              </w:rPr>
                              <w:t>附图8 甘孜州“十四五”肉（畜禽）产业布局图</w:t>
                            </w:r>
                          </w:p>
                        </w:txbxContent>
                      </v:textbox>
                    </v:shape>
                  </w:pict>
                </mc:Fallback>
              </mc:AlternateContent>
            </w:r>
            <w:r>
              <w:rPr>
                <w:rFonts w:ascii="黑体" w:hAnsi="黑体" w:eastAsia="黑体"/>
                <w:color w:val="auto"/>
                <w:highlight w:val="none"/>
              </w:rPr>
              <w:drawing>
                <wp:anchor distT="0" distB="0" distL="114300" distR="114300" simplePos="0" relativeHeight="251683840" behindDoc="0" locked="0" layoutInCell="1" allowOverlap="1">
                  <wp:simplePos x="0" y="0"/>
                  <wp:positionH relativeFrom="column">
                    <wp:posOffset>-60960</wp:posOffset>
                  </wp:positionH>
                  <wp:positionV relativeFrom="paragraph">
                    <wp:posOffset>-1486535</wp:posOffset>
                  </wp:positionV>
                  <wp:extent cx="2936240" cy="3614420"/>
                  <wp:effectExtent l="0" t="0" r="0" b="5715"/>
                  <wp:wrapSquare wrapText="bothSides"/>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1" cstate="print">
                            <a:extLst>
                              <a:ext uri="{28A0092B-C50C-407E-A947-70E740481C1C}">
                                <a14:useLocalDpi xmlns:a14="http://schemas.microsoft.com/office/drawing/2010/main" val="0"/>
                              </a:ext>
                            </a:extLst>
                          </a:blip>
                          <a:srcRect l="3805" t="9943" r="3393" b="5955"/>
                          <a:stretch>
                            <a:fillRect/>
                          </a:stretch>
                        </pic:blipFill>
                        <pic:spPr>
                          <a:xfrm>
                            <a:off x="0" y="0"/>
                            <a:ext cx="2937659" cy="3615881"/>
                          </a:xfrm>
                          <a:prstGeom prst="rect">
                            <a:avLst/>
                          </a:prstGeom>
                          <a:noFill/>
                          <a:ln>
                            <a:noFill/>
                          </a:ln>
                        </pic:spPr>
                      </pic:pic>
                    </a:graphicData>
                  </a:graphic>
                </wp:anchor>
              </w:drawing>
            </w:r>
            <w:r>
              <w:rPr>
                <w:rFonts w:ascii="黑体" w:hAnsi="黑体" w:eastAsia="黑体"/>
                <w:color w:val="auto"/>
                <w:highlight w:val="none"/>
              </w:rPr>
              <w:drawing>
                <wp:anchor distT="0" distB="0" distL="0" distR="0" simplePos="0" relativeHeight="251688960" behindDoc="1" locked="0" layoutInCell="1" allowOverlap="1">
                  <wp:simplePos x="0" y="0"/>
                  <wp:positionH relativeFrom="column">
                    <wp:posOffset>2972435</wp:posOffset>
                  </wp:positionH>
                  <wp:positionV relativeFrom="paragraph">
                    <wp:posOffset>3793490</wp:posOffset>
                  </wp:positionV>
                  <wp:extent cx="3023235" cy="3816985"/>
                  <wp:effectExtent l="0" t="0" r="9525" b="8255"/>
                  <wp:wrapSquare wrapText="bothSides"/>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32" cstate="print">
                            <a:extLst>
                              <a:ext uri="{28A0092B-C50C-407E-A947-70E740481C1C}">
                                <a14:useLocalDpi xmlns:a14="http://schemas.microsoft.com/office/drawing/2010/main" val="0"/>
                              </a:ext>
                            </a:extLst>
                          </a:blip>
                          <a:srcRect l="3868" t="9894" r="3896" b="5887"/>
                          <a:stretch>
                            <a:fillRect/>
                          </a:stretch>
                        </pic:blipFill>
                        <pic:spPr>
                          <a:xfrm>
                            <a:off x="0" y="0"/>
                            <a:ext cx="3023235" cy="3816985"/>
                          </a:xfrm>
                          <a:prstGeom prst="rect">
                            <a:avLst/>
                          </a:prstGeom>
                          <a:noFill/>
                          <a:ln>
                            <a:noFill/>
                          </a:ln>
                        </pic:spPr>
                      </pic:pic>
                    </a:graphicData>
                  </a:graphic>
                </wp:anchor>
              </w:drawing>
            </w:r>
            <w:r>
              <w:rPr>
                <w:rFonts w:hint="eastAsia" w:ascii="黑体" w:hAnsi="黑体" w:eastAsia="黑体"/>
                <w:color w:val="auto"/>
                <w:highlight w:val="none"/>
              </w:rPr>
              <w:drawing>
                <wp:anchor distT="0" distB="0" distL="114300" distR="114300" simplePos="0" relativeHeight="251687936" behindDoc="0" locked="0" layoutInCell="1" allowOverlap="1">
                  <wp:simplePos x="0" y="0"/>
                  <wp:positionH relativeFrom="column">
                    <wp:posOffset>-64770</wp:posOffset>
                  </wp:positionH>
                  <wp:positionV relativeFrom="paragraph">
                    <wp:posOffset>3796665</wp:posOffset>
                  </wp:positionV>
                  <wp:extent cx="2936240" cy="3836670"/>
                  <wp:effectExtent l="0" t="0" r="0" b="0"/>
                  <wp:wrapTopAndBottom/>
                  <wp:docPr id="39" name="图片 39" descr="03甘孜州“十四五”现代农业园区布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03甘孜州“十四五”现代农业园区布局图"/>
                          <pic:cNvPicPr>
                            <a:picLocks noChangeAspect="1"/>
                          </pic:cNvPicPr>
                        </pic:nvPicPr>
                        <pic:blipFill>
                          <a:blip r:embed="rId33"/>
                          <a:srcRect l="3149" t="9880" r="3524" b="5920"/>
                          <a:stretch>
                            <a:fillRect/>
                          </a:stretch>
                        </pic:blipFill>
                        <pic:spPr>
                          <a:xfrm>
                            <a:off x="0" y="0"/>
                            <a:ext cx="2936240" cy="3836670"/>
                          </a:xfrm>
                          <a:prstGeom prst="rect">
                            <a:avLst/>
                          </a:prstGeom>
                          <a:ln>
                            <a:noFill/>
                          </a:ln>
                        </pic:spPr>
                      </pic:pic>
                    </a:graphicData>
                  </a:graphic>
                </wp:anchor>
              </w:drawing>
            </w:r>
            <w:r>
              <w:rPr>
                <w:rFonts w:ascii="黑体" w:hAnsi="黑体" w:eastAsia="黑体"/>
                <w:color w:val="auto"/>
                <w:highlight w:val="none"/>
              </w:rPr>
              <w:drawing>
                <wp:anchor distT="0" distB="0" distL="114300" distR="114300" simplePos="0" relativeHeight="251684864" behindDoc="0" locked="0" layoutInCell="1" allowOverlap="1">
                  <wp:simplePos x="0" y="0"/>
                  <wp:positionH relativeFrom="column">
                    <wp:posOffset>2972435</wp:posOffset>
                  </wp:positionH>
                  <wp:positionV relativeFrom="paragraph">
                    <wp:posOffset>0</wp:posOffset>
                  </wp:positionV>
                  <wp:extent cx="3097530" cy="3574415"/>
                  <wp:effectExtent l="0" t="0" r="7620" b="6985"/>
                  <wp:wrapSquare wrapText="bothSides"/>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34" cstate="print">
                            <a:extLst>
                              <a:ext uri="{28A0092B-C50C-407E-A947-70E740481C1C}">
                                <a14:useLocalDpi xmlns:a14="http://schemas.microsoft.com/office/drawing/2010/main" val="0"/>
                              </a:ext>
                            </a:extLst>
                          </a:blip>
                          <a:srcRect l="4189" t="10276" r="3636" b="17193"/>
                          <a:stretch>
                            <a:fillRect/>
                          </a:stretch>
                        </pic:blipFill>
                        <pic:spPr>
                          <a:xfrm>
                            <a:off x="0" y="0"/>
                            <a:ext cx="3101532" cy="3579091"/>
                          </a:xfrm>
                          <a:prstGeom prst="rect">
                            <a:avLst/>
                          </a:prstGeom>
                          <a:noFill/>
                          <a:ln>
                            <a:noFill/>
                          </a:ln>
                        </pic:spPr>
                      </pic:pic>
                    </a:graphicData>
                  </a:graphic>
                </wp:anchor>
              </w:drawing>
            </w:r>
          </w:p>
          <w:p>
            <w:pPr>
              <w:spacing w:line="400" w:lineRule="exact"/>
              <w:ind w:firstLine="422" w:firstLineChars="200"/>
              <w:rPr>
                <w:rFonts w:ascii="黑体" w:hAnsi="黑体" w:eastAsia="黑体"/>
                <w:color w:val="auto"/>
                <w:sz w:val="21"/>
                <w:highlight w:val="none"/>
              </w:rPr>
            </w:pPr>
            <w:r>
              <w:rPr>
                <w:rFonts w:hint="eastAsia" w:ascii="黑体" w:hAnsi="黑体" w:eastAsia="黑体"/>
                <w:b/>
                <w:color w:val="auto"/>
                <w:sz w:val="21"/>
                <w:highlight w:val="none"/>
              </w:rPr>
              <w:t>健全产业基地。</w:t>
            </w:r>
            <w:r>
              <w:rPr>
                <w:rFonts w:hint="eastAsia" w:ascii="黑体" w:hAnsi="黑体" w:eastAsia="黑体"/>
                <w:color w:val="auto"/>
                <w:sz w:val="21"/>
                <w:highlight w:val="none"/>
              </w:rPr>
              <w:t>加快粮、油、果、蔬、茶、菌、药、酒、水高原特色农业发展。（附图</w:t>
            </w:r>
            <w:r>
              <w:rPr>
                <w:rFonts w:ascii="黑体" w:hAnsi="黑体" w:eastAsia="黑体"/>
                <w:color w:val="auto"/>
                <w:sz w:val="21"/>
                <w:highlight w:val="none"/>
              </w:rPr>
              <w:t>9</w:t>
            </w:r>
            <w:r>
              <w:rPr>
                <w:rFonts w:hint="eastAsia" w:ascii="黑体" w:hAnsi="黑体" w:eastAsia="黑体"/>
                <w:color w:val="auto"/>
                <w:sz w:val="21"/>
                <w:highlight w:val="none"/>
              </w:rPr>
              <w:t>）</w:t>
            </w:r>
          </w:p>
          <w:p>
            <w:pPr>
              <w:spacing w:line="400" w:lineRule="exact"/>
              <w:ind w:firstLine="422" w:firstLineChars="200"/>
              <w:rPr>
                <w:rFonts w:ascii="黑体" w:hAnsi="黑体" w:eastAsia="黑体" w:cs="楷体"/>
                <w:color w:val="auto"/>
                <w:sz w:val="21"/>
                <w:szCs w:val="21"/>
                <w:highlight w:val="none"/>
              </w:rPr>
            </w:pPr>
            <w:r>
              <w:rPr>
                <w:rFonts w:hint="eastAsia" w:ascii="黑体" w:hAnsi="黑体" w:eastAsia="黑体"/>
                <w:b/>
                <w:color w:val="auto"/>
                <w:sz w:val="21"/>
                <w:highlight w:val="none"/>
              </w:rPr>
              <w:t>现代农业园区建设，</w:t>
            </w:r>
            <w:r>
              <w:rPr>
                <w:rFonts w:hint="eastAsia" w:ascii="黑体" w:hAnsi="黑体" w:eastAsia="黑体"/>
                <w:color w:val="auto"/>
                <w:sz w:val="21"/>
                <w:highlight w:val="none"/>
              </w:rPr>
              <w:t>创建</w:t>
            </w:r>
            <w:r>
              <w:rPr>
                <w:rFonts w:ascii="黑体" w:hAnsi="黑体" w:eastAsia="黑体"/>
                <w:color w:val="auto"/>
                <w:sz w:val="21"/>
                <w:highlight w:val="none"/>
              </w:rPr>
              <w:t>1</w:t>
            </w:r>
            <w:r>
              <w:rPr>
                <w:rFonts w:hint="eastAsia" w:ascii="黑体" w:hAnsi="黑体" w:eastAsia="黑体"/>
                <w:color w:val="auto"/>
                <w:sz w:val="21"/>
                <w:highlight w:val="none"/>
              </w:rPr>
              <w:t>个国家级现代农业园区；创建</w:t>
            </w:r>
            <w:r>
              <w:rPr>
                <w:rFonts w:hint="eastAsia" w:ascii="黑体" w:hAnsi="黑体" w:eastAsia="黑体"/>
                <w:color w:val="auto"/>
                <w:sz w:val="21"/>
                <w:highlight w:val="none"/>
                <w:lang w:val="en-US" w:eastAsia="zh-CN"/>
              </w:rPr>
              <w:t>10</w:t>
            </w:r>
            <w:r>
              <w:rPr>
                <w:rFonts w:hint="eastAsia" w:ascii="黑体" w:hAnsi="黑体" w:eastAsia="黑体"/>
                <w:color w:val="auto"/>
                <w:sz w:val="21"/>
                <w:highlight w:val="none"/>
              </w:rPr>
              <w:t>个省级现代农</w:t>
            </w:r>
            <w:r>
              <w:rPr>
                <w:rFonts w:hint="eastAsia" w:ascii="黑体" w:hAnsi="黑体" w:eastAsia="黑体"/>
                <w:color w:val="auto"/>
                <w:sz w:val="21"/>
                <w:highlight w:val="none"/>
                <w:lang w:eastAsia="zh-CN"/>
              </w:rPr>
              <w:t>（</w:t>
            </w:r>
            <w:r>
              <w:rPr>
                <w:rFonts w:hint="eastAsia" w:ascii="黑体" w:hAnsi="黑体" w:eastAsia="黑体"/>
                <w:color w:val="auto"/>
                <w:sz w:val="21"/>
                <w:highlight w:val="none"/>
                <w:lang w:val="en-US" w:eastAsia="zh-CN"/>
              </w:rPr>
              <w:t>林</w:t>
            </w:r>
            <w:r>
              <w:rPr>
                <w:rFonts w:hint="eastAsia" w:ascii="黑体" w:hAnsi="黑体" w:eastAsia="黑体"/>
                <w:color w:val="auto"/>
                <w:sz w:val="21"/>
                <w:highlight w:val="none"/>
                <w:lang w:eastAsia="zh-CN"/>
              </w:rPr>
              <w:t>）</w:t>
            </w:r>
            <w:r>
              <w:rPr>
                <w:rFonts w:hint="eastAsia" w:ascii="黑体" w:hAnsi="黑体" w:eastAsia="黑体"/>
                <w:color w:val="auto"/>
                <w:sz w:val="21"/>
                <w:highlight w:val="none"/>
              </w:rPr>
              <w:t>业园区；创建</w:t>
            </w:r>
            <w:r>
              <w:rPr>
                <w:rFonts w:hint="eastAsia" w:ascii="黑体" w:hAnsi="黑体" w:eastAsia="黑体"/>
                <w:color w:val="auto"/>
                <w:sz w:val="21"/>
                <w:highlight w:val="none"/>
                <w:lang w:val="en-US" w:eastAsia="zh-CN"/>
              </w:rPr>
              <w:t>30</w:t>
            </w:r>
            <w:r>
              <w:rPr>
                <w:rFonts w:hint="eastAsia" w:ascii="黑体" w:hAnsi="黑体" w:eastAsia="黑体"/>
                <w:color w:val="auto"/>
                <w:sz w:val="21"/>
                <w:highlight w:val="none"/>
              </w:rPr>
              <w:t>个以上州级现代农</w:t>
            </w:r>
            <w:r>
              <w:rPr>
                <w:rFonts w:hint="eastAsia" w:ascii="黑体" w:hAnsi="黑体" w:eastAsia="黑体"/>
                <w:color w:val="auto"/>
                <w:sz w:val="21"/>
                <w:highlight w:val="none"/>
                <w:lang w:eastAsia="zh-CN"/>
              </w:rPr>
              <w:t>（</w:t>
            </w:r>
            <w:r>
              <w:rPr>
                <w:rFonts w:hint="eastAsia" w:ascii="黑体" w:hAnsi="黑体" w:eastAsia="黑体"/>
                <w:color w:val="auto"/>
                <w:sz w:val="21"/>
                <w:highlight w:val="none"/>
                <w:lang w:val="en-US" w:eastAsia="zh-CN"/>
              </w:rPr>
              <w:t>林</w:t>
            </w:r>
            <w:r>
              <w:rPr>
                <w:rFonts w:hint="eastAsia" w:ascii="黑体" w:hAnsi="黑体" w:eastAsia="黑体"/>
                <w:color w:val="auto"/>
                <w:sz w:val="21"/>
                <w:highlight w:val="none"/>
                <w:lang w:eastAsia="zh-CN"/>
              </w:rPr>
              <w:t>）</w:t>
            </w:r>
            <w:r>
              <w:rPr>
                <w:rFonts w:hint="eastAsia" w:ascii="黑体" w:hAnsi="黑体" w:eastAsia="黑体"/>
                <w:color w:val="auto"/>
                <w:sz w:val="21"/>
                <w:highlight w:val="none"/>
              </w:rPr>
              <w:t>业园区，N个县级现代农</w:t>
            </w:r>
            <w:r>
              <w:rPr>
                <w:rFonts w:hint="eastAsia" w:ascii="黑体" w:hAnsi="黑体" w:eastAsia="黑体"/>
                <w:color w:val="auto"/>
                <w:sz w:val="21"/>
                <w:highlight w:val="none"/>
                <w:lang w:eastAsia="zh-CN"/>
              </w:rPr>
              <w:t>（</w:t>
            </w:r>
            <w:r>
              <w:rPr>
                <w:rFonts w:hint="eastAsia" w:ascii="黑体" w:hAnsi="黑体" w:eastAsia="黑体"/>
                <w:color w:val="auto"/>
                <w:sz w:val="21"/>
                <w:highlight w:val="none"/>
                <w:lang w:val="en-US" w:eastAsia="zh-CN"/>
              </w:rPr>
              <w:t>林</w:t>
            </w:r>
            <w:r>
              <w:rPr>
                <w:rFonts w:hint="eastAsia" w:ascii="黑体" w:hAnsi="黑体" w:eastAsia="黑体"/>
                <w:color w:val="auto"/>
                <w:sz w:val="21"/>
                <w:highlight w:val="none"/>
                <w:lang w:eastAsia="zh-CN"/>
              </w:rPr>
              <w:t>）</w:t>
            </w:r>
            <w:r>
              <w:rPr>
                <w:rFonts w:hint="eastAsia" w:ascii="黑体" w:hAnsi="黑体" w:eastAsia="黑体"/>
                <w:color w:val="auto"/>
                <w:sz w:val="21"/>
                <w:highlight w:val="none"/>
              </w:rPr>
              <w:t>业园区，形成“</w:t>
            </w:r>
            <w:r>
              <w:rPr>
                <w:rFonts w:ascii="黑体" w:hAnsi="黑体" w:eastAsia="黑体"/>
                <w:color w:val="auto"/>
                <w:sz w:val="21"/>
                <w:highlight w:val="none"/>
              </w:rPr>
              <w:t>1</w:t>
            </w:r>
            <w:r>
              <w:rPr>
                <w:rFonts w:hint="eastAsia" w:ascii="黑体" w:hAnsi="黑体" w:eastAsia="黑体"/>
                <w:color w:val="auto"/>
                <w:sz w:val="21"/>
                <w:highlight w:val="none"/>
                <w:lang w:eastAsia="zh-CN"/>
              </w:rPr>
              <w:t>＋</w:t>
            </w:r>
            <w:r>
              <w:rPr>
                <w:rFonts w:hint="eastAsia" w:ascii="黑体" w:hAnsi="黑体" w:eastAsia="黑体"/>
                <w:color w:val="auto"/>
                <w:sz w:val="21"/>
                <w:highlight w:val="none"/>
                <w:lang w:val="en-US" w:eastAsia="zh-CN"/>
              </w:rPr>
              <w:t>10</w:t>
            </w:r>
            <w:r>
              <w:rPr>
                <w:rFonts w:hint="eastAsia" w:ascii="黑体" w:hAnsi="黑体" w:eastAsia="黑体"/>
                <w:color w:val="auto"/>
                <w:sz w:val="21"/>
                <w:highlight w:val="none"/>
                <w:lang w:eastAsia="zh-CN"/>
              </w:rPr>
              <w:t>＋</w:t>
            </w:r>
            <w:r>
              <w:rPr>
                <w:rFonts w:hint="eastAsia" w:ascii="黑体" w:hAnsi="黑体" w:eastAsia="黑体"/>
                <w:color w:val="auto"/>
                <w:sz w:val="21"/>
                <w:highlight w:val="none"/>
                <w:lang w:val="en-US" w:eastAsia="zh-CN"/>
              </w:rPr>
              <w:t>30</w:t>
            </w:r>
            <w:r>
              <w:rPr>
                <w:rFonts w:hint="eastAsia" w:ascii="黑体" w:hAnsi="黑体" w:eastAsia="黑体"/>
                <w:color w:val="auto"/>
                <w:sz w:val="21"/>
                <w:highlight w:val="none"/>
                <w:lang w:eastAsia="zh-CN"/>
              </w:rPr>
              <w:t>＋</w:t>
            </w:r>
            <w:r>
              <w:rPr>
                <w:rFonts w:hint="eastAsia" w:ascii="黑体" w:hAnsi="黑体" w:eastAsia="黑体"/>
                <w:color w:val="auto"/>
                <w:sz w:val="21"/>
                <w:highlight w:val="none"/>
              </w:rPr>
              <w:t>N”的高原生态特色现代农业园区发展格局。</w:t>
            </w:r>
            <w:r>
              <w:rPr>
                <w:rFonts w:hint="eastAsia" w:ascii="黑体" w:hAnsi="黑体" w:eastAsia="黑体"/>
                <w:color w:val="auto"/>
                <w:sz w:val="21"/>
                <w:highlight w:val="none"/>
                <w:lang w:eastAsia="zh-CN"/>
              </w:rPr>
              <w:t>（</w:t>
            </w:r>
            <w:r>
              <w:rPr>
                <w:rFonts w:hint="eastAsia" w:ascii="黑体" w:hAnsi="黑体" w:eastAsia="黑体"/>
                <w:color w:val="auto"/>
                <w:sz w:val="21"/>
                <w:highlight w:val="none"/>
              </w:rPr>
              <w:t>附图</w:t>
            </w:r>
            <w:r>
              <w:rPr>
                <w:rFonts w:ascii="黑体" w:hAnsi="黑体" w:eastAsia="黑体"/>
                <w:color w:val="auto"/>
                <w:sz w:val="21"/>
                <w:highlight w:val="none"/>
              </w:rPr>
              <w:t>10</w:t>
            </w:r>
            <w:r>
              <w:rPr>
                <w:rFonts w:hint="eastAsia" w:ascii="黑体" w:hAnsi="黑体" w:eastAsia="黑体"/>
                <w:color w:val="auto"/>
                <w:sz w:val="21"/>
                <w:highlight w:val="none"/>
                <w:lang w:eastAsia="zh-CN"/>
              </w:rPr>
              <w:t>）</w:t>
            </w:r>
            <w:r>
              <w:rPr>
                <w:rFonts w:ascii="黑体" w:hAnsi="黑体" w:eastAsia="黑体" w:cs="楷体"/>
                <w:color w:val="auto"/>
                <w:sz w:val="21"/>
                <w:szCs w:val="21"/>
                <w:highlight w:val="none"/>
              </w:rPr>
              <w:t xml:space="preserve"> </w:t>
            </w:r>
          </w:p>
          <w:p>
            <w:pPr>
              <w:spacing w:line="400" w:lineRule="exact"/>
              <w:ind w:firstLine="422" w:firstLineChars="200"/>
              <w:rPr>
                <w:rFonts w:ascii="黑体" w:hAnsi="黑体" w:eastAsia="黑体"/>
                <w:color w:val="auto"/>
                <w:sz w:val="21"/>
                <w:highlight w:val="none"/>
              </w:rPr>
            </w:pPr>
            <w:r>
              <w:rPr>
                <w:rFonts w:hint="eastAsia" w:ascii="黑体" w:hAnsi="黑体" w:eastAsia="黑体"/>
                <w:b/>
                <w:color w:val="auto"/>
                <w:sz w:val="21"/>
                <w:highlight w:val="none"/>
              </w:rPr>
              <w:t>提高现代种业水平</w:t>
            </w:r>
            <w:r>
              <w:rPr>
                <w:rFonts w:hint="eastAsia" w:ascii="黑体" w:hAnsi="黑体" w:eastAsia="黑体"/>
                <w:color w:val="auto"/>
                <w:sz w:val="21"/>
                <w:highlight w:val="none"/>
              </w:rPr>
              <w:t>（附图</w:t>
            </w:r>
            <w:r>
              <w:rPr>
                <w:rFonts w:ascii="黑体" w:hAnsi="黑体" w:eastAsia="黑体"/>
                <w:color w:val="auto"/>
                <w:sz w:val="21"/>
                <w:highlight w:val="none"/>
              </w:rPr>
              <w:t>11</w:t>
            </w:r>
            <w:r>
              <w:rPr>
                <w:rFonts w:hint="eastAsia" w:ascii="黑体" w:hAnsi="黑体" w:eastAsia="黑体"/>
                <w:color w:val="auto"/>
                <w:sz w:val="21"/>
                <w:highlight w:val="none"/>
              </w:rPr>
              <w:t>）；</w:t>
            </w:r>
            <w:r>
              <w:rPr>
                <w:rFonts w:hint="eastAsia" w:ascii="黑体" w:hAnsi="黑体" w:eastAsia="黑体"/>
                <w:b/>
                <w:color w:val="auto"/>
                <w:sz w:val="21"/>
                <w:highlight w:val="none"/>
              </w:rPr>
              <w:t>夯实烘干冷链物流基础</w:t>
            </w:r>
            <w:r>
              <w:rPr>
                <w:rFonts w:hint="eastAsia" w:ascii="黑体" w:hAnsi="黑体" w:eastAsia="黑体"/>
                <w:color w:val="auto"/>
                <w:sz w:val="21"/>
                <w:highlight w:val="none"/>
              </w:rPr>
              <w:t>（附图</w:t>
            </w:r>
            <w:r>
              <w:rPr>
                <w:rFonts w:ascii="黑体" w:hAnsi="黑体" w:eastAsia="黑体"/>
                <w:color w:val="auto"/>
                <w:sz w:val="21"/>
                <w:highlight w:val="none"/>
              </w:rPr>
              <w:t>12</w:t>
            </w:r>
            <w:r>
              <w:rPr>
                <w:rFonts w:hint="eastAsia" w:ascii="黑体" w:hAnsi="黑体" w:eastAsia="黑体"/>
                <w:color w:val="auto"/>
                <w:sz w:val="21"/>
                <w:highlight w:val="none"/>
              </w:rPr>
              <w:t>）</w:t>
            </w:r>
          </w:p>
          <w:p>
            <w:pPr>
              <w:spacing w:line="400" w:lineRule="exact"/>
              <w:ind w:firstLine="422" w:firstLineChars="200"/>
              <w:rPr>
                <w:rFonts w:ascii="黑体" w:hAnsi="黑体" w:eastAsia="黑体"/>
                <w:color w:val="auto"/>
                <w:sz w:val="21"/>
                <w:highlight w:val="none"/>
              </w:rPr>
            </w:pPr>
            <w:r>
              <w:rPr>
                <w:rFonts w:hint="eastAsia" w:ascii="黑体" w:hAnsi="黑体" w:eastAsia="黑体"/>
                <w:b/>
                <w:color w:val="auto"/>
                <w:sz w:val="21"/>
                <w:highlight w:val="none"/>
              </w:rPr>
              <w:t>推进数字农业，</w:t>
            </w:r>
            <w:r>
              <w:rPr>
                <w:rFonts w:hint="eastAsia" w:ascii="黑体" w:hAnsi="黑体" w:eastAsia="黑体"/>
                <w:color w:val="auto"/>
                <w:sz w:val="21"/>
                <w:highlight w:val="none"/>
              </w:rPr>
              <w:t>创建千亩以上全程全面机械化示范区</w:t>
            </w:r>
            <w:r>
              <w:rPr>
                <w:rFonts w:ascii="黑体" w:hAnsi="黑体" w:eastAsia="黑体"/>
                <w:color w:val="auto"/>
                <w:sz w:val="21"/>
                <w:highlight w:val="none"/>
              </w:rPr>
              <w:t>3</w:t>
            </w:r>
            <w:r>
              <w:rPr>
                <w:rFonts w:hint="eastAsia" w:ascii="黑体" w:hAnsi="黑体" w:eastAsia="黑体"/>
                <w:color w:val="auto"/>
                <w:sz w:val="21"/>
                <w:highlight w:val="none"/>
              </w:rPr>
              <w:t>个，建立“全程机械化</w:t>
            </w:r>
            <w:r>
              <w:rPr>
                <w:rFonts w:hint="eastAsia" w:ascii="黑体" w:hAnsi="黑体" w:eastAsia="黑体"/>
                <w:color w:val="auto"/>
                <w:sz w:val="21"/>
                <w:highlight w:val="none"/>
                <w:lang w:eastAsia="zh-CN"/>
              </w:rPr>
              <w:t>＋</w:t>
            </w:r>
            <w:r>
              <w:rPr>
                <w:rFonts w:hint="eastAsia" w:ascii="黑体" w:hAnsi="黑体" w:eastAsia="黑体"/>
                <w:color w:val="auto"/>
                <w:sz w:val="21"/>
                <w:highlight w:val="none"/>
              </w:rPr>
              <w:t>综合农事服务中心”</w:t>
            </w:r>
            <w:r>
              <w:rPr>
                <w:rFonts w:ascii="黑体" w:hAnsi="黑体" w:eastAsia="黑体"/>
                <w:color w:val="auto"/>
                <w:sz w:val="21"/>
                <w:highlight w:val="none"/>
              </w:rPr>
              <w:t>5</w:t>
            </w:r>
            <w:r>
              <w:rPr>
                <w:rFonts w:hint="eastAsia" w:ascii="黑体" w:hAnsi="黑体" w:eastAsia="黑体"/>
                <w:color w:val="auto"/>
                <w:sz w:val="21"/>
                <w:highlight w:val="none"/>
              </w:rPr>
              <w:t>个。</w:t>
            </w:r>
          </w:p>
          <w:p>
            <w:pPr>
              <w:pStyle w:val="10"/>
              <w:ind w:left="0" w:leftChars="0" w:firstLine="0" w:firstLineChars="0"/>
              <w:rPr>
                <w:rFonts w:ascii="黑体" w:hAnsi="黑体" w:eastAsia="黑体"/>
                <w:color w:val="auto"/>
                <w:highlight w:val="none"/>
              </w:rPr>
            </w:pPr>
            <w:r>
              <w:rPr>
                <w:rFonts w:ascii="黑体" w:hAnsi="黑体" w:eastAsia="黑体"/>
                <w:color w:val="auto"/>
                <w:sz w:val="21"/>
                <w:highlight w:val="none"/>
              </w:rPr>
              <mc:AlternateContent>
                <mc:Choice Requires="wps">
                  <w:drawing>
                    <wp:anchor distT="45720" distB="45720" distL="114300" distR="114300" simplePos="0" relativeHeight="251692032" behindDoc="0" locked="0" layoutInCell="1" allowOverlap="1">
                      <wp:simplePos x="0" y="0"/>
                      <wp:positionH relativeFrom="column">
                        <wp:posOffset>38100</wp:posOffset>
                      </wp:positionH>
                      <wp:positionV relativeFrom="paragraph">
                        <wp:posOffset>3860165</wp:posOffset>
                      </wp:positionV>
                      <wp:extent cx="3097530" cy="405130"/>
                      <wp:effectExtent l="0" t="0" r="0" b="0"/>
                      <wp:wrapNone/>
                      <wp:docPr id="4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097530" cy="405130"/>
                              </a:xfrm>
                              <a:prstGeom prst="rect">
                                <a:avLst/>
                              </a:prstGeom>
                              <a:noFill/>
                              <a:ln w="9525">
                                <a:noFill/>
                                <a:miter lim="800000"/>
                              </a:ln>
                            </wps:spPr>
                            <wps:txbx>
                              <w:txbxContent>
                                <w:p>
                                  <w:pPr>
                                    <w:jc w:val="center"/>
                                    <w:rPr>
                                      <w:rFonts w:hint="eastAsia" w:ascii="楷体" w:hAnsi="楷体" w:eastAsia="楷体" w:cs="楷体"/>
                                      <w:sz w:val="21"/>
                                      <w:szCs w:val="21"/>
                                    </w:rPr>
                                  </w:pPr>
                                  <w:r>
                                    <w:rPr>
                                      <w:rFonts w:hint="eastAsia" w:ascii="楷体" w:hAnsi="楷体" w:eastAsia="楷体" w:cs="楷体"/>
                                      <w:sz w:val="21"/>
                                      <w:szCs w:val="21"/>
                                      <w:lang w:val="en-US" w:eastAsia="zh-CN"/>
                                    </w:rPr>
                                    <w:t>附</w:t>
                                  </w:r>
                                  <w:r>
                                    <w:rPr>
                                      <w:rFonts w:hint="eastAsia" w:ascii="楷体" w:hAnsi="楷体" w:eastAsia="楷体" w:cs="楷体"/>
                                      <w:sz w:val="21"/>
                                      <w:szCs w:val="21"/>
                                    </w:rPr>
                                    <w:t>图12 甘孜州“十四五”冷链物流基地布局图</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pt;margin-top:303.95pt;height:31.9pt;width:243.9pt;z-index:251692032;mso-width-relative:page;mso-height-relative:page;" filled="f" stroked="f" coordsize="21600,21600" o:gfxdata="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aHj8j&#10;1wAAAAkBAAAPAAAAAAAAAAEAIAAAACIAAABkcnMvZG93bnJldi54bWxQSwECFAAUAAAACACHTuJA&#10;9cfZdyICAAAqBAAADgAAAAAAAAABACAAAAAmAQAAZHJzL2Uyb0RvYy54bWxQSwUGAAAAAAYABgBZ&#10;AQAAugUAAAAA&#10;">
                      <v:fill on="f" focussize="0,0"/>
                      <v:stroke on="f" miterlimit="8" joinstyle="miter"/>
                      <v:imagedata o:title=""/>
                      <o:lock v:ext="edit" aspectratio="f"/>
                      <v:textbox>
                        <w:txbxContent>
                          <w:p>
                            <w:pPr>
                              <w:jc w:val="center"/>
                              <w:rPr>
                                <w:rFonts w:hint="eastAsia" w:ascii="楷体" w:hAnsi="楷体" w:eastAsia="楷体" w:cs="楷体"/>
                                <w:sz w:val="21"/>
                                <w:szCs w:val="21"/>
                              </w:rPr>
                            </w:pPr>
                            <w:r>
                              <w:rPr>
                                <w:rFonts w:hint="eastAsia" w:ascii="楷体" w:hAnsi="楷体" w:eastAsia="楷体" w:cs="楷体"/>
                                <w:sz w:val="21"/>
                                <w:szCs w:val="21"/>
                                <w:lang w:val="en-US" w:eastAsia="zh-CN"/>
                              </w:rPr>
                              <w:t>附</w:t>
                            </w:r>
                            <w:r>
                              <w:rPr>
                                <w:rFonts w:hint="eastAsia" w:ascii="楷体" w:hAnsi="楷体" w:eastAsia="楷体" w:cs="楷体"/>
                                <w:sz w:val="21"/>
                                <w:szCs w:val="21"/>
                              </w:rPr>
                              <w:t>图12 甘孜州“十四五”冷链物流基地布局图</w:t>
                            </w:r>
                          </w:p>
                        </w:txbxContent>
                      </v:textbox>
                    </v:shape>
                  </w:pict>
                </mc:Fallback>
              </mc:AlternateContent>
            </w:r>
            <w:r>
              <w:rPr>
                <w:rFonts w:ascii="黑体" w:hAnsi="黑体" w:eastAsia="黑体"/>
                <w:color w:val="auto"/>
                <w:highlight w:val="none"/>
              </w:rPr>
              <w:drawing>
                <wp:inline distT="0" distB="0" distL="0" distR="0">
                  <wp:extent cx="3148330" cy="3885565"/>
                  <wp:effectExtent l="0" t="0" r="6350" b="63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35" cstate="print">
                            <a:extLst>
                              <a:ext uri="{28A0092B-C50C-407E-A947-70E740481C1C}">
                                <a14:useLocalDpi xmlns:a14="http://schemas.microsoft.com/office/drawing/2010/main" val="0"/>
                              </a:ext>
                            </a:extLst>
                          </a:blip>
                          <a:srcRect l="4165" t="10097" r="4183" b="5976"/>
                          <a:stretch>
                            <a:fillRect/>
                          </a:stretch>
                        </pic:blipFill>
                        <pic:spPr>
                          <a:xfrm>
                            <a:off x="0" y="0"/>
                            <a:ext cx="3148330" cy="3885565"/>
                          </a:xfrm>
                          <a:prstGeom prst="rect">
                            <a:avLst/>
                          </a:prstGeom>
                          <a:noFill/>
                          <a:ln>
                            <a:noFill/>
                          </a:ln>
                        </pic:spPr>
                      </pic:pic>
                    </a:graphicData>
                  </a:graphic>
                </wp:inline>
              </w:drawing>
            </w:r>
          </w:p>
          <w:p>
            <w:pPr>
              <w:pStyle w:val="10"/>
              <w:spacing w:line="240" w:lineRule="auto"/>
              <w:ind w:left="0" w:leftChars="0" w:firstLine="0" w:firstLineChars="0"/>
              <w:rPr>
                <w:rFonts w:ascii="黑体" w:hAnsi="黑体" w:eastAsia="黑体"/>
                <w:color w:val="auto"/>
                <w:sz w:val="21"/>
                <w:highlight w:val="none"/>
              </w:rPr>
            </w:pPr>
          </w:p>
        </w:tc>
      </w:tr>
      <w:tr>
        <w:tblPrEx>
          <w:tblCellMar>
            <w:top w:w="0" w:type="dxa"/>
            <w:left w:w="108" w:type="dxa"/>
            <w:bottom w:w="0" w:type="dxa"/>
            <w:right w:w="108" w:type="dxa"/>
          </w:tblCellMar>
        </w:tblPrEx>
        <w:tc>
          <w:tcPr>
            <w:tcW w:w="9781" w:type="dxa"/>
          </w:tcPr>
          <w:p>
            <w:pPr>
              <w:pStyle w:val="10"/>
              <w:spacing w:line="400" w:lineRule="exact"/>
              <w:ind w:left="0" w:leftChars="0" w:firstLine="344" w:firstLineChars="163"/>
              <w:rPr>
                <w:rFonts w:ascii="黑体" w:hAnsi="黑体" w:eastAsia="黑体" w:cs="楷体"/>
                <w:b/>
                <w:color w:val="auto"/>
                <w:sz w:val="21"/>
                <w:szCs w:val="21"/>
                <w:highlight w:val="none"/>
              </w:rPr>
            </w:pPr>
            <w:r>
              <w:rPr>
                <w:rFonts w:ascii="黑体" w:hAnsi="黑体" w:eastAsia="黑体"/>
                <w:b/>
                <w:color w:val="auto"/>
                <w:sz w:val="21"/>
                <w:szCs w:val="21"/>
                <w:highlight w:val="none"/>
              </w:rPr>
              <w:t>2</w:t>
            </w:r>
            <w:r>
              <w:rPr>
                <w:rFonts w:hint="eastAsia" w:ascii="黑体" w:hAnsi="黑体" w:eastAsia="黑体" w:cs="楷体"/>
                <w:b/>
                <w:color w:val="auto"/>
                <w:sz w:val="21"/>
                <w:szCs w:val="21"/>
                <w:highlight w:val="none"/>
              </w:rPr>
              <w:t>．《甘孜藏族自治州“十四五”生态环境保护与建设规划》</w:t>
            </w:r>
          </w:p>
          <w:p>
            <w:pPr>
              <w:pStyle w:val="10"/>
              <w:spacing w:line="400" w:lineRule="exact"/>
              <w:ind w:left="0" w:leftChars="0" w:firstLine="344" w:firstLineChars="163"/>
              <w:rPr>
                <w:rFonts w:ascii="黑体" w:hAnsi="黑体" w:eastAsia="黑体"/>
                <w:color w:val="auto"/>
                <w:sz w:val="21"/>
                <w:szCs w:val="21"/>
                <w:highlight w:val="none"/>
              </w:rPr>
            </w:pPr>
            <w:r>
              <w:rPr>
                <w:rFonts w:hint="eastAsia" w:ascii="黑体" w:hAnsi="黑体" w:eastAsia="黑体"/>
                <w:b/>
                <w:color w:val="auto"/>
                <w:sz w:val="21"/>
                <w:szCs w:val="21"/>
                <w:highlight w:val="none"/>
              </w:rPr>
              <w:t>强化生态环境空间分区管控。</w:t>
            </w:r>
            <w:r>
              <w:rPr>
                <w:rFonts w:hint="eastAsia" w:ascii="黑体" w:hAnsi="黑体" w:eastAsia="黑体"/>
                <w:color w:val="auto"/>
                <w:sz w:val="21"/>
                <w:szCs w:val="21"/>
                <w:highlight w:val="none"/>
              </w:rPr>
              <w:t>严格建设项目生态环境准入。（附图</w:t>
            </w:r>
            <w:r>
              <w:rPr>
                <w:rFonts w:ascii="黑体" w:hAnsi="黑体" w:eastAsia="黑体"/>
                <w:color w:val="auto"/>
                <w:sz w:val="21"/>
                <w:szCs w:val="21"/>
                <w:highlight w:val="none"/>
              </w:rPr>
              <w:t>13</w:t>
            </w:r>
            <w:r>
              <w:rPr>
                <w:rFonts w:hint="eastAsia" w:ascii="黑体" w:hAnsi="黑体" w:eastAsia="黑体"/>
                <w:color w:val="auto"/>
                <w:sz w:val="21"/>
                <w:szCs w:val="21"/>
                <w:highlight w:val="none"/>
              </w:rPr>
              <w:t>）</w:t>
            </w:r>
          </w:p>
          <w:p>
            <w:pPr>
              <w:pStyle w:val="10"/>
              <w:spacing w:line="400" w:lineRule="exact"/>
              <w:ind w:left="0" w:leftChars="0" w:firstLine="344" w:firstLineChars="163"/>
              <w:rPr>
                <w:rFonts w:ascii="黑体" w:hAnsi="黑体" w:eastAsia="黑体"/>
                <w:color w:val="auto"/>
                <w:sz w:val="21"/>
                <w:szCs w:val="21"/>
                <w:highlight w:val="none"/>
              </w:rPr>
            </w:pPr>
            <w:r>
              <w:rPr>
                <w:rFonts w:hint="eastAsia" w:ascii="黑体" w:hAnsi="黑体" w:eastAsia="黑体"/>
                <w:b/>
                <w:color w:val="auto"/>
                <w:sz w:val="21"/>
                <w:szCs w:val="21"/>
                <w:highlight w:val="none"/>
              </w:rPr>
              <w:t>加强重要生态区功能建设。</w:t>
            </w:r>
            <w:r>
              <w:rPr>
                <w:rFonts w:hint="eastAsia" w:ascii="黑体" w:hAnsi="黑体" w:eastAsia="黑体"/>
                <w:color w:val="auto"/>
                <w:sz w:val="21"/>
                <w:szCs w:val="21"/>
                <w:highlight w:val="none"/>
              </w:rPr>
              <w:t>川滇森林及生物多样性国家重点区建设。</w:t>
            </w:r>
          </w:p>
          <w:p>
            <w:pPr>
              <w:pStyle w:val="10"/>
              <w:spacing w:line="400" w:lineRule="exact"/>
              <w:ind w:left="0" w:leftChars="0" w:firstLine="344" w:firstLineChars="163"/>
              <w:rPr>
                <w:rFonts w:ascii="黑体" w:hAnsi="黑体" w:eastAsia="黑体"/>
                <w:color w:val="auto"/>
                <w:sz w:val="21"/>
                <w:szCs w:val="21"/>
                <w:highlight w:val="none"/>
              </w:rPr>
            </w:pPr>
            <w:r>
              <w:rPr>
                <w:rFonts w:hint="eastAsia" w:ascii="黑体" w:hAnsi="黑体" w:eastAsia="黑体"/>
                <w:b/>
                <w:color w:val="auto"/>
                <w:sz w:val="21"/>
                <w:szCs w:val="21"/>
                <w:highlight w:val="none"/>
              </w:rPr>
              <w:t>加强自然保护地建设</w:t>
            </w:r>
            <w:r>
              <w:rPr>
                <w:rFonts w:hint="eastAsia" w:ascii="黑体" w:hAnsi="黑体" w:eastAsia="黑体"/>
                <w:b/>
                <w:color w:val="auto"/>
                <w:sz w:val="21"/>
                <w:szCs w:val="21"/>
                <w:highlight w:val="none"/>
                <w:lang w:val="en-US" w:eastAsia="zh-CN"/>
              </w:rPr>
              <w:t>管理</w:t>
            </w:r>
            <w:r>
              <w:rPr>
                <w:rFonts w:hint="eastAsia" w:ascii="黑体" w:hAnsi="黑体" w:eastAsia="黑体"/>
                <w:b/>
                <w:color w:val="auto"/>
                <w:sz w:val="21"/>
                <w:szCs w:val="21"/>
                <w:highlight w:val="none"/>
              </w:rPr>
              <w:t>。</w:t>
            </w:r>
            <w:r>
              <w:rPr>
                <w:rFonts w:hint="eastAsia" w:ascii="黑体" w:hAnsi="黑体" w:eastAsia="黑体"/>
                <w:color w:val="auto"/>
                <w:sz w:val="21"/>
                <w:szCs w:val="21"/>
                <w:highlight w:val="none"/>
              </w:rPr>
              <w:t>探索建立以国家公园为主体、自然保护区为基础、各类自然公园为补充的自然保护地体系，推进石渠长沙贡玛、理塘海子山国家公园申报。</w:t>
            </w:r>
          </w:p>
          <w:p>
            <w:pPr>
              <w:pStyle w:val="10"/>
              <w:spacing w:line="400" w:lineRule="exact"/>
              <w:ind w:left="0" w:leftChars="0" w:firstLine="344" w:firstLineChars="163"/>
              <w:rPr>
                <w:rFonts w:ascii="黑体" w:hAnsi="黑体" w:eastAsia="黑体"/>
                <w:color w:val="auto"/>
                <w:sz w:val="21"/>
                <w:szCs w:val="21"/>
                <w:highlight w:val="none"/>
              </w:rPr>
            </w:pPr>
            <w:r>
              <w:rPr>
                <w:rFonts w:hint="eastAsia" w:ascii="黑体" w:hAnsi="黑体" w:eastAsia="黑体"/>
                <w:b/>
                <w:color w:val="auto"/>
                <w:sz w:val="21"/>
                <w:szCs w:val="21"/>
                <w:highlight w:val="none"/>
              </w:rPr>
              <w:t>推进碳汇资产建设。</w:t>
            </w:r>
            <w:r>
              <w:rPr>
                <w:rFonts w:hint="eastAsia" w:ascii="黑体" w:hAnsi="黑体" w:eastAsia="黑体"/>
                <w:color w:val="auto"/>
                <w:sz w:val="21"/>
                <w:szCs w:val="21"/>
                <w:highlight w:val="none"/>
              </w:rPr>
              <w:t>到</w:t>
            </w:r>
            <w:r>
              <w:rPr>
                <w:rFonts w:ascii="黑体" w:hAnsi="黑体" w:eastAsia="黑体"/>
                <w:color w:val="auto"/>
                <w:sz w:val="21"/>
                <w:szCs w:val="21"/>
                <w:highlight w:val="none"/>
              </w:rPr>
              <w:t>2025</w:t>
            </w:r>
            <w:r>
              <w:rPr>
                <w:rFonts w:hint="eastAsia" w:ascii="黑体" w:hAnsi="黑体" w:eastAsia="黑体"/>
                <w:color w:val="auto"/>
                <w:sz w:val="21"/>
                <w:szCs w:val="21"/>
                <w:highlight w:val="none"/>
              </w:rPr>
              <w:t>年，森林蓄积量达</w:t>
            </w:r>
            <w:r>
              <w:rPr>
                <w:rFonts w:ascii="黑体" w:hAnsi="黑体" w:eastAsia="黑体"/>
                <w:color w:val="auto"/>
                <w:sz w:val="21"/>
                <w:szCs w:val="21"/>
                <w:highlight w:val="none"/>
              </w:rPr>
              <w:t>4</w:t>
            </w:r>
            <w:r>
              <w:rPr>
                <w:rFonts w:hint="eastAsia" w:ascii="黑体" w:hAnsi="黑体" w:eastAsia="黑体"/>
                <w:color w:val="auto"/>
                <w:sz w:val="21"/>
                <w:szCs w:val="21"/>
                <w:highlight w:val="none"/>
              </w:rPr>
              <w:t>.</w:t>
            </w:r>
            <w:r>
              <w:rPr>
                <w:rFonts w:ascii="黑体" w:hAnsi="黑体" w:eastAsia="黑体"/>
                <w:color w:val="auto"/>
                <w:sz w:val="21"/>
                <w:szCs w:val="21"/>
                <w:highlight w:val="none"/>
              </w:rPr>
              <w:t>88</w:t>
            </w:r>
            <w:r>
              <w:rPr>
                <w:rFonts w:hint="eastAsia" w:ascii="黑体" w:hAnsi="黑体" w:eastAsia="黑体"/>
                <w:color w:val="auto"/>
                <w:sz w:val="21"/>
                <w:szCs w:val="21"/>
                <w:highlight w:val="none"/>
              </w:rPr>
              <w:t>亿立方米，在雅砻江、大渡河流域探索建设碳中和先行区，建成一批碳中和景区和零碳示范区。</w:t>
            </w:r>
          </w:p>
          <w:p>
            <w:pPr>
              <w:pStyle w:val="10"/>
              <w:spacing w:line="400" w:lineRule="exact"/>
              <w:ind w:left="0" w:leftChars="0" w:firstLine="344" w:firstLineChars="163"/>
              <w:rPr>
                <w:rFonts w:hint="eastAsia" w:ascii="黑体" w:hAnsi="黑体" w:eastAsia="黑体"/>
                <w:color w:val="auto"/>
                <w:sz w:val="21"/>
                <w:szCs w:val="21"/>
                <w:highlight w:val="none"/>
              </w:rPr>
            </w:pPr>
            <w:r>
              <w:rPr>
                <w:rFonts w:hint="eastAsia" w:ascii="黑体" w:hAnsi="黑体" w:eastAsia="黑体"/>
                <w:b/>
                <w:color w:val="auto"/>
                <w:sz w:val="21"/>
                <w:szCs w:val="21"/>
                <w:highlight w:val="none"/>
              </w:rPr>
              <w:t>增加发展可再生能源。</w:t>
            </w:r>
            <w:r>
              <w:rPr>
                <w:rFonts w:hint="eastAsia" w:ascii="黑体" w:hAnsi="黑体" w:eastAsia="黑体"/>
                <w:color w:val="auto"/>
                <w:sz w:val="21"/>
                <w:szCs w:val="21"/>
                <w:highlight w:val="none"/>
              </w:rPr>
              <w:t>连片推进康南、康北太阳能光伏基地建设，到</w:t>
            </w:r>
            <w:r>
              <w:rPr>
                <w:rFonts w:ascii="黑体" w:hAnsi="黑体" w:eastAsia="黑体"/>
                <w:color w:val="auto"/>
                <w:sz w:val="21"/>
                <w:szCs w:val="21"/>
                <w:highlight w:val="none"/>
              </w:rPr>
              <w:t>2025</w:t>
            </w:r>
            <w:r>
              <w:rPr>
                <w:rFonts w:hint="eastAsia" w:ascii="黑体" w:hAnsi="黑体" w:eastAsia="黑体"/>
                <w:color w:val="auto"/>
                <w:sz w:val="21"/>
                <w:szCs w:val="21"/>
                <w:highlight w:val="none"/>
              </w:rPr>
              <w:t>年，清洁能源新增装机</w:t>
            </w:r>
            <w:r>
              <w:rPr>
                <w:rFonts w:ascii="黑体" w:hAnsi="黑体" w:eastAsia="黑体"/>
                <w:color w:val="auto"/>
                <w:sz w:val="21"/>
                <w:szCs w:val="21"/>
                <w:highlight w:val="none"/>
              </w:rPr>
              <w:t>800</w:t>
            </w:r>
            <w:r>
              <w:rPr>
                <w:rFonts w:hint="eastAsia" w:ascii="黑体" w:hAnsi="黑体" w:eastAsia="黑体"/>
                <w:color w:val="auto"/>
                <w:sz w:val="21"/>
                <w:szCs w:val="21"/>
                <w:highlight w:val="none"/>
              </w:rPr>
              <w:t>万千瓦，建成装机达</w:t>
            </w:r>
            <w:r>
              <w:rPr>
                <w:rFonts w:ascii="黑体" w:hAnsi="黑体" w:eastAsia="黑体"/>
                <w:color w:val="auto"/>
                <w:sz w:val="21"/>
                <w:szCs w:val="21"/>
                <w:highlight w:val="none"/>
              </w:rPr>
              <w:t>2000</w:t>
            </w:r>
            <w:r>
              <w:rPr>
                <w:rFonts w:hint="eastAsia" w:ascii="黑体" w:hAnsi="黑体" w:eastAsia="黑体"/>
                <w:color w:val="auto"/>
                <w:sz w:val="21"/>
                <w:szCs w:val="21"/>
                <w:highlight w:val="none"/>
              </w:rPr>
              <w:t>万千瓦以上。</w:t>
            </w:r>
          </w:p>
          <w:p>
            <w:pPr>
              <w:pStyle w:val="10"/>
              <w:spacing w:line="400" w:lineRule="exact"/>
              <w:ind w:left="0" w:leftChars="0" w:firstLine="344" w:firstLineChars="163"/>
              <w:rPr>
                <w:rFonts w:ascii="黑体" w:hAnsi="黑体" w:eastAsia="黑体"/>
                <w:color w:val="auto"/>
                <w:highlight w:val="none"/>
              </w:rPr>
            </w:pPr>
            <w:r>
              <w:rPr>
                <w:rFonts w:hint="eastAsia" w:ascii="黑体" w:hAnsi="黑体" w:eastAsia="黑体"/>
                <w:b/>
                <w:color w:val="auto"/>
                <w:sz w:val="21"/>
                <w:szCs w:val="21"/>
                <w:highlight w:val="none"/>
              </w:rPr>
              <w:t>健全生态产品价值转化机制。</w:t>
            </w:r>
            <w:r>
              <w:rPr>
                <w:rFonts w:hint="eastAsia" w:ascii="黑体" w:hAnsi="黑体" w:eastAsia="黑体"/>
                <w:color w:val="auto"/>
                <w:sz w:val="21"/>
                <w:szCs w:val="21"/>
                <w:highlight w:val="none"/>
              </w:rPr>
              <w:t>探索碳排放权、水权、用能权、排污权等市场交易。探索推行畜牧业合作社，开展草原生态保护修复的产权激励机制试点。</w:t>
            </w:r>
          </w:p>
          <w:p>
            <w:pPr>
              <w:pStyle w:val="10"/>
              <w:spacing w:line="400" w:lineRule="exact"/>
              <w:ind w:left="0" w:leftChars="0" w:firstLine="521" w:firstLineChars="163"/>
              <w:rPr>
                <w:rFonts w:ascii="黑体" w:hAnsi="黑体" w:eastAsia="黑体"/>
                <w:color w:val="auto"/>
                <w:sz w:val="28"/>
                <w:highlight w:val="none"/>
              </w:rPr>
            </w:pPr>
            <w:r>
              <w:rPr>
                <w:rFonts w:ascii="黑体" w:hAnsi="黑体" w:eastAsia="黑体"/>
                <w:color w:val="auto"/>
                <w:highlight w:val="none"/>
              </w:rPr>
              <w:drawing>
                <wp:anchor distT="0" distB="0" distL="114300" distR="114300" simplePos="0" relativeHeight="251693056" behindDoc="0" locked="0" layoutInCell="1" allowOverlap="1">
                  <wp:simplePos x="0" y="0"/>
                  <wp:positionH relativeFrom="column">
                    <wp:posOffset>42545</wp:posOffset>
                  </wp:positionH>
                  <wp:positionV relativeFrom="paragraph">
                    <wp:posOffset>15875</wp:posOffset>
                  </wp:positionV>
                  <wp:extent cx="5854065" cy="4272280"/>
                  <wp:effectExtent l="0" t="0" r="13335" b="13970"/>
                  <wp:wrapSquare wrapText="bothSides"/>
                  <wp:docPr id="45" name="图片 45" descr="C:\Users\ADMINI~1\AppData\Local\Temp\16395672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Users\ADMINI~1\AppData\Local\Temp\1639567268(1).png"/>
                          <pic:cNvPicPr>
                            <a:picLocks noChangeAspect="1" noChangeArrowheads="1"/>
                          </pic:cNvPicPr>
                        </pic:nvPicPr>
                        <pic:blipFill>
                          <a:blip r:embed="rId36">
                            <a:extLst>
                              <a:ext uri="{28A0092B-C50C-407E-A947-70E740481C1C}">
                                <a14:useLocalDpi xmlns:a14="http://schemas.microsoft.com/office/drawing/2010/main" val="0"/>
                              </a:ext>
                            </a:extLst>
                          </a:blip>
                          <a:srcRect l="13686" t="8534" r="1910" b="5861"/>
                          <a:stretch>
                            <a:fillRect/>
                          </a:stretch>
                        </pic:blipFill>
                        <pic:spPr>
                          <a:xfrm>
                            <a:off x="0" y="0"/>
                            <a:ext cx="5854065" cy="4272280"/>
                          </a:xfrm>
                          <a:prstGeom prst="rect">
                            <a:avLst/>
                          </a:prstGeom>
                          <a:noFill/>
                          <a:ln>
                            <a:noFill/>
                          </a:ln>
                        </pic:spPr>
                      </pic:pic>
                    </a:graphicData>
                  </a:graphic>
                </wp:anchor>
              </w:drawing>
            </w:r>
          </w:p>
        </w:tc>
      </w:tr>
      <w:tr>
        <w:tblPrEx>
          <w:tblCellMar>
            <w:top w:w="0" w:type="dxa"/>
            <w:left w:w="108" w:type="dxa"/>
            <w:bottom w:w="0" w:type="dxa"/>
            <w:right w:w="108" w:type="dxa"/>
          </w:tblCellMar>
        </w:tblPrEx>
        <w:tc>
          <w:tcPr>
            <w:tcW w:w="9781" w:type="dxa"/>
          </w:tcPr>
          <w:p>
            <w:pPr>
              <w:pStyle w:val="10"/>
              <w:spacing w:line="400" w:lineRule="exact"/>
              <w:ind w:left="0" w:leftChars="0" w:firstLine="342" w:firstLineChars="163"/>
              <w:rPr>
                <w:rFonts w:ascii="黑体" w:hAnsi="黑体" w:eastAsia="黑体" w:cs="楷体"/>
                <w:b/>
                <w:color w:val="auto"/>
                <w:sz w:val="21"/>
                <w:szCs w:val="21"/>
                <w:highlight w:val="none"/>
              </w:rPr>
            </w:pPr>
            <w:r>
              <w:rPr>
                <w:rFonts w:ascii="黑体" w:hAnsi="黑体" w:eastAsia="黑体"/>
                <w:color w:val="auto"/>
                <w:sz w:val="21"/>
                <w:highlight w:val="none"/>
              </w:rPr>
              <mc:AlternateContent>
                <mc:Choice Requires="wps">
                  <w:drawing>
                    <wp:anchor distT="45720" distB="45720" distL="114300" distR="114300" simplePos="0" relativeHeight="251694080" behindDoc="0" locked="0" layoutInCell="1" allowOverlap="1">
                      <wp:simplePos x="0" y="0"/>
                      <wp:positionH relativeFrom="column">
                        <wp:posOffset>-40005</wp:posOffset>
                      </wp:positionH>
                      <wp:positionV relativeFrom="paragraph">
                        <wp:posOffset>-431165</wp:posOffset>
                      </wp:positionV>
                      <wp:extent cx="6162040" cy="405130"/>
                      <wp:effectExtent l="0" t="0" r="0" b="0"/>
                      <wp:wrapNone/>
                      <wp:docPr id="4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6161810" cy="405130"/>
                              </a:xfrm>
                              <a:prstGeom prst="rect">
                                <a:avLst/>
                              </a:prstGeom>
                              <a:noFill/>
                              <a:ln w="9525">
                                <a:noFill/>
                                <a:miter lim="800000"/>
                              </a:ln>
                            </wps:spPr>
                            <wps:txbx>
                              <w:txbxContent>
                                <w:p>
                                  <w:pPr>
                                    <w:jc w:val="center"/>
                                    <w:rPr>
                                      <w:rFonts w:hint="eastAsia" w:ascii="楷体" w:hAnsi="楷体" w:eastAsia="楷体" w:cs="楷体"/>
                                      <w:sz w:val="21"/>
                                      <w:szCs w:val="21"/>
                                    </w:rPr>
                                  </w:pPr>
                                  <w:r>
                                    <w:rPr>
                                      <w:rFonts w:hint="eastAsia" w:ascii="楷体" w:hAnsi="楷体" w:eastAsia="楷体" w:cs="楷体"/>
                                      <w:sz w:val="21"/>
                                      <w:szCs w:val="21"/>
                                    </w:rPr>
                                    <w:t>附图13 甘孜州综合环境管控单元分布图</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15pt;margin-top:-33.95pt;height:31.9pt;width:485.2pt;z-index:251694080;mso-width-relative:page;mso-height-relative:page;" filled="f" stroked="f" coordsize="21600,21600" o:gfxdata="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tn&#10;TMvWAAAACQEAAA8AAAAAAAAAAQAgAAAAIgAAAGRycy9kb3ducmV2LnhtbFBLAQIUABQAAAAIAIdO&#10;4kAHE0DOJQIAACoEAAAOAAAAAAAAAAEAIAAAACUBAABkcnMvZTJvRG9jLnhtbFBLBQYAAAAABgAG&#10;AFkBAAC8BQAAAAA=&#10;">
                      <v:fill on="f" focussize="0,0"/>
                      <v:stroke on="f" miterlimit="8" joinstyle="miter"/>
                      <v:imagedata o:title=""/>
                      <o:lock v:ext="edit" aspectratio="f"/>
                      <v:textbox>
                        <w:txbxContent>
                          <w:p>
                            <w:pPr>
                              <w:jc w:val="center"/>
                              <w:rPr>
                                <w:rFonts w:hint="eastAsia" w:ascii="楷体" w:hAnsi="楷体" w:eastAsia="楷体" w:cs="楷体"/>
                                <w:sz w:val="21"/>
                                <w:szCs w:val="21"/>
                              </w:rPr>
                            </w:pPr>
                            <w:r>
                              <w:rPr>
                                <w:rFonts w:hint="eastAsia" w:ascii="楷体" w:hAnsi="楷体" w:eastAsia="楷体" w:cs="楷体"/>
                                <w:sz w:val="21"/>
                                <w:szCs w:val="21"/>
                              </w:rPr>
                              <w:t>附图13 甘孜州综合环境管控单元分布图</w:t>
                            </w:r>
                          </w:p>
                        </w:txbxContent>
                      </v:textbox>
                    </v:shape>
                  </w:pict>
                </mc:Fallback>
              </mc:AlternateContent>
            </w:r>
            <w:r>
              <w:rPr>
                <w:rFonts w:ascii="黑体" w:hAnsi="黑体" w:eastAsia="黑体"/>
                <w:b/>
                <w:color w:val="auto"/>
                <w:sz w:val="21"/>
                <w:szCs w:val="21"/>
                <w:highlight w:val="none"/>
              </w:rPr>
              <w:t>3</w:t>
            </w:r>
            <w:r>
              <w:rPr>
                <w:rFonts w:hint="eastAsia" w:ascii="黑体" w:hAnsi="黑体" w:eastAsia="黑体" w:cs="楷体"/>
                <w:b/>
                <w:color w:val="auto"/>
                <w:sz w:val="21"/>
                <w:szCs w:val="21"/>
                <w:highlight w:val="none"/>
              </w:rPr>
              <w:t>．《甘孜州“十四五”全域旅游发展规划》</w:t>
            </w:r>
          </w:p>
          <w:p>
            <w:pPr>
              <w:pStyle w:val="10"/>
              <w:spacing w:line="400" w:lineRule="exact"/>
              <w:ind w:left="0" w:leftChars="0" w:firstLine="344" w:firstLineChars="163"/>
              <w:rPr>
                <w:rFonts w:ascii="黑体" w:hAnsi="黑体" w:eastAsia="黑体"/>
                <w:color w:val="auto"/>
                <w:sz w:val="21"/>
                <w:szCs w:val="21"/>
                <w:highlight w:val="none"/>
              </w:rPr>
            </w:pPr>
            <w:r>
              <w:rPr>
                <w:rFonts w:hint="eastAsia" w:ascii="黑体" w:hAnsi="黑体" w:eastAsia="黑体"/>
                <w:b/>
                <w:color w:val="auto"/>
                <w:sz w:val="21"/>
                <w:szCs w:val="21"/>
                <w:highlight w:val="none"/>
              </w:rPr>
              <w:t>国际</w:t>
            </w:r>
            <w:r>
              <w:rPr>
                <w:rFonts w:hint="eastAsia" w:ascii="黑体" w:hAnsi="黑体" w:eastAsia="黑体"/>
                <w:b/>
                <w:color w:val="auto"/>
                <w:sz w:val="21"/>
                <w:szCs w:val="21"/>
                <w:highlight w:val="none"/>
                <w:lang w:val="en-US" w:eastAsia="zh-CN"/>
              </w:rPr>
              <w:t>知名</w:t>
            </w:r>
            <w:r>
              <w:rPr>
                <w:rFonts w:hint="eastAsia" w:ascii="黑体" w:hAnsi="黑体" w:eastAsia="黑体"/>
                <w:b/>
                <w:color w:val="auto"/>
                <w:sz w:val="21"/>
                <w:szCs w:val="21"/>
                <w:highlight w:val="none"/>
              </w:rPr>
              <w:t>生态文化旅游目的地。</w:t>
            </w:r>
            <w:r>
              <w:rPr>
                <w:rFonts w:hint="eastAsia" w:ascii="黑体" w:hAnsi="黑体" w:eastAsia="黑体"/>
                <w:color w:val="auto"/>
                <w:sz w:val="21"/>
                <w:szCs w:val="21"/>
                <w:highlight w:val="none"/>
              </w:rPr>
              <w:t>打造自驾旅游胜地、生态旅游胜地、文化旅游胜地、山地运动胜地、艺术摄影胜地、探险探秘胜地、婚庆婚恋胜地、研学旅行胜地、避暑康养胜地和温泉冰雪胜地。</w:t>
            </w:r>
          </w:p>
          <w:p>
            <w:pPr>
              <w:pStyle w:val="10"/>
              <w:spacing w:line="400" w:lineRule="exact"/>
              <w:ind w:left="0" w:leftChars="0" w:firstLine="344" w:firstLineChars="163"/>
              <w:rPr>
                <w:rFonts w:ascii="黑体" w:hAnsi="黑体" w:eastAsia="黑体"/>
                <w:color w:val="auto"/>
                <w:sz w:val="21"/>
                <w:szCs w:val="21"/>
                <w:highlight w:val="none"/>
              </w:rPr>
            </w:pPr>
            <w:r>
              <w:rPr>
                <w:rFonts w:hint="eastAsia" w:ascii="黑体" w:hAnsi="黑体" w:eastAsia="黑体"/>
                <w:b/>
                <w:color w:val="auto"/>
                <w:sz w:val="21"/>
                <w:szCs w:val="21"/>
                <w:highlight w:val="none"/>
              </w:rPr>
              <w:t>国家全域旅游示范区。</w:t>
            </w:r>
            <w:r>
              <w:rPr>
                <w:rFonts w:hint="eastAsia" w:ascii="黑体" w:hAnsi="黑体" w:eastAsia="黑体"/>
                <w:color w:val="auto"/>
                <w:sz w:val="21"/>
                <w:szCs w:val="21"/>
                <w:highlight w:val="none"/>
              </w:rPr>
              <w:t>创新全域旅游甘孜模式和甘孜样板。</w:t>
            </w:r>
          </w:p>
          <w:p>
            <w:pPr>
              <w:pStyle w:val="10"/>
              <w:spacing w:line="400" w:lineRule="exact"/>
              <w:ind w:left="0" w:leftChars="0" w:firstLine="344" w:firstLineChars="163"/>
              <w:rPr>
                <w:rFonts w:ascii="黑体" w:hAnsi="黑体" w:eastAsia="黑体"/>
                <w:b/>
                <w:color w:val="auto"/>
                <w:sz w:val="21"/>
                <w:szCs w:val="21"/>
                <w:highlight w:val="none"/>
              </w:rPr>
            </w:pPr>
            <w:r>
              <w:rPr>
                <w:rFonts w:hint="eastAsia" w:ascii="黑体" w:hAnsi="黑体" w:eastAsia="黑体"/>
                <w:b/>
                <w:color w:val="auto"/>
                <w:sz w:val="21"/>
                <w:szCs w:val="21"/>
                <w:highlight w:val="none"/>
              </w:rPr>
              <w:t>红色旅游融合发展示范区。</w:t>
            </w:r>
            <w:r>
              <w:rPr>
                <w:rFonts w:hint="eastAsia" w:ascii="黑体" w:hAnsi="黑体" w:eastAsia="黑体"/>
                <w:color w:val="auto"/>
                <w:sz w:val="21"/>
                <w:szCs w:val="21"/>
                <w:highlight w:val="none"/>
              </w:rPr>
              <w:t>抓住长征国家文化公园建设契机，积极融入建设长征红色旅游走廊，充分发挥红色旅游爱国主义和革命传统教育的功能，大力实施革命文物保护利用工程，促进红色旅游高质量发展，打造新时代红色基因传承高地。</w:t>
            </w:r>
          </w:p>
          <w:p>
            <w:pPr>
              <w:pStyle w:val="10"/>
              <w:spacing w:line="400" w:lineRule="exact"/>
              <w:ind w:left="0" w:leftChars="0" w:firstLine="344" w:firstLineChars="163"/>
              <w:rPr>
                <w:rFonts w:ascii="黑体" w:hAnsi="黑体" w:eastAsia="黑体"/>
                <w:color w:val="auto"/>
                <w:sz w:val="21"/>
                <w:szCs w:val="21"/>
                <w:highlight w:val="none"/>
              </w:rPr>
            </w:pPr>
            <w:r>
              <w:rPr>
                <w:rFonts w:hint="eastAsia" w:ascii="黑体" w:hAnsi="黑体" w:eastAsia="黑体"/>
                <w:b/>
                <w:color w:val="auto"/>
                <w:sz w:val="21"/>
                <w:szCs w:val="21"/>
                <w:highlight w:val="none"/>
              </w:rPr>
              <w:t>涉藏地区智慧文旅示范区。</w:t>
            </w:r>
            <w:r>
              <w:rPr>
                <w:rFonts w:hint="eastAsia" w:ascii="黑体" w:hAnsi="黑体" w:eastAsia="黑体"/>
                <w:color w:val="auto"/>
                <w:sz w:val="21"/>
                <w:szCs w:val="21"/>
                <w:highlight w:val="none"/>
              </w:rPr>
              <w:t>运用现代技术改造提升民族工艺美术产品制作工艺和流程</w:t>
            </w:r>
            <w:r>
              <w:rPr>
                <w:rFonts w:hint="eastAsia" w:ascii="黑体" w:hAnsi="黑体" w:eastAsia="黑体"/>
                <w:color w:val="auto"/>
                <w:sz w:val="21"/>
                <w:szCs w:val="21"/>
                <w:highlight w:val="none"/>
                <w:lang w:eastAsia="zh-CN"/>
              </w:rPr>
              <w:t>，</w:t>
            </w:r>
            <w:r>
              <w:rPr>
                <w:rFonts w:hint="eastAsia" w:ascii="黑体" w:hAnsi="黑体" w:eastAsia="黑体"/>
                <w:color w:val="auto"/>
                <w:sz w:val="21"/>
                <w:szCs w:val="21"/>
                <w:highlight w:val="none"/>
              </w:rPr>
              <w:t>打造民族民间手工艺、唐卡绘画、石刻艺术为代表的文化工艺精品，推进红色文化、民俗文化、非物质文化和自然景观等旅游资源数字化开发和利用</w:t>
            </w:r>
            <w:r>
              <w:rPr>
                <w:rFonts w:hint="eastAsia" w:ascii="黑体" w:hAnsi="黑体" w:eastAsia="黑体"/>
                <w:color w:val="auto"/>
                <w:sz w:val="21"/>
                <w:szCs w:val="21"/>
                <w:highlight w:val="none"/>
                <w:lang w:eastAsia="zh-CN"/>
              </w:rPr>
              <w:t>，</w:t>
            </w:r>
            <w:r>
              <w:rPr>
                <w:rFonts w:hint="eastAsia" w:ascii="黑体" w:hAnsi="黑体" w:eastAsia="黑体"/>
                <w:color w:val="auto"/>
                <w:sz w:val="21"/>
                <w:szCs w:val="21"/>
                <w:highlight w:val="none"/>
              </w:rPr>
              <w:t xml:space="preserve">打造数字化旅游产品。  </w:t>
            </w:r>
          </w:p>
          <w:p>
            <w:pPr>
              <w:pStyle w:val="10"/>
              <w:spacing w:line="400" w:lineRule="exact"/>
              <w:ind w:left="0" w:leftChars="0" w:firstLine="344" w:firstLineChars="163"/>
              <w:rPr>
                <w:rFonts w:ascii="黑体" w:hAnsi="黑体" w:eastAsia="黑体"/>
                <w:color w:val="auto"/>
                <w:sz w:val="21"/>
                <w:szCs w:val="21"/>
                <w:highlight w:val="none"/>
              </w:rPr>
            </w:pPr>
            <w:r>
              <w:rPr>
                <w:rFonts w:hint="eastAsia" w:ascii="黑体" w:hAnsi="黑体" w:eastAsia="黑体"/>
                <w:b/>
                <w:color w:val="auto"/>
                <w:sz w:val="21"/>
                <w:szCs w:val="21"/>
                <w:highlight w:val="none"/>
              </w:rPr>
              <w:t>中国西部自驾游及山地旅游胜地。</w:t>
            </w:r>
            <w:r>
              <w:rPr>
                <w:rFonts w:hint="eastAsia" w:ascii="黑体" w:hAnsi="黑体" w:eastAsia="黑体"/>
                <w:color w:val="auto"/>
                <w:sz w:val="21"/>
                <w:szCs w:val="21"/>
                <w:highlight w:val="none"/>
              </w:rPr>
              <w:t>促进完善自驾游与山地旅游服务体系。</w:t>
            </w:r>
          </w:p>
          <w:p>
            <w:pPr>
              <w:pStyle w:val="10"/>
              <w:spacing w:line="400" w:lineRule="exact"/>
              <w:ind w:left="0" w:leftChars="0" w:firstLine="344" w:firstLineChars="163"/>
              <w:rPr>
                <w:rFonts w:ascii="黑体" w:hAnsi="黑体" w:eastAsia="黑体"/>
                <w:color w:val="auto"/>
                <w:sz w:val="21"/>
                <w:szCs w:val="21"/>
                <w:highlight w:val="none"/>
              </w:rPr>
            </w:pPr>
            <w:r>
              <w:rPr>
                <w:rFonts w:hint="eastAsia" w:ascii="黑体" w:hAnsi="黑体" w:eastAsia="黑体"/>
                <w:b/>
                <w:color w:val="auto"/>
                <w:sz w:val="21"/>
                <w:szCs w:val="21"/>
                <w:highlight w:val="none"/>
              </w:rPr>
              <w:t>“三环一带两湿地”的“</w:t>
            </w:r>
            <w:r>
              <w:rPr>
                <w:rFonts w:ascii="黑体" w:hAnsi="黑体" w:eastAsia="黑体"/>
                <w:b/>
                <w:color w:val="auto"/>
                <w:sz w:val="21"/>
                <w:szCs w:val="21"/>
                <w:highlight w:val="none"/>
              </w:rPr>
              <w:t>312</w:t>
            </w:r>
            <w:r>
              <w:rPr>
                <w:rFonts w:hint="eastAsia" w:ascii="黑体" w:hAnsi="黑体" w:eastAsia="黑体"/>
                <w:b/>
                <w:color w:val="auto"/>
                <w:sz w:val="21"/>
                <w:szCs w:val="21"/>
                <w:highlight w:val="none"/>
              </w:rPr>
              <w:t>”全域旅游总体发展格局。</w:t>
            </w:r>
            <w:r>
              <w:rPr>
                <w:rFonts w:hint="eastAsia" w:ascii="黑体" w:hAnsi="黑体" w:eastAsia="黑体"/>
                <w:color w:val="auto"/>
                <w:sz w:val="21"/>
                <w:szCs w:val="21"/>
                <w:highlight w:val="none"/>
              </w:rPr>
              <w:t>（图</w:t>
            </w:r>
            <w:r>
              <w:rPr>
                <w:rFonts w:ascii="黑体" w:hAnsi="黑体" w:eastAsia="黑体"/>
                <w:color w:val="auto"/>
                <w:sz w:val="21"/>
                <w:szCs w:val="21"/>
                <w:highlight w:val="none"/>
              </w:rPr>
              <w:t>14</w:t>
            </w:r>
            <w:r>
              <w:rPr>
                <w:rFonts w:hint="eastAsia" w:ascii="黑体" w:hAnsi="黑体" w:eastAsia="黑体"/>
                <w:color w:val="auto"/>
                <w:sz w:val="21"/>
                <w:szCs w:val="21"/>
                <w:highlight w:val="none"/>
              </w:rPr>
              <w:t>）</w:t>
            </w:r>
          </w:p>
          <w:p>
            <w:pPr>
              <w:pStyle w:val="10"/>
              <w:spacing w:line="400" w:lineRule="exact"/>
              <w:ind w:left="0" w:leftChars="0" w:firstLine="344" w:firstLineChars="163"/>
              <w:rPr>
                <w:rFonts w:ascii="黑体" w:hAnsi="黑体" w:eastAsia="黑体"/>
                <w:color w:val="auto"/>
                <w:sz w:val="21"/>
                <w:szCs w:val="21"/>
                <w:highlight w:val="none"/>
              </w:rPr>
            </w:pPr>
            <w:r>
              <w:rPr>
                <w:rFonts w:hint="eastAsia" w:ascii="黑体" w:hAnsi="黑体" w:eastAsia="黑体"/>
                <w:b/>
                <w:color w:val="auto"/>
                <w:sz w:val="21"/>
                <w:szCs w:val="21"/>
                <w:highlight w:val="none"/>
              </w:rPr>
              <w:t>“一核六带三圈”的全域旅游产业融合布局。</w:t>
            </w:r>
            <w:r>
              <w:rPr>
                <w:rFonts w:hint="eastAsia" w:ascii="黑体" w:hAnsi="黑体" w:eastAsia="黑体"/>
                <w:color w:val="auto"/>
                <w:sz w:val="21"/>
                <w:szCs w:val="21"/>
                <w:highlight w:val="none"/>
              </w:rPr>
              <w:t>（图</w:t>
            </w:r>
            <w:r>
              <w:rPr>
                <w:rFonts w:ascii="黑体" w:hAnsi="黑体" w:eastAsia="黑体"/>
                <w:color w:val="auto"/>
                <w:sz w:val="21"/>
                <w:szCs w:val="21"/>
                <w:highlight w:val="none"/>
              </w:rPr>
              <w:t>15</w:t>
            </w:r>
            <w:r>
              <w:rPr>
                <w:rFonts w:hint="eastAsia" w:ascii="黑体" w:hAnsi="黑体" w:eastAsia="黑体"/>
                <w:color w:val="auto"/>
                <w:sz w:val="21"/>
                <w:szCs w:val="21"/>
                <w:highlight w:val="none"/>
              </w:rPr>
              <w:t>）</w:t>
            </w:r>
          </w:p>
          <w:p>
            <w:pPr>
              <w:rPr>
                <w:rFonts w:ascii="黑体" w:hAnsi="黑体" w:eastAsia="黑体"/>
                <w:color w:val="auto"/>
                <w:highlight w:val="none"/>
              </w:rPr>
            </w:pPr>
            <w:r>
              <w:rPr>
                <w:rFonts w:ascii="黑体" w:hAnsi="黑体" w:eastAsia="黑体"/>
                <w:color w:val="auto"/>
                <w:sz w:val="21"/>
                <w:highlight w:val="none"/>
              </w:rPr>
              <mc:AlternateContent>
                <mc:Choice Requires="wps">
                  <w:drawing>
                    <wp:anchor distT="45720" distB="45720" distL="114300" distR="114300" simplePos="0" relativeHeight="251696128" behindDoc="0" locked="0" layoutInCell="1" allowOverlap="1">
                      <wp:simplePos x="0" y="0"/>
                      <wp:positionH relativeFrom="column">
                        <wp:posOffset>3110230</wp:posOffset>
                      </wp:positionH>
                      <wp:positionV relativeFrom="paragraph">
                        <wp:posOffset>3937635</wp:posOffset>
                      </wp:positionV>
                      <wp:extent cx="2941320" cy="405130"/>
                      <wp:effectExtent l="0" t="0" r="0" b="0"/>
                      <wp:wrapNone/>
                      <wp:docPr id="5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941551" cy="405130"/>
                              </a:xfrm>
                              <a:prstGeom prst="rect">
                                <a:avLst/>
                              </a:prstGeom>
                              <a:noFill/>
                              <a:ln w="9525">
                                <a:noFill/>
                                <a:miter lim="800000"/>
                              </a:ln>
                            </wps:spPr>
                            <wps:txbx>
                              <w:txbxContent>
                                <w:p>
                                  <w:pPr>
                                    <w:jc w:val="center"/>
                                    <w:rPr>
                                      <w:rFonts w:hint="eastAsia" w:ascii="楷体" w:hAnsi="楷体" w:eastAsia="楷体" w:cs="楷体"/>
                                      <w:sz w:val="21"/>
                                      <w:szCs w:val="21"/>
                                    </w:rPr>
                                  </w:pPr>
                                  <w:r>
                                    <w:rPr>
                                      <w:rFonts w:hint="eastAsia" w:ascii="楷体" w:hAnsi="楷体" w:eastAsia="楷体" w:cs="楷体"/>
                                      <w:sz w:val="21"/>
                                      <w:szCs w:val="21"/>
                                      <w:lang w:val="en-US" w:eastAsia="zh-CN"/>
                                    </w:rPr>
                                    <w:t>附</w:t>
                                  </w:r>
                                  <w:r>
                                    <w:rPr>
                                      <w:rFonts w:hint="eastAsia" w:ascii="楷体" w:hAnsi="楷体" w:eastAsia="楷体" w:cs="楷体"/>
                                      <w:sz w:val="21"/>
                                      <w:szCs w:val="21"/>
                                    </w:rPr>
                                    <w:t>图15 甘孜州全域旅游产业融合布局规划图</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44.9pt;margin-top:310.05pt;height:31.9pt;width:231.6pt;z-index:251696128;mso-width-relative:page;mso-height-relative:page;" filled="f" stroked="f" coordsize="21600,21600" o:gfxdata="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s&#10;zhby2AAAAAsBAAAPAAAAAAAAAAEAIAAAACIAAABkcnMvZG93bnJldi54bWxQSwECFAAUAAAACACH&#10;TuJAoxGx0SQCAAAqBAAADgAAAAAAAAABACAAAAAnAQAAZHJzL2Uyb0RvYy54bWxQSwUGAAAAAAYA&#10;BgBZAQAAvQUAAAAA&#10;">
                      <v:fill on="f" focussize="0,0"/>
                      <v:stroke on="f" miterlimit="8" joinstyle="miter"/>
                      <v:imagedata o:title=""/>
                      <o:lock v:ext="edit" aspectratio="f"/>
                      <v:textbox>
                        <w:txbxContent>
                          <w:p>
                            <w:pPr>
                              <w:jc w:val="center"/>
                              <w:rPr>
                                <w:rFonts w:hint="eastAsia" w:ascii="楷体" w:hAnsi="楷体" w:eastAsia="楷体" w:cs="楷体"/>
                                <w:sz w:val="21"/>
                                <w:szCs w:val="21"/>
                              </w:rPr>
                            </w:pPr>
                            <w:r>
                              <w:rPr>
                                <w:rFonts w:hint="eastAsia" w:ascii="楷体" w:hAnsi="楷体" w:eastAsia="楷体" w:cs="楷体"/>
                                <w:sz w:val="21"/>
                                <w:szCs w:val="21"/>
                                <w:lang w:val="en-US" w:eastAsia="zh-CN"/>
                              </w:rPr>
                              <w:t>附</w:t>
                            </w:r>
                            <w:r>
                              <w:rPr>
                                <w:rFonts w:hint="eastAsia" w:ascii="楷体" w:hAnsi="楷体" w:eastAsia="楷体" w:cs="楷体"/>
                                <w:sz w:val="21"/>
                                <w:szCs w:val="21"/>
                              </w:rPr>
                              <w:t>图15 甘孜州全域旅游产业融合布局规划图</w:t>
                            </w:r>
                          </w:p>
                        </w:txbxContent>
                      </v:textbox>
                    </v:shape>
                  </w:pict>
                </mc:Fallback>
              </mc:AlternateContent>
            </w:r>
            <w:r>
              <w:rPr>
                <w:rFonts w:ascii="黑体" w:hAnsi="黑体" w:eastAsia="黑体"/>
                <w:color w:val="auto"/>
                <w:sz w:val="21"/>
                <w:highlight w:val="none"/>
              </w:rPr>
              <mc:AlternateContent>
                <mc:Choice Requires="wps">
                  <w:drawing>
                    <wp:anchor distT="45720" distB="45720" distL="114300" distR="114300" simplePos="0" relativeHeight="251695104" behindDoc="0" locked="0" layoutInCell="1" allowOverlap="1">
                      <wp:simplePos x="0" y="0"/>
                      <wp:positionH relativeFrom="column">
                        <wp:posOffset>-8890</wp:posOffset>
                      </wp:positionH>
                      <wp:positionV relativeFrom="paragraph">
                        <wp:posOffset>3948430</wp:posOffset>
                      </wp:positionV>
                      <wp:extent cx="2941320" cy="405130"/>
                      <wp:effectExtent l="0" t="0" r="0" b="0"/>
                      <wp:wrapNone/>
                      <wp:docPr id="4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941551" cy="405130"/>
                              </a:xfrm>
                              <a:prstGeom prst="rect">
                                <a:avLst/>
                              </a:prstGeom>
                              <a:noFill/>
                              <a:ln w="9525">
                                <a:noFill/>
                                <a:miter lim="800000"/>
                              </a:ln>
                            </wps:spPr>
                            <wps:txbx>
                              <w:txbxContent>
                                <w:p>
                                  <w:pPr>
                                    <w:jc w:val="center"/>
                                    <w:rPr>
                                      <w:rFonts w:hint="eastAsia" w:ascii="楷体" w:hAnsi="楷体" w:eastAsia="楷体" w:cs="楷体"/>
                                      <w:sz w:val="21"/>
                                      <w:szCs w:val="21"/>
                                    </w:rPr>
                                  </w:pPr>
                                  <w:r>
                                    <w:rPr>
                                      <w:rFonts w:hint="eastAsia" w:ascii="楷体" w:hAnsi="楷体" w:eastAsia="楷体" w:cs="楷体"/>
                                      <w:sz w:val="21"/>
                                      <w:szCs w:val="21"/>
                                      <w:lang w:val="en-US" w:eastAsia="zh-CN"/>
                                    </w:rPr>
                                    <w:t>附</w:t>
                                  </w:r>
                                  <w:r>
                                    <w:rPr>
                                      <w:rFonts w:hint="eastAsia" w:ascii="楷体" w:hAnsi="楷体" w:eastAsia="楷体" w:cs="楷体"/>
                                      <w:sz w:val="21"/>
                                      <w:szCs w:val="21"/>
                                    </w:rPr>
                                    <w:t>图14 甘孜州全域旅游总体发展格局规划图</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0.7pt;margin-top:310.9pt;height:31.9pt;width:231.6pt;z-index:251695104;mso-width-relative:page;mso-height-relative:page;" filled="f" stroked="f" coordsize="21600,21600" o:gfxdata="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Z&#10;VhZx1wAAAAoBAAAPAAAAAAAAAAEAIAAAACIAAABkcnMvZG93bnJldi54bWxQSwECFAAUAAAACACH&#10;TuJAMZZkQiUCAAAqBAAADgAAAAAAAAABACAAAAAmAQAAZHJzL2Uyb0RvYy54bWxQSwUGAAAAAAYA&#10;BgBZAQAAvQUAAAAA&#10;">
                      <v:fill on="f" focussize="0,0"/>
                      <v:stroke on="f" miterlimit="8" joinstyle="miter"/>
                      <v:imagedata o:title=""/>
                      <o:lock v:ext="edit" aspectratio="f"/>
                      <v:textbox>
                        <w:txbxContent>
                          <w:p>
                            <w:pPr>
                              <w:jc w:val="center"/>
                              <w:rPr>
                                <w:rFonts w:hint="eastAsia" w:ascii="楷体" w:hAnsi="楷体" w:eastAsia="楷体" w:cs="楷体"/>
                                <w:sz w:val="21"/>
                                <w:szCs w:val="21"/>
                              </w:rPr>
                            </w:pPr>
                            <w:r>
                              <w:rPr>
                                <w:rFonts w:hint="eastAsia" w:ascii="楷体" w:hAnsi="楷体" w:eastAsia="楷体" w:cs="楷体"/>
                                <w:sz w:val="21"/>
                                <w:szCs w:val="21"/>
                                <w:lang w:val="en-US" w:eastAsia="zh-CN"/>
                              </w:rPr>
                              <w:t>附</w:t>
                            </w:r>
                            <w:r>
                              <w:rPr>
                                <w:rFonts w:hint="eastAsia" w:ascii="楷体" w:hAnsi="楷体" w:eastAsia="楷体" w:cs="楷体"/>
                                <w:sz w:val="21"/>
                                <w:szCs w:val="21"/>
                              </w:rPr>
                              <w:t>图14 甘孜州全域旅游总体发展格局规划图</w:t>
                            </w:r>
                          </w:p>
                        </w:txbxContent>
                      </v:textbox>
                    </v:shape>
                  </w:pict>
                </mc:Fallback>
              </mc:AlternateContent>
            </w:r>
            <w:r>
              <w:rPr>
                <w:rFonts w:ascii="黑体" w:hAnsi="黑体" w:eastAsia="黑体"/>
                <w:color w:val="auto"/>
                <w:highlight w:val="none"/>
              </w:rPr>
              <w:drawing>
                <wp:inline distT="0" distB="0" distL="0" distR="0">
                  <wp:extent cx="2887345" cy="3833495"/>
                  <wp:effectExtent l="0" t="0" r="8255" b="0"/>
                  <wp:docPr id="47" name="图片 47" descr="C:\Users\ADMINI~1\AppData\Local\Temp\16395715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Users\ADMINI~1\AppData\Local\Temp\1639571558(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902666" cy="3854202"/>
                          </a:xfrm>
                          <a:prstGeom prst="rect">
                            <a:avLst/>
                          </a:prstGeom>
                          <a:noFill/>
                          <a:ln>
                            <a:noFill/>
                          </a:ln>
                        </pic:spPr>
                      </pic:pic>
                    </a:graphicData>
                  </a:graphic>
                </wp:inline>
              </w:drawing>
            </w:r>
            <w:r>
              <w:rPr>
                <w:rFonts w:hint="eastAsia" w:ascii="黑体" w:hAnsi="黑体" w:eastAsia="黑体"/>
                <w:color w:val="auto"/>
                <w:highlight w:val="none"/>
              </w:rPr>
              <w:t xml:space="preserve"> </w:t>
            </w:r>
            <w:r>
              <w:rPr>
                <w:rFonts w:ascii="黑体" w:hAnsi="黑体" w:eastAsia="黑体"/>
                <w:color w:val="auto"/>
                <w:highlight w:val="none"/>
              </w:rPr>
              <w:drawing>
                <wp:inline distT="0" distB="0" distL="0" distR="0">
                  <wp:extent cx="2776855" cy="3827145"/>
                  <wp:effectExtent l="0" t="0" r="4445" b="1905"/>
                  <wp:docPr id="48" name="图片 48" descr="C:\Users\ADMINI~1\AppData\Local\Temp\16395719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ADMINI~1\AppData\Local\Temp\1639571954(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796595" cy="3853881"/>
                          </a:xfrm>
                          <a:prstGeom prst="rect">
                            <a:avLst/>
                          </a:prstGeom>
                          <a:noFill/>
                          <a:ln>
                            <a:noFill/>
                          </a:ln>
                        </pic:spPr>
                      </pic:pic>
                    </a:graphicData>
                  </a:graphic>
                </wp:inline>
              </w:drawing>
            </w:r>
          </w:p>
          <w:p>
            <w:pPr>
              <w:pStyle w:val="10"/>
              <w:spacing w:line="240" w:lineRule="auto"/>
              <w:ind w:left="0" w:leftChars="0" w:firstLine="0" w:firstLineChars="0"/>
              <w:rPr>
                <w:rFonts w:ascii="黑体" w:hAnsi="黑体" w:eastAsia="黑体"/>
                <w:color w:val="auto"/>
                <w:highlight w:val="none"/>
              </w:rPr>
            </w:pPr>
          </w:p>
        </w:tc>
      </w:tr>
    </w:tbl>
    <w:p>
      <w:pPr>
        <w:pStyle w:val="10"/>
        <w:spacing w:line="420" w:lineRule="exact"/>
        <w:ind w:left="0" w:leftChars="0" w:firstLine="344" w:firstLineChars="163"/>
        <w:rPr>
          <w:rFonts w:ascii="黑体" w:hAnsi="黑体" w:eastAsia="黑体" w:cs="楷体"/>
          <w:b/>
          <w:color w:val="auto"/>
          <w:sz w:val="21"/>
          <w:szCs w:val="21"/>
          <w:highlight w:val="none"/>
        </w:rPr>
      </w:pPr>
    </w:p>
    <w:p>
      <w:pPr>
        <w:pStyle w:val="10"/>
        <w:ind w:left="640" w:firstLine="640"/>
        <w:rPr>
          <w:rFonts w:ascii="黑体" w:hAnsi="黑体" w:eastAsia="黑体"/>
          <w:color w:val="auto"/>
          <w:highlight w:val="none"/>
        </w:rPr>
      </w:pPr>
      <w:r>
        <w:rPr>
          <w:rFonts w:ascii="黑体" w:hAnsi="黑体" w:eastAsia="黑体"/>
          <w:color w:val="auto"/>
          <w:highlight w:val="none"/>
        </w:rPr>
        <w:br w:type="page"/>
      </w:r>
    </w:p>
    <w:p>
      <w:pPr>
        <w:pStyle w:val="5"/>
        <w:keepNext/>
        <w:keepLines/>
        <w:pageBreakBefore w:val="0"/>
        <w:widowControl w:val="0"/>
        <w:tabs>
          <w:tab w:val="clear" w:pos="0"/>
        </w:tabs>
        <w:suppressAutoHyphens w:val="0"/>
        <w:kinsoku/>
        <w:wordWrap/>
        <w:overflowPunct/>
        <w:topLinePunct w:val="0"/>
        <w:autoSpaceDE/>
        <w:autoSpaceDN/>
        <w:bidi w:val="0"/>
        <w:adjustRightInd/>
        <w:snapToGrid w:val="0"/>
        <w:spacing w:before="0" w:after="0" w:line="360" w:lineRule="auto"/>
        <w:ind w:firstLine="0" w:firstLineChars="0"/>
        <w:jc w:val="center"/>
        <w:textAlignment w:val="auto"/>
        <w:rPr>
          <w:rFonts w:hint="default" w:ascii="楷体" w:hAnsi="楷体" w:eastAsia="楷体" w:cs="黑体"/>
          <w:bCs w:val="0"/>
          <w:color w:val="auto"/>
          <w:kern w:val="0"/>
          <w:highlight w:val="none"/>
          <w:lang w:val="en-US" w:eastAsia="zh-CN"/>
        </w:rPr>
      </w:pPr>
      <w:bookmarkStart w:id="173" w:name="_Toc6007"/>
      <w:bookmarkStart w:id="174" w:name="_Toc24716"/>
      <w:bookmarkStart w:id="175" w:name="_Toc16006"/>
      <w:r>
        <w:rPr>
          <w:rFonts w:hint="eastAsia" w:ascii="楷体" w:hAnsi="楷体" w:eastAsia="楷体" w:cs="黑体"/>
          <w:bCs w:val="0"/>
          <w:color w:val="auto"/>
          <w:kern w:val="0"/>
          <w:highlight w:val="none"/>
        </w:rPr>
        <w:t>附件2：甘孜州</w:t>
      </w:r>
      <w:r>
        <w:rPr>
          <w:rFonts w:hint="eastAsia" w:ascii="楷体" w:hAnsi="楷体" w:eastAsia="楷体" w:cs="黑体"/>
          <w:bCs w:val="0"/>
          <w:color w:val="auto"/>
          <w:kern w:val="0"/>
          <w:highlight w:val="none"/>
          <w:lang w:val="en-US" w:eastAsia="zh-CN"/>
        </w:rPr>
        <w:t>州情、农情简介</w:t>
      </w:r>
      <w:bookmarkEnd w:id="173"/>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ind w:firstLine="562" w:firstLineChars="200"/>
              <w:rPr>
                <w:rFonts w:hint="eastAsia" w:ascii="仿宋" w:hAnsi="仿宋" w:eastAsia="仿宋" w:cs="仿宋"/>
                <w:bCs w:val="0"/>
                <w:color w:val="auto"/>
                <w:kern w:val="0"/>
                <w:sz w:val="28"/>
                <w:szCs w:val="28"/>
                <w:highlight w:val="none"/>
                <w:vertAlign w:val="baseline"/>
              </w:rPr>
            </w:pPr>
            <w:r>
              <w:rPr>
                <w:rFonts w:hint="eastAsia" w:ascii="仿宋" w:hAnsi="仿宋" w:cs="仿宋"/>
                <w:b/>
                <w:bCs/>
                <w:color w:val="auto"/>
                <w:kern w:val="0"/>
                <w:sz w:val="28"/>
                <w:szCs w:val="28"/>
                <w:highlight w:val="none"/>
                <w:vertAlign w:val="baseline"/>
                <w:lang w:val="en-US" w:eastAsia="zh-CN"/>
              </w:rPr>
              <w:t>州情简介：</w:t>
            </w:r>
            <w:r>
              <w:rPr>
                <w:rFonts w:hint="eastAsia" w:ascii="仿宋" w:hAnsi="仿宋" w:eastAsia="仿宋" w:cs="仿宋"/>
                <w:bCs w:val="0"/>
                <w:color w:val="auto"/>
                <w:kern w:val="0"/>
                <w:sz w:val="28"/>
                <w:szCs w:val="28"/>
                <w:highlight w:val="none"/>
                <w:vertAlign w:val="baseline"/>
              </w:rPr>
              <w:t>甘孜藏族自治州，简称甘孜州，四川省辖自治州，是新中国成立的第一个专区级少数民族自治州，位于青藏高原东南缘，四川盆地西部，是连接西北和西南的“咽喉”、民族大融合的“走廊”、藏汉贸易的主要集散地和茶马互市的中心，是康巴文化的核心区。</w:t>
            </w:r>
          </w:p>
          <w:p>
            <w:pPr>
              <w:ind w:firstLine="560" w:firstLineChars="200"/>
              <w:rPr>
                <w:rFonts w:hint="eastAsia" w:ascii="仿宋" w:hAnsi="仿宋" w:eastAsia="仿宋" w:cs="仿宋"/>
                <w:bCs w:val="0"/>
                <w:color w:val="auto"/>
                <w:kern w:val="0"/>
                <w:sz w:val="28"/>
                <w:szCs w:val="28"/>
                <w:highlight w:val="none"/>
                <w:vertAlign w:val="baseline"/>
              </w:rPr>
            </w:pPr>
            <w:r>
              <w:rPr>
                <w:rFonts w:hint="eastAsia" w:ascii="仿宋" w:hAnsi="仿宋" w:eastAsia="仿宋" w:cs="仿宋"/>
                <w:bCs w:val="0"/>
                <w:color w:val="auto"/>
                <w:kern w:val="0"/>
                <w:sz w:val="28"/>
                <w:szCs w:val="28"/>
                <w:highlight w:val="none"/>
                <w:vertAlign w:val="baseline"/>
              </w:rPr>
              <w:t>全州</w:t>
            </w:r>
            <w:r>
              <w:rPr>
                <w:rFonts w:hint="eastAsia" w:ascii="仿宋" w:hAnsi="仿宋" w:cs="仿宋"/>
                <w:bCs w:val="0"/>
                <w:color w:val="auto"/>
                <w:kern w:val="0"/>
                <w:sz w:val="28"/>
                <w:szCs w:val="28"/>
                <w:highlight w:val="none"/>
                <w:vertAlign w:val="baseline"/>
                <w:lang w:eastAsia="zh-CN"/>
              </w:rPr>
              <w:t>辖区面积</w:t>
            </w:r>
            <w:r>
              <w:rPr>
                <w:rFonts w:hint="eastAsia" w:ascii="仿宋" w:hAnsi="仿宋" w:eastAsia="仿宋" w:cs="仿宋"/>
                <w:bCs w:val="0"/>
                <w:color w:val="auto"/>
                <w:kern w:val="0"/>
                <w:sz w:val="28"/>
                <w:szCs w:val="28"/>
                <w:highlight w:val="none"/>
                <w:vertAlign w:val="baseline"/>
              </w:rPr>
              <w:t>15.3万平方公里，东部与阿坝州、雅安市毗邻，南部与凉山州、云南迪庆州相连，西部濒临金沙江，与西藏昌都隔江相望，北部与青海玉树州、果洛州接壤，南北长约663公里，东西宽约490公里，平均海拔3500米。全州辖康定、泸定、丹巴、九龙、雅江、道孚、炉霍、甘孜、新龙、德格、白玉、石渠、色达、理塘、巴塘、乡城、稻城、得荣等18个县（市），289个乡（镇）（其中街道办2个、镇110个、乡177个），2181个行政村，有藏、汉、回、彝、羌、纳西等43个民族，其中藏族占81.9%，是全国第二大藏区。据第七次人口普查结果，甘孜州常住人口为1107431人。</w:t>
            </w:r>
          </w:p>
          <w:p>
            <w:pPr>
              <w:ind w:firstLine="560" w:firstLineChars="200"/>
              <w:rPr>
                <w:rFonts w:hint="eastAsia" w:ascii="仿宋" w:hAnsi="仿宋" w:eastAsia="仿宋" w:cs="仿宋"/>
                <w:bCs w:val="0"/>
                <w:color w:val="auto"/>
                <w:kern w:val="0"/>
                <w:sz w:val="28"/>
                <w:szCs w:val="28"/>
                <w:highlight w:val="none"/>
                <w:vertAlign w:val="baseline"/>
              </w:rPr>
            </w:pPr>
            <w:r>
              <w:rPr>
                <w:rFonts w:hint="eastAsia" w:ascii="仿宋" w:hAnsi="仿宋" w:eastAsia="仿宋" w:cs="仿宋"/>
                <w:bCs w:val="0"/>
                <w:color w:val="auto"/>
                <w:kern w:val="0"/>
                <w:sz w:val="28"/>
                <w:szCs w:val="28"/>
                <w:highlight w:val="none"/>
                <w:vertAlign w:val="baseline"/>
              </w:rPr>
              <w:t>州府所在地康定市，是全州的政治、经济和文化中心，因一曲《康定情歌》而名扬海内外，被誉为“情歌的故乡”。</w:t>
            </w:r>
          </w:p>
          <w:p>
            <w:pPr>
              <w:ind w:firstLine="560" w:firstLineChars="200"/>
              <w:rPr>
                <w:rFonts w:hint="eastAsia" w:ascii="仿宋" w:hAnsi="仿宋" w:eastAsia="仿宋" w:cs="仿宋"/>
                <w:bCs w:val="0"/>
                <w:color w:val="auto"/>
                <w:kern w:val="0"/>
                <w:sz w:val="28"/>
                <w:szCs w:val="28"/>
                <w:highlight w:val="none"/>
                <w:vertAlign w:val="baseline"/>
              </w:rPr>
            </w:pPr>
            <w:r>
              <w:rPr>
                <w:rFonts w:hint="eastAsia" w:ascii="仿宋" w:hAnsi="仿宋" w:eastAsia="仿宋" w:cs="仿宋"/>
                <w:bCs w:val="0"/>
                <w:color w:val="auto"/>
                <w:kern w:val="0"/>
                <w:sz w:val="28"/>
                <w:szCs w:val="28"/>
                <w:highlight w:val="none"/>
                <w:vertAlign w:val="baseline"/>
              </w:rPr>
              <w:t>甘孜州境内有丰富的水力资源和地热资源；有大熊猫、小熊猫、金丝猴、白唇鹿等野生动物；有天麻、虫草、贝母、当归、黄芪等名贵中药材。有金、银、铜、铁、钼、锂、大理石、花岗岩等矿产资源。</w:t>
            </w:r>
          </w:p>
          <w:p>
            <w:pPr>
              <w:ind w:firstLine="560" w:firstLineChars="200"/>
              <w:rPr>
                <w:rFonts w:hint="eastAsia" w:ascii="楷体" w:hAnsi="楷体" w:eastAsia="楷体" w:cs="黑体"/>
                <w:bCs w:val="0"/>
                <w:color w:val="auto"/>
                <w:kern w:val="0"/>
                <w:highlight w:val="none"/>
                <w:vertAlign w:val="baseline"/>
              </w:rPr>
            </w:pPr>
            <w:r>
              <w:rPr>
                <w:rFonts w:hint="eastAsia" w:ascii="仿宋" w:hAnsi="仿宋" w:eastAsia="仿宋" w:cs="仿宋"/>
                <w:bCs w:val="0"/>
                <w:color w:val="auto"/>
                <w:kern w:val="0"/>
                <w:sz w:val="28"/>
                <w:szCs w:val="28"/>
                <w:highlight w:val="none"/>
                <w:vertAlign w:val="baseline"/>
              </w:rPr>
              <w:t>2021年，甘孜州GDP总值为447.04亿元，位列四川省各市州的21位。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ind w:firstLine="562" w:firstLineChars="200"/>
              <w:rPr>
                <w:rFonts w:hint="eastAsia" w:ascii="仿宋" w:hAnsi="仿宋" w:cs="仿宋"/>
                <w:b w:val="0"/>
                <w:bCs w:val="0"/>
                <w:color w:val="auto"/>
                <w:sz w:val="28"/>
                <w:szCs w:val="28"/>
              </w:rPr>
            </w:pPr>
            <w:r>
              <w:rPr>
                <w:rFonts w:hint="eastAsia"/>
                <w:b/>
                <w:bCs/>
                <w:color w:val="auto"/>
                <w:sz w:val="28"/>
                <w:szCs w:val="28"/>
                <w:lang w:val="en-US" w:eastAsia="zh-CN"/>
              </w:rPr>
              <w:t>农情简介：</w:t>
            </w:r>
            <w:r>
              <w:rPr>
                <w:rFonts w:hint="eastAsia" w:ascii="仿宋" w:hAnsi="仿宋" w:cs="仿宋"/>
                <w:b w:val="0"/>
                <w:bCs w:val="0"/>
                <w:color w:val="auto"/>
                <w:sz w:val="28"/>
                <w:szCs w:val="28"/>
              </w:rPr>
              <w:t>2020年，全州农林牧渔业总产值达到123.29亿元，农林牧渔业增加值81.56亿元，农村居民人均可支配收入达到13967元，农作物播种面积达140.02万亩，粮、油、菜总产量达23.07万吨、1.78万吨、43.13万吨；畜牧业稳定发展，各类牲畜存栏达342.4万头（只、匹），出栏率、商品率分别达到33.98%、19.87%；肉、奶、水产品产量分别达到9.22万吨、11万吨、0.004万吨。</w:t>
            </w:r>
          </w:p>
          <w:p>
            <w:pPr>
              <w:ind w:firstLine="560" w:firstLineChars="200"/>
              <w:rPr>
                <w:rFonts w:hint="eastAsia" w:ascii="仿宋" w:hAnsi="仿宋" w:cs="仿宋"/>
                <w:b w:val="0"/>
                <w:bCs w:val="0"/>
                <w:color w:val="auto"/>
                <w:sz w:val="28"/>
                <w:szCs w:val="28"/>
              </w:rPr>
            </w:pPr>
            <w:r>
              <w:rPr>
                <w:rFonts w:hint="eastAsia" w:ascii="仿宋" w:hAnsi="仿宋" w:cs="仿宋"/>
                <w:b w:val="0"/>
                <w:bCs w:val="0"/>
                <w:color w:val="auto"/>
                <w:sz w:val="28"/>
                <w:szCs w:val="28"/>
              </w:rPr>
              <w:t>2020年，全州贫困人口、贫困发生率等指标较2014年都有大幅下降，实现22.55万建档立卡贫困人口脱贫，实现全州18个县（市）如期实现整体脱贫摘帽，实现1360个建档立卡贫困村全部退出贫困村序列。</w:t>
            </w:r>
          </w:p>
          <w:p>
            <w:pPr>
              <w:ind w:firstLine="560" w:firstLineChars="200"/>
              <w:rPr>
                <w:rFonts w:hint="eastAsia" w:ascii="仿宋" w:hAnsi="仿宋" w:cs="仿宋"/>
                <w:b w:val="0"/>
                <w:bCs w:val="0"/>
                <w:color w:val="auto"/>
                <w:sz w:val="28"/>
                <w:szCs w:val="28"/>
              </w:rPr>
            </w:pPr>
            <w:r>
              <w:rPr>
                <w:rFonts w:hint="eastAsia" w:ascii="仿宋" w:hAnsi="仿宋" w:cs="仿宋"/>
                <w:b w:val="0"/>
                <w:bCs w:val="0"/>
                <w:color w:val="auto"/>
                <w:sz w:val="28"/>
                <w:szCs w:val="28"/>
              </w:rPr>
              <w:t>紧紧围绕激发乡村振兴动力活力，以深化农村集体产权制度改革为突破口，加快构建城乡融合发展的体制机制。进一步推进农村集体产权制度改革。2020年，全州全面完成农村土地承包经营权确权登记工作，颁发农户承包经营权证书12.08万本，颁证率达98.5%，完成2733个村的农村集体资产清产核资数据录入，完成清产核资资产总额95.12亿元。</w:t>
            </w:r>
          </w:p>
          <w:p>
            <w:pPr>
              <w:ind w:firstLine="560" w:firstLineChars="200"/>
              <w:rPr>
                <w:rFonts w:hint="eastAsia" w:ascii="仿宋" w:hAnsi="仿宋" w:cs="仿宋"/>
                <w:b w:val="0"/>
                <w:bCs w:val="0"/>
                <w:color w:val="auto"/>
                <w:sz w:val="28"/>
                <w:szCs w:val="28"/>
              </w:rPr>
            </w:pPr>
            <w:r>
              <w:rPr>
                <w:rFonts w:hint="eastAsia" w:ascii="仿宋" w:hAnsi="仿宋" w:cs="仿宋"/>
                <w:b w:val="0"/>
                <w:bCs w:val="0"/>
                <w:color w:val="auto"/>
                <w:sz w:val="28"/>
                <w:szCs w:val="28"/>
              </w:rPr>
              <w:t>围绕建设现代高原特色农牧业基地，以育龙头、建基地、搞加工、创品牌、促营销为重点，强力实施“五个一批”工程，强力推进农牧产业集约、集聚、集群发展。优势特色产业持续稳定发展，现代农业“10+2”产业体系初步构建。加快培育一批州县特色企业。全州共引进和培育涉农企业586家（省级龙头企业13家）、农民专业合作社3862家、家庭农场392家、种养大户3497家。全州18个县（市）启动建设28个现代农业园区，总投资15.65亿元，建设产业基地27.68万亩，实现农业产值12.53亿元，带动受益农户3.93万户。全国首个高原食品研究院落户甘孜州，累计登记认证“三品一标”农产品200个，“圣洁甘孜”成为全省十佳农产品区域公用品牌。全州纳入国家级电子商务进农村综合示范创建范围，农村电商“全域统筹·整体推进”发展模式在全国民族地区推广，甘孜产品实现现货网络零售额2.3亿元。</w:t>
            </w:r>
          </w:p>
          <w:p>
            <w:pPr>
              <w:ind w:firstLine="560" w:firstLineChars="200"/>
              <w:rPr>
                <w:rFonts w:hint="eastAsia"/>
                <w:b/>
                <w:bCs/>
                <w:color w:val="auto"/>
              </w:rPr>
            </w:pPr>
            <w:r>
              <w:rPr>
                <w:rFonts w:hint="eastAsia" w:ascii="仿宋" w:hAnsi="仿宋" w:cs="仿宋"/>
                <w:b w:val="0"/>
                <w:bCs w:val="0"/>
                <w:color w:val="auto"/>
                <w:sz w:val="28"/>
                <w:szCs w:val="28"/>
              </w:rPr>
              <w:t>以“圣洁甘孜·美丽乡村”为重点，学习推广浙江“千村示范、万村整治”经验，开展农村垃圾污水治理、厕所革命和村容村貌提升等重点行动。全州83%以上的村已基本配备垃圾处理设施，农村生活污水治理率25%，集中式饮用水水源地水质合格率100%。累计完成农村户厕新（改）建158188户，全州农村户用卫生厕所普及率达73.9%。规模养殖场粪污处理设施装配配套率达100%。结合各地的资源禀赋和区域特点，州县（市）整合涉农财政资金20余亿元，分流域梯度推进乡村振兴战略。按照“成渝后花园·康养加休闲”主题定位，全面建成大渡河流域乡村振兴示范区115个示范村任务。按照先行先试、循序渐进的原则，抓重点、补短板，实施雅砻江、金沙江流域138个乡村振兴试点村。累计创建省级乡村振兴战略先进乡镇4个、示范村54个，命名州级乡村振兴先进县（市）7个、先进乡镇30个、示范村218个。</w:t>
            </w:r>
          </w:p>
        </w:tc>
      </w:tr>
    </w:tbl>
    <w:p>
      <w:pPr>
        <w:pStyle w:val="10"/>
        <w:rPr>
          <w:rFonts w:hint="eastAsia" w:ascii="楷体" w:hAnsi="楷体" w:eastAsia="楷体" w:cs="黑体"/>
          <w:bCs w:val="0"/>
          <w:color w:val="auto"/>
          <w:kern w:val="0"/>
          <w:highlight w:val="none"/>
        </w:rPr>
      </w:pPr>
    </w:p>
    <w:p>
      <w:pPr>
        <w:rPr>
          <w:rFonts w:hint="eastAsia"/>
          <w:color w:val="auto"/>
        </w:rPr>
        <w:sectPr>
          <w:pgSz w:w="11906" w:h="16838"/>
          <w:pgMar w:top="1440" w:right="1800" w:bottom="1440" w:left="1800" w:header="851" w:footer="992" w:gutter="0"/>
          <w:pgNumType w:fmt="decimal"/>
          <w:cols w:space="425" w:num="1"/>
          <w:docGrid w:type="lines" w:linePitch="312" w:charSpace="0"/>
        </w:sectPr>
      </w:pPr>
    </w:p>
    <w:p>
      <w:pPr>
        <w:pStyle w:val="5"/>
        <w:keepNext/>
        <w:keepLines/>
        <w:pageBreakBefore w:val="0"/>
        <w:widowControl w:val="0"/>
        <w:tabs>
          <w:tab w:val="clear" w:pos="0"/>
        </w:tabs>
        <w:suppressAutoHyphens w:val="0"/>
        <w:kinsoku/>
        <w:wordWrap/>
        <w:overflowPunct/>
        <w:topLinePunct w:val="0"/>
        <w:autoSpaceDE/>
        <w:autoSpaceDN/>
        <w:bidi w:val="0"/>
        <w:adjustRightInd/>
        <w:snapToGrid w:val="0"/>
        <w:spacing w:before="0" w:after="0" w:line="360" w:lineRule="auto"/>
        <w:ind w:firstLine="0" w:firstLineChars="0"/>
        <w:jc w:val="center"/>
        <w:textAlignment w:val="auto"/>
        <w:rPr>
          <w:rFonts w:hint="eastAsia" w:ascii="楷体" w:hAnsi="楷体" w:eastAsia="楷体" w:cs="黑体"/>
          <w:bCs w:val="0"/>
          <w:color w:val="auto"/>
          <w:kern w:val="0"/>
          <w:highlight w:val="none"/>
        </w:rPr>
      </w:pPr>
      <w:bookmarkStart w:id="176" w:name="_Toc22782"/>
      <w:r>
        <w:rPr>
          <w:rFonts w:hint="eastAsia" w:ascii="楷体" w:hAnsi="楷体" w:eastAsia="楷体" w:cs="黑体"/>
          <w:bCs w:val="0"/>
          <w:color w:val="auto"/>
          <w:kern w:val="0"/>
          <w:highlight w:val="none"/>
        </w:rPr>
        <w:t>附件</w:t>
      </w:r>
      <w:r>
        <w:rPr>
          <w:rFonts w:hint="eastAsia" w:ascii="楷体" w:hAnsi="楷体" w:eastAsia="楷体" w:cs="黑体"/>
          <w:bCs w:val="0"/>
          <w:color w:val="auto"/>
          <w:kern w:val="0"/>
          <w:highlight w:val="none"/>
          <w:lang w:val="en-US" w:eastAsia="zh-CN"/>
        </w:rPr>
        <w:t>3</w:t>
      </w:r>
      <w:r>
        <w:rPr>
          <w:rFonts w:hint="eastAsia" w:ascii="楷体" w:hAnsi="楷体" w:eastAsia="楷体" w:cs="黑体"/>
          <w:bCs w:val="0"/>
          <w:color w:val="auto"/>
          <w:kern w:val="0"/>
          <w:highlight w:val="none"/>
        </w:rPr>
        <w:t>：甘孜州乡村振兴重点帮扶县（村）明细表</w:t>
      </w:r>
      <w:bookmarkEnd w:id="174"/>
      <w:bookmarkEnd w:id="175"/>
      <w:bookmarkEnd w:id="176"/>
    </w:p>
    <w:tbl>
      <w:tblPr>
        <w:tblStyle w:val="25"/>
        <w:tblW w:w="4998" w:type="pct"/>
        <w:jc w:val="center"/>
        <w:tblLayout w:type="autofit"/>
        <w:tblCellMar>
          <w:top w:w="0" w:type="dxa"/>
          <w:left w:w="108" w:type="dxa"/>
          <w:bottom w:w="0" w:type="dxa"/>
          <w:right w:w="108" w:type="dxa"/>
        </w:tblCellMar>
      </w:tblPr>
      <w:tblGrid>
        <w:gridCol w:w="950"/>
        <w:gridCol w:w="952"/>
        <w:gridCol w:w="991"/>
        <w:gridCol w:w="991"/>
        <w:gridCol w:w="992"/>
        <w:gridCol w:w="1212"/>
        <w:gridCol w:w="1212"/>
        <w:gridCol w:w="1219"/>
      </w:tblGrid>
      <w:tr>
        <w:tblPrEx>
          <w:tblCellMar>
            <w:top w:w="0" w:type="dxa"/>
            <w:left w:w="108" w:type="dxa"/>
            <w:bottom w:w="0" w:type="dxa"/>
            <w:right w:w="108" w:type="dxa"/>
          </w:tblCellMar>
        </w:tblPrEx>
        <w:trPr>
          <w:trHeight w:val="468" w:hRule="atLeast"/>
          <w:jc w:val="center"/>
        </w:trPr>
        <w:tc>
          <w:tcPr>
            <w:tcW w:w="557"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b/>
                <w:bCs/>
                <w:color w:val="auto"/>
                <w:sz w:val="24"/>
                <w:szCs w:val="24"/>
                <w:highlight w:val="none"/>
              </w:rPr>
            </w:pPr>
            <w:r>
              <w:rPr>
                <w:rFonts w:hint="eastAsia" w:ascii="仿宋" w:hAnsi="仿宋"/>
                <w:b/>
                <w:bCs/>
                <w:color w:val="auto"/>
                <w:kern w:val="0"/>
                <w:sz w:val="24"/>
                <w:szCs w:val="24"/>
                <w:highlight w:val="none"/>
                <w:lang w:bidi="ar"/>
              </w:rPr>
              <w:t>类别</w:t>
            </w:r>
          </w:p>
        </w:tc>
        <w:tc>
          <w:tcPr>
            <w:tcW w:w="558" w:type="pct"/>
            <w:vMerge w:val="restart"/>
            <w:tcBorders>
              <w:top w:val="single" w:color="000000" w:sz="8" w:space="0"/>
              <w:left w:val="nil"/>
              <w:bottom w:val="single" w:color="000000" w:sz="8" w:space="0"/>
              <w:right w:val="single" w:color="000000" w:sz="8" w:space="0"/>
            </w:tcBorders>
            <w:shd w:val="clear" w:color="auto" w:fill="FFFFFF"/>
            <w:vAlign w:val="center"/>
          </w:tcPr>
          <w:p>
            <w:pPr>
              <w:widowControl/>
              <w:jc w:val="center"/>
              <w:textAlignment w:val="center"/>
              <w:rPr>
                <w:rFonts w:ascii="仿宋" w:hAnsi="仿宋"/>
                <w:b/>
                <w:bCs/>
                <w:color w:val="auto"/>
                <w:sz w:val="24"/>
                <w:szCs w:val="24"/>
                <w:highlight w:val="none"/>
              </w:rPr>
            </w:pPr>
            <w:r>
              <w:rPr>
                <w:rFonts w:hint="eastAsia" w:ascii="仿宋" w:hAnsi="仿宋"/>
                <w:b/>
                <w:bCs/>
                <w:color w:val="auto"/>
                <w:kern w:val="0"/>
                <w:sz w:val="24"/>
                <w:szCs w:val="24"/>
                <w:highlight w:val="none"/>
                <w:lang w:bidi="ar"/>
              </w:rPr>
              <w:t>县（市）</w:t>
            </w:r>
          </w:p>
        </w:tc>
        <w:tc>
          <w:tcPr>
            <w:tcW w:w="581" w:type="pct"/>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center"/>
              <w:rPr>
                <w:rFonts w:ascii="仿宋" w:hAnsi="仿宋"/>
                <w:b/>
                <w:bCs/>
                <w:color w:val="auto"/>
                <w:sz w:val="24"/>
                <w:szCs w:val="24"/>
                <w:highlight w:val="none"/>
              </w:rPr>
            </w:pPr>
            <w:r>
              <w:rPr>
                <w:rFonts w:hint="eastAsia" w:ascii="仿宋" w:hAnsi="仿宋"/>
                <w:b/>
                <w:bCs/>
                <w:color w:val="auto"/>
                <w:kern w:val="0"/>
                <w:sz w:val="24"/>
                <w:szCs w:val="24"/>
                <w:highlight w:val="none"/>
                <w:lang w:bidi="ar"/>
              </w:rPr>
              <w:t>村（社区）（个）</w:t>
            </w:r>
          </w:p>
        </w:tc>
        <w:tc>
          <w:tcPr>
            <w:tcW w:w="581" w:type="pct"/>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center"/>
              <w:rPr>
                <w:rFonts w:ascii="仿宋" w:hAnsi="仿宋"/>
                <w:b/>
                <w:bCs/>
                <w:color w:val="auto"/>
                <w:sz w:val="24"/>
                <w:szCs w:val="24"/>
                <w:highlight w:val="none"/>
              </w:rPr>
            </w:pPr>
            <w:r>
              <w:rPr>
                <w:rFonts w:hint="eastAsia" w:ascii="仿宋" w:hAnsi="仿宋"/>
                <w:b/>
                <w:bCs/>
                <w:color w:val="auto"/>
                <w:kern w:val="0"/>
                <w:sz w:val="24"/>
                <w:szCs w:val="24"/>
                <w:highlight w:val="none"/>
                <w:lang w:bidi="ar"/>
              </w:rPr>
              <w:t>脱贫村（个）</w:t>
            </w:r>
          </w:p>
        </w:tc>
        <w:tc>
          <w:tcPr>
            <w:tcW w:w="582" w:type="pct"/>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center"/>
              <w:rPr>
                <w:rFonts w:ascii="仿宋" w:hAnsi="仿宋"/>
                <w:b/>
                <w:bCs/>
                <w:color w:val="auto"/>
                <w:sz w:val="24"/>
                <w:szCs w:val="24"/>
                <w:highlight w:val="none"/>
              </w:rPr>
            </w:pPr>
            <w:r>
              <w:rPr>
                <w:rFonts w:hint="eastAsia" w:ascii="仿宋" w:hAnsi="仿宋"/>
                <w:b/>
                <w:bCs/>
                <w:color w:val="auto"/>
                <w:kern w:val="0"/>
                <w:sz w:val="24"/>
                <w:szCs w:val="24"/>
                <w:highlight w:val="none"/>
                <w:lang w:bidi="ar"/>
              </w:rPr>
              <w:t>重点帮扶村（个）</w:t>
            </w:r>
          </w:p>
        </w:tc>
        <w:tc>
          <w:tcPr>
            <w:tcW w:w="711" w:type="pct"/>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center"/>
              <w:rPr>
                <w:rFonts w:ascii="仿宋" w:hAnsi="仿宋"/>
                <w:b/>
                <w:bCs/>
                <w:color w:val="auto"/>
                <w:sz w:val="24"/>
                <w:szCs w:val="24"/>
                <w:highlight w:val="none"/>
              </w:rPr>
            </w:pPr>
            <w:r>
              <w:rPr>
                <w:rFonts w:ascii="Times New Roman" w:hAnsi="Times New Roman"/>
                <w:b/>
                <w:bCs/>
                <w:color w:val="auto"/>
                <w:kern w:val="0"/>
                <w:sz w:val="24"/>
                <w:szCs w:val="24"/>
                <w:highlight w:val="none"/>
                <w:lang w:bidi="ar"/>
              </w:rPr>
              <w:t>2020</w:t>
            </w:r>
            <w:r>
              <w:rPr>
                <w:rFonts w:hint="eastAsia" w:ascii="仿宋" w:hAnsi="仿宋"/>
                <w:b/>
                <w:bCs/>
                <w:color w:val="auto"/>
                <w:kern w:val="0"/>
                <w:sz w:val="24"/>
                <w:szCs w:val="24"/>
                <w:highlight w:val="none"/>
                <w:lang w:bidi="ar"/>
              </w:rPr>
              <w:t>年建档立卡脱贫人数（万人）</w:t>
            </w:r>
          </w:p>
        </w:tc>
        <w:tc>
          <w:tcPr>
            <w:tcW w:w="711" w:type="pct"/>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center"/>
              <w:rPr>
                <w:rFonts w:ascii="仿宋" w:hAnsi="仿宋"/>
                <w:b/>
                <w:bCs/>
                <w:color w:val="auto"/>
                <w:sz w:val="24"/>
                <w:szCs w:val="24"/>
                <w:highlight w:val="none"/>
              </w:rPr>
            </w:pPr>
            <w:r>
              <w:rPr>
                <w:rFonts w:ascii="Times New Roman" w:hAnsi="Times New Roman"/>
                <w:b/>
                <w:bCs/>
                <w:color w:val="auto"/>
                <w:kern w:val="0"/>
                <w:sz w:val="24"/>
                <w:szCs w:val="24"/>
                <w:highlight w:val="none"/>
                <w:lang w:bidi="ar"/>
              </w:rPr>
              <w:t>2019</w:t>
            </w:r>
            <w:r>
              <w:rPr>
                <w:rFonts w:hint="eastAsia" w:ascii="仿宋" w:hAnsi="仿宋"/>
                <w:b/>
                <w:bCs/>
                <w:color w:val="auto"/>
                <w:kern w:val="0"/>
                <w:sz w:val="24"/>
                <w:szCs w:val="24"/>
                <w:highlight w:val="none"/>
                <w:lang w:bidi="ar"/>
              </w:rPr>
              <w:t>年乡村人口（万人）</w:t>
            </w:r>
          </w:p>
        </w:tc>
        <w:tc>
          <w:tcPr>
            <w:tcW w:w="715" w:type="pct"/>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center"/>
              <w:rPr>
                <w:rFonts w:ascii="仿宋" w:hAnsi="仿宋"/>
                <w:b/>
                <w:bCs/>
                <w:color w:val="auto"/>
                <w:sz w:val="24"/>
                <w:szCs w:val="24"/>
                <w:highlight w:val="none"/>
              </w:rPr>
            </w:pPr>
            <w:r>
              <w:rPr>
                <w:rFonts w:ascii="Times New Roman" w:hAnsi="Times New Roman"/>
                <w:b/>
                <w:bCs/>
                <w:color w:val="auto"/>
                <w:kern w:val="0"/>
                <w:sz w:val="24"/>
                <w:szCs w:val="24"/>
                <w:highlight w:val="none"/>
                <w:lang w:bidi="ar"/>
              </w:rPr>
              <w:t>2020</w:t>
            </w:r>
            <w:r>
              <w:rPr>
                <w:rFonts w:hint="eastAsia" w:ascii="仿宋" w:hAnsi="仿宋"/>
                <w:b/>
                <w:bCs/>
                <w:color w:val="auto"/>
                <w:kern w:val="0"/>
                <w:sz w:val="24"/>
                <w:szCs w:val="24"/>
                <w:highlight w:val="none"/>
                <w:lang w:bidi="ar"/>
              </w:rPr>
              <w:t>年农村居民人均可支配收入（元）</w:t>
            </w:r>
          </w:p>
        </w:tc>
      </w:tr>
      <w:tr>
        <w:tblPrEx>
          <w:tblCellMar>
            <w:top w:w="0" w:type="dxa"/>
            <w:left w:w="108" w:type="dxa"/>
            <w:bottom w:w="0" w:type="dxa"/>
            <w:right w:w="108" w:type="dxa"/>
          </w:tblCellMar>
        </w:tblPrEx>
        <w:trPr>
          <w:trHeight w:val="1208" w:hRule="atLeast"/>
          <w:jc w:val="center"/>
        </w:trPr>
        <w:tc>
          <w:tcPr>
            <w:tcW w:w="557"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黑体" w:hAnsi="宋体" w:eastAsia="黑体" w:cs="黑体"/>
                <w:color w:val="auto"/>
                <w:szCs w:val="21"/>
                <w:highlight w:val="none"/>
              </w:rPr>
            </w:pPr>
          </w:p>
        </w:tc>
        <w:tc>
          <w:tcPr>
            <w:tcW w:w="558" w:type="pct"/>
            <w:vMerge w:val="continue"/>
            <w:tcBorders>
              <w:top w:val="single" w:color="000000" w:sz="8" w:space="0"/>
              <w:left w:val="nil"/>
              <w:bottom w:val="single" w:color="000000" w:sz="8" w:space="0"/>
              <w:right w:val="single" w:color="000000" w:sz="8" w:space="0"/>
            </w:tcBorders>
            <w:shd w:val="clear" w:color="auto" w:fill="FFFFFF"/>
            <w:vAlign w:val="center"/>
          </w:tcPr>
          <w:p>
            <w:pPr>
              <w:jc w:val="center"/>
              <w:rPr>
                <w:rFonts w:ascii="黑体" w:hAnsi="宋体" w:eastAsia="黑体" w:cs="黑体"/>
                <w:color w:val="auto"/>
                <w:szCs w:val="21"/>
                <w:highlight w:val="none"/>
              </w:rPr>
            </w:pPr>
          </w:p>
        </w:tc>
        <w:tc>
          <w:tcPr>
            <w:tcW w:w="581" w:type="pct"/>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ascii="黑体" w:hAnsi="宋体" w:eastAsia="黑体" w:cs="黑体"/>
                <w:color w:val="auto"/>
                <w:szCs w:val="21"/>
                <w:highlight w:val="none"/>
              </w:rPr>
            </w:pPr>
          </w:p>
        </w:tc>
        <w:tc>
          <w:tcPr>
            <w:tcW w:w="581" w:type="pct"/>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ascii="黑体" w:hAnsi="宋体" w:eastAsia="黑体" w:cs="黑体"/>
                <w:color w:val="auto"/>
                <w:szCs w:val="21"/>
                <w:highlight w:val="none"/>
              </w:rPr>
            </w:pPr>
          </w:p>
        </w:tc>
        <w:tc>
          <w:tcPr>
            <w:tcW w:w="582" w:type="pct"/>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ascii="黑体" w:hAnsi="宋体" w:eastAsia="黑体" w:cs="黑体"/>
                <w:color w:val="auto"/>
                <w:szCs w:val="21"/>
                <w:highlight w:val="none"/>
              </w:rPr>
            </w:pPr>
          </w:p>
        </w:tc>
        <w:tc>
          <w:tcPr>
            <w:tcW w:w="711" w:type="pct"/>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ascii="黑体" w:hAnsi="宋体" w:eastAsia="黑体" w:cs="黑体"/>
                <w:color w:val="auto"/>
                <w:szCs w:val="21"/>
                <w:highlight w:val="none"/>
              </w:rPr>
            </w:pPr>
          </w:p>
        </w:tc>
        <w:tc>
          <w:tcPr>
            <w:tcW w:w="711" w:type="pct"/>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ascii="黑体" w:hAnsi="宋体" w:eastAsia="黑体" w:cs="黑体"/>
                <w:color w:val="auto"/>
                <w:szCs w:val="21"/>
                <w:highlight w:val="none"/>
              </w:rPr>
            </w:pPr>
          </w:p>
        </w:tc>
        <w:tc>
          <w:tcPr>
            <w:tcW w:w="715" w:type="pct"/>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ascii="黑体" w:hAnsi="宋体" w:eastAsia="黑体" w:cs="黑体"/>
                <w:color w:val="auto"/>
                <w:szCs w:val="21"/>
                <w:highlight w:val="none"/>
              </w:rPr>
            </w:pPr>
          </w:p>
        </w:tc>
      </w:tr>
      <w:tr>
        <w:tblPrEx>
          <w:tblCellMar>
            <w:top w:w="0" w:type="dxa"/>
            <w:left w:w="108" w:type="dxa"/>
            <w:bottom w:w="0" w:type="dxa"/>
            <w:right w:w="108" w:type="dxa"/>
          </w:tblCellMar>
        </w:tblPrEx>
        <w:trPr>
          <w:trHeight w:val="383" w:hRule="atLeast"/>
          <w:jc w:val="center"/>
        </w:trPr>
        <w:tc>
          <w:tcPr>
            <w:tcW w:w="55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b/>
                <w:bCs/>
                <w:color w:val="auto"/>
                <w:sz w:val="24"/>
                <w:szCs w:val="24"/>
                <w:highlight w:val="none"/>
              </w:rPr>
            </w:pPr>
            <w:r>
              <w:rPr>
                <w:rFonts w:hint="eastAsia" w:ascii="仿宋" w:hAnsi="仿宋"/>
                <w:b/>
                <w:bCs/>
                <w:color w:val="auto"/>
                <w:kern w:val="0"/>
                <w:sz w:val="24"/>
                <w:szCs w:val="24"/>
                <w:highlight w:val="none"/>
                <w:lang w:bidi="ar"/>
              </w:rPr>
              <w:t>国家重点帮扶县</w:t>
            </w:r>
          </w:p>
        </w:tc>
        <w:tc>
          <w:tcPr>
            <w:tcW w:w="558" w:type="pct"/>
            <w:tcBorders>
              <w:top w:val="nil"/>
              <w:left w:val="nil"/>
              <w:bottom w:val="single" w:color="000000" w:sz="8" w:space="0"/>
              <w:right w:val="single" w:color="000000" w:sz="8" w:space="0"/>
            </w:tcBorders>
            <w:shd w:val="clear" w:color="auto" w:fill="FFFFFF"/>
            <w:vAlign w:val="center"/>
          </w:tcPr>
          <w:p>
            <w:pPr>
              <w:widowControl/>
              <w:jc w:val="center"/>
              <w:textAlignment w:val="center"/>
              <w:rPr>
                <w:rFonts w:ascii="仿宋" w:hAnsi="仿宋"/>
                <w:color w:val="auto"/>
                <w:sz w:val="24"/>
                <w:szCs w:val="24"/>
                <w:highlight w:val="none"/>
              </w:rPr>
            </w:pPr>
            <w:r>
              <w:rPr>
                <w:rFonts w:hint="eastAsia" w:ascii="仿宋" w:hAnsi="仿宋"/>
                <w:color w:val="auto"/>
                <w:kern w:val="0"/>
                <w:sz w:val="24"/>
                <w:szCs w:val="24"/>
                <w:highlight w:val="none"/>
                <w:lang w:bidi="ar"/>
              </w:rPr>
              <w:t>道孚县</w:t>
            </w:r>
          </w:p>
        </w:tc>
        <w:tc>
          <w:tcPr>
            <w:tcW w:w="581" w:type="pct"/>
            <w:tcBorders>
              <w:top w:val="nil"/>
              <w:left w:val="nil"/>
              <w:bottom w:val="single" w:color="000000" w:sz="8" w:space="0"/>
              <w:right w:val="single" w:color="000000" w:sz="8" w:space="0"/>
            </w:tcBorders>
            <w:shd w:val="clear" w:color="auto" w:fill="FFFFFF"/>
            <w:vAlign w:val="center"/>
          </w:tcPr>
          <w:p>
            <w:pPr>
              <w:widowControl/>
              <w:jc w:val="center"/>
              <w:textAlignment w:val="center"/>
              <w:rPr>
                <w:rFonts w:ascii="Times New Roman" w:hAnsi="Times New Roman"/>
                <w:color w:val="auto"/>
                <w:sz w:val="24"/>
                <w:szCs w:val="24"/>
                <w:highlight w:val="none"/>
              </w:rPr>
            </w:pPr>
            <w:r>
              <w:rPr>
                <w:rFonts w:ascii="Times New Roman" w:hAnsi="Times New Roman"/>
                <w:color w:val="auto"/>
                <w:kern w:val="0"/>
                <w:sz w:val="24"/>
                <w:szCs w:val="24"/>
                <w:highlight w:val="none"/>
                <w:lang w:bidi="ar"/>
              </w:rPr>
              <w:t>121</w:t>
            </w:r>
          </w:p>
        </w:tc>
        <w:tc>
          <w:tcPr>
            <w:tcW w:w="581" w:type="pct"/>
            <w:tcBorders>
              <w:top w:val="nil"/>
              <w:left w:val="nil"/>
              <w:bottom w:val="single" w:color="000000" w:sz="8" w:space="0"/>
              <w:right w:val="single" w:color="000000" w:sz="8" w:space="0"/>
            </w:tcBorders>
            <w:shd w:val="clear" w:color="auto" w:fill="FFFFFF"/>
            <w:noWrap/>
            <w:vAlign w:val="center"/>
          </w:tcPr>
          <w:p>
            <w:pPr>
              <w:widowControl/>
              <w:jc w:val="center"/>
              <w:textAlignment w:val="center"/>
              <w:rPr>
                <w:rFonts w:ascii="Times New Roman" w:hAnsi="Times New Roman"/>
                <w:color w:val="auto"/>
                <w:sz w:val="24"/>
                <w:szCs w:val="24"/>
                <w:highlight w:val="none"/>
              </w:rPr>
            </w:pPr>
            <w:r>
              <w:rPr>
                <w:rFonts w:ascii="Times New Roman" w:hAnsi="Times New Roman"/>
                <w:color w:val="auto"/>
                <w:kern w:val="0"/>
                <w:sz w:val="24"/>
                <w:szCs w:val="24"/>
                <w:highlight w:val="none"/>
                <w:lang w:bidi="ar"/>
              </w:rPr>
              <w:t>68</w:t>
            </w:r>
          </w:p>
        </w:tc>
        <w:tc>
          <w:tcPr>
            <w:tcW w:w="582" w:type="pct"/>
            <w:tcBorders>
              <w:top w:val="nil"/>
              <w:left w:val="nil"/>
              <w:bottom w:val="single" w:color="000000" w:sz="8" w:space="0"/>
              <w:right w:val="single" w:color="000000" w:sz="8" w:space="0"/>
            </w:tcBorders>
            <w:shd w:val="clear" w:color="auto" w:fill="FFFFFF"/>
            <w:noWrap/>
            <w:vAlign w:val="center"/>
          </w:tcPr>
          <w:p>
            <w:pPr>
              <w:widowControl/>
              <w:jc w:val="center"/>
              <w:textAlignment w:val="center"/>
              <w:rPr>
                <w:rFonts w:ascii="Times New Roman" w:hAnsi="Times New Roman"/>
                <w:color w:val="auto"/>
                <w:sz w:val="24"/>
                <w:szCs w:val="24"/>
                <w:highlight w:val="none"/>
              </w:rPr>
            </w:pPr>
            <w:r>
              <w:rPr>
                <w:rFonts w:ascii="Times New Roman" w:hAnsi="Times New Roman"/>
                <w:color w:val="auto"/>
                <w:kern w:val="0"/>
                <w:sz w:val="24"/>
                <w:szCs w:val="24"/>
                <w:highlight w:val="none"/>
                <w:lang w:bidi="ar"/>
              </w:rPr>
              <w:t>34</w:t>
            </w:r>
          </w:p>
        </w:tc>
        <w:tc>
          <w:tcPr>
            <w:tcW w:w="711" w:type="pct"/>
            <w:tcBorders>
              <w:top w:val="nil"/>
              <w:left w:val="nil"/>
              <w:bottom w:val="single" w:color="000000" w:sz="8" w:space="0"/>
              <w:right w:val="single" w:color="000000" w:sz="8" w:space="0"/>
            </w:tcBorders>
            <w:shd w:val="clear" w:color="auto" w:fill="FFFFFF"/>
            <w:noWrap/>
            <w:vAlign w:val="center"/>
          </w:tcPr>
          <w:p>
            <w:pPr>
              <w:widowControl/>
              <w:jc w:val="center"/>
              <w:textAlignment w:val="center"/>
              <w:rPr>
                <w:rFonts w:ascii="Times New Roman" w:hAnsi="Times New Roman"/>
                <w:color w:val="auto"/>
                <w:sz w:val="24"/>
                <w:szCs w:val="24"/>
                <w:highlight w:val="none"/>
              </w:rPr>
            </w:pPr>
            <w:r>
              <w:rPr>
                <w:rFonts w:ascii="Times New Roman" w:hAnsi="Times New Roman"/>
                <w:color w:val="auto"/>
                <w:kern w:val="0"/>
                <w:sz w:val="24"/>
                <w:szCs w:val="24"/>
                <w:highlight w:val="none"/>
                <w:lang w:bidi="ar"/>
              </w:rPr>
              <w:t>1.2</w:t>
            </w:r>
          </w:p>
        </w:tc>
        <w:tc>
          <w:tcPr>
            <w:tcW w:w="711" w:type="pct"/>
            <w:tcBorders>
              <w:top w:val="nil"/>
              <w:left w:val="nil"/>
              <w:bottom w:val="single" w:color="000000" w:sz="8" w:space="0"/>
              <w:right w:val="single" w:color="000000" w:sz="8" w:space="0"/>
            </w:tcBorders>
            <w:shd w:val="clear" w:color="auto" w:fill="FFFFFF"/>
            <w:noWrap/>
            <w:vAlign w:val="center"/>
          </w:tcPr>
          <w:p>
            <w:pPr>
              <w:widowControl/>
              <w:jc w:val="center"/>
              <w:textAlignment w:val="center"/>
              <w:rPr>
                <w:rFonts w:ascii="Times New Roman" w:hAnsi="Times New Roman"/>
                <w:color w:val="auto"/>
                <w:sz w:val="24"/>
                <w:szCs w:val="24"/>
                <w:highlight w:val="none"/>
              </w:rPr>
            </w:pPr>
            <w:r>
              <w:rPr>
                <w:rFonts w:ascii="Times New Roman" w:hAnsi="Times New Roman"/>
                <w:color w:val="auto"/>
                <w:kern w:val="0"/>
                <w:sz w:val="24"/>
                <w:szCs w:val="24"/>
                <w:highlight w:val="none"/>
                <w:lang w:bidi="ar"/>
              </w:rPr>
              <w:t>4.8</w:t>
            </w:r>
          </w:p>
        </w:tc>
        <w:tc>
          <w:tcPr>
            <w:tcW w:w="715" w:type="pct"/>
            <w:tcBorders>
              <w:top w:val="nil"/>
              <w:left w:val="nil"/>
              <w:bottom w:val="single" w:color="000000" w:sz="8" w:space="0"/>
              <w:right w:val="single" w:color="000000" w:sz="8" w:space="0"/>
            </w:tcBorders>
            <w:shd w:val="clear" w:color="auto" w:fill="FFFFFF"/>
            <w:noWrap/>
            <w:vAlign w:val="center"/>
          </w:tcPr>
          <w:p>
            <w:pPr>
              <w:widowControl/>
              <w:jc w:val="center"/>
              <w:textAlignment w:val="center"/>
              <w:rPr>
                <w:rFonts w:ascii="Times New Roman" w:hAnsi="Times New Roman"/>
                <w:color w:val="auto"/>
                <w:sz w:val="24"/>
                <w:szCs w:val="24"/>
                <w:highlight w:val="none"/>
              </w:rPr>
            </w:pPr>
            <w:r>
              <w:rPr>
                <w:rFonts w:ascii="Times New Roman" w:hAnsi="Times New Roman"/>
                <w:color w:val="auto"/>
                <w:kern w:val="0"/>
                <w:sz w:val="24"/>
                <w:szCs w:val="24"/>
                <w:highlight w:val="none"/>
                <w:lang w:bidi="ar"/>
              </w:rPr>
              <w:t>13161</w:t>
            </w:r>
          </w:p>
        </w:tc>
      </w:tr>
      <w:tr>
        <w:tblPrEx>
          <w:tblCellMar>
            <w:top w:w="0" w:type="dxa"/>
            <w:left w:w="108" w:type="dxa"/>
            <w:bottom w:w="0" w:type="dxa"/>
            <w:right w:w="108" w:type="dxa"/>
          </w:tblCellMar>
        </w:tblPrEx>
        <w:trPr>
          <w:trHeight w:val="383" w:hRule="atLeast"/>
          <w:jc w:val="center"/>
        </w:trPr>
        <w:tc>
          <w:tcPr>
            <w:tcW w:w="5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b/>
                <w:bCs/>
                <w:color w:val="auto"/>
                <w:sz w:val="24"/>
                <w:szCs w:val="24"/>
                <w:highlight w:val="none"/>
              </w:rPr>
            </w:pPr>
          </w:p>
        </w:tc>
        <w:tc>
          <w:tcPr>
            <w:tcW w:w="558" w:type="pct"/>
            <w:tcBorders>
              <w:top w:val="nil"/>
              <w:left w:val="nil"/>
              <w:bottom w:val="single" w:color="000000" w:sz="8" w:space="0"/>
              <w:right w:val="single" w:color="000000" w:sz="8" w:space="0"/>
            </w:tcBorders>
            <w:shd w:val="clear" w:color="auto" w:fill="FFFFFF"/>
            <w:vAlign w:val="center"/>
          </w:tcPr>
          <w:p>
            <w:pPr>
              <w:widowControl/>
              <w:jc w:val="center"/>
              <w:textAlignment w:val="center"/>
              <w:rPr>
                <w:rFonts w:ascii="仿宋" w:hAnsi="仿宋"/>
                <w:color w:val="auto"/>
                <w:sz w:val="24"/>
                <w:szCs w:val="24"/>
                <w:highlight w:val="none"/>
              </w:rPr>
            </w:pPr>
            <w:r>
              <w:rPr>
                <w:rFonts w:hint="eastAsia" w:ascii="仿宋" w:hAnsi="仿宋"/>
                <w:color w:val="auto"/>
                <w:kern w:val="0"/>
                <w:sz w:val="24"/>
                <w:szCs w:val="24"/>
                <w:highlight w:val="none"/>
                <w:lang w:bidi="ar"/>
              </w:rPr>
              <w:t>炉霍县</w:t>
            </w:r>
          </w:p>
        </w:tc>
        <w:tc>
          <w:tcPr>
            <w:tcW w:w="581" w:type="pct"/>
            <w:tcBorders>
              <w:top w:val="nil"/>
              <w:left w:val="nil"/>
              <w:bottom w:val="single" w:color="000000" w:sz="8" w:space="0"/>
              <w:right w:val="single" w:color="000000" w:sz="8" w:space="0"/>
            </w:tcBorders>
            <w:shd w:val="clear" w:color="auto" w:fill="FFFFFF"/>
            <w:vAlign w:val="center"/>
          </w:tcPr>
          <w:p>
            <w:pPr>
              <w:widowControl/>
              <w:jc w:val="center"/>
              <w:textAlignment w:val="center"/>
              <w:rPr>
                <w:rFonts w:ascii="Times New Roman" w:hAnsi="Times New Roman"/>
                <w:color w:val="auto"/>
                <w:sz w:val="24"/>
                <w:szCs w:val="24"/>
                <w:highlight w:val="none"/>
              </w:rPr>
            </w:pPr>
            <w:r>
              <w:rPr>
                <w:rFonts w:ascii="Times New Roman" w:hAnsi="Times New Roman"/>
                <w:color w:val="auto"/>
                <w:kern w:val="0"/>
                <w:sz w:val="24"/>
                <w:szCs w:val="24"/>
                <w:highlight w:val="none"/>
                <w:lang w:bidi="ar"/>
              </w:rPr>
              <w:t>143</w:t>
            </w:r>
          </w:p>
        </w:tc>
        <w:tc>
          <w:tcPr>
            <w:tcW w:w="581" w:type="pct"/>
            <w:tcBorders>
              <w:top w:val="nil"/>
              <w:left w:val="nil"/>
              <w:bottom w:val="single" w:color="000000" w:sz="8" w:space="0"/>
              <w:right w:val="single" w:color="000000" w:sz="8" w:space="0"/>
            </w:tcBorders>
            <w:shd w:val="clear" w:color="auto" w:fill="FFFFFF"/>
            <w:noWrap/>
            <w:vAlign w:val="center"/>
          </w:tcPr>
          <w:p>
            <w:pPr>
              <w:widowControl/>
              <w:jc w:val="center"/>
              <w:textAlignment w:val="center"/>
              <w:rPr>
                <w:rFonts w:ascii="Times New Roman" w:hAnsi="Times New Roman"/>
                <w:color w:val="auto"/>
                <w:sz w:val="24"/>
                <w:szCs w:val="24"/>
                <w:highlight w:val="none"/>
              </w:rPr>
            </w:pPr>
            <w:r>
              <w:rPr>
                <w:rFonts w:ascii="Times New Roman" w:hAnsi="Times New Roman"/>
                <w:color w:val="auto"/>
                <w:kern w:val="0"/>
                <w:sz w:val="24"/>
                <w:szCs w:val="24"/>
                <w:highlight w:val="none"/>
                <w:lang w:bidi="ar"/>
              </w:rPr>
              <w:t>82</w:t>
            </w:r>
          </w:p>
        </w:tc>
        <w:tc>
          <w:tcPr>
            <w:tcW w:w="582" w:type="pct"/>
            <w:tcBorders>
              <w:top w:val="nil"/>
              <w:left w:val="nil"/>
              <w:bottom w:val="single" w:color="000000" w:sz="8" w:space="0"/>
              <w:right w:val="single" w:color="000000" w:sz="8" w:space="0"/>
            </w:tcBorders>
            <w:shd w:val="clear" w:color="auto" w:fill="FFFFFF"/>
            <w:noWrap/>
            <w:vAlign w:val="center"/>
          </w:tcPr>
          <w:p>
            <w:pPr>
              <w:widowControl/>
              <w:jc w:val="center"/>
              <w:textAlignment w:val="center"/>
              <w:rPr>
                <w:rFonts w:ascii="Times New Roman" w:hAnsi="Times New Roman"/>
                <w:color w:val="auto"/>
                <w:sz w:val="24"/>
                <w:szCs w:val="24"/>
                <w:highlight w:val="none"/>
              </w:rPr>
            </w:pPr>
            <w:r>
              <w:rPr>
                <w:rFonts w:ascii="Times New Roman" w:hAnsi="Times New Roman"/>
                <w:color w:val="auto"/>
                <w:kern w:val="0"/>
                <w:sz w:val="24"/>
                <w:szCs w:val="24"/>
                <w:highlight w:val="none"/>
                <w:lang w:bidi="ar"/>
              </w:rPr>
              <w:t>41</w:t>
            </w:r>
          </w:p>
        </w:tc>
        <w:tc>
          <w:tcPr>
            <w:tcW w:w="711" w:type="pct"/>
            <w:tcBorders>
              <w:top w:val="nil"/>
              <w:left w:val="nil"/>
              <w:bottom w:val="single" w:color="000000" w:sz="8" w:space="0"/>
              <w:right w:val="single" w:color="000000" w:sz="8" w:space="0"/>
            </w:tcBorders>
            <w:shd w:val="clear" w:color="auto" w:fill="FFFFFF"/>
            <w:noWrap/>
            <w:vAlign w:val="center"/>
          </w:tcPr>
          <w:p>
            <w:pPr>
              <w:widowControl/>
              <w:jc w:val="center"/>
              <w:textAlignment w:val="center"/>
              <w:rPr>
                <w:rFonts w:ascii="Times New Roman" w:hAnsi="Times New Roman"/>
                <w:color w:val="auto"/>
                <w:sz w:val="24"/>
                <w:szCs w:val="24"/>
                <w:highlight w:val="none"/>
              </w:rPr>
            </w:pPr>
            <w:r>
              <w:rPr>
                <w:rFonts w:ascii="Times New Roman" w:hAnsi="Times New Roman"/>
                <w:color w:val="auto"/>
                <w:kern w:val="0"/>
                <w:sz w:val="24"/>
                <w:szCs w:val="24"/>
                <w:highlight w:val="none"/>
                <w:lang w:bidi="ar"/>
              </w:rPr>
              <w:t>1</w:t>
            </w:r>
          </w:p>
        </w:tc>
        <w:tc>
          <w:tcPr>
            <w:tcW w:w="711" w:type="pct"/>
            <w:tcBorders>
              <w:top w:val="nil"/>
              <w:left w:val="nil"/>
              <w:bottom w:val="single" w:color="000000" w:sz="8" w:space="0"/>
              <w:right w:val="single" w:color="000000" w:sz="8" w:space="0"/>
            </w:tcBorders>
            <w:shd w:val="clear" w:color="auto" w:fill="FFFFFF"/>
            <w:noWrap/>
            <w:vAlign w:val="center"/>
          </w:tcPr>
          <w:p>
            <w:pPr>
              <w:widowControl/>
              <w:jc w:val="center"/>
              <w:textAlignment w:val="center"/>
              <w:rPr>
                <w:rFonts w:ascii="Times New Roman" w:hAnsi="Times New Roman"/>
                <w:color w:val="auto"/>
                <w:sz w:val="24"/>
                <w:szCs w:val="24"/>
                <w:highlight w:val="none"/>
              </w:rPr>
            </w:pPr>
            <w:r>
              <w:rPr>
                <w:rFonts w:ascii="Times New Roman" w:hAnsi="Times New Roman"/>
                <w:color w:val="auto"/>
                <w:kern w:val="0"/>
                <w:sz w:val="24"/>
                <w:szCs w:val="24"/>
                <w:highlight w:val="none"/>
                <w:lang w:bidi="ar"/>
              </w:rPr>
              <w:t>4.1</w:t>
            </w:r>
          </w:p>
        </w:tc>
        <w:tc>
          <w:tcPr>
            <w:tcW w:w="715" w:type="pct"/>
            <w:tcBorders>
              <w:top w:val="nil"/>
              <w:left w:val="nil"/>
              <w:bottom w:val="single" w:color="000000" w:sz="8" w:space="0"/>
              <w:right w:val="single" w:color="000000" w:sz="8" w:space="0"/>
            </w:tcBorders>
            <w:shd w:val="clear" w:color="auto" w:fill="FFFFFF"/>
            <w:noWrap/>
            <w:vAlign w:val="center"/>
          </w:tcPr>
          <w:p>
            <w:pPr>
              <w:widowControl/>
              <w:jc w:val="center"/>
              <w:textAlignment w:val="center"/>
              <w:rPr>
                <w:rFonts w:ascii="Times New Roman" w:hAnsi="Times New Roman"/>
                <w:color w:val="auto"/>
                <w:sz w:val="24"/>
                <w:szCs w:val="24"/>
                <w:highlight w:val="none"/>
              </w:rPr>
            </w:pPr>
            <w:r>
              <w:rPr>
                <w:rFonts w:ascii="Times New Roman" w:hAnsi="Times New Roman"/>
                <w:color w:val="auto"/>
                <w:kern w:val="0"/>
                <w:sz w:val="24"/>
                <w:szCs w:val="24"/>
                <w:highlight w:val="none"/>
                <w:lang w:bidi="ar"/>
              </w:rPr>
              <w:t>12765</w:t>
            </w:r>
          </w:p>
        </w:tc>
      </w:tr>
      <w:tr>
        <w:tblPrEx>
          <w:tblCellMar>
            <w:top w:w="0" w:type="dxa"/>
            <w:left w:w="108" w:type="dxa"/>
            <w:bottom w:w="0" w:type="dxa"/>
            <w:right w:w="108" w:type="dxa"/>
          </w:tblCellMar>
        </w:tblPrEx>
        <w:trPr>
          <w:trHeight w:val="383" w:hRule="atLeast"/>
          <w:jc w:val="center"/>
        </w:trPr>
        <w:tc>
          <w:tcPr>
            <w:tcW w:w="5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b/>
                <w:bCs/>
                <w:color w:val="auto"/>
                <w:sz w:val="24"/>
                <w:szCs w:val="24"/>
                <w:highlight w:val="none"/>
              </w:rPr>
            </w:pPr>
          </w:p>
        </w:tc>
        <w:tc>
          <w:tcPr>
            <w:tcW w:w="558" w:type="pct"/>
            <w:tcBorders>
              <w:top w:val="nil"/>
              <w:left w:val="nil"/>
              <w:bottom w:val="single" w:color="000000" w:sz="8" w:space="0"/>
              <w:right w:val="single" w:color="000000" w:sz="8" w:space="0"/>
            </w:tcBorders>
            <w:shd w:val="clear" w:color="auto" w:fill="FFFFFF"/>
            <w:vAlign w:val="center"/>
          </w:tcPr>
          <w:p>
            <w:pPr>
              <w:widowControl/>
              <w:jc w:val="center"/>
              <w:textAlignment w:val="center"/>
              <w:rPr>
                <w:rFonts w:ascii="仿宋" w:hAnsi="仿宋"/>
                <w:color w:val="auto"/>
                <w:sz w:val="24"/>
                <w:szCs w:val="24"/>
                <w:highlight w:val="none"/>
              </w:rPr>
            </w:pPr>
            <w:r>
              <w:rPr>
                <w:rFonts w:hint="eastAsia" w:ascii="仿宋" w:hAnsi="仿宋"/>
                <w:color w:val="auto"/>
                <w:kern w:val="0"/>
                <w:sz w:val="24"/>
                <w:szCs w:val="24"/>
                <w:highlight w:val="none"/>
                <w:lang w:bidi="ar"/>
              </w:rPr>
              <w:t>甘孜县</w:t>
            </w:r>
          </w:p>
        </w:tc>
        <w:tc>
          <w:tcPr>
            <w:tcW w:w="581" w:type="pct"/>
            <w:tcBorders>
              <w:top w:val="nil"/>
              <w:left w:val="nil"/>
              <w:bottom w:val="single" w:color="000000" w:sz="8" w:space="0"/>
              <w:right w:val="single" w:color="000000" w:sz="8" w:space="0"/>
            </w:tcBorders>
            <w:shd w:val="clear" w:color="auto" w:fill="FFFFFF"/>
            <w:vAlign w:val="center"/>
          </w:tcPr>
          <w:p>
            <w:pPr>
              <w:widowControl/>
              <w:jc w:val="center"/>
              <w:textAlignment w:val="center"/>
              <w:rPr>
                <w:rFonts w:ascii="Times New Roman" w:hAnsi="Times New Roman"/>
                <w:color w:val="auto"/>
                <w:sz w:val="24"/>
                <w:szCs w:val="24"/>
                <w:highlight w:val="none"/>
              </w:rPr>
            </w:pPr>
            <w:r>
              <w:rPr>
                <w:rFonts w:ascii="Times New Roman" w:hAnsi="Times New Roman"/>
                <w:color w:val="auto"/>
                <w:kern w:val="0"/>
                <w:sz w:val="24"/>
                <w:szCs w:val="24"/>
                <w:highlight w:val="none"/>
                <w:lang w:bidi="ar"/>
              </w:rPr>
              <w:t>198</w:t>
            </w:r>
          </w:p>
        </w:tc>
        <w:tc>
          <w:tcPr>
            <w:tcW w:w="581" w:type="pct"/>
            <w:tcBorders>
              <w:top w:val="nil"/>
              <w:left w:val="nil"/>
              <w:bottom w:val="single" w:color="000000" w:sz="8" w:space="0"/>
              <w:right w:val="single" w:color="000000" w:sz="8" w:space="0"/>
            </w:tcBorders>
            <w:shd w:val="clear" w:color="auto" w:fill="FFFFFF"/>
            <w:noWrap/>
            <w:vAlign w:val="center"/>
          </w:tcPr>
          <w:p>
            <w:pPr>
              <w:widowControl/>
              <w:jc w:val="center"/>
              <w:textAlignment w:val="center"/>
              <w:rPr>
                <w:rFonts w:ascii="Times New Roman" w:hAnsi="Times New Roman"/>
                <w:color w:val="auto"/>
                <w:sz w:val="24"/>
                <w:szCs w:val="24"/>
                <w:highlight w:val="none"/>
              </w:rPr>
            </w:pPr>
            <w:r>
              <w:rPr>
                <w:rFonts w:ascii="Times New Roman" w:hAnsi="Times New Roman"/>
                <w:color w:val="auto"/>
                <w:kern w:val="0"/>
                <w:sz w:val="24"/>
                <w:szCs w:val="24"/>
                <w:highlight w:val="none"/>
                <w:lang w:bidi="ar"/>
              </w:rPr>
              <w:t>119</w:t>
            </w:r>
          </w:p>
        </w:tc>
        <w:tc>
          <w:tcPr>
            <w:tcW w:w="582" w:type="pct"/>
            <w:tcBorders>
              <w:top w:val="nil"/>
              <w:left w:val="nil"/>
              <w:bottom w:val="single" w:color="000000" w:sz="8" w:space="0"/>
              <w:right w:val="single" w:color="000000" w:sz="8" w:space="0"/>
            </w:tcBorders>
            <w:shd w:val="clear" w:color="auto" w:fill="FFFFFF"/>
            <w:noWrap/>
            <w:vAlign w:val="center"/>
          </w:tcPr>
          <w:p>
            <w:pPr>
              <w:widowControl/>
              <w:jc w:val="center"/>
              <w:textAlignment w:val="center"/>
              <w:rPr>
                <w:rFonts w:ascii="Times New Roman" w:hAnsi="Times New Roman"/>
                <w:color w:val="auto"/>
                <w:sz w:val="24"/>
                <w:szCs w:val="24"/>
                <w:highlight w:val="none"/>
              </w:rPr>
            </w:pPr>
            <w:r>
              <w:rPr>
                <w:rFonts w:ascii="Times New Roman" w:hAnsi="Times New Roman"/>
                <w:color w:val="auto"/>
                <w:kern w:val="0"/>
                <w:sz w:val="24"/>
                <w:szCs w:val="24"/>
                <w:highlight w:val="none"/>
                <w:lang w:bidi="ar"/>
              </w:rPr>
              <w:t>60</w:t>
            </w:r>
          </w:p>
        </w:tc>
        <w:tc>
          <w:tcPr>
            <w:tcW w:w="711" w:type="pct"/>
            <w:tcBorders>
              <w:top w:val="nil"/>
              <w:left w:val="nil"/>
              <w:bottom w:val="single" w:color="000000" w:sz="8" w:space="0"/>
              <w:right w:val="single" w:color="000000" w:sz="8" w:space="0"/>
            </w:tcBorders>
            <w:shd w:val="clear" w:color="auto" w:fill="FFFFFF"/>
            <w:noWrap/>
            <w:vAlign w:val="center"/>
          </w:tcPr>
          <w:p>
            <w:pPr>
              <w:widowControl/>
              <w:jc w:val="center"/>
              <w:textAlignment w:val="center"/>
              <w:rPr>
                <w:rFonts w:ascii="Times New Roman" w:hAnsi="Times New Roman"/>
                <w:color w:val="auto"/>
                <w:sz w:val="24"/>
                <w:szCs w:val="24"/>
                <w:highlight w:val="none"/>
              </w:rPr>
            </w:pPr>
            <w:r>
              <w:rPr>
                <w:rFonts w:ascii="Times New Roman" w:hAnsi="Times New Roman"/>
                <w:color w:val="auto"/>
                <w:kern w:val="0"/>
                <w:sz w:val="24"/>
                <w:szCs w:val="24"/>
                <w:highlight w:val="none"/>
                <w:lang w:bidi="ar"/>
              </w:rPr>
              <w:t>1.5</w:t>
            </w:r>
          </w:p>
        </w:tc>
        <w:tc>
          <w:tcPr>
            <w:tcW w:w="711" w:type="pct"/>
            <w:tcBorders>
              <w:top w:val="nil"/>
              <w:left w:val="nil"/>
              <w:bottom w:val="single" w:color="000000" w:sz="8" w:space="0"/>
              <w:right w:val="single" w:color="000000" w:sz="8" w:space="0"/>
            </w:tcBorders>
            <w:shd w:val="clear" w:color="auto" w:fill="FFFFFF"/>
            <w:noWrap/>
            <w:vAlign w:val="center"/>
          </w:tcPr>
          <w:p>
            <w:pPr>
              <w:widowControl/>
              <w:jc w:val="center"/>
              <w:textAlignment w:val="center"/>
              <w:rPr>
                <w:rFonts w:ascii="Times New Roman" w:hAnsi="Times New Roman"/>
                <w:color w:val="auto"/>
                <w:sz w:val="24"/>
                <w:szCs w:val="24"/>
                <w:highlight w:val="none"/>
              </w:rPr>
            </w:pPr>
            <w:r>
              <w:rPr>
                <w:rFonts w:ascii="Times New Roman" w:hAnsi="Times New Roman"/>
                <w:color w:val="auto"/>
                <w:kern w:val="0"/>
                <w:sz w:val="24"/>
                <w:szCs w:val="24"/>
                <w:highlight w:val="none"/>
                <w:lang w:bidi="ar"/>
              </w:rPr>
              <w:t>5.6</w:t>
            </w:r>
          </w:p>
        </w:tc>
        <w:tc>
          <w:tcPr>
            <w:tcW w:w="715" w:type="pct"/>
            <w:tcBorders>
              <w:top w:val="nil"/>
              <w:left w:val="nil"/>
              <w:bottom w:val="single" w:color="000000" w:sz="8" w:space="0"/>
              <w:right w:val="single" w:color="000000" w:sz="8" w:space="0"/>
            </w:tcBorders>
            <w:shd w:val="clear" w:color="auto" w:fill="FFFFFF"/>
            <w:noWrap/>
            <w:vAlign w:val="center"/>
          </w:tcPr>
          <w:p>
            <w:pPr>
              <w:widowControl/>
              <w:jc w:val="center"/>
              <w:textAlignment w:val="center"/>
              <w:rPr>
                <w:rFonts w:ascii="Times New Roman" w:hAnsi="Times New Roman"/>
                <w:color w:val="auto"/>
                <w:sz w:val="24"/>
                <w:szCs w:val="24"/>
                <w:highlight w:val="none"/>
              </w:rPr>
            </w:pPr>
            <w:r>
              <w:rPr>
                <w:rFonts w:ascii="Times New Roman" w:hAnsi="Times New Roman"/>
                <w:color w:val="auto"/>
                <w:kern w:val="0"/>
                <w:sz w:val="24"/>
                <w:szCs w:val="24"/>
                <w:highlight w:val="none"/>
                <w:lang w:bidi="ar"/>
              </w:rPr>
              <w:t>13527</w:t>
            </w:r>
          </w:p>
        </w:tc>
      </w:tr>
      <w:tr>
        <w:tblPrEx>
          <w:tblCellMar>
            <w:top w:w="0" w:type="dxa"/>
            <w:left w:w="108" w:type="dxa"/>
            <w:bottom w:w="0" w:type="dxa"/>
            <w:right w:w="108" w:type="dxa"/>
          </w:tblCellMar>
        </w:tblPrEx>
        <w:trPr>
          <w:trHeight w:val="383" w:hRule="atLeast"/>
          <w:jc w:val="center"/>
        </w:trPr>
        <w:tc>
          <w:tcPr>
            <w:tcW w:w="5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b/>
                <w:bCs/>
                <w:color w:val="auto"/>
                <w:sz w:val="24"/>
                <w:szCs w:val="24"/>
                <w:highlight w:val="none"/>
              </w:rPr>
            </w:pPr>
          </w:p>
        </w:tc>
        <w:tc>
          <w:tcPr>
            <w:tcW w:w="558" w:type="pct"/>
            <w:tcBorders>
              <w:top w:val="nil"/>
              <w:left w:val="nil"/>
              <w:bottom w:val="single" w:color="000000" w:sz="8" w:space="0"/>
              <w:right w:val="single" w:color="000000" w:sz="8" w:space="0"/>
            </w:tcBorders>
            <w:shd w:val="clear" w:color="auto" w:fill="FFFFFF"/>
            <w:vAlign w:val="center"/>
          </w:tcPr>
          <w:p>
            <w:pPr>
              <w:widowControl/>
              <w:jc w:val="center"/>
              <w:textAlignment w:val="center"/>
              <w:rPr>
                <w:rFonts w:ascii="仿宋" w:hAnsi="仿宋"/>
                <w:color w:val="auto"/>
                <w:sz w:val="24"/>
                <w:szCs w:val="24"/>
                <w:highlight w:val="none"/>
              </w:rPr>
            </w:pPr>
            <w:r>
              <w:rPr>
                <w:rFonts w:hint="eastAsia" w:ascii="仿宋" w:hAnsi="仿宋"/>
                <w:color w:val="auto"/>
                <w:kern w:val="0"/>
                <w:sz w:val="24"/>
                <w:szCs w:val="24"/>
                <w:highlight w:val="none"/>
                <w:lang w:bidi="ar"/>
              </w:rPr>
              <w:t>新龙县</w:t>
            </w:r>
          </w:p>
        </w:tc>
        <w:tc>
          <w:tcPr>
            <w:tcW w:w="581" w:type="pct"/>
            <w:tcBorders>
              <w:top w:val="nil"/>
              <w:left w:val="nil"/>
              <w:bottom w:val="single" w:color="000000" w:sz="8" w:space="0"/>
              <w:right w:val="single" w:color="000000" w:sz="8" w:space="0"/>
            </w:tcBorders>
            <w:shd w:val="clear" w:color="auto" w:fill="FFFFFF"/>
            <w:vAlign w:val="center"/>
          </w:tcPr>
          <w:p>
            <w:pPr>
              <w:widowControl/>
              <w:jc w:val="center"/>
              <w:textAlignment w:val="center"/>
              <w:rPr>
                <w:rFonts w:ascii="Times New Roman" w:hAnsi="Times New Roman"/>
                <w:color w:val="auto"/>
                <w:sz w:val="24"/>
                <w:szCs w:val="24"/>
                <w:highlight w:val="none"/>
              </w:rPr>
            </w:pPr>
            <w:r>
              <w:rPr>
                <w:rFonts w:ascii="Times New Roman" w:hAnsi="Times New Roman"/>
                <w:color w:val="auto"/>
                <w:kern w:val="0"/>
                <w:sz w:val="24"/>
                <w:szCs w:val="24"/>
                <w:highlight w:val="none"/>
                <w:lang w:bidi="ar"/>
              </w:rPr>
              <w:t>93</w:t>
            </w:r>
          </w:p>
        </w:tc>
        <w:tc>
          <w:tcPr>
            <w:tcW w:w="581" w:type="pct"/>
            <w:tcBorders>
              <w:top w:val="nil"/>
              <w:left w:val="nil"/>
              <w:bottom w:val="single" w:color="000000" w:sz="8" w:space="0"/>
              <w:right w:val="single" w:color="000000" w:sz="8" w:space="0"/>
            </w:tcBorders>
            <w:shd w:val="clear" w:color="auto" w:fill="FFFFFF"/>
            <w:noWrap/>
            <w:vAlign w:val="center"/>
          </w:tcPr>
          <w:p>
            <w:pPr>
              <w:widowControl/>
              <w:jc w:val="center"/>
              <w:textAlignment w:val="center"/>
              <w:rPr>
                <w:rFonts w:ascii="Times New Roman" w:hAnsi="Times New Roman"/>
                <w:color w:val="auto"/>
                <w:sz w:val="24"/>
                <w:szCs w:val="24"/>
                <w:highlight w:val="none"/>
              </w:rPr>
            </w:pPr>
            <w:r>
              <w:rPr>
                <w:rFonts w:ascii="Times New Roman" w:hAnsi="Times New Roman"/>
                <w:color w:val="auto"/>
                <w:kern w:val="0"/>
                <w:sz w:val="24"/>
                <w:szCs w:val="24"/>
                <w:highlight w:val="none"/>
                <w:lang w:bidi="ar"/>
              </w:rPr>
              <w:t>74</w:t>
            </w:r>
          </w:p>
        </w:tc>
        <w:tc>
          <w:tcPr>
            <w:tcW w:w="582" w:type="pct"/>
            <w:tcBorders>
              <w:top w:val="nil"/>
              <w:left w:val="nil"/>
              <w:bottom w:val="single" w:color="000000" w:sz="8" w:space="0"/>
              <w:right w:val="single" w:color="000000" w:sz="8" w:space="0"/>
            </w:tcBorders>
            <w:shd w:val="clear" w:color="auto" w:fill="FFFFFF"/>
            <w:noWrap/>
            <w:vAlign w:val="center"/>
          </w:tcPr>
          <w:p>
            <w:pPr>
              <w:widowControl/>
              <w:jc w:val="center"/>
              <w:textAlignment w:val="center"/>
              <w:rPr>
                <w:rFonts w:ascii="Times New Roman" w:hAnsi="Times New Roman"/>
                <w:color w:val="auto"/>
                <w:sz w:val="24"/>
                <w:szCs w:val="24"/>
                <w:highlight w:val="none"/>
              </w:rPr>
            </w:pPr>
            <w:r>
              <w:rPr>
                <w:rFonts w:ascii="Times New Roman" w:hAnsi="Times New Roman"/>
                <w:color w:val="auto"/>
                <w:kern w:val="0"/>
                <w:sz w:val="24"/>
                <w:szCs w:val="24"/>
                <w:highlight w:val="none"/>
                <w:lang w:bidi="ar"/>
              </w:rPr>
              <w:t>37</w:t>
            </w:r>
          </w:p>
        </w:tc>
        <w:tc>
          <w:tcPr>
            <w:tcW w:w="711" w:type="pct"/>
            <w:tcBorders>
              <w:top w:val="nil"/>
              <w:left w:val="nil"/>
              <w:bottom w:val="single" w:color="000000" w:sz="8" w:space="0"/>
              <w:right w:val="single" w:color="000000" w:sz="8" w:space="0"/>
            </w:tcBorders>
            <w:shd w:val="clear" w:color="auto" w:fill="FFFFFF"/>
            <w:noWrap/>
            <w:vAlign w:val="center"/>
          </w:tcPr>
          <w:p>
            <w:pPr>
              <w:widowControl/>
              <w:jc w:val="center"/>
              <w:textAlignment w:val="center"/>
              <w:rPr>
                <w:rFonts w:ascii="Times New Roman" w:hAnsi="Times New Roman"/>
                <w:color w:val="auto"/>
                <w:sz w:val="24"/>
                <w:szCs w:val="24"/>
                <w:highlight w:val="none"/>
              </w:rPr>
            </w:pPr>
            <w:r>
              <w:rPr>
                <w:rFonts w:ascii="Times New Roman" w:hAnsi="Times New Roman"/>
                <w:color w:val="auto"/>
                <w:kern w:val="0"/>
                <w:sz w:val="24"/>
                <w:szCs w:val="24"/>
                <w:highlight w:val="none"/>
                <w:lang w:bidi="ar"/>
              </w:rPr>
              <w:t>1.2</w:t>
            </w:r>
          </w:p>
        </w:tc>
        <w:tc>
          <w:tcPr>
            <w:tcW w:w="711" w:type="pct"/>
            <w:tcBorders>
              <w:top w:val="nil"/>
              <w:left w:val="nil"/>
              <w:bottom w:val="single" w:color="000000" w:sz="8" w:space="0"/>
              <w:right w:val="single" w:color="000000" w:sz="8" w:space="0"/>
            </w:tcBorders>
            <w:shd w:val="clear" w:color="auto" w:fill="FFFFFF"/>
            <w:noWrap/>
            <w:vAlign w:val="center"/>
          </w:tcPr>
          <w:p>
            <w:pPr>
              <w:widowControl/>
              <w:jc w:val="center"/>
              <w:textAlignment w:val="center"/>
              <w:rPr>
                <w:rFonts w:ascii="Times New Roman" w:hAnsi="Times New Roman"/>
                <w:color w:val="auto"/>
                <w:sz w:val="24"/>
                <w:szCs w:val="24"/>
                <w:highlight w:val="none"/>
              </w:rPr>
            </w:pPr>
            <w:r>
              <w:rPr>
                <w:rFonts w:ascii="Times New Roman" w:hAnsi="Times New Roman"/>
                <w:color w:val="auto"/>
                <w:kern w:val="0"/>
                <w:sz w:val="24"/>
                <w:szCs w:val="24"/>
                <w:highlight w:val="none"/>
                <w:lang w:bidi="ar"/>
              </w:rPr>
              <w:t>4.6</w:t>
            </w:r>
          </w:p>
        </w:tc>
        <w:tc>
          <w:tcPr>
            <w:tcW w:w="715" w:type="pct"/>
            <w:tcBorders>
              <w:top w:val="nil"/>
              <w:left w:val="nil"/>
              <w:bottom w:val="single" w:color="000000" w:sz="8" w:space="0"/>
              <w:right w:val="single" w:color="000000" w:sz="8" w:space="0"/>
            </w:tcBorders>
            <w:shd w:val="clear" w:color="auto" w:fill="FFFFFF"/>
            <w:noWrap/>
            <w:vAlign w:val="center"/>
          </w:tcPr>
          <w:p>
            <w:pPr>
              <w:widowControl/>
              <w:jc w:val="center"/>
              <w:textAlignment w:val="center"/>
              <w:rPr>
                <w:rFonts w:ascii="Times New Roman" w:hAnsi="Times New Roman"/>
                <w:color w:val="auto"/>
                <w:sz w:val="24"/>
                <w:szCs w:val="24"/>
                <w:highlight w:val="none"/>
              </w:rPr>
            </w:pPr>
            <w:r>
              <w:rPr>
                <w:rFonts w:ascii="Times New Roman" w:hAnsi="Times New Roman"/>
                <w:color w:val="auto"/>
                <w:kern w:val="0"/>
                <w:sz w:val="24"/>
                <w:szCs w:val="24"/>
                <w:highlight w:val="none"/>
                <w:lang w:bidi="ar"/>
              </w:rPr>
              <w:t>13158</w:t>
            </w:r>
          </w:p>
        </w:tc>
      </w:tr>
      <w:tr>
        <w:tblPrEx>
          <w:tblCellMar>
            <w:top w:w="0" w:type="dxa"/>
            <w:left w:w="108" w:type="dxa"/>
            <w:bottom w:w="0" w:type="dxa"/>
            <w:right w:w="108" w:type="dxa"/>
          </w:tblCellMar>
        </w:tblPrEx>
        <w:trPr>
          <w:trHeight w:val="383" w:hRule="atLeast"/>
          <w:jc w:val="center"/>
        </w:trPr>
        <w:tc>
          <w:tcPr>
            <w:tcW w:w="5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b/>
                <w:bCs/>
                <w:color w:val="auto"/>
                <w:sz w:val="24"/>
                <w:szCs w:val="24"/>
                <w:highlight w:val="none"/>
              </w:rPr>
            </w:pPr>
          </w:p>
        </w:tc>
        <w:tc>
          <w:tcPr>
            <w:tcW w:w="558" w:type="pct"/>
            <w:tcBorders>
              <w:top w:val="nil"/>
              <w:left w:val="nil"/>
              <w:bottom w:val="single" w:color="000000" w:sz="8" w:space="0"/>
              <w:right w:val="single" w:color="000000" w:sz="8" w:space="0"/>
            </w:tcBorders>
            <w:shd w:val="clear" w:color="auto" w:fill="FFFFFF"/>
            <w:vAlign w:val="center"/>
          </w:tcPr>
          <w:p>
            <w:pPr>
              <w:widowControl/>
              <w:jc w:val="center"/>
              <w:textAlignment w:val="center"/>
              <w:rPr>
                <w:rFonts w:ascii="仿宋" w:hAnsi="仿宋"/>
                <w:color w:val="auto"/>
                <w:sz w:val="24"/>
                <w:szCs w:val="24"/>
                <w:highlight w:val="none"/>
              </w:rPr>
            </w:pPr>
            <w:r>
              <w:rPr>
                <w:rFonts w:hint="eastAsia" w:ascii="仿宋" w:hAnsi="仿宋"/>
                <w:color w:val="auto"/>
                <w:kern w:val="0"/>
                <w:sz w:val="24"/>
                <w:szCs w:val="24"/>
                <w:highlight w:val="none"/>
                <w:lang w:bidi="ar"/>
              </w:rPr>
              <w:t>德格县</w:t>
            </w:r>
          </w:p>
        </w:tc>
        <w:tc>
          <w:tcPr>
            <w:tcW w:w="581" w:type="pct"/>
            <w:tcBorders>
              <w:top w:val="nil"/>
              <w:left w:val="nil"/>
              <w:bottom w:val="single" w:color="000000" w:sz="8" w:space="0"/>
              <w:right w:val="single" w:color="000000" w:sz="8" w:space="0"/>
            </w:tcBorders>
            <w:shd w:val="clear" w:color="auto" w:fill="FFFFFF"/>
            <w:vAlign w:val="center"/>
          </w:tcPr>
          <w:p>
            <w:pPr>
              <w:widowControl/>
              <w:jc w:val="center"/>
              <w:textAlignment w:val="center"/>
              <w:rPr>
                <w:rFonts w:ascii="Times New Roman" w:hAnsi="Times New Roman"/>
                <w:color w:val="auto"/>
                <w:sz w:val="24"/>
                <w:szCs w:val="24"/>
                <w:highlight w:val="none"/>
              </w:rPr>
            </w:pPr>
            <w:r>
              <w:rPr>
                <w:rFonts w:ascii="Times New Roman" w:hAnsi="Times New Roman"/>
                <w:color w:val="auto"/>
                <w:kern w:val="0"/>
                <w:sz w:val="24"/>
                <w:szCs w:val="24"/>
                <w:highlight w:val="none"/>
                <w:lang w:bidi="ar"/>
              </w:rPr>
              <w:t>165</w:t>
            </w:r>
          </w:p>
        </w:tc>
        <w:tc>
          <w:tcPr>
            <w:tcW w:w="581" w:type="pct"/>
            <w:tcBorders>
              <w:top w:val="nil"/>
              <w:left w:val="nil"/>
              <w:bottom w:val="single" w:color="000000" w:sz="8" w:space="0"/>
              <w:right w:val="single" w:color="000000" w:sz="8" w:space="0"/>
            </w:tcBorders>
            <w:shd w:val="clear" w:color="auto" w:fill="FFFFFF"/>
            <w:noWrap/>
            <w:vAlign w:val="center"/>
          </w:tcPr>
          <w:p>
            <w:pPr>
              <w:widowControl/>
              <w:jc w:val="center"/>
              <w:textAlignment w:val="center"/>
              <w:rPr>
                <w:rFonts w:ascii="Times New Roman" w:hAnsi="Times New Roman"/>
                <w:color w:val="auto"/>
                <w:sz w:val="24"/>
                <w:szCs w:val="24"/>
                <w:highlight w:val="none"/>
              </w:rPr>
            </w:pPr>
            <w:r>
              <w:rPr>
                <w:rFonts w:ascii="Times New Roman" w:hAnsi="Times New Roman"/>
                <w:color w:val="auto"/>
                <w:kern w:val="0"/>
                <w:sz w:val="24"/>
                <w:szCs w:val="24"/>
                <w:highlight w:val="none"/>
                <w:lang w:bidi="ar"/>
              </w:rPr>
              <w:t>99</w:t>
            </w:r>
          </w:p>
        </w:tc>
        <w:tc>
          <w:tcPr>
            <w:tcW w:w="582" w:type="pct"/>
            <w:tcBorders>
              <w:top w:val="nil"/>
              <w:left w:val="nil"/>
              <w:bottom w:val="single" w:color="000000" w:sz="8" w:space="0"/>
              <w:right w:val="single" w:color="000000" w:sz="8" w:space="0"/>
            </w:tcBorders>
            <w:shd w:val="clear" w:color="auto" w:fill="FFFFFF"/>
            <w:noWrap/>
            <w:vAlign w:val="center"/>
          </w:tcPr>
          <w:p>
            <w:pPr>
              <w:widowControl/>
              <w:jc w:val="center"/>
              <w:textAlignment w:val="center"/>
              <w:rPr>
                <w:rFonts w:ascii="Times New Roman" w:hAnsi="Times New Roman"/>
                <w:color w:val="auto"/>
                <w:sz w:val="24"/>
                <w:szCs w:val="24"/>
                <w:highlight w:val="none"/>
              </w:rPr>
            </w:pPr>
            <w:r>
              <w:rPr>
                <w:rFonts w:ascii="Times New Roman" w:hAnsi="Times New Roman"/>
                <w:color w:val="auto"/>
                <w:kern w:val="0"/>
                <w:sz w:val="24"/>
                <w:szCs w:val="24"/>
                <w:highlight w:val="none"/>
                <w:lang w:bidi="ar"/>
              </w:rPr>
              <w:t>50</w:t>
            </w:r>
          </w:p>
        </w:tc>
        <w:tc>
          <w:tcPr>
            <w:tcW w:w="711" w:type="pct"/>
            <w:tcBorders>
              <w:top w:val="nil"/>
              <w:left w:val="nil"/>
              <w:bottom w:val="single" w:color="000000" w:sz="8" w:space="0"/>
              <w:right w:val="single" w:color="000000" w:sz="8" w:space="0"/>
            </w:tcBorders>
            <w:shd w:val="clear" w:color="auto" w:fill="FFFFFF"/>
            <w:noWrap/>
            <w:vAlign w:val="center"/>
          </w:tcPr>
          <w:p>
            <w:pPr>
              <w:widowControl/>
              <w:jc w:val="center"/>
              <w:textAlignment w:val="center"/>
              <w:rPr>
                <w:rFonts w:ascii="Times New Roman" w:hAnsi="Times New Roman"/>
                <w:color w:val="auto"/>
                <w:sz w:val="24"/>
                <w:szCs w:val="24"/>
                <w:highlight w:val="none"/>
              </w:rPr>
            </w:pPr>
            <w:r>
              <w:rPr>
                <w:rFonts w:ascii="Times New Roman" w:hAnsi="Times New Roman"/>
                <w:color w:val="auto"/>
                <w:kern w:val="0"/>
                <w:sz w:val="24"/>
                <w:szCs w:val="24"/>
                <w:highlight w:val="none"/>
                <w:lang w:bidi="ar"/>
              </w:rPr>
              <w:t>2.4</w:t>
            </w:r>
          </w:p>
        </w:tc>
        <w:tc>
          <w:tcPr>
            <w:tcW w:w="711" w:type="pct"/>
            <w:tcBorders>
              <w:top w:val="nil"/>
              <w:left w:val="nil"/>
              <w:bottom w:val="single" w:color="000000" w:sz="8" w:space="0"/>
              <w:right w:val="single" w:color="000000" w:sz="8" w:space="0"/>
            </w:tcBorders>
            <w:shd w:val="clear" w:color="auto" w:fill="FFFFFF"/>
            <w:noWrap/>
            <w:vAlign w:val="center"/>
          </w:tcPr>
          <w:p>
            <w:pPr>
              <w:widowControl/>
              <w:jc w:val="center"/>
              <w:textAlignment w:val="center"/>
              <w:rPr>
                <w:rFonts w:ascii="Times New Roman" w:hAnsi="Times New Roman"/>
                <w:color w:val="auto"/>
                <w:sz w:val="24"/>
                <w:szCs w:val="24"/>
                <w:highlight w:val="none"/>
              </w:rPr>
            </w:pPr>
            <w:r>
              <w:rPr>
                <w:rFonts w:ascii="Times New Roman" w:hAnsi="Times New Roman"/>
                <w:color w:val="auto"/>
                <w:kern w:val="0"/>
                <w:sz w:val="24"/>
                <w:szCs w:val="24"/>
                <w:highlight w:val="none"/>
                <w:lang w:bidi="ar"/>
              </w:rPr>
              <w:t>8.3</w:t>
            </w:r>
          </w:p>
        </w:tc>
        <w:tc>
          <w:tcPr>
            <w:tcW w:w="715" w:type="pct"/>
            <w:tcBorders>
              <w:top w:val="nil"/>
              <w:left w:val="nil"/>
              <w:bottom w:val="single" w:color="000000" w:sz="8" w:space="0"/>
              <w:right w:val="single" w:color="000000" w:sz="8" w:space="0"/>
            </w:tcBorders>
            <w:shd w:val="clear" w:color="auto" w:fill="FFFFFF"/>
            <w:noWrap/>
            <w:vAlign w:val="center"/>
          </w:tcPr>
          <w:p>
            <w:pPr>
              <w:widowControl/>
              <w:jc w:val="center"/>
              <w:textAlignment w:val="center"/>
              <w:rPr>
                <w:rFonts w:ascii="Times New Roman" w:hAnsi="Times New Roman"/>
                <w:color w:val="auto"/>
                <w:sz w:val="24"/>
                <w:szCs w:val="24"/>
                <w:highlight w:val="none"/>
              </w:rPr>
            </w:pPr>
            <w:r>
              <w:rPr>
                <w:rFonts w:ascii="Times New Roman" w:hAnsi="Times New Roman"/>
                <w:color w:val="auto"/>
                <w:kern w:val="0"/>
                <w:sz w:val="24"/>
                <w:szCs w:val="24"/>
                <w:highlight w:val="none"/>
                <w:lang w:bidi="ar"/>
              </w:rPr>
              <w:t>13048</w:t>
            </w:r>
          </w:p>
        </w:tc>
      </w:tr>
      <w:tr>
        <w:tblPrEx>
          <w:tblCellMar>
            <w:top w:w="0" w:type="dxa"/>
            <w:left w:w="108" w:type="dxa"/>
            <w:bottom w:w="0" w:type="dxa"/>
            <w:right w:w="108" w:type="dxa"/>
          </w:tblCellMar>
        </w:tblPrEx>
        <w:trPr>
          <w:trHeight w:val="383" w:hRule="atLeast"/>
          <w:jc w:val="center"/>
        </w:trPr>
        <w:tc>
          <w:tcPr>
            <w:tcW w:w="5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b/>
                <w:bCs/>
                <w:color w:val="auto"/>
                <w:sz w:val="24"/>
                <w:szCs w:val="24"/>
                <w:highlight w:val="none"/>
              </w:rPr>
            </w:pPr>
          </w:p>
        </w:tc>
        <w:tc>
          <w:tcPr>
            <w:tcW w:w="558" w:type="pct"/>
            <w:tcBorders>
              <w:top w:val="nil"/>
              <w:left w:val="nil"/>
              <w:bottom w:val="single" w:color="000000" w:sz="8" w:space="0"/>
              <w:right w:val="single" w:color="000000" w:sz="8" w:space="0"/>
            </w:tcBorders>
            <w:shd w:val="clear" w:color="auto" w:fill="FFFFFF"/>
            <w:vAlign w:val="center"/>
          </w:tcPr>
          <w:p>
            <w:pPr>
              <w:widowControl/>
              <w:jc w:val="center"/>
              <w:textAlignment w:val="center"/>
              <w:rPr>
                <w:rFonts w:ascii="仿宋" w:hAnsi="仿宋"/>
                <w:color w:val="auto"/>
                <w:sz w:val="24"/>
                <w:szCs w:val="24"/>
                <w:highlight w:val="none"/>
              </w:rPr>
            </w:pPr>
            <w:r>
              <w:rPr>
                <w:rFonts w:hint="eastAsia" w:ascii="仿宋" w:hAnsi="仿宋"/>
                <w:color w:val="auto"/>
                <w:kern w:val="0"/>
                <w:sz w:val="24"/>
                <w:szCs w:val="24"/>
                <w:highlight w:val="none"/>
                <w:lang w:bidi="ar"/>
              </w:rPr>
              <w:t>白玉县</w:t>
            </w:r>
          </w:p>
        </w:tc>
        <w:tc>
          <w:tcPr>
            <w:tcW w:w="581" w:type="pct"/>
            <w:tcBorders>
              <w:top w:val="nil"/>
              <w:left w:val="nil"/>
              <w:bottom w:val="single" w:color="000000" w:sz="8" w:space="0"/>
              <w:right w:val="single" w:color="000000" w:sz="8" w:space="0"/>
            </w:tcBorders>
            <w:shd w:val="clear" w:color="auto" w:fill="FFFFFF"/>
            <w:vAlign w:val="center"/>
          </w:tcPr>
          <w:p>
            <w:pPr>
              <w:widowControl/>
              <w:jc w:val="center"/>
              <w:textAlignment w:val="center"/>
              <w:rPr>
                <w:rFonts w:ascii="Times New Roman" w:hAnsi="Times New Roman"/>
                <w:color w:val="auto"/>
                <w:sz w:val="24"/>
                <w:szCs w:val="24"/>
                <w:highlight w:val="none"/>
              </w:rPr>
            </w:pPr>
            <w:r>
              <w:rPr>
                <w:rFonts w:ascii="Times New Roman" w:hAnsi="Times New Roman"/>
                <w:color w:val="auto"/>
                <w:kern w:val="0"/>
                <w:sz w:val="24"/>
                <w:szCs w:val="24"/>
                <w:highlight w:val="none"/>
                <w:lang w:bidi="ar"/>
              </w:rPr>
              <w:t>133</w:t>
            </w:r>
          </w:p>
        </w:tc>
        <w:tc>
          <w:tcPr>
            <w:tcW w:w="581" w:type="pct"/>
            <w:tcBorders>
              <w:top w:val="nil"/>
              <w:left w:val="nil"/>
              <w:bottom w:val="single" w:color="000000" w:sz="8" w:space="0"/>
              <w:right w:val="single" w:color="000000" w:sz="8" w:space="0"/>
            </w:tcBorders>
            <w:shd w:val="clear" w:color="auto" w:fill="FFFFFF"/>
            <w:noWrap/>
            <w:vAlign w:val="center"/>
          </w:tcPr>
          <w:p>
            <w:pPr>
              <w:widowControl/>
              <w:jc w:val="center"/>
              <w:textAlignment w:val="center"/>
              <w:rPr>
                <w:rFonts w:ascii="Times New Roman" w:hAnsi="Times New Roman"/>
                <w:color w:val="auto"/>
                <w:sz w:val="24"/>
                <w:szCs w:val="24"/>
                <w:highlight w:val="none"/>
              </w:rPr>
            </w:pPr>
            <w:r>
              <w:rPr>
                <w:rFonts w:ascii="Times New Roman" w:hAnsi="Times New Roman"/>
                <w:color w:val="auto"/>
                <w:kern w:val="0"/>
                <w:sz w:val="24"/>
                <w:szCs w:val="24"/>
                <w:highlight w:val="none"/>
                <w:lang w:bidi="ar"/>
              </w:rPr>
              <w:t>74</w:t>
            </w:r>
          </w:p>
        </w:tc>
        <w:tc>
          <w:tcPr>
            <w:tcW w:w="582" w:type="pct"/>
            <w:tcBorders>
              <w:top w:val="nil"/>
              <w:left w:val="nil"/>
              <w:bottom w:val="single" w:color="000000" w:sz="8" w:space="0"/>
              <w:right w:val="single" w:color="000000" w:sz="8" w:space="0"/>
            </w:tcBorders>
            <w:shd w:val="clear" w:color="auto" w:fill="FFFFFF"/>
            <w:noWrap/>
            <w:vAlign w:val="center"/>
          </w:tcPr>
          <w:p>
            <w:pPr>
              <w:widowControl/>
              <w:jc w:val="center"/>
              <w:textAlignment w:val="center"/>
              <w:rPr>
                <w:rFonts w:ascii="Times New Roman" w:hAnsi="Times New Roman"/>
                <w:color w:val="auto"/>
                <w:sz w:val="24"/>
                <w:szCs w:val="24"/>
                <w:highlight w:val="none"/>
              </w:rPr>
            </w:pPr>
            <w:r>
              <w:rPr>
                <w:rFonts w:ascii="Times New Roman" w:hAnsi="Times New Roman"/>
                <w:color w:val="auto"/>
                <w:kern w:val="0"/>
                <w:sz w:val="24"/>
                <w:szCs w:val="24"/>
                <w:highlight w:val="none"/>
                <w:lang w:bidi="ar"/>
              </w:rPr>
              <w:t>37</w:t>
            </w:r>
          </w:p>
        </w:tc>
        <w:tc>
          <w:tcPr>
            <w:tcW w:w="711" w:type="pct"/>
            <w:tcBorders>
              <w:top w:val="nil"/>
              <w:left w:val="nil"/>
              <w:bottom w:val="single" w:color="000000" w:sz="8" w:space="0"/>
              <w:right w:val="single" w:color="000000" w:sz="8" w:space="0"/>
            </w:tcBorders>
            <w:shd w:val="clear" w:color="auto" w:fill="FFFFFF"/>
            <w:noWrap/>
            <w:vAlign w:val="center"/>
          </w:tcPr>
          <w:p>
            <w:pPr>
              <w:widowControl/>
              <w:jc w:val="center"/>
              <w:textAlignment w:val="center"/>
              <w:rPr>
                <w:rFonts w:ascii="Times New Roman" w:hAnsi="Times New Roman"/>
                <w:color w:val="auto"/>
                <w:sz w:val="24"/>
                <w:szCs w:val="24"/>
                <w:highlight w:val="none"/>
              </w:rPr>
            </w:pPr>
            <w:r>
              <w:rPr>
                <w:rFonts w:ascii="Times New Roman" w:hAnsi="Times New Roman"/>
                <w:color w:val="auto"/>
                <w:kern w:val="0"/>
                <w:sz w:val="24"/>
                <w:szCs w:val="24"/>
                <w:highlight w:val="none"/>
                <w:lang w:bidi="ar"/>
              </w:rPr>
              <w:t>1.3</w:t>
            </w:r>
          </w:p>
        </w:tc>
        <w:tc>
          <w:tcPr>
            <w:tcW w:w="711" w:type="pct"/>
            <w:tcBorders>
              <w:top w:val="nil"/>
              <w:left w:val="nil"/>
              <w:bottom w:val="single" w:color="000000" w:sz="8" w:space="0"/>
              <w:right w:val="single" w:color="000000" w:sz="8" w:space="0"/>
            </w:tcBorders>
            <w:shd w:val="clear" w:color="auto" w:fill="FFFFFF"/>
            <w:noWrap/>
            <w:vAlign w:val="center"/>
          </w:tcPr>
          <w:p>
            <w:pPr>
              <w:widowControl/>
              <w:jc w:val="center"/>
              <w:textAlignment w:val="center"/>
              <w:rPr>
                <w:rFonts w:ascii="Times New Roman" w:hAnsi="Times New Roman"/>
                <w:color w:val="auto"/>
                <w:sz w:val="24"/>
                <w:szCs w:val="24"/>
                <w:highlight w:val="none"/>
              </w:rPr>
            </w:pPr>
            <w:r>
              <w:rPr>
                <w:rFonts w:ascii="Times New Roman" w:hAnsi="Times New Roman"/>
                <w:color w:val="auto"/>
                <w:kern w:val="0"/>
                <w:sz w:val="24"/>
                <w:szCs w:val="24"/>
                <w:highlight w:val="none"/>
                <w:lang w:bidi="ar"/>
              </w:rPr>
              <w:t>5.1</w:t>
            </w:r>
          </w:p>
        </w:tc>
        <w:tc>
          <w:tcPr>
            <w:tcW w:w="715" w:type="pct"/>
            <w:tcBorders>
              <w:top w:val="nil"/>
              <w:left w:val="nil"/>
              <w:bottom w:val="single" w:color="000000" w:sz="8" w:space="0"/>
              <w:right w:val="single" w:color="000000" w:sz="8" w:space="0"/>
            </w:tcBorders>
            <w:shd w:val="clear" w:color="auto" w:fill="FFFFFF"/>
            <w:noWrap/>
            <w:vAlign w:val="center"/>
          </w:tcPr>
          <w:p>
            <w:pPr>
              <w:widowControl/>
              <w:jc w:val="center"/>
              <w:textAlignment w:val="center"/>
              <w:rPr>
                <w:rFonts w:ascii="Times New Roman" w:hAnsi="Times New Roman"/>
                <w:color w:val="auto"/>
                <w:sz w:val="24"/>
                <w:szCs w:val="24"/>
                <w:highlight w:val="none"/>
              </w:rPr>
            </w:pPr>
            <w:r>
              <w:rPr>
                <w:rFonts w:ascii="Times New Roman" w:hAnsi="Times New Roman"/>
                <w:color w:val="auto"/>
                <w:kern w:val="0"/>
                <w:sz w:val="24"/>
                <w:szCs w:val="24"/>
                <w:highlight w:val="none"/>
                <w:lang w:bidi="ar"/>
              </w:rPr>
              <w:t>13754</w:t>
            </w:r>
          </w:p>
        </w:tc>
      </w:tr>
      <w:tr>
        <w:tblPrEx>
          <w:tblCellMar>
            <w:top w:w="0" w:type="dxa"/>
            <w:left w:w="108" w:type="dxa"/>
            <w:bottom w:w="0" w:type="dxa"/>
            <w:right w:w="108" w:type="dxa"/>
          </w:tblCellMar>
        </w:tblPrEx>
        <w:trPr>
          <w:trHeight w:val="383" w:hRule="atLeast"/>
          <w:jc w:val="center"/>
        </w:trPr>
        <w:tc>
          <w:tcPr>
            <w:tcW w:w="5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b/>
                <w:bCs/>
                <w:color w:val="auto"/>
                <w:sz w:val="24"/>
                <w:szCs w:val="24"/>
                <w:highlight w:val="none"/>
              </w:rPr>
            </w:pPr>
          </w:p>
        </w:tc>
        <w:tc>
          <w:tcPr>
            <w:tcW w:w="558" w:type="pct"/>
            <w:tcBorders>
              <w:top w:val="nil"/>
              <w:left w:val="nil"/>
              <w:bottom w:val="single" w:color="000000" w:sz="8" w:space="0"/>
              <w:right w:val="single" w:color="000000" w:sz="8" w:space="0"/>
            </w:tcBorders>
            <w:shd w:val="clear" w:color="auto" w:fill="FFFFFF"/>
            <w:vAlign w:val="center"/>
          </w:tcPr>
          <w:p>
            <w:pPr>
              <w:widowControl/>
              <w:jc w:val="center"/>
              <w:textAlignment w:val="center"/>
              <w:rPr>
                <w:rFonts w:ascii="仿宋" w:hAnsi="仿宋"/>
                <w:color w:val="auto"/>
                <w:sz w:val="24"/>
                <w:szCs w:val="24"/>
                <w:highlight w:val="none"/>
              </w:rPr>
            </w:pPr>
            <w:r>
              <w:rPr>
                <w:rFonts w:hint="eastAsia" w:ascii="仿宋" w:hAnsi="仿宋"/>
                <w:color w:val="auto"/>
                <w:kern w:val="0"/>
                <w:sz w:val="24"/>
                <w:szCs w:val="24"/>
                <w:highlight w:val="none"/>
                <w:lang w:bidi="ar"/>
              </w:rPr>
              <w:t>石渠县</w:t>
            </w:r>
          </w:p>
        </w:tc>
        <w:tc>
          <w:tcPr>
            <w:tcW w:w="581" w:type="pct"/>
            <w:tcBorders>
              <w:top w:val="nil"/>
              <w:left w:val="nil"/>
              <w:bottom w:val="single" w:color="000000" w:sz="8" w:space="0"/>
              <w:right w:val="single" w:color="000000" w:sz="8" w:space="0"/>
            </w:tcBorders>
            <w:shd w:val="clear" w:color="auto" w:fill="FFFFFF"/>
            <w:vAlign w:val="center"/>
          </w:tcPr>
          <w:p>
            <w:pPr>
              <w:widowControl/>
              <w:jc w:val="center"/>
              <w:textAlignment w:val="center"/>
              <w:rPr>
                <w:rFonts w:ascii="Times New Roman" w:hAnsi="Times New Roman"/>
                <w:color w:val="auto"/>
                <w:sz w:val="24"/>
                <w:szCs w:val="24"/>
                <w:highlight w:val="none"/>
              </w:rPr>
            </w:pPr>
            <w:r>
              <w:rPr>
                <w:rFonts w:ascii="Times New Roman" w:hAnsi="Times New Roman"/>
                <w:color w:val="auto"/>
                <w:kern w:val="0"/>
                <w:sz w:val="24"/>
                <w:szCs w:val="24"/>
                <w:highlight w:val="none"/>
                <w:lang w:bidi="ar"/>
              </w:rPr>
              <w:t>165</w:t>
            </w:r>
          </w:p>
        </w:tc>
        <w:tc>
          <w:tcPr>
            <w:tcW w:w="581" w:type="pct"/>
            <w:tcBorders>
              <w:top w:val="nil"/>
              <w:left w:val="nil"/>
              <w:bottom w:val="single" w:color="000000" w:sz="8" w:space="0"/>
              <w:right w:val="single" w:color="000000" w:sz="8" w:space="0"/>
            </w:tcBorders>
            <w:shd w:val="clear" w:color="auto" w:fill="FFFFFF"/>
            <w:noWrap/>
            <w:vAlign w:val="center"/>
          </w:tcPr>
          <w:p>
            <w:pPr>
              <w:widowControl/>
              <w:jc w:val="center"/>
              <w:textAlignment w:val="center"/>
              <w:rPr>
                <w:rFonts w:ascii="Times New Roman" w:hAnsi="Times New Roman"/>
                <w:color w:val="auto"/>
                <w:sz w:val="24"/>
                <w:szCs w:val="24"/>
                <w:highlight w:val="none"/>
              </w:rPr>
            </w:pPr>
            <w:r>
              <w:rPr>
                <w:rFonts w:ascii="Times New Roman" w:hAnsi="Times New Roman"/>
                <w:color w:val="auto"/>
                <w:kern w:val="0"/>
                <w:sz w:val="24"/>
                <w:szCs w:val="24"/>
                <w:highlight w:val="none"/>
                <w:lang w:bidi="ar"/>
              </w:rPr>
              <w:t>110</w:t>
            </w:r>
          </w:p>
        </w:tc>
        <w:tc>
          <w:tcPr>
            <w:tcW w:w="582" w:type="pct"/>
            <w:tcBorders>
              <w:top w:val="nil"/>
              <w:left w:val="nil"/>
              <w:bottom w:val="single" w:color="000000" w:sz="8" w:space="0"/>
              <w:right w:val="single" w:color="000000" w:sz="8" w:space="0"/>
            </w:tcBorders>
            <w:shd w:val="clear" w:color="auto" w:fill="FFFFFF"/>
            <w:noWrap/>
            <w:vAlign w:val="center"/>
          </w:tcPr>
          <w:p>
            <w:pPr>
              <w:widowControl/>
              <w:jc w:val="center"/>
              <w:textAlignment w:val="center"/>
              <w:rPr>
                <w:rFonts w:ascii="Times New Roman" w:hAnsi="Times New Roman"/>
                <w:color w:val="auto"/>
                <w:sz w:val="24"/>
                <w:szCs w:val="24"/>
                <w:highlight w:val="none"/>
              </w:rPr>
            </w:pPr>
            <w:r>
              <w:rPr>
                <w:rFonts w:ascii="Times New Roman" w:hAnsi="Times New Roman"/>
                <w:color w:val="auto"/>
                <w:kern w:val="0"/>
                <w:sz w:val="24"/>
                <w:szCs w:val="24"/>
                <w:highlight w:val="none"/>
                <w:lang w:bidi="ar"/>
              </w:rPr>
              <w:t>55</w:t>
            </w:r>
          </w:p>
        </w:tc>
        <w:tc>
          <w:tcPr>
            <w:tcW w:w="711" w:type="pct"/>
            <w:tcBorders>
              <w:top w:val="nil"/>
              <w:left w:val="nil"/>
              <w:bottom w:val="single" w:color="000000" w:sz="8" w:space="0"/>
              <w:right w:val="single" w:color="000000" w:sz="8" w:space="0"/>
            </w:tcBorders>
            <w:shd w:val="clear" w:color="auto" w:fill="FFFFFF"/>
            <w:noWrap/>
            <w:vAlign w:val="center"/>
          </w:tcPr>
          <w:p>
            <w:pPr>
              <w:widowControl/>
              <w:jc w:val="center"/>
              <w:textAlignment w:val="center"/>
              <w:rPr>
                <w:rFonts w:ascii="Times New Roman" w:hAnsi="Times New Roman"/>
                <w:color w:val="auto"/>
                <w:sz w:val="24"/>
                <w:szCs w:val="24"/>
                <w:highlight w:val="none"/>
              </w:rPr>
            </w:pPr>
            <w:r>
              <w:rPr>
                <w:rFonts w:ascii="Times New Roman" w:hAnsi="Times New Roman"/>
                <w:color w:val="auto"/>
                <w:kern w:val="0"/>
                <w:sz w:val="24"/>
                <w:szCs w:val="24"/>
                <w:highlight w:val="none"/>
                <w:lang w:bidi="ar"/>
              </w:rPr>
              <w:t>2.6</w:t>
            </w:r>
          </w:p>
        </w:tc>
        <w:tc>
          <w:tcPr>
            <w:tcW w:w="711" w:type="pct"/>
            <w:tcBorders>
              <w:top w:val="nil"/>
              <w:left w:val="nil"/>
              <w:bottom w:val="single" w:color="000000" w:sz="8" w:space="0"/>
              <w:right w:val="single" w:color="000000" w:sz="8" w:space="0"/>
            </w:tcBorders>
            <w:shd w:val="clear" w:color="auto" w:fill="FFFFFF"/>
            <w:noWrap/>
            <w:vAlign w:val="center"/>
          </w:tcPr>
          <w:p>
            <w:pPr>
              <w:widowControl/>
              <w:jc w:val="center"/>
              <w:textAlignment w:val="center"/>
              <w:rPr>
                <w:rFonts w:ascii="Times New Roman" w:hAnsi="Times New Roman"/>
                <w:color w:val="auto"/>
                <w:sz w:val="24"/>
                <w:szCs w:val="24"/>
                <w:highlight w:val="none"/>
              </w:rPr>
            </w:pPr>
            <w:r>
              <w:rPr>
                <w:rFonts w:ascii="Times New Roman" w:hAnsi="Times New Roman"/>
                <w:color w:val="auto"/>
                <w:kern w:val="0"/>
                <w:sz w:val="24"/>
                <w:szCs w:val="24"/>
                <w:highlight w:val="none"/>
                <w:lang w:bidi="ar"/>
              </w:rPr>
              <w:t>9.6</w:t>
            </w:r>
          </w:p>
        </w:tc>
        <w:tc>
          <w:tcPr>
            <w:tcW w:w="715" w:type="pct"/>
            <w:tcBorders>
              <w:top w:val="nil"/>
              <w:left w:val="nil"/>
              <w:bottom w:val="single" w:color="000000" w:sz="8" w:space="0"/>
              <w:right w:val="single" w:color="000000" w:sz="8" w:space="0"/>
            </w:tcBorders>
            <w:shd w:val="clear" w:color="auto" w:fill="FFFFFF"/>
            <w:noWrap/>
            <w:vAlign w:val="center"/>
          </w:tcPr>
          <w:p>
            <w:pPr>
              <w:widowControl/>
              <w:jc w:val="center"/>
              <w:textAlignment w:val="center"/>
              <w:rPr>
                <w:rFonts w:ascii="Times New Roman" w:hAnsi="Times New Roman"/>
                <w:color w:val="auto"/>
                <w:sz w:val="24"/>
                <w:szCs w:val="24"/>
                <w:highlight w:val="none"/>
              </w:rPr>
            </w:pPr>
            <w:r>
              <w:rPr>
                <w:rFonts w:ascii="Times New Roman" w:hAnsi="Times New Roman"/>
                <w:color w:val="auto"/>
                <w:kern w:val="0"/>
                <w:sz w:val="24"/>
                <w:szCs w:val="24"/>
                <w:highlight w:val="none"/>
                <w:lang w:bidi="ar"/>
              </w:rPr>
              <w:t>12902</w:t>
            </w:r>
          </w:p>
        </w:tc>
      </w:tr>
      <w:tr>
        <w:tblPrEx>
          <w:tblCellMar>
            <w:top w:w="0" w:type="dxa"/>
            <w:left w:w="108" w:type="dxa"/>
            <w:bottom w:w="0" w:type="dxa"/>
            <w:right w:w="108" w:type="dxa"/>
          </w:tblCellMar>
        </w:tblPrEx>
        <w:trPr>
          <w:trHeight w:val="383" w:hRule="atLeast"/>
          <w:jc w:val="center"/>
        </w:trPr>
        <w:tc>
          <w:tcPr>
            <w:tcW w:w="5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b/>
                <w:bCs/>
                <w:color w:val="auto"/>
                <w:sz w:val="24"/>
                <w:szCs w:val="24"/>
                <w:highlight w:val="none"/>
              </w:rPr>
            </w:pPr>
          </w:p>
        </w:tc>
        <w:tc>
          <w:tcPr>
            <w:tcW w:w="558" w:type="pct"/>
            <w:tcBorders>
              <w:top w:val="nil"/>
              <w:left w:val="nil"/>
              <w:bottom w:val="single" w:color="000000" w:sz="8" w:space="0"/>
              <w:right w:val="single" w:color="000000" w:sz="8" w:space="0"/>
            </w:tcBorders>
            <w:shd w:val="clear" w:color="auto" w:fill="FFFFFF"/>
            <w:vAlign w:val="center"/>
          </w:tcPr>
          <w:p>
            <w:pPr>
              <w:widowControl/>
              <w:jc w:val="center"/>
              <w:textAlignment w:val="center"/>
              <w:rPr>
                <w:rFonts w:ascii="仿宋" w:hAnsi="仿宋"/>
                <w:color w:val="auto"/>
                <w:sz w:val="24"/>
                <w:szCs w:val="24"/>
                <w:highlight w:val="none"/>
              </w:rPr>
            </w:pPr>
            <w:r>
              <w:rPr>
                <w:rFonts w:hint="eastAsia" w:ascii="仿宋" w:hAnsi="仿宋"/>
                <w:color w:val="auto"/>
                <w:kern w:val="0"/>
                <w:sz w:val="24"/>
                <w:szCs w:val="24"/>
                <w:highlight w:val="none"/>
                <w:lang w:bidi="ar"/>
              </w:rPr>
              <w:t>色达县</w:t>
            </w:r>
          </w:p>
        </w:tc>
        <w:tc>
          <w:tcPr>
            <w:tcW w:w="581" w:type="pct"/>
            <w:tcBorders>
              <w:top w:val="nil"/>
              <w:left w:val="nil"/>
              <w:bottom w:val="single" w:color="000000" w:sz="8" w:space="0"/>
              <w:right w:val="single" w:color="000000" w:sz="8" w:space="0"/>
            </w:tcBorders>
            <w:shd w:val="clear" w:color="auto" w:fill="FFFFFF"/>
            <w:vAlign w:val="center"/>
          </w:tcPr>
          <w:p>
            <w:pPr>
              <w:widowControl/>
              <w:jc w:val="center"/>
              <w:textAlignment w:val="center"/>
              <w:rPr>
                <w:rFonts w:ascii="Times New Roman" w:hAnsi="Times New Roman"/>
                <w:color w:val="auto"/>
                <w:sz w:val="24"/>
                <w:szCs w:val="24"/>
                <w:highlight w:val="none"/>
              </w:rPr>
            </w:pPr>
            <w:r>
              <w:rPr>
                <w:rFonts w:ascii="Times New Roman" w:hAnsi="Times New Roman"/>
                <w:color w:val="auto"/>
                <w:kern w:val="0"/>
                <w:sz w:val="24"/>
                <w:szCs w:val="24"/>
                <w:highlight w:val="none"/>
                <w:lang w:bidi="ar"/>
              </w:rPr>
              <w:t>133</w:t>
            </w:r>
          </w:p>
        </w:tc>
        <w:tc>
          <w:tcPr>
            <w:tcW w:w="581" w:type="pct"/>
            <w:tcBorders>
              <w:top w:val="nil"/>
              <w:left w:val="nil"/>
              <w:bottom w:val="single" w:color="000000" w:sz="8" w:space="0"/>
              <w:right w:val="single" w:color="000000" w:sz="8" w:space="0"/>
            </w:tcBorders>
            <w:shd w:val="clear" w:color="auto" w:fill="FFFFFF"/>
            <w:noWrap/>
            <w:vAlign w:val="center"/>
          </w:tcPr>
          <w:p>
            <w:pPr>
              <w:widowControl/>
              <w:jc w:val="center"/>
              <w:textAlignment w:val="center"/>
              <w:rPr>
                <w:rFonts w:ascii="Times New Roman" w:hAnsi="Times New Roman"/>
                <w:color w:val="auto"/>
                <w:sz w:val="24"/>
                <w:szCs w:val="24"/>
                <w:highlight w:val="none"/>
              </w:rPr>
            </w:pPr>
            <w:r>
              <w:rPr>
                <w:rFonts w:ascii="Times New Roman" w:hAnsi="Times New Roman"/>
                <w:color w:val="auto"/>
                <w:kern w:val="0"/>
                <w:sz w:val="24"/>
                <w:szCs w:val="24"/>
                <w:highlight w:val="none"/>
                <w:lang w:bidi="ar"/>
              </w:rPr>
              <w:t>87</w:t>
            </w:r>
          </w:p>
        </w:tc>
        <w:tc>
          <w:tcPr>
            <w:tcW w:w="582" w:type="pct"/>
            <w:tcBorders>
              <w:top w:val="nil"/>
              <w:left w:val="nil"/>
              <w:bottom w:val="single" w:color="000000" w:sz="8" w:space="0"/>
              <w:right w:val="single" w:color="000000" w:sz="8" w:space="0"/>
            </w:tcBorders>
            <w:shd w:val="clear" w:color="auto" w:fill="FFFFFF"/>
            <w:noWrap/>
            <w:vAlign w:val="center"/>
          </w:tcPr>
          <w:p>
            <w:pPr>
              <w:widowControl/>
              <w:jc w:val="center"/>
              <w:textAlignment w:val="center"/>
              <w:rPr>
                <w:rFonts w:ascii="Times New Roman" w:hAnsi="Times New Roman"/>
                <w:color w:val="auto"/>
                <w:sz w:val="24"/>
                <w:szCs w:val="24"/>
                <w:highlight w:val="none"/>
              </w:rPr>
            </w:pPr>
            <w:r>
              <w:rPr>
                <w:rFonts w:ascii="Times New Roman" w:hAnsi="Times New Roman"/>
                <w:color w:val="auto"/>
                <w:kern w:val="0"/>
                <w:sz w:val="24"/>
                <w:szCs w:val="24"/>
                <w:highlight w:val="none"/>
                <w:lang w:bidi="ar"/>
              </w:rPr>
              <w:t>44</w:t>
            </w:r>
          </w:p>
        </w:tc>
        <w:tc>
          <w:tcPr>
            <w:tcW w:w="711" w:type="pct"/>
            <w:tcBorders>
              <w:top w:val="nil"/>
              <w:left w:val="nil"/>
              <w:bottom w:val="single" w:color="000000" w:sz="8" w:space="0"/>
              <w:right w:val="single" w:color="000000" w:sz="8" w:space="0"/>
            </w:tcBorders>
            <w:shd w:val="clear" w:color="auto" w:fill="FFFFFF"/>
            <w:noWrap/>
            <w:vAlign w:val="center"/>
          </w:tcPr>
          <w:p>
            <w:pPr>
              <w:widowControl/>
              <w:jc w:val="center"/>
              <w:textAlignment w:val="center"/>
              <w:rPr>
                <w:rFonts w:ascii="Times New Roman" w:hAnsi="Times New Roman"/>
                <w:color w:val="auto"/>
                <w:sz w:val="24"/>
                <w:szCs w:val="24"/>
                <w:highlight w:val="none"/>
              </w:rPr>
            </w:pPr>
            <w:r>
              <w:rPr>
                <w:rFonts w:ascii="Times New Roman" w:hAnsi="Times New Roman"/>
                <w:color w:val="auto"/>
                <w:kern w:val="0"/>
                <w:sz w:val="24"/>
                <w:szCs w:val="24"/>
                <w:highlight w:val="none"/>
                <w:lang w:bidi="ar"/>
              </w:rPr>
              <w:t>1.7</w:t>
            </w:r>
          </w:p>
        </w:tc>
        <w:tc>
          <w:tcPr>
            <w:tcW w:w="711" w:type="pct"/>
            <w:tcBorders>
              <w:top w:val="nil"/>
              <w:left w:val="nil"/>
              <w:bottom w:val="single" w:color="000000" w:sz="8" w:space="0"/>
              <w:right w:val="single" w:color="000000" w:sz="8" w:space="0"/>
            </w:tcBorders>
            <w:shd w:val="clear" w:color="auto" w:fill="FFFFFF"/>
            <w:noWrap/>
            <w:vAlign w:val="center"/>
          </w:tcPr>
          <w:p>
            <w:pPr>
              <w:widowControl/>
              <w:jc w:val="center"/>
              <w:textAlignment w:val="center"/>
              <w:rPr>
                <w:rFonts w:ascii="Times New Roman" w:hAnsi="Times New Roman"/>
                <w:color w:val="auto"/>
                <w:sz w:val="24"/>
                <w:szCs w:val="24"/>
                <w:highlight w:val="none"/>
              </w:rPr>
            </w:pPr>
            <w:r>
              <w:rPr>
                <w:rFonts w:ascii="Times New Roman" w:hAnsi="Times New Roman"/>
                <w:color w:val="auto"/>
                <w:kern w:val="0"/>
                <w:sz w:val="24"/>
                <w:szCs w:val="24"/>
                <w:highlight w:val="none"/>
                <w:lang w:bidi="ar"/>
              </w:rPr>
              <w:t>5.1</w:t>
            </w:r>
          </w:p>
        </w:tc>
        <w:tc>
          <w:tcPr>
            <w:tcW w:w="715" w:type="pct"/>
            <w:tcBorders>
              <w:top w:val="nil"/>
              <w:left w:val="nil"/>
              <w:bottom w:val="single" w:color="000000" w:sz="8" w:space="0"/>
              <w:right w:val="single" w:color="000000" w:sz="8" w:space="0"/>
            </w:tcBorders>
            <w:shd w:val="clear" w:color="auto" w:fill="FFFFFF"/>
            <w:noWrap/>
            <w:vAlign w:val="center"/>
          </w:tcPr>
          <w:p>
            <w:pPr>
              <w:widowControl/>
              <w:jc w:val="center"/>
              <w:textAlignment w:val="center"/>
              <w:rPr>
                <w:rFonts w:ascii="Times New Roman" w:hAnsi="Times New Roman"/>
                <w:color w:val="auto"/>
                <w:sz w:val="24"/>
                <w:szCs w:val="24"/>
                <w:highlight w:val="none"/>
              </w:rPr>
            </w:pPr>
            <w:r>
              <w:rPr>
                <w:rFonts w:ascii="Times New Roman" w:hAnsi="Times New Roman"/>
                <w:color w:val="auto"/>
                <w:kern w:val="0"/>
                <w:sz w:val="24"/>
                <w:szCs w:val="24"/>
                <w:highlight w:val="none"/>
                <w:lang w:bidi="ar"/>
              </w:rPr>
              <w:t>12986</w:t>
            </w:r>
          </w:p>
        </w:tc>
      </w:tr>
      <w:tr>
        <w:tblPrEx>
          <w:tblCellMar>
            <w:top w:w="0" w:type="dxa"/>
            <w:left w:w="108" w:type="dxa"/>
            <w:bottom w:w="0" w:type="dxa"/>
            <w:right w:w="108" w:type="dxa"/>
          </w:tblCellMar>
        </w:tblPrEx>
        <w:trPr>
          <w:trHeight w:val="383" w:hRule="atLeast"/>
          <w:jc w:val="center"/>
        </w:trPr>
        <w:tc>
          <w:tcPr>
            <w:tcW w:w="5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b/>
                <w:bCs/>
                <w:color w:val="auto"/>
                <w:sz w:val="24"/>
                <w:szCs w:val="24"/>
                <w:highlight w:val="none"/>
              </w:rPr>
            </w:pPr>
          </w:p>
        </w:tc>
        <w:tc>
          <w:tcPr>
            <w:tcW w:w="558" w:type="pct"/>
            <w:tcBorders>
              <w:top w:val="nil"/>
              <w:left w:val="nil"/>
              <w:bottom w:val="single" w:color="000000" w:sz="8" w:space="0"/>
              <w:right w:val="single" w:color="000000" w:sz="8" w:space="0"/>
            </w:tcBorders>
            <w:shd w:val="clear" w:color="auto" w:fill="FFFFFF"/>
            <w:vAlign w:val="center"/>
          </w:tcPr>
          <w:p>
            <w:pPr>
              <w:widowControl/>
              <w:jc w:val="center"/>
              <w:textAlignment w:val="center"/>
              <w:rPr>
                <w:rFonts w:ascii="仿宋" w:hAnsi="仿宋"/>
                <w:color w:val="auto"/>
                <w:sz w:val="24"/>
                <w:szCs w:val="24"/>
                <w:highlight w:val="none"/>
              </w:rPr>
            </w:pPr>
            <w:r>
              <w:rPr>
                <w:rFonts w:hint="eastAsia" w:ascii="仿宋" w:hAnsi="仿宋"/>
                <w:color w:val="auto"/>
                <w:kern w:val="0"/>
                <w:sz w:val="24"/>
                <w:szCs w:val="24"/>
                <w:highlight w:val="none"/>
                <w:lang w:bidi="ar"/>
              </w:rPr>
              <w:t>理塘县</w:t>
            </w:r>
          </w:p>
        </w:tc>
        <w:tc>
          <w:tcPr>
            <w:tcW w:w="581" w:type="pct"/>
            <w:tcBorders>
              <w:top w:val="nil"/>
              <w:left w:val="nil"/>
              <w:bottom w:val="single" w:color="000000" w:sz="8" w:space="0"/>
              <w:right w:val="single" w:color="000000" w:sz="8" w:space="0"/>
            </w:tcBorders>
            <w:shd w:val="clear" w:color="auto" w:fill="FFFFFF"/>
            <w:vAlign w:val="center"/>
          </w:tcPr>
          <w:p>
            <w:pPr>
              <w:widowControl/>
              <w:jc w:val="center"/>
              <w:textAlignment w:val="center"/>
              <w:rPr>
                <w:rFonts w:ascii="Times New Roman" w:hAnsi="Times New Roman"/>
                <w:color w:val="auto"/>
                <w:sz w:val="24"/>
                <w:szCs w:val="24"/>
                <w:highlight w:val="none"/>
              </w:rPr>
            </w:pPr>
            <w:r>
              <w:rPr>
                <w:rFonts w:ascii="Times New Roman" w:hAnsi="Times New Roman"/>
                <w:color w:val="auto"/>
                <w:kern w:val="0"/>
                <w:sz w:val="24"/>
                <w:szCs w:val="24"/>
                <w:highlight w:val="none"/>
                <w:lang w:bidi="ar"/>
              </w:rPr>
              <w:t>155</w:t>
            </w:r>
          </w:p>
        </w:tc>
        <w:tc>
          <w:tcPr>
            <w:tcW w:w="581" w:type="pct"/>
            <w:tcBorders>
              <w:top w:val="nil"/>
              <w:left w:val="nil"/>
              <w:bottom w:val="single" w:color="000000" w:sz="8" w:space="0"/>
              <w:right w:val="single" w:color="000000" w:sz="8" w:space="0"/>
            </w:tcBorders>
            <w:shd w:val="clear" w:color="auto" w:fill="FFFFFF"/>
            <w:noWrap/>
            <w:vAlign w:val="center"/>
          </w:tcPr>
          <w:p>
            <w:pPr>
              <w:widowControl/>
              <w:jc w:val="center"/>
              <w:textAlignment w:val="center"/>
              <w:rPr>
                <w:rFonts w:ascii="Times New Roman" w:hAnsi="Times New Roman"/>
                <w:color w:val="auto"/>
                <w:sz w:val="24"/>
                <w:szCs w:val="24"/>
                <w:highlight w:val="none"/>
              </w:rPr>
            </w:pPr>
            <w:r>
              <w:rPr>
                <w:rFonts w:ascii="Times New Roman" w:hAnsi="Times New Roman"/>
                <w:color w:val="auto"/>
                <w:kern w:val="0"/>
                <w:sz w:val="24"/>
                <w:szCs w:val="24"/>
                <w:highlight w:val="none"/>
                <w:lang w:bidi="ar"/>
              </w:rPr>
              <w:t>108</w:t>
            </w:r>
          </w:p>
        </w:tc>
        <w:tc>
          <w:tcPr>
            <w:tcW w:w="582" w:type="pct"/>
            <w:tcBorders>
              <w:top w:val="nil"/>
              <w:left w:val="nil"/>
              <w:bottom w:val="single" w:color="000000" w:sz="8" w:space="0"/>
              <w:right w:val="single" w:color="000000" w:sz="8" w:space="0"/>
            </w:tcBorders>
            <w:shd w:val="clear" w:color="auto" w:fill="FFFFFF"/>
            <w:noWrap/>
            <w:vAlign w:val="center"/>
          </w:tcPr>
          <w:p>
            <w:pPr>
              <w:widowControl/>
              <w:jc w:val="center"/>
              <w:textAlignment w:val="center"/>
              <w:rPr>
                <w:rFonts w:ascii="Times New Roman" w:hAnsi="Times New Roman"/>
                <w:color w:val="auto"/>
                <w:sz w:val="24"/>
                <w:szCs w:val="24"/>
                <w:highlight w:val="none"/>
              </w:rPr>
            </w:pPr>
            <w:r>
              <w:rPr>
                <w:rFonts w:ascii="Times New Roman" w:hAnsi="Times New Roman"/>
                <w:color w:val="auto"/>
                <w:kern w:val="0"/>
                <w:sz w:val="24"/>
                <w:szCs w:val="24"/>
                <w:highlight w:val="none"/>
                <w:lang w:bidi="ar"/>
              </w:rPr>
              <w:t>54</w:t>
            </w:r>
          </w:p>
        </w:tc>
        <w:tc>
          <w:tcPr>
            <w:tcW w:w="711" w:type="pct"/>
            <w:tcBorders>
              <w:top w:val="nil"/>
              <w:left w:val="nil"/>
              <w:bottom w:val="single" w:color="000000" w:sz="8" w:space="0"/>
              <w:right w:val="single" w:color="000000" w:sz="8" w:space="0"/>
            </w:tcBorders>
            <w:shd w:val="clear" w:color="auto" w:fill="FFFFFF"/>
            <w:noWrap/>
            <w:vAlign w:val="center"/>
          </w:tcPr>
          <w:p>
            <w:pPr>
              <w:widowControl/>
              <w:jc w:val="center"/>
              <w:textAlignment w:val="center"/>
              <w:rPr>
                <w:rFonts w:ascii="Times New Roman" w:hAnsi="Times New Roman"/>
                <w:color w:val="auto"/>
                <w:sz w:val="24"/>
                <w:szCs w:val="24"/>
                <w:highlight w:val="none"/>
              </w:rPr>
            </w:pPr>
            <w:r>
              <w:rPr>
                <w:rFonts w:ascii="Times New Roman" w:hAnsi="Times New Roman"/>
                <w:color w:val="auto"/>
                <w:kern w:val="0"/>
                <w:sz w:val="24"/>
                <w:szCs w:val="24"/>
                <w:highlight w:val="none"/>
                <w:lang w:bidi="ar"/>
              </w:rPr>
              <w:t>2.4</w:t>
            </w:r>
          </w:p>
        </w:tc>
        <w:tc>
          <w:tcPr>
            <w:tcW w:w="711" w:type="pct"/>
            <w:tcBorders>
              <w:top w:val="nil"/>
              <w:left w:val="nil"/>
              <w:bottom w:val="single" w:color="000000" w:sz="8" w:space="0"/>
              <w:right w:val="single" w:color="000000" w:sz="8" w:space="0"/>
            </w:tcBorders>
            <w:shd w:val="clear" w:color="auto" w:fill="FFFFFF"/>
            <w:noWrap/>
            <w:vAlign w:val="center"/>
          </w:tcPr>
          <w:p>
            <w:pPr>
              <w:widowControl/>
              <w:jc w:val="center"/>
              <w:textAlignment w:val="center"/>
              <w:rPr>
                <w:rFonts w:ascii="Times New Roman" w:hAnsi="Times New Roman"/>
                <w:color w:val="auto"/>
                <w:sz w:val="24"/>
                <w:szCs w:val="24"/>
                <w:highlight w:val="none"/>
              </w:rPr>
            </w:pPr>
            <w:r>
              <w:rPr>
                <w:rFonts w:ascii="Times New Roman" w:hAnsi="Times New Roman"/>
                <w:color w:val="auto"/>
                <w:kern w:val="0"/>
                <w:sz w:val="24"/>
                <w:szCs w:val="24"/>
                <w:highlight w:val="none"/>
                <w:lang w:bidi="ar"/>
              </w:rPr>
              <w:t>5.8</w:t>
            </w:r>
          </w:p>
        </w:tc>
        <w:tc>
          <w:tcPr>
            <w:tcW w:w="715" w:type="pct"/>
            <w:tcBorders>
              <w:top w:val="nil"/>
              <w:left w:val="nil"/>
              <w:bottom w:val="single" w:color="000000" w:sz="8" w:space="0"/>
              <w:right w:val="single" w:color="000000" w:sz="8" w:space="0"/>
            </w:tcBorders>
            <w:shd w:val="clear" w:color="auto" w:fill="FFFFFF"/>
            <w:noWrap/>
            <w:vAlign w:val="center"/>
          </w:tcPr>
          <w:p>
            <w:pPr>
              <w:widowControl/>
              <w:jc w:val="center"/>
              <w:textAlignment w:val="center"/>
              <w:rPr>
                <w:rFonts w:ascii="Times New Roman" w:hAnsi="Times New Roman"/>
                <w:color w:val="auto"/>
                <w:sz w:val="24"/>
                <w:szCs w:val="24"/>
                <w:highlight w:val="none"/>
              </w:rPr>
            </w:pPr>
            <w:r>
              <w:rPr>
                <w:rFonts w:ascii="Times New Roman" w:hAnsi="Times New Roman"/>
                <w:color w:val="auto"/>
                <w:kern w:val="0"/>
                <w:sz w:val="24"/>
                <w:szCs w:val="24"/>
                <w:highlight w:val="none"/>
                <w:lang w:bidi="ar"/>
              </w:rPr>
              <w:t>13009</w:t>
            </w:r>
          </w:p>
        </w:tc>
      </w:tr>
      <w:tr>
        <w:tblPrEx>
          <w:tblCellMar>
            <w:top w:w="0" w:type="dxa"/>
            <w:left w:w="108" w:type="dxa"/>
            <w:bottom w:w="0" w:type="dxa"/>
            <w:right w:w="108" w:type="dxa"/>
          </w:tblCellMar>
        </w:tblPrEx>
        <w:trPr>
          <w:trHeight w:val="383" w:hRule="atLeast"/>
          <w:jc w:val="center"/>
        </w:trPr>
        <w:tc>
          <w:tcPr>
            <w:tcW w:w="55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b/>
                <w:bCs/>
                <w:color w:val="auto"/>
                <w:sz w:val="24"/>
                <w:szCs w:val="24"/>
                <w:highlight w:val="none"/>
              </w:rPr>
            </w:pPr>
            <w:r>
              <w:rPr>
                <w:rFonts w:hint="eastAsia" w:ascii="仿宋" w:hAnsi="仿宋"/>
                <w:b/>
                <w:bCs/>
                <w:color w:val="auto"/>
                <w:kern w:val="0"/>
                <w:sz w:val="24"/>
                <w:szCs w:val="24"/>
                <w:highlight w:val="none"/>
                <w:lang w:bidi="ar"/>
              </w:rPr>
              <w:t>省重点帮扶县</w:t>
            </w:r>
          </w:p>
        </w:tc>
        <w:tc>
          <w:tcPr>
            <w:tcW w:w="558" w:type="pct"/>
            <w:tcBorders>
              <w:top w:val="nil"/>
              <w:left w:val="nil"/>
              <w:bottom w:val="single" w:color="000000" w:sz="8" w:space="0"/>
              <w:right w:val="single" w:color="000000" w:sz="8" w:space="0"/>
            </w:tcBorders>
            <w:shd w:val="clear" w:color="auto" w:fill="FFFFFF"/>
            <w:vAlign w:val="center"/>
          </w:tcPr>
          <w:p>
            <w:pPr>
              <w:widowControl/>
              <w:jc w:val="center"/>
              <w:textAlignment w:val="center"/>
              <w:rPr>
                <w:rFonts w:ascii="仿宋" w:hAnsi="仿宋"/>
                <w:color w:val="auto"/>
                <w:sz w:val="24"/>
                <w:szCs w:val="24"/>
                <w:highlight w:val="none"/>
              </w:rPr>
            </w:pPr>
            <w:r>
              <w:rPr>
                <w:rFonts w:hint="eastAsia" w:ascii="仿宋" w:hAnsi="仿宋"/>
                <w:color w:val="auto"/>
                <w:kern w:val="0"/>
                <w:sz w:val="24"/>
                <w:szCs w:val="24"/>
                <w:highlight w:val="none"/>
                <w:lang w:bidi="ar"/>
              </w:rPr>
              <w:t>康定市</w:t>
            </w:r>
          </w:p>
        </w:tc>
        <w:tc>
          <w:tcPr>
            <w:tcW w:w="581" w:type="pct"/>
            <w:tcBorders>
              <w:top w:val="nil"/>
              <w:left w:val="nil"/>
              <w:bottom w:val="single" w:color="000000" w:sz="8" w:space="0"/>
              <w:right w:val="single" w:color="000000" w:sz="8" w:space="0"/>
            </w:tcBorders>
            <w:shd w:val="clear" w:color="auto" w:fill="FFFFFF"/>
            <w:vAlign w:val="center"/>
          </w:tcPr>
          <w:p>
            <w:pPr>
              <w:widowControl/>
              <w:jc w:val="center"/>
              <w:textAlignment w:val="center"/>
              <w:rPr>
                <w:rFonts w:ascii="Times New Roman" w:hAnsi="Times New Roman"/>
                <w:color w:val="auto"/>
                <w:sz w:val="24"/>
                <w:szCs w:val="24"/>
                <w:highlight w:val="none"/>
              </w:rPr>
            </w:pPr>
            <w:r>
              <w:rPr>
                <w:rFonts w:ascii="Times New Roman" w:hAnsi="Times New Roman"/>
                <w:color w:val="auto"/>
                <w:kern w:val="0"/>
                <w:sz w:val="24"/>
                <w:szCs w:val="24"/>
                <w:highlight w:val="none"/>
                <w:lang w:bidi="ar"/>
              </w:rPr>
              <w:t>216</w:t>
            </w:r>
          </w:p>
        </w:tc>
        <w:tc>
          <w:tcPr>
            <w:tcW w:w="581" w:type="pct"/>
            <w:tcBorders>
              <w:top w:val="nil"/>
              <w:left w:val="nil"/>
              <w:bottom w:val="single" w:color="000000" w:sz="8" w:space="0"/>
              <w:right w:val="single" w:color="000000" w:sz="8" w:space="0"/>
            </w:tcBorders>
            <w:shd w:val="clear" w:color="auto" w:fill="FFFFFF"/>
            <w:noWrap/>
            <w:vAlign w:val="center"/>
          </w:tcPr>
          <w:p>
            <w:pPr>
              <w:widowControl/>
              <w:jc w:val="center"/>
              <w:textAlignment w:val="center"/>
              <w:rPr>
                <w:rFonts w:ascii="Times New Roman" w:hAnsi="Times New Roman"/>
                <w:color w:val="auto"/>
                <w:sz w:val="24"/>
                <w:szCs w:val="24"/>
                <w:highlight w:val="none"/>
              </w:rPr>
            </w:pPr>
            <w:r>
              <w:rPr>
                <w:rFonts w:ascii="Times New Roman" w:hAnsi="Times New Roman"/>
                <w:color w:val="auto"/>
                <w:kern w:val="0"/>
                <w:sz w:val="24"/>
                <w:szCs w:val="24"/>
                <w:highlight w:val="none"/>
                <w:lang w:bidi="ar"/>
              </w:rPr>
              <w:t>54</w:t>
            </w:r>
          </w:p>
        </w:tc>
        <w:tc>
          <w:tcPr>
            <w:tcW w:w="582" w:type="pct"/>
            <w:tcBorders>
              <w:top w:val="nil"/>
              <w:left w:val="nil"/>
              <w:bottom w:val="single" w:color="000000" w:sz="8" w:space="0"/>
              <w:right w:val="single" w:color="000000" w:sz="8" w:space="0"/>
            </w:tcBorders>
            <w:shd w:val="clear" w:color="auto" w:fill="FFFFFF"/>
            <w:noWrap/>
            <w:vAlign w:val="center"/>
          </w:tcPr>
          <w:p>
            <w:pPr>
              <w:widowControl/>
              <w:jc w:val="center"/>
              <w:textAlignment w:val="center"/>
              <w:rPr>
                <w:rFonts w:ascii="Times New Roman" w:hAnsi="Times New Roman"/>
                <w:color w:val="auto"/>
                <w:sz w:val="24"/>
                <w:szCs w:val="24"/>
                <w:highlight w:val="none"/>
              </w:rPr>
            </w:pPr>
            <w:r>
              <w:rPr>
                <w:rFonts w:ascii="Times New Roman" w:hAnsi="Times New Roman"/>
                <w:color w:val="auto"/>
                <w:kern w:val="0"/>
                <w:sz w:val="24"/>
                <w:szCs w:val="24"/>
                <w:highlight w:val="none"/>
                <w:lang w:bidi="ar"/>
              </w:rPr>
              <w:t>18</w:t>
            </w:r>
          </w:p>
        </w:tc>
        <w:tc>
          <w:tcPr>
            <w:tcW w:w="711" w:type="pct"/>
            <w:tcBorders>
              <w:top w:val="nil"/>
              <w:left w:val="nil"/>
              <w:bottom w:val="single" w:color="000000" w:sz="8" w:space="0"/>
              <w:right w:val="single" w:color="000000" w:sz="8" w:space="0"/>
            </w:tcBorders>
            <w:shd w:val="clear" w:color="auto" w:fill="FFFFFF"/>
            <w:noWrap/>
            <w:vAlign w:val="center"/>
          </w:tcPr>
          <w:p>
            <w:pPr>
              <w:widowControl/>
              <w:jc w:val="center"/>
              <w:textAlignment w:val="center"/>
              <w:rPr>
                <w:rFonts w:ascii="Times New Roman" w:hAnsi="Times New Roman"/>
                <w:color w:val="auto"/>
                <w:sz w:val="24"/>
                <w:szCs w:val="24"/>
                <w:highlight w:val="none"/>
              </w:rPr>
            </w:pPr>
            <w:r>
              <w:rPr>
                <w:rFonts w:ascii="Times New Roman" w:hAnsi="Times New Roman"/>
                <w:color w:val="auto"/>
                <w:kern w:val="0"/>
                <w:sz w:val="24"/>
                <w:szCs w:val="24"/>
                <w:highlight w:val="none"/>
                <w:lang w:bidi="ar"/>
              </w:rPr>
              <w:t>1.1</w:t>
            </w:r>
          </w:p>
        </w:tc>
        <w:tc>
          <w:tcPr>
            <w:tcW w:w="711" w:type="pct"/>
            <w:tcBorders>
              <w:top w:val="nil"/>
              <w:left w:val="nil"/>
              <w:bottom w:val="single" w:color="000000" w:sz="8" w:space="0"/>
              <w:right w:val="single" w:color="000000" w:sz="8" w:space="0"/>
            </w:tcBorders>
            <w:shd w:val="clear" w:color="auto" w:fill="FFFFFF"/>
            <w:noWrap/>
            <w:vAlign w:val="center"/>
          </w:tcPr>
          <w:p>
            <w:pPr>
              <w:widowControl/>
              <w:jc w:val="center"/>
              <w:textAlignment w:val="center"/>
              <w:rPr>
                <w:rFonts w:ascii="Times New Roman" w:hAnsi="Times New Roman"/>
                <w:color w:val="auto"/>
                <w:sz w:val="24"/>
                <w:szCs w:val="24"/>
                <w:highlight w:val="none"/>
              </w:rPr>
            </w:pPr>
            <w:r>
              <w:rPr>
                <w:rFonts w:ascii="Times New Roman" w:hAnsi="Times New Roman"/>
                <w:color w:val="auto"/>
                <w:kern w:val="0"/>
                <w:sz w:val="24"/>
                <w:szCs w:val="24"/>
                <w:highlight w:val="none"/>
                <w:lang w:bidi="ar"/>
              </w:rPr>
              <w:t>6.7</w:t>
            </w:r>
          </w:p>
        </w:tc>
        <w:tc>
          <w:tcPr>
            <w:tcW w:w="715" w:type="pct"/>
            <w:tcBorders>
              <w:top w:val="nil"/>
              <w:left w:val="nil"/>
              <w:bottom w:val="single" w:color="000000" w:sz="8" w:space="0"/>
              <w:right w:val="single" w:color="000000" w:sz="8" w:space="0"/>
            </w:tcBorders>
            <w:shd w:val="clear" w:color="auto" w:fill="FFFFFF"/>
            <w:noWrap/>
            <w:vAlign w:val="center"/>
          </w:tcPr>
          <w:p>
            <w:pPr>
              <w:widowControl/>
              <w:jc w:val="center"/>
              <w:textAlignment w:val="center"/>
              <w:rPr>
                <w:rFonts w:ascii="Times New Roman" w:hAnsi="Times New Roman"/>
                <w:color w:val="auto"/>
                <w:sz w:val="24"/>
                <w:szCs w:val="24"/>
                <w:highlight w:val="none"/>
              </w:rPr>
            </w:pPr>
            <w:r>
              <w:rPr>
                <w:rFonts w:ascii="Times New Roman" w:hAnsi="Times New Roman"/>
                <w:color w:val="auto"/>
                <w:kern w:val="0"/>
                <w:sz w:val="24"/>
                <w:szCs w:val="24"/>
                <w:highlight w:val="none"/>
                <w:lang w:bidi="ar"/>
              </w:rPr>
              <w:t>16447</w:t>
            </w:r>
          </w:p>
        </w:tc>
      </w:tr>
      <w:tr>
        <w:tblPrEx>
          <w:tblCellMar>
            <w:top w:w="0" w:type="dxa"/>
            <w:left w:w="108" w:type="dxa"/>
            <w:bottom w:w="0" w:type="dxa"/>
            <w:right w:w="108" w:type="dxa"/>
          </w:tblCellMar>
        </w:tblPrEx>
        <w:trPr>
          <w:trHeight w:val="383" w:hRule="atLeast"/>
          <w:jc w:val="center"/>
        </w:trPr>
        <w:tc>
          <w:tcPr>
            <w:tcW w:w="5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color w:val="auto"/>
                <w:sz w:val="24"/>
                <w:szCs w:val="24"/>
                <w:highlight w:val="none"/>
              </w:rPr>
            </w:pPr>
          </w:p>
        </w:tc>
        <w:tc>
          <w:tcPr>
            <w:tcW w:w="558" w:type="pct"/>
            <w:tcBorders>
              <w:top w:val="nil"/>
              <w:left w:val="nil"/>
              <w:bottom w:val="single" w:color="000000" w:sz="8" w:space="0"/>
              <w:right w:val="single" w:color="000000" w:sz="8" w:space="0"/>
            </w:tcBorders>
            <w:shd w:val="clear" w:color="auto" w:fill="FFFFFF"/>
            <w:vAlign w:val="center"/>
          </w:tcPr>
          <w:p>
            <w:pPr>
              <w:widowControl/>
              <w:jc w:val="center"/>
              <w:textAlignment w:val="center"/>
              <w:rPr>
                <w:rFonts w:ascii="仿宋" w:hAnsi="仿宋"/>
                <w:color w:val="auto"/>
                <w:sz w:val="24"/>
                <w:szCs w:val="24"/>
                <w:highlight w:val="none"/>
              </w:rPr>
            </w:pPr>
            <w:r>
              <w:rPr>
                <w:rFonts w:hint="eastAsia" w:ascii="仿宋" w:hAnsi="仿宋"/>
                <w:color w:val="auto"/>
                <w:kern w:val="0"/>
                <w:sz w:val="24"/>
                <w:szCs w:val="24"/>
                <w:highlight w:val="none"/>
                <w:lang w:bidi="ar"/>
              </w:rPr>
              <w:t>泸定县</w:t>
            </w:r>
          </w:p>
        </w:tc>
        <w:tc>
          <w:tcPr>
            <w:tcW w:w="581" w:type="pct"/>
            <w:tcBorders>
              <w:top w:val="nil"/>
              <w:left w:val="nil"/>
              <w:bottom w:val="single" w:color="000000" w:sz="8" w:space="0"/>
              <w:right w:val="single" w:color="000000" w:sz="8" w:space="0"/>
            </w:tcBorders>
            <w:shd w:val="clear" w:color="auto" w:fill="FFFFFF"/>
            <w:vAlign w:val="center"/>
          </w:tcPr>
          <w:p>
            <w:pPr>
              <w:widowControl/>
              <w:jc w:val="center"/>
              <w:textAlignment w:val="center"/>
              <w:rPr>
                <w:rFonts w:ascii="Times New Roman" w:hAnsi="Times New Roman"/>
                <w:color w:val="auto"/>
                <w:sz w:val="24"/>
                <w:szCs w:val="24"/>
                <w:highlight w:val="none"/>
              </w:rPr>
            </w:pPr>
            <w:r>
              <w:rPr>
                <w:rFonts w:ascii="Times New Roman" w:hAnsi="Times New Roman"/>
                <w:color w:val="auto"/>
                <w:kern w:val="0"/>
                <w:sz w:val="24"/>
                <w:szCs w:val="24"/>
                <w:highlight w:val="none"/>
                <w:lang w:bidi="ar"/>
              </w:rPr>
              <w:t>97</w:t>
            </w:r>
          </w:p>
        </w:tc>
        <w:tc>
          <w:tcPr>
            <w:tcW w:w="581" w:type="pct"/>
            <w:tcBorders>
              <w:top w:val="nil"/>
              <w:left w:val="nil"/>
              <w:bottom w:val="single" w:color="000000" w:sz="8" w:space="0"/>
              <w:right w:val="single" w:color="000000" w:sz="8" w:space="0"/>
            </w:tcBorders>
            <w:shd w:val="clear" w:color="auto" w:fill="FFFFFF"/>
            <w:noWrap/>
            <w:vAlign w:val="center"/>
          </w:tcPr>
          <w:p>
            <w:pPr>
              <w:widowControl/>
              <w:jc w:val="center"/>
              <w:textAlignment w:val="center"/>
              <w:rPr>
                <w:rFonts w:ascii="Times New Roman" w:hAnsi="Times New Roman"/>
                <w:color w:val="auto"/>
                <w:sz w:val="24"/>
                <w:szCs w:val="24"/>
                <w:highlight w:val="none"/>
              </w:rPr>
            </w:pPr>
            <w:r>
              <w:rPr>
                <w:rFonts w:ascii="Times New Roman" w:hAnsi="Times New Roman"/>
                <w:color w:val="auto"/>
                <w:kern w:val="0"/>
                <w:sz w:val="24"/>
                <w:szCs w:val="24"/>
                <w:highlight w:val="none"/>
                <w:lang w:bidi="ar"/>
              </w:rPr>
              <w:t>34</w:t>
            </w:r>
          </w:p>
        </w:tc>
        <w:tc>
          <w:tcPr>
            <w:tcW w:w="582" w:type="pct"/>
            <w:tcBorders>
              <w:top w:val="nil"/>
              <w:left w:val="nil"/>
              <w:bottom w:val="single" w:color="000000" w:sz="8" w:space="0"/>
              <w:right w:val="single" w:color="000000" w:sz="8" w:space="0"/>
            </w:tcBorders>
            <w:shd w:val="clear" w:color="auto" w:fill="FFFFFF"/>
            <w:noWrap/>
            <w:vAlign w:val="center"/>
          </w:tcPr>
          <w:p>
            <w:pPr>
              <w:widowControl/>
              <w:jc w:val="center"/>
              <w:textAlignment w:val="center"/>
              <w:rPr>
                <w:rFonts w:ascii="Times New Roman" w:hAnsi="Times New Roman"/>
                <w:color w:val="auto"/>
                <w:sz w:val="24"/>
                <w:szCs w:val="24"/>
                <w:highlight w:val="none"/>
              </w:rPr>
            </w:pPr>
            <w:r>
              <w:rPr>
                <w:rFonts w:ascii="Times New Roman" w:hAnsi="Times New Roman"/>
                <w:color w:val="auto"/>
                <w:kern w:val="0"/>
                <w:sz w:val="24"/>
                <w:szCs w:val="24"/>
                <w:highlight w:val="none"/>
                <w:lang w:bidi="ar"/>
              </w:rPr>
              <w:t>11</w:t>
            </w:r>
          </w:p>
        </w:tc>
        <w:tc>
          <w:tcPr>
            <w:tcW w:w="711" w:type="pct"/>
            <w:tcBorders>
              <w:top w:val="nil"/>
              <w:left w:val="nil"/>
              <w:bottom w:val="single" w:color="000000" w:sz="8" w:space="0"/>
              <w:right w:val="single" w:color="000000" w:sz="8" w:space="0"/>
            </w:tcBorders>
            <w:shd w:val="clear" w:color="auto" w:fill="FFFFFF"/>
            <w:noWrap/>
            <w:vAlign w:val="center"/>
          </w:tcPr>
          <w:p>
            <w:pPr>
              <w:widowControl/>
              <w:jc w:val="center"/>
              <w:textAlignment w:val="center"/>
              <w:rPr>
                <w:rFonts w:ascii="Times New Roman" w:hAnsi="Times New Roman"/>
                <w:color w:val="auto"/>
                <w:sz w:val="24"/>
                <w:szCs w:val="24"/>
                <w:highlight w:val="none"/>
              </w:rPr>
            </w:pPr>
            <w:r>
              <w:rPr>
                <w:rFonts w:ascii="Times New Roman" w:hAnsi="Times New Roman"/>
                <w:color w:val="auto"/>
                <w:kern w:val="0"/>
                <w:sz w:val="24"/>
                <w:szCs w:val="24"/>
                <w:highlight w:val="none"/>
                <w:lang w:bidi="ar"/>
              </w:rPr>
              <w:t>1</w:t>
            </w:r>
          </w:p>
        </w:tc>
        <w:tc>
          <w:tcPr>
            <w:tcW w:w="711" w:type="pct"/>
            <w:tcBorders>
              <w:top w:val="nil"/>
              <w:left w:val="nil"/>
              <w:bottom w:val="single" w:color="000000" w:sz="8" w:space="0"/>
              <w:right w:val="single" w:color="000000" w:sz="8" w:space="0"/>
            </w:tcBorders>
            <w:shd w:val="clear" w:color="auto" w:fill="FFFFFF"/>
            <w:noWrap/>
            <w:vAlign w:val="center"/>
          </w:tcPr>
          <w:p>
            <w:pPr>
              <w:widowControl/>
              <w:jc w:val="center"/>
              <w:textAlignment w:val="center"/>
              <w:rPr>
                <w:rFonts w:ascii="Times New Roman" w:hAnsi="Times New Roman"/>
                <w:color w:val="auto"/>
                <w:sz w:val="24"/>
                <w:szCs w:val="24"/>
                <w:highlight w:val="none"/>
              </w:rPr>
            </w:pPr>
            <w:r>
              <w:rPr>
                <w:rFonts w:ascii="Times New Roman" w:hAnsi="Times New Roman"/>
                <w:color w:val="auto"/>
                <w:kern w:val="0"/>
                <w:sz w:val="24"/>
                <w:szCs w:val="24"/>
                <w:highlight w:val="none"/>
                <w:lang w:bidi="ar"/>
              </w:rPr>
              <w:t>5.9</w:t>
            </w:r>
          </w:p>
        </w:tc>
        <w:tc>
          <w:tcPr>
            <w:tcW w:w="715" w:type="pct"/>
            <w:tcBorders>
              <w:top w:val="nil"/>
              <w:left w:val="nil"/>
              <w:bottom w:val="single" w:color="000000" w:sz="8" w:space="0"/>
              <w:right w:val="single" w:color="000000" w:sz="8" w:space="0"/>
            </w:tcBorders>
            <w:shd w:val="clear" w:color="auto" w:fill="FFFFFF"/>
            <w:noWrap/>
            <w:vAlign w:val="center"/>
          </w:tcPr>
          <w:p>
            <w:pPr>
              <w:widowControl/>
              <w:jc w:val="center"/>
              <w:textAlignment w:val="center"/>
              <w:rPr>
                <w:rFonts w:ascii="Times New Roman" w:hAnsi="Times New Roman"/>
                <w:color w:val="auto"/>
                <w:sz w:val="24"/>
                <w:szCs w:val="24"/>
                <w:highlight w:val="none"/>
              </w:rPr>
            </w:pPr>
            <w:r>
              <w:rPr>
                <w:rFonts w:ascii="Times New Roman" w:hAnsi="Times New Roman"/>
                <w:color w:val="auto"/>
                <w:kern w:val="0"/>
                <w:sz w:val="24"/>
                <w:szCs w:val="24"/>
                <w:highlight w:val="none"/>
                <w:lang w:bidi="ar"/>
              </w:rPr>
              <w:t>14761</w:t>
            </w:r>
          </w:p>
        </w:tc>
      </w:tr>
      <w:tr>
        <w:tblPrEx>
          <w:tblCellMar>
            <w:top w:w="0" w:type="dxa"/>
            <w:left w:w="108" w:type="dxa"/>
            <w:bottom w:w="0" w:type="dxa"/>
            <w:right w:w="108" w:type="dxa"/>
          </w:tblCellMar>
        </w:tblPrEx>
        <w:trPr>
          <w:trHeight w:val="383" w:hRule="atLeast"/>
          <w:jc w:val="center"/>
        </w:trPr>
        <w:tc>
          <w:tcPr>
            <w:tcW w:w="5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color w:val="auto"/>
                <w:sz w:val="24"/>
                <w:szCs w:val="24"/>
                <w:highlight w:val="none"/>
              </w:rPr>
            </w:pPr>
          </w:p>
        </w:tc>
        <w:tc>
          <w:tcPr>
            <w:tcW w:w="558" w:type="pct"/>
            <w:tcBorders>
              <w:top w:val="nil"/>
              <w:left w:val="nil"/>
              <w:bottom w:val="single" w:color="000000" w:sz="8" w:space="0"/>
              <w:right w:val="single" w:color="000000" w:sz="8" w:space="0"/>
            </w:tcBorders>
            <w:shd w:val="clear" w:color="auto" w:fill="FFFFFF"/>
            <w:vAlign w:val="center"/>
          </w:tcPr>
          <w:p>
            <w:pPr>
              <w:widowControl/>
              <w:jc w:val="center"/>
              <w:textAlignment w:val="center"/>
              <w:rPr>
                <w:rFonts w:ascii="仿宋" w:hAnsi="仿宋"/>
                <w:color w:val="auto"/>
                <w:sz w:val="24"/>
                <w:szCs w:val="24"/>
                <w:highlight w:val="none"/>
              </w:rPr>
            </w:pPr>
            <w:r>
              <w:rPr>
                <w:rFonts w:hint="eastAsia" w:ascii="仿宋" w:hAnsi="仿宋"/>
                <w:color w:val="auto"/>
                <w:kern w:val="0"/>
                <w:sz w:val="24"/>
                <w:szCs w:val="24"/>
                <w:highlight w:val="none"/>
                <w:lang w:bidi="ar"/>
              </w:rPr>
              <w:t>丹巴县</w:t>
            </w:r>
          </w:p>
        </w:tc>
        <w:tc>
          <w:tcPr>
            <w:tcW w:w="581" w:type="pct"/>
            <w:tcBorders>
              <w:top w:val="nil"/>
              <w:left w:val="nil"/>
              <w:bottom w:val="single" w:color="000000" w:sz="8" w:space="0"/>
              <w:right w:val="single" w:color="000000" w:sz="8" w:space="0"/>
            </w:tcBorders>
            <w:shd w:val="clear" w:color="auto" w:fill="FFFFFF"/>
            <w:vAlign w:val="center"/>
          </w:tcPr>
          <w:p>
            <w:pPr>
              <w:widowControl/>
              <w:jc w:val="center"/>
              <w:textAlignment w:val="center"/>
              <w:rPr>
                <w:rFonts w:ascii="Times New Roman" w:hAnsi="Times New Roman"/>
                <w:color w:val="auto"/>
                <w:sz w:val="24"/>
                <w:szCs w:val="24"/>
                <w:highlight w:val="none"/>
              </w:rPr>
            </w:pPr>
            <w:r>
              <w:rPr>
                <w:rFonts w:ascii="Times New Roman" w:hAnsi="Times New Roman"/>
                <w:color w:val="auto"/>
                <w:kern w:val="0"/>
                <w:sz w:val="24"/>
                <w:szCs w:val="24"/>
                <w:highlight w:val="none"/>
                <w:lang w:bidi="ar"/>
              </w:rPr>
              <w:t>140</w:t>
            </w:r>
          </w:p>
        </w:tc>
        <w:tc>
          <w:tcPr>
            <w:tcW w:w="581" w:type="pct"/>
            <w:tcBorders>
              <w:top w:val="nil"/>
              <w:left w:val="nil"/>
              <w:bottom w:val="single" w:color="000000" w:sz="8" w:space="0"/>
              <w:right w:val="single" w:color="000000" w:sz="8" w:space="0"/>
            </w:tcBorders>
            <w:shd w:val="clear" w:color="auto" w:fill="FFFFFF"/>
            <w:noWrap/>
            <w:vAlign w:val="center"/>
          </w:tcPr>
          <w:p>
            <w:pPr>
              <w:widowControl/>
              <w:jc w:val="center"/>
              <w:textAlignment w:val="center"/>
              <w:rPr>
                <w:rFonts w:ascii="Times New Roman" w:hAnsi="Times New Roman"/>
                <w:color w:val="auto"/>
                <w:sz w:val="24"/>
                <w:szCs w:val="24"/>
                <w:highlight w:val="none"/>
              </w:rPr>
            </w:pPr>
            <w:r>
              <w:rPr>
                <w:rFonts w:ascii="Times New Roman" w:hAnsi="Times New Roman"/>
                <w:color w:val="auto"/>
                <w:kern w:val="0"/>
                <w:sz w:val="24"/>
                <w:szCs w:val="24"/>
                <w:highlight w:val="none"/>
                <w:lang w:bidi="ar"/>
              </w:rPr>
              <w:t>50</w:t>
            </w:r>
          </w:p>
        </w:tc>
        <w:tc>
          <w:tcPr>
            <w:tcW w:w="582" w:type="pct"/>
            <w:tcBorders>
              <w:top w:val="nil"/>
              <w:left w:val="nil"/>
              <w:bottom w:val="single" w:color="000000" w:sz="8" w:space="0"/>
              <w:right w:val="single" w:color="000000" w:sz="8" w:space="0"/>
            </w:tcBorders>
            <w:shd w:val="clear" w:color="auto" w:fill="FFFFFF"/>
            <w:noWrap/>
            <w:vAlign w:val="center"/>
          </w:tcPr>
          <w:p>
            <w:pPr>
              <w:widowControl/>
              <w:jc w:val="center"/>
              <w:textAlignment w:val="center"/>
              <w:rPr>
                <w:rFonts w:ascii="Times New Roman" w:hAnsi="Times New Roman"/>
                <w:color w:val="auto"/>
                <w:sz w:val="24"/>
                <w:szCs w:val="24"/>
                <w:highlight w:val="none"/>
              </w:rPr>
            </w:pPr>
            <w:r>
              <w:rPr>
                <w:rFonts w:ascii="Times New Roman" w:hAnsi="Times New Roman"/>
                <w:color w:val="auto"/>
                <w:kern w:val="0"/>
                <w:sz w:val="24"/>
                <w:szCs w:val="24"/>
                <w:highlight w:val="none"/>
                <w:lang w:bidi="ar"/>
              </w:rPr>
              <w:t>17</w:t>
            </w:r>
          </w:p>
        </w:tc>
        <w:tc>
          <w:tcPr>
            <w:tcW w:w="711" w:type="pct"/>
            <w:tcBorders>
              <w:top w:val="nil"/>
              <w:left w:val="nil"/>
              <w:bottom w:val="single" w:color="000000" w:sz="8" w:space="0"/>
              <w:right w:val="single" w:color="000000" w:sz="8" w:space="0"/>
            </w:tcBorders>
            <w:shd w:val="clear" w:color="auto" w:fill="FFFFFF"/>
            <w:noWrap/>
            <w:vAlign w:val="center"/>
          </w:tcPr>
          <w:p>
            <w:pPr>
              <w:widowControl/>
              <w:jc w:val="center"/>
              <w:textAlignment w:val="center"/>
              <w:rPr>
                <w:rFonts w:ascii="Times New Roman" w:hAnsi="Times New Roman"/>
                <w:color w:val="auto"/>
                <w:sz w:val="24"/>
                <w:szCs w:val="24"/>
                <w:highlight w:val="none"/>
              </w:rPr>
            </w:pPr>
            <w:r>
              <w:rPr>
                <w:rFonts w:ascii="Times New Roman" w:hAnsi="Times New Roman"/>
                <w:color w:val="auto"/>
                <w:kern w:val="0"/>
                <w:sz w:val="24"/>
                <w:szCs w:val="24"/>
                <w:highlight w:val="none"/>
                <w:lang w:bidi="ar"/>
              </w:rPr>
              <w:t>0.8</w:t>
            </w:r>
          </w:p>
        </w:tc>
        <w:tc>
          <w:tcPr>
            <w:tcW w:w="711" w:type="pct"/>
            <w:tcBorders>
              <w:top w:val="nil"/>
              <w:left w:val="nil"/>
              <w:bottom w:val="single" w:color="000000" w:sz="8" w:space="0"/>
              <w:right w:val="single" w:color="000000" w:sz="8" w:space="0"/>
            </w:tcBorders>
            <w:shd w:val="clear" w:color="auto" w:fill="FFFFFF"/>
            <w:noWrap/>
            <w:vAlign w:val="center"/>
          </w:tcPr>
          <w:p>
            <w:pPr>
              <w:widowControl/>
              <w:jc w:val="center"/>
              <w:textAlignment w:val="center"/>
              <w:rPr>
                <w:rFonts w:ascii="Times New Roman" w:hAnsi="Times New Roman"/>
                <w:color w:val="auto"/>
                <w:sz w:val="24"/>
                <w:szCs w:val="24"/>
                <w:highlight w:val="none"/>
              </w:rPr>
            </w:pPr>
            <w:r>
              <w:rPr>
                <w:rFonts w:ascii="Times New Roman" w:hAnsi="Times New Roman"/>
                <w:color w:val="auto"/>
                <w:kern w:val="0"/>
                <w:sz w:val="24"/>
                <w:szCs w:val="24"/>
                <w:highlight w:val="none"/>
                <w:lang w:bidi="ar"/>
              </w:rPr>
              <w:t>4.8</w:t>
            </w:r>
          </w:p>
        </w:tc>
        <w:tc>
          <w:tcPr>
            <w:tcW w:w="715" w:type="pct"/>
            <w:tcBorders>
              <w:top w:val="nil"/>
              <w:left w:val="nil"/>
              <w:bottom w:val="single" w:color="000000" w:sz="8" w:space="0"/>
              <w:right w:val="single" w:color="000000" w:sz="8" w:space="0"/>
            </w:tcBorders>
            <w:shd w:val="clear" w:color="auto" w:fill="FFFFFF"/>
            <w:noWrap/>
            <w:vAlign w:val="center"/>
          </w:tcPr>
          <w:p>
            <w:pPr>
              <w:widowControl/>
              <w:jc w:val="center"/>
              <w:textAlignment w:val="center"/>
              <w:rPr>
                <w:rFonts w:ascii="Times New Roman" w:hAnsi="Times New Roman"/>
                <w:color w:val="auto"/>
                <w:sz w:val="24"/>
                <w:szCs w:val="24"/>
                <w:highlight w:val="none"/>
              </w:rPr>
            </w:pPr>
            <w:r>
              <w:rPr>
                <w:rFonts w:ascii="Times New Roman" w:hAnsi="Times New Roman"/>
                <w:color w:val="auto"/>
                <w:kern w:val="0"/>
                <w:sz w:val="24"/>
                <w:szCs w:val="24"/>
                <w:highlight w:val="none"/>
                <w:lang w:bidi="ar"/>
              </w:rPr>
              <w:t>15797</w:t>
            </w:r>
          </w:p>
        </w:tc>
      </w:tr>
      <w:tr>
        <w:tblPrEx>
          <w:tblCellMar>
            <w:top w:w="0" w:type="dxa"/>
            <w:left w:w="108" w:type="dxa"/>
            <w:bottom w:w="0" w:type="dxa"/>
            <w:right w:w="108" w:type="dxa"/>
          </w:tblCellMar>
        </w:tblPrEx>
        <w:trPr>
          <w:trHeight w:val="383" w:hRule="atLeast"/>
          <w:jc w:val="center"/>
        </w:trPr>
        <w:tc>
          <w:tcPr>
            <w:tcW w:w="5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color w:val="auto"/>
                <w:sz w:val="24"/>
                <w:szCs w:val="24"/>
                <w:highlight w:val="none"/>
              </w:rPr>
            </w:pPr>
          </w:p>
        </w:tc>
        <w:tc>
          <w:tcPr>
            <w:tcW w:w="558" w:type="pct"/>
            <w:tcBorders>
              <w:top w:val="nil"/>
              <w:left w:val="nil"/>
              <w:bottom w:val="single" w:color="000000" w:sz="8" w:space="0"/>
              <w:right w:val="single" w:color="000000" w:sz="8" w:space="0"/>
            </w:tcBorders>
            <w:shd w:val="clear" w:color="auto" w:fill="FFFFFF"/>
            <w:vAlign w:val="center"/>
          </w:tcPr>
          <w:p>
            <w:pPr>
              <w:widowControl/>
              <w:jc w:val="center"/>
              <w:textAlignment w:val="center"/>
              <w:rPr>
                <w:rFonts w:ascii="仿宋" w:hAnsi="仿宋"/>
                <w:color w:val="auto"/>
                <w:sz w:val="24"/>
                <w:szCs w:val="24"/>
                <w:highlight w:val="none"/>
              </w:rPr>
            </w:pPr>
            <w:r>
              <w:rPr>
                <w:rFonts w:hint="eastAsia" w:ascii="仿宋" w:hAnsi="仿宋"/>
                <w:color w:val="auto"/>
                <w:kern w:val="0"/>
                <w:sz w:val="24"/>
                <w:szCs w:val="24"/>
                <w:highlight w:val="none"/>
                <w:lang w:bidi="ar"/>
              </w:rPr>
              <w:t>九龙县</w:t>
            </w:r>
          </w:p>
        </w:tc>
        <w:tc>
          <w:tcPr>
            <w:tcW w:w="581" w:type="pct"/>
            <w:tcBorders>
              <w:top w:val="nil"/>
              <w:left w:val="nil"/>
              <w:bottom w:val="single" w:color="000000" w:sz="8" w:space="0"/>
              <w:right w:val="single" w:color="000000" w:sz="8" w:space="0"/>
            </w:tcBorders>
            <w:shd w:val="clear" w:color="auto" w:fill="FFFFFF"/>
            <w:vAlign w:val="center"/>
          </w:tcPr>
          <w:p>
            <w:pPr>
              <w:widowControl/>
              <w:jc w:val="center"/>
              <w:textAlignment w:val="center"/>
              <w:rPr>
                <w:rFonts w:ascii="Times New Roman" w:hAnsi="Times New Roman"/>
                <w:color w:val="auto"/>
                <w:sz w:val="24"/>
                <w:szCs w:val="24"/>
                <w:highlight w:val="none"/>
              </w:rPr>
            </w:pPr>
            <w:r>
              <w:rPr>
                <w:rFonts w:ascii="Times New Roman" w:hAnsi="Times New Roman"/>
                <w:color w:val="auto"/>
                <w:kern w:val="0"/>
                <w:sz w:val="24"/>
                <w:szCs w:val="24"/>
                <w:highlight w:val="none"/>
                <w:lang w:bidi="ar"/>
              </w:rPr>
              <w:t>65</w:t>
            </w:r>
          </w:p>
        </w:tc>
        <w:tc>
          <w:tcPr>
            <w:tcW w:w="581" w:type="pct"/>
            <w:tcBorders>
              <w:top w:val="nil"/>
              <w:left w:val="nil"/>
              <w:bottom w:val="single" w:color="000000" w:sz="8" w:space="0"/>
              <w:right w:val="single" w:color="000000" w:sz="8" w:space="0"/>
            </w:tcBorders>
            <w:shd w:val="clear" w:color="auto" w:fill="FFFFFF"/>
            <w:noWrap/>
            <w:vAlign w:val="center"/>
          </w:tcPr>
          <w:p>
            <w:pPr>
              <w:widowControl/>
              <w:jc w:val="center"/>
              <w:textAlignment w:val="center"/>
              <w:rPr>
                <w:rFonts w:ascii="Times New Roman" w:hAnsi="Times New Roman"/>
                <w:color w:val="auto"/>
                <w:sz w:val="24"/>
                <w:szCs w:val="24"/>
                <w:highlight w:val="none"/>
              </w:rPr>
            </w:pPr>
            <w:r>
              <w:rPr>
                <w:rFonts w:ascii="Times New Roman" w:hAnsi="Times New Roman"/>
                <w:color w:val="auto"/>
                <w:kern w:val="0"/>
                <w:sz w:val="24"/>
                <w:szCs w:val="24"/>
                <w:highlight w:val="none"/>
                <w:lang w:bidi="ar"/>
              </w:rPr>
              <w:t>18</w:t>
            </w:r>
          </w:p>
        </w:tc>
        <w:tc>
          <w:tcPr>
            <w:tcW w:w="582" w:type="pct"/>
            <w:tcBorders>
              <w:top w:val="nil"/>
              <w:left w:val="nil"/>
              <w:bottom w:val="single" w:color="000000" w:sz="8" w:space="0"/>
              <w:right w:val="single" w:color="000000" w:sz="8" w:space="0"/>
            </w:tcBorders>
            <w:shd w:val="clear" w:color="auto" w:fill="FFFFFF"/>
            <w:noWrap/>
            <w:vAlign w:val="center"/>
          </w:tcPr>
          <w:p>
            <w:pPr>
              <w:widowControl/>
              <w:jc w:val="center"/>
              <w:textAlignment w:val="center"/>
              <w:rPr>
                <w:rFonts w:ascii="Times New Roman" w:hAnsi="Times New Roman"/>
                <w:color w:val="auto"/>
                <w:sz w:val="24"/>
                <w:szCs w:val="24"/>
                <w:highlight w:val="none"/>
              </w:rPr>
            </w:pPr>
            <w:r>
              <w:rPr>
                <w:rFonts w:ascii="Times New Roman" w:hAnsi="Times New Roman"/>
                <w:color w:val="auto"/>
                <w:kern w:val="0"/>
                <w:sz w:val="24"/>
                <w:szCs w:val="24"/>
                <w:highlight w:val="none"/>
                <w:lang w:bidi="ar"/>
              </w:rPr>
              <w:t>6</w:t>
            </w:r>
          </w:p>
        </w:tc>
        <w:tc>
          <w:tcPr>
            <w:tcW w:w="711" w:type="pct"/>
            <w:tcBorders>
              <w:top w:val="nil"/>
              <w:left w:val="nil"/>
              <w:bottom w:val="single" w:color="000000" w:sz="8" w:space="0"/>
              <w:right w:val="single" w:color="000000" w:sz="8" w:space="0"/>
            </w:tcBorders>
            <w:shd w:val="clear" w:color="auto" w:fill="FFFFFF"/>
            <w:noWrap/>
            <w:vAlign w:val="center"/>
          </w:tcPr>
          <w:p>
            <w:pPr>
              <w:widowControl/>
              <w:jc w:val="center"/>
              <w:textAlignment w:val="center"/>
              <w:rPr>
                <w:rFonts w:ascii="Times New Roman" w:hAnsi="Times New Roman"/>
                <w:color w:val="auto"/>
                <w:sz w:val="24"/>
                <w:szCs w:val="24"/>
                <w:highlight w:val="none"/>
              </w:rPr>
            </w:pPr>
            <w:r>
              <w:rPr>
                <w:rFonts w:ascii="Times New Roman" w:hAnsi="Times New Roman"/>
                <w:color w:val="auto"/>
                <w:kern w:val="0"/>
                <w:sz w:val="24"/>
                <w:szCs w:val="24"/>
                <w:highlight w:val="none"/>
                <w:lang w:bidi="ar"/>
              </w:rPr>
              <w:t>0.7</w:t>
            </w:r>
          </w:p>
        </w:tc>
        <w:tc>
          <w:tcPr>
            <w:tcW w:w="711" w:type="pct"/>
            <w:tcBorders>
              <w:top w:val="nil"/>
              <w:left w:val="nil"/>
              <w:bottom w:val="single" w:color="000000" w:sz="8" w:space="0"/>
              <w:right w:val="single" w:color="000000" w:sz="8" w:space="0"/>
            </w:tcBorders>
            <w:shd w:val="clear" w:color="auto" w:fill="FFFFFF"/>
            <w:noWrap/>
            <w:vAlign w:val="center"/>
          </w:tcPr>
          <w:p>
            <w:pPr>
              <w:widowControl/>
              <w:jc w:val="center"/>
              <w:textAlignment w:val="center"/>
              <w:rPr>
                <w:rFonts w:ascii="Times New Roman" w:hAnsi="Times New Roman"/>
                <w:color w:val="auto"/>
                <w:sz w:val="24"/>
                <w:szCs w:val="24"/>
                <w:highlight w:val="none"/>
              </w:rPr>
            </w:pPr>
            <w:r>
              <w:rPr>
                <w:rFonts w:ascii="Times New Roman" w:hAnsi="Times New Roman"/>
                <w:color w:val="auto"/>
                <w:kern w:val="0"/>
                <w:sz w:val="24"/>
                <w:szCs w:val="24"/>
                <w:highlight w:val="none"/>
                <w:lang w:bidi="ar"/>
              </w:rPr>
              <w:t>5.5</w:t>
            </w:r>
          </w:p>
        </w:tc>
        <w:tc>
          <w:tcPr>
            <w:tcW w:w="715" w:type="pct"/>
            <w:tcBorders>
              <w:top w:val="nil"/>
              <w:left w:val="nil"/>
              <w:bottom w:val="single" w:color="000000" w:sz="8" w:space="0"/>
              <w:right w:val="single" w:color="000000" w:sz="8" w:space="0"/>
            </w:tcBorders>
            <w:shd w:val="clear" w:color="auto" w:fill="FFFFFF"/>
            <w:noWrap/>
            <w:vAlign w:val="center"/>
          </w:tcPr>
          <w:p>
            <w:pPr>
              <w:widowControl/>
              <w:jc w:val="center"/>
              <w:textAlignment w:val="center"/>
              <w:rPr>
                <w:rFonts w:ascii="Times New Roman" w:hAnsi="Times New Roman"/>
                <w:color w:val="auto"/>
                <w:sz w:val="24"/>
                <w:szCs w:val="24"/>
                <w:highlight w:val="none"/>
              </w:rPr>
            </w:pPr>
            <w:r>
              <w:rPr>
                <w:rFonts w:ascii="Times New Roman" w:hAnsi="Times New Roman"/>
                <w:color w:val="auto"/>
                <w:kern w:val="0"/>
                <w:sz w:val="24"/>
                <w:szCs w:val="24"/>
                <w:highlight w:val="none"/>
                <w:lang w:bidi="ar"/>
              </w:rPr>
              <w:t>16716</w:t>
            </w:r>
          </w:p>
        </w:tc>
      </w:tr>
      <w:tr>
        <w:tblPrEx>
          <w:tblCellMar>
            <w:top w:w="0" w:type="dxa"/>
            <w:left w:w="108" w:type="dxa"/>
            <w:bottom w:w="0" w:type="dxa"/>
            <w:right w:w="108" w:type="dxa"/>
          </w:tblCellMar>
        </w:tblPrEx>
        <w:trPr>
          <w:trHeight w:val="383" w:hRule="atLeast"/>
          <w:jc w:val="center"/>
        </w:trPr>
        <w:tc>
          <w:tcPr>
            <w:tcW w:w="5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color w:val="auto"/>
                <w:sz w:val="24"/>
                <w:szCs w:val="24"/>
                <w:highlight w:val="none"/>
              </w:rPr>
            </w:pPr>
          </w:p>
        </w:tc>
        <w:tc>
          <w:tcPr>
            <w:tcW w:w="558" w:type="pct"/>
            <w:tcBorders>
              <w:top w:val="nil"/>
              <w:left w:val="nil"/>
              <w:bottom w:val="single" w:color="000000" w:sz="8" w:space="0"/>
              <w:right w:val="single" w:color="000000" w:sz="8" w:space="0"/>
            </w:tcBorders>
            <w:shd w:val="clear" w:color="auto" w:fill="FFFFFF"/>
            <w:vAlign w:val="center"/>
          </w:tcPr>
          <w:p>
            <w:pPr>
              <w:widowControl/>
              <w:jc w:val="center"/>
              <w:textAlignment w:val="center"/>
              <w:rPr>
                <w:rFonts w:ascii="仿宋" w:hAnsi="仿宋"/>
                <w:color w:val="auto"/>
                <w:sz w:val="24"/>
                <w:szCs w:val="24"/>
                <w:highlight w:val="none"/>
              </w:rPr>
            </w:pPr>
            <w:r>
              <w:rPr>
                <w:rFonts w:hint="eastAsia" w:ascii="仿宋" w:hAnsi="仿宋"/>
                <w:color w:val="auto"/>
                <w:kern w:val="0"/>
                <w:sz w:val="24"/>
                <w:szCs w:val="24"/>
                <w:highlight w:val="none"/>
                <w:lang w:bidi="ar"/>
              </w:rPr>
              <w:t>雅江县</w:t>
            </w:r>
          </w:p>
        </w:tc>
        <w:tc>
          <w:tcPr>
            <w:tcW w:w="581" w:type="pct"/>
            <w:tcBorders>
              <w:top w:val="nil"/>
              <w:left w:val="nil"/>
              <w:bottom w:val="single" w:color="000000" w:sz="8" w:space="0"/>
              <w:right w:val="single" w:color="000000" w:sz="8" w:space="0"/>
            </w:tcBorders>
            <w:shd w:val="clear" w:color="auto" w:fill="FFFFFF"/>
            <w:vAlign w:val="center"/>
          </w:tcPr>
          <w:p>
            <w:pPr>
              <w:widowControl/>
              <w:jc w:val="center"/>
              <w:textAlignment w:val="center"/>
              <w:rPr>
                <w:rFonts w:ascii="Times New Roman" w:hAnsi="Times New Roman"/>
                <w:color w:val="auto"/>
                <w:sz w:val="24"/>
                <w:szCs w:val="24"/>
                <w:highlight w:val="none"/>
              </w:rPr>
            </w:pPr>
            <w:r>
              <w:rPr>
                <w:rFonts w:ascii="Times New Roman" w:hAnsi="Times New Roman"/>
                <w:color w:val="auto"/>
                <w:kern w:val="0"/>
                <w:sz w:val="24"/>
                <w:szCs w:val="24"/>
                <w:highlight w:val="none"/>
                <w:lang w:bidi="ar"/>
              </w:rPr>
              <w:t>81</w:t>
            </w:r>
          </w:p>
        </w:tc>
        <w:tc>
          <w:tcPr>
            <w:tcW w:w="581" w:type="pct"/>
            <w:tcBorders>
              <w:top w:val="nil"/>
              <w:left w:val="nil"/>
              <w:bottom w:val="single" w:color="000000" w:sz="8" w:space="0"/>
              <w:right w:val="single" w:color="000000" w:sz="8" w:space="0"/>
            </w:tcBorders>
            <w:shd w:val="clear" w:color="auto" w:fill="FFFFFF"/>
            <w:noWrap/>
            <w:vAlign w:val="center"/>
          </w:tcPr>
          <w:p>
            <w:pPr>
              <w:widowControl/>
              <w:jc w:val="center"/>
              <w:textAlignment w:val="center"/>
              <w:rPr>
                <w:rFonts w:ascii="Times New Roman" w:hAnsi="Times New Roman"/>
                <w:color w:val="auto"/>
                <w:sz w:val="24"/>
                <w:szCs w:val="24"/>
                <w:highlight w:val="none"/>
              </w:rPr>
            </w:pPr>
            <w:r>
              <w:rPr>
                <w:rFonts w:ascii="Times New Roman" w:hAnsi="Times New Roman"/>
                <w:color w:val="auto"/>
                <w:kern w:val="0"/>
                <w:sz w:val="24"/>
                <w:szCs w:val="24"/>
                <w:highlight w:val="none"/>
                <w:lang w:bidi="ar"/>
              </w:rPr>
              <w:t>45</w:t>
            </w:r>
          </w:p>
        </w:tc>
        <w:tc>
          <w:tcPr>
            <w:tcW w:w="582" w:type="pct"/>
            <w:tcBorders>
              <w:top w:val="nil"/>
              <w:left w:val="nil"/>
              <w:bottom w:val="single" w:color="000000" w:sz="8" w:space="0"/>
              <w:right w:val="single" w:color="000000" w:sz="8" w:space="0"/>
            </w:tcBorders>
            <w:shd w:val="clear" w:color="auto" w:fill="FFFFFF"/>
            <w:noWrap/>
            <w:vAlign w:val="center"/>
          </w:tcPr>
          <w:p>
            <w:pPr>
              <w:widowControl/>
              <w:jc w:val="center"/>
              <w:textAlignment w:val="center"/>
              <w:rPr>
                <w:rFonts w:ascii="Times New Roman" w:hAnsi="Times New Roman"/>
                <w:color w:val="auto"/>
                <w:sz w:val="24"/>
                <w:szCs w:val="24"/>
                <w:highlight w:val="none"/>
              </w:rPr>
            </w:pPr>
            <w:r>
              <w:rPr>
                <w:rFonts w:ascii="Times New Roman" w:hAnsi="Times New Roman"/>
                <w:color w:val="auto"/>
                <w:kern w:val="0"/>
                <w:sz w:val="24"/>
                <w:szCs w:val="24"/>
                <w:highlight w:val="none"/>
                <w:lang w:bidi="ar"/>
              </w:rPr>
              <w:t>15</w:t>
            </w:r>
          </w:p>
        </w:tc>
        <w:tc>
          <w:tcPr>
            <w:tcW w:w="711" w:type="pct"/>
            <w:tcBorders>
              <w:top w:val="nil"/>
              <w:left w:val="nil"/>
              <w:bottom w:val="single" w:color="000000" w:sz="8" w:space="0"/>
              <w:right w:val="single" w:color="000000" w:sz="8" w:space="0"/>
            </w:tcBorders>
            <w:shd w:val="clear" w:color="auto" w:fill="FFFFFF"/>
            <w:noWrap/>
            <w:vAlign w:val="center"/>
          </w:tcPr>
          <w:p>
            <w:pPr>
              <w:widowControl/>
              <w:jc w:val="center"/>
              <w:textAlignment w:val="center"/>
              <w:rPr>
                <w:rFonts w:ascii="Times New Roman" w:hAnsi="Times New Roman"/>
                <w:color w:val="auto"/>
                <w:sz w:val="24"/>
                <w:szCs w:val="24"/>
                <w:highlight w:val="none"/>
              </w:rPr>
            </w:pPr>
            <w:r>
              <w:rPr>
                <w:rFonts w:ascii="Times New Roman" w:hAnsi="Times New Roman"/>
                <w:color w:val="auto"/>
                <w:kern w:val="0"/>
                <w:sz w:val="24"/>
                <w:szCs w:val="24"/>
                <w:highlight w:val="none"/>
                <w:lang w:bidi="ar"/>
              </w:rPr>
              <w:t>1</w:t>
            </w:r>
          </w:p>
        </w:tc>
        <w:tc>
          <w:tcPr>
            <w:tcW w:w="711" w:type="pct"/>
            <w:tcBorders>
              <w:top w:val="nil"/>
              <w:left w:val="nil"/>
              <w:bottom w:val="single" w:color="000000" w:sz="8" w:space="0"/>
              <w:right w:val="single" w:color="000000" w:sz="8" w:space="0"/>
            </w:tcBorders>
            <w:shd w:val="clear" w:color="auto" w:fill="FFFFFF"/>
            <w:noWrap/>
            <w:vAlign w:val="center"/>
          </w:tcPr>
          <w:p>
            <w:pPr>
              <w:widowControl/>
              <w:jc w:val="center"/>
              <w:textAlignment w:val="center"/>
              <w:rPr>
                <w:rFonts w:ascii="Times New Roman" w:hAnsi="Times New Roman"/>
                <w:color w:val="auto"/>
                <w:sz w:val="24"/>
                <w:szCs w:val="24"/>
                <w:highlight w:val="none"/>
              </w:rPr>
            </w:pPr>
            <w:r>
              <w:rPr>
                <w:rFonts w:ascii="Times New Roman" w:hAnsi="Times New Roman"/>
                <w:color w:val="auto"/>
                <w:kern w:val="0"/>
                <w:sz w:val="24"/>
                <w:szCs w:val="24"/>
                <w:highlight w:val="none"/>
                <w:lang w:bidi="ar"/>
              </w:rPr>
              <w:t>4.1</w:t>
            </w:r>
          </w:p>
        </w:tc>
        <w:tc>
          <w:tcPr>
            <w:tcW w:w="715" w:type="pct"/>
            <w:tcBorders>
              <w:top w:val="nil"/>
              <w:left w:val="nil"/>
              <w:bottom w:val="single" w:color="000000" w:sz="8" w:space="0"/>
              <w:right w:val="single" w:color="000000" w:sz="8" w:space="0"/>
            </w:tcBorders>
            <w:shd w:val="clear" w:color="auto" w:fill="FFFFFF"/>
            <w:noWrap/>
            <w:vAlign w:val="center"/>
          </w:tcPr>
          <w:p>
            <w:pPr>
              <w:widowControl/>
              <w:jc w:val="center"/>
              <w:textAlignment w:val="center"/>
              <w:rPr>
                <w:rFonts w:ascii="Times New Roman" w:hAnsi="Times New Roman"/>
                <w:color w:val="auto"/>
                <w:sz w:val="24"/>
                <w:szCs w:val="24"/>
                <w:highlight w:val="none"/>
              </w:rPr>
            </w:pPr>
            <w:r>
              <w:rPr>
                <w:rFonts w:ascii="Times New Roman" w:hAnsi="Times New Roman"/>
                <w:color w:val="auto"/>
                <w:kern w:val="0"/>
                <w:sz w:val="24"/>
                <w:szCs w:val="24"/>
                <w:highlight w:val="none"/>
                <w:lang w:bidi="ar"/>
              </w:rPr>
              <w:t>13743</w:t>
            </w:r>
          </w:p>
        </w:tc>
      </w:tr>
      <w:tr>
        <w:tblPrEx>
          <w:tblCellMar>
            <w:top w:w="0" w:type="dxa"/>
            <w:left w:w="108" w:type="dxa"/>
            <w:bottom w:w="0" w:type="dxa"/>
            <w:right w:w="108" w:type="dxa"/>
          </w:tblCellMar>
        </w:tblPrEx>
        <w:trPr>
          <w:trHeight w:val="383" w:hRule="atLeast"/>
          <w:jc w:val="center"/>
        </w:trPr>
        <w:tc>
          <w:tcPr>
            <w:tcW w:w="5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color w:val="auto"/>
                <w:sz w:val="24"/>
                <w:szCs w:val="24"/>
                <w:highlight w:val="none"/>
              </w:rPr>
            </w:pPr>
          </w:p>
        </w:tc>
        <w:tc>
          <w:tcPr>
            <w:tcW w:w="558" w:type="pct"/>
            <w:tcBorders>
              <w:top w:val="nil"/>
              <w:left w:val="nil"/>
              <w:bottom w:val="single" w:color="000000" w:sz="8" w:space="0"/>
              <w:right w:val="single" w:color="000000" w:sz="8" w:space="0"/>
            </w:tcBorders>
            <w:shd w:val="clear" w:color="auto" w:fill="FFFFFF"/>
            <w:vAlign w:val="center"/>
          </w:tcPr>
          <w:p>
            <w:pPr>
              <w:widowControl/>
              <w:jc w:val="center"/>
              <w:textAlignment w:val="center"/>
              <w:rPr>
                <w:rFonts w:ascii="仿宋" w:hAnsi="仿宋"/>
                <w:color w:val="auto"/>
                <w:sz w:val="24"/>
                <w:szCs w:val="24"/>
                <w:highlight w:val="none"/>
              </w:rPr>
            </w:pPr>
            <w:r>
              <w:rPr>
                <w:rFonts w:hint="eastAsia" w:ascii="仿宋" w:hAnsi="仿宋"/>
                <w:color w:val="auto"/>
                <w:kern w:val="0"/>
                <w:sz w:val="24"/>
                <w:szCs w:val="24"/>
                <w:highlight w:val="none"/>
                <w:lang w:bidi="ar"/>
              </w:rPr>
              <w:t>巴塘县</w:t>
            </w:r>
          </w:p>
        </w:tc>
        <w:tc>
          <w:tcPr>
            <w:tcW w:w="581" w:type="pct"/>
            <w:tcBorders>
              <w:top w:val="nil"/>
              <w:left w:val="nil"/>
              <w:bottom w:val="single" w:color="000000" w:sz="8" w:space="0"/>
              <w:right w:val="single" w:color="000000" w:sz="8" w:space="0"/>
            </w:tcBorders>
            <w:shd w:val="clear" w:color="auto" w:fill="FFFFFF"/>
            <w:vAlign w:val="center"/>
          </w:tcPr>
          <w:p>
            <w:pPr>
              <w:widowControl/>
              <w:jc w:val="center"/>
              <w:textAlignment w:val="center"/>
              <w:rPr>
                <w:rFonts w:ascii="Times New Roman" w:hAnsi="Times New Roman"/>
                <w:color w:val="auto"/>
                <w:sz w:val="24"/>
                <w:szCs w:val="24"/>
                <w:highlight w:val="none"/>
              </w:rPr>
            </w:pPr>
            <w:r>
              <w:rPr>
                <w:rFonts w:ascii="Times New Roman" w:hAnsi="Times New Roman"/>
                <w:color w:val="auto"/>
                <w:kern w:val="0"/>
                <w:sz w:val="24"/>
                <w:szCs w:val="24"/>
                <w:highlight w:val="none"/>
                <w:lang w:bidi="ar"/>
              </w:rPr>
              <w:t>92</w:t>
            </w:r>
          </w:p>
        </w:tc>
        <w:tc>
          <w:tcPr>
            <w:tcW w:w="581" w:type="pct"/>
            <w:tcBorders>
              <w:top w:val="nil"/>
              <w:left w:val="nil"/>
              <w:bottom w:val="single" w:color="000000" w:sz="8" w:space="0"/>
              <w:right w:val="single" w:color="000000" w:sz="8" w:space="0"/>
            </w:tcBorders>
            <w:shd w:val="clear" w:color="auto" w:fill="FFFFFF"/>
            <w:noWrap/>
            <w:vAlign w:val="center"/>
          </w:tcPr>
          <w:p>
            <w:pPr>
              <w:widowControl/>
              <w:jc w:val="center"/>
              <w:textAlignment w:val="center"/>
              <w:rPr>
                <w:rFonts w:ascii="Times New Roman" w:hAnsi="Times New Roman"/>
                <w:color w:val="auto"/>
                <w:sz w:val="24"/>
                <w:szCs w:val="24"/>
                <w:highlight w:val="none"/>
              </w:rPr>
            </w:pPr>
            <w:r>
              <w:rPr>
                <w:rFonts w:ascii="Times New Roman" w:hAnsi="Times New Roman"/>
                <w:color w:val="auto"/>
                <w:kern w:val="0"/>
                <w:sz w:val="24"/>
                <w:szCs w:val="24"/>
                <w:highlight w:val="none"/>
                <w:lang w:bidi="ar"/>
              </w:rPr>
              <w:t>49</w:t>
            </w:r>
          </w:p>
        </w:tc>
        <w:tc>
          <w:tcPr>
            <w:tcW w:w="582" w:type="pct"/>
            <w:tcBorders>
              <w:top w:val="nil"/>
              <w:left w:val="nil"/>
              <w:bottom w:val="single" w:color="000000" w:sz="8" w:space="0"/>
              <w:right w:val="single" w:color="000000" w:sz="8" w:space="0"/>
            </w:tcBorders>
            <w:shd w:val="clear" w:color="auto" w:fill="FFFFFF"/>
            <w:noWrap/>
            <w:vAlign w:val="center"/>
          </w:tcPr>
          <w:p>
            <w:pPr>
              <w:widowControl/>
              <w:jc w:val="center"/>
              <w:textAlignment w:val="center"/>
              <w:rPr>
                <w:rFonts w:ascii="Times New Roman" w:hAnsi="Times New Roman"/>
                <w:color w:val="auto"/>
                <w:sz w:val="24"/>
                <w:szCs w:val="24"/>
                <w:highlight w:val="none"/>
              </w:rPr>
            </w:pPr>
            <w:r>
              <w:rPr>
                <w:rFonts w:ascii="Times New Roman" w:hAnsi="Times New Roman"/>
                <w:color w:val="auto"/>
                <w:kern w:val="0"/>
                <w:sz w:val="24"/>
                <w:szCs w:val="24"/>
                <w:highlight w:val="none"/>
                <w:lang w:bidi="ar"/>
              </w:rPr>
              <w:t>16</w:t>
            </w:r>
          </w:p>
        </w:tc>
        <w:tc>
          <w:tcPr>
            <w:tcW w:w="711" w:type="pct"/>
            <w:tcBorders>
              <w:top w:val="nil"/>
              <w:left w:val="nil"/>
              <w:bottom w:val="single" w:color="000000" w:sz="8" w:space="0"/>
              <w:right w:val="single" w:color="000000" w:sz="8" w:space="0"/>
            </w:tcBorders>
            <w:shd w:val="clear" w:color="auto" w:fill="FFFFFF"/>
            <w:noWrap/>
            <w:vAlign w:val="center"/>
          </w:tcPr>
          <w:p>
            <w:pPr>
              <w:widowControl/>
              <w:jc w:val="center"/>
              <w:textAlignment w:val="center"/>
              <w:rPr>
                <w:rFonts w:ascii="Times New Roman" w:hAnsi="Times New Roman"/>
                <w:color w:val="auto"/>
                <w:sz w:val="24"/>
                <w:szCs w:val="24"/>
                <w:highlight w:val="none"/>
              </w:rPr>
            </w:pPr>
            <w:r>
              <w:rPr>
                <w:rFonts w:ascii="Times New Roman" w:hAnsi="Times New Roman"/>
                <w:color w:val="auto"/>
                <w:kern w:val="0"/>
                <w:sz w:val="24"/>
                <w:szCs w:val="24"/>
                <w:highlight w:val="none"/>
                <w:lang w:bidi="ar"/>
              </w:rPr>
              <w:t>1</w:t>
            </w:r>
          </w:p>
        </w:tc>
        <w:tc>
          <w:tcPr>
            <w:tcW w:w="711" w:type="pct"/>
            <w:tcBorders>
              <w:top w:val="nil"/>
              <w:left w:val="nil"/>
              <w:bottom w:val="single" w:color="000000" w:sz="8" w:space="0"/>
              <w:right w:val="single" w:color="000000" w:sz="8" w:space="0"/>
            </w:tcBorders>
            <w:shd w:val="clear" w:color="auto" w:fill="FFFFFF"/>
            <w:noWrap/>
            <w:vAlign w:val="center"/>
          </w:tcPr>
          <w:p>
            <w:pPr>
              <w:widowControl/>
              <w:jc w:val="center"/>
              <w:textAlignment w:val="center"/>
              <w:rPr>
                <w:rFonts w:ascii="Times New Roman" w:hAnsi="Times New Roman"/>
                <w:color w:val="auto"/>
                <w:sz w:val="24"/>
                <w:szCs w:val="24"/>
                <w:highlight w:val="none"/>
              </w:rPr>
            </w:pPr>
            <w:r>
              <w:rPr>
                <w:rFonts w:ascii="Times New Roman" w:hAnsi="Times New Roman"/>
                <w:color w:val="auto"/>
                <w:kern w:val="0"/>
                <w:sz w:val="24"/>
                <w:szCs w:val="24"/>
                <w:highlight w:val="none"/>
                <w:lang w:bidi="ar"/>
              </w:rPr>
              <w:t>3.9</w:t>
            </w:r>
          </w:p>
        </w:tc>
        <w:tc>
          <w:tcPr>
            <w:tcW w:w="715" w:type="pct"/>
            <w:tcBorders>
              <w:top w:val="nil"/>
              <w:left w:val="nil"/>
              <w:bottom w:val="single" w:color="000000" w:sz="8" w:space="0"/>
              <w:right w:val="single" w:color="000000" w:sz="8" w:space="0"/>
            </w:tcBorders>
            <w:shd w:val="clear" w:color="auto" w:fill="FFFFFF"/>
            <w:noWrap/>
            <w:vAlign w:val="center"/>
          </w:tcPr>
          <w:p>
            <w:pPr>
              <w:widowControl/>
              <w:jc w:val="center"/>
              <w:textAlignment w:val="center"/>
              <w:rPr>
                <w:rFonts w:ascii="Times New Roman" w:hAnsi="Times New Roman"/>
                <w:color w:val="auto"/>
                <w:sz w:val="24"/>
                <w:szCs w:val="24"/>
                <w:highlight w:val="none"/>
              </w:rPr>
            </w:pPr>
            <w:r>
              <w:rPr>
                <w:rFonts w:ascii="Times New Roman" w:hAnsi="Times New Roman"/>
                <w:color w:val="auto"/>
                <w:kern w:val="0"/>
                <w:sz w:val="24"/>
                <w:szCs w:val="24"/>
                <w:highlight w:val="none"/>
                <w:lang w:bidi="ar"/>
              </w:rPr>
              <w:t>13640</w:t>
            </w:r>
          </w:p>
        </w:tc>
      </w:tr>
      <w:tr>
        <w:tblPrEx>
          <w:tblCellMar>
            <w:top w:w="0" w:type="dxa"/>
            <w:left w:w="108" w:type="dxa"/>
            <w:bottom w:w="0" w:type="dxa"/>
            <w:right w:w="108" w:type="dxa"/>
          </w:tblCellMar>
        </w:tblPrEx>
        <w:trPr>
          <w:trHeight w:val="383" w:hRule="atLeast"/>
          <w:jc w:val="center"/>
        </w:trPr>
        <w:tc>
          <w:tcPr>
            <w:tcW w:w="5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color w:val="auto"/>
                <w:sz w:val="24"/>
                <w:szCs w:val="24"/>
                <w:highlight w:val="none"/>
              </w:rPr>
            </w:pPr>
          </w:p>
        </w:tc>
        <w:tc>
          <w:tcPr>
            <w:tcW w:w="558" w:type="pct"/>
            <w:tcBorders>
              <w:top w:val="nil"/>
              <w:left w:val="nil"/>
              <w:bottom w:val="single" w:color="000000" w:sz="8" w:space="0"/>
              <w:right w:val="single" w:color="000000" w:sz="8" w:space="0"/>
            </w:tcBorders>
            <w:shd w:val="clear" w:color="auto" w:fill="FFFFFF"/>
            <w:vAlign w:val="center"/>
          </w:tcPr>
          <w:p>
            <w:pPr>
              <w:widowControl/>
              <w:jc w:val="center"/>
              <w:textAlignment w:val="center"/>
              <w:rPr>
                <w:rFonts w:ascii="仿宋" w:hAnsi="仿宋"/>
                <w:color w:val="auto"/>
                <w:sz w:val="24"/>
                <w:szCs w:val="24"/>
                <w:highlight w:val="none"/>
              </w:rPr>
            </w:pPr>
            <w:r>
              <w:rPr>
                <w:rFonts w:hint="eastAsia" w:ascii="仿宋" w:hAnsi="仿宋"/>
                <w:color w:val="auto"/>
                <w:kern w:val="0"/>
                <w:sz w:val="24"/>
                <w:szCs w:val="24"/>
                <w:highlight w:val="none"/>
                <w:lang w:bidi="ar"/>
              </w:rPr>
              <w:t>乡城县</w:t>
            </w:r>
          </w:p>
        </w:tc>
        <w:tc>
          <w:tcPr>
            <w:tcW w:w="581" w:type="pct"/>
            <w:tcBorders>
              <w:top w:val="nil"/>
              <w:left w:val="nil"/>
              <w:bottom w:val="single" w:color="000000" w:sz="8" w:space="0"/>
              <w:right w:val="single" w:color="000000" w:sz="8" w:space="0"/>
            </w:tcBorders>
            <w:shd w:val="clear" w:color="auto" w:fill="FFFFFF"/>
            <w:vAlign w:val="center"/>
          </w:tcPr>
          <w:p>
            <w:pPr>
              <w:widowControl/>
              <w:jc w:val="center"/>
              <w:textAlignment w:val="center"/>
              <w:rPr>
                <w:rFonts w:ascii="Times New Roman" w:hAnsi="Times New Roman"/>
                <w:color w:val="auto"/>
                <w:sz w:val="24"/>
                <w:szCs w:val="24"/>
                <w:highlight w:val="none"/>
              </w:rPr>
            </w:pPr>
            <w:r>
              <w:rPr>
                <w:rFonts w:ascii="Times New Roman" w:hAnsi="Times New Roman"/>
                <w:color w:val="auto"/>
                <w:kern w:val="0"/>
                <w:sz w:val="24"/>
                <w:szCs w:val="24"/>
                <w:highlight w:val="none"/>
                <w:lang w:bidi="ar"/>
              </w:rPr>
              <w:t>60</w:t>
            </w:r>
          </w:p>
        </w:tc>
        <w:tc>
          <w:tcPr>
            <w:tcW w:w="581" w:type="pct"/>
            <w:tcBorders>
              <w:top w:val="nil"/>
              <w:left w:val="nil"/>
              <w:bottom w:val="single" w:color="000000" w:sz="8" w:space="0"/>
              <w:right w:val="single" w:color="000000" w:sz="8" w:space="0"/>
            </w:tcBorders>
            <w:shd w:val="clear" w:color="auto" w:fill="FFFFFF"/>
            <w:noWrap/>
            <w:vAlign w:val="center"/>
          </w:tcPr>
          <w:p>
            <w:pPr>
              <w:widowControl/>
              <w:jc w:val="center"/>
              <w:textAlignment w:val="center"/>
              <w:rPr>
                <w:rFonts w:ascii="Times New Roman" w:hAnsi="Times New Roman"/>
                <w:color w:val="auto"/>
                <w:sz w:val="24"/>
                <w:szCs w:val="24"/>
                <w:highlight w:val="none"/>
              </w:rPr>
            </w:pPr>
            <w:r>
              <w:rPr>
                <w:rFonts w:ascii="Times New Roman" w:hAnsi="Times New Roman"/>
                <w:color w:val="auto"/>
                <w:kern w:val="0"/>
                <w:sz w:val="24"/>
                <w:szCs w:val="24"/>
                <w:highlight w:val="none"/>
                <w:lang w:bidi="ar"/>
              </w:rPr>
              <w:t>37</w:t>
            </w:r>
          </w:p>
        </w:tc>
        <w:tc>
          <w:tcPr>
            <w:tcW w:w="582" w:type="pct"/>
            <w:tcBorders>
              <w:top w:val="nil"/>
              <w:left w:val="nil"/>
              <w:bottom w:val="single" w:color="000000" w:sz="8" w:space="0"/>
              <w:right w:val="single" w:color="000000" w:sz="8" w:space="0"/>
            </w:tcBorders>
            <w:shd w:val="clear" w:color="auto" w:fill="FFFFFF"/>
            <w:noWrap/>
            <w:vAlign w:val="center"/>
          </w:tcPr>
          <w:p>
            <w:pPr>
              <w:widowControl/>
              <w:jc w:val="center"/>
              <w:textAlignment w:val="center"/>
              <w:rPr>
                <w:rFonts w:ascii="Times New Roman" w:hAnsi="Times New Roman"/>
                <w:color w:val="auto"/>
                <w:sz w:val="24"/>
                <w:szCs w:val="24"/>
                <w:highlight w:val="none"/>
              </w:rPr>
            </w:pPr>
            <w:r>
              <w:rPr>
                <w:rFonts w:ascii="Times New Roman" w:hAnsi="Times New Roman"/>
                <w:color w:val="auto"/>
                <w:kern w:val="0"/>
                <w:sz w:val="24"/>
                <w:szCs w:val="24"/>
                <w:highlight w:val="none"/>
                <w:lang w:bidi="ar"/>
              </w:rPr>
              <w:t>12</w:t>
            </w:r>
          </w:p>
        </w:tc>
        <w:tc>
          <w:tcPr>
            <w:tcW w:w="711" w:type="pct"/>
            <w:tcBorders>
              <w:top w:val="nil"/>
              <w:left w:val="nil"/>
              <w:bottom w:val="single" w:color="000000" w:sz="8" w:space="0"/>
              <w:right w:val="single" w:color="000000" w:sz="8" w:space="0"/>
            </w:tcBorders>
            <w:shd w:val="clear" w:color="auto" w:fill="FFFFFF"/>
            <w:noWrap/>
            <w:vAlign w:val="center"/>
          </w:tcPr>
          <w:p>
            <w:pPr>
              <w:widowControl/>
              <w:jc w:val="center"/>
              <w:textAlignment w:val="center"/>
              <w:rPr>
                <w:rFonts w:ascii="Times New Roman" w:hAnsi="Times New Roman"/>
                <w:color w:val="auto"/>
                <w:sz w:val="24"/>
                <w:szCs w:val="24"/>
                <w:highlight w:val="none"/>
              </w:rPr>
            </w:pPr>
            <w:r>
              <w:rPr>
                <w:rFonts w:ascii="Times New Roman" w:hAnsi="Times New Roman"/>
                <w:color w:val="auto"/>
                <w:kern w:val="0"/>
                <w:sz w:val="24"/>
                <w:szCs w:val="24"/>
                <w:highlight w:val="none"/>
                <w:lang w:bidi="ar"/>
              </w:rPr>
              <w:t>0.7</w:t>
            </w:r>
          </w:p>
        </w:tc>
        <w:tc>
          <w:tcPr>
            <w:tcW w:w="711" w:type="pct"/>
            <w:tcBorders>
              <w:top w:val="nil"/>
              <w:left w:val="nil"/>
              <w:bottom w:val="single" w:color="000000" w:sz="8" w:space="0"/>
              <w:right w:val="single" w:color="000000" w:sz="8" w:space="0"/>
            </w:tcBorders>
            <w:shd w:val="clear" w:color="auto" w:fill="FFFFFF"/>
            <w:noWrap/>
            <w:vAlign w:val="center"/>
          </w:tcPr>
          <w:p>
            <w:pPr>
              <w:widowControl/>
              <w:jc w:val="center"/>
              <w:textAlignment w:val="center"/>
              <w:rPr>
                <w:rFonts w:ascii="Times New Roman" w:hAnsi="Times New Roman"/>
                <w:color w:val="auto"/>
                <w:sz w:val="24"/>
                <w:szCs w:val="24"/>
                <w:highlight w:val="none"/>
              </w:rPr>
            </w:pPr>
            <w:r>
              <w:rPr>
                <w:rFonts w:ascii="Times New Roman" w:hAnsi="Times New Roman"/>
                <w:color w:val="auto"/>
                <w:kern w:val="0"/>
                <w:sz w:val="24"/>
                <w:szCs w:val="24"/>
                <w:highlight w:val="none"/>
                <w:lang w:bidi="ar"/>
              </w:rPr>
              <w:t>2.3</w:t>
            </w:r>
          </w:p>
        </w:tc>
        <w:tc>
          <w:tcPr>
            <w:tcW w:w="715" w:type="pct"/>
            <w:tcBorders>
              <w:top w:val="nil"/>
              <w:left w:val="nil"/>
              <w:bottom w:val="single" w:color="000000" w:sz="8" w:space="0"/>
              <w:right w:val="single" w:color="000000" w:sz="8" w:space="0"/>
            </w:tcBorders>
            <w:shd w:val="clear" w:color="auto" w:fill="FFFFFF"/>
            <w:noWrap/>
            <w:vAlign w:val="center"/>
          </w:tcPr>
          <w:p>
            <w:pPr>
              <w:widowControl/>
              <w:jc w:val="center"/>
              <w:textAlignment w:val="center"/>
              <w:rPr>
                <w:rFonts w:ascii="Times New Roman" w:hAnsi="Times New Roman"/>
                <w:color w:val="auto"/>
                <w:sz w:val="24"/>
                <w:szCs w:val="24"/>
                <w:highlight w:val="none"/>
              </w:rPr>
            </w:pPr>
            <w:r>
              <w:rPr>
                <w:rFonts w:ascii="Times New Roman" w:hAnsi="Times New Roman"/>
                <w:color w:val="auto"/>
                <w:kern w:val="0"/>
                <w:sz w:val="24"/>
                <w:szCs w:val="24"/>
                <w:highlight w:val="none"/>
                <w:lang w:bidi="ar"/>
              </w:rPr>
              <w:t>13538</w:t>
            </w:r>
          </w:p>
        </w:tc>
      </w:tr>
      <w:tr>
        <w:tblPrEx>
          <w:tblCellMar>
            <w:top w:w="0" w:type="dxa"/>
            <w:left w:w="108" w:type="dxa"/>
            <w:bottom w:w="0" w:type="dxa"/>
            <w:right w:w="108" w:type="dxa"/>
          </w:tblCellMar>
        </w:tblPrEx>
        <w:trPr>
          <w:trHeight w:val="383" w:hRule="atLeast"/>
          <w:jc w:val="center"/>
        </w:trPr>
        <w:tc>
          <w:tcPr>
            <w:tcW w:w="5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color w:val="auto"/>
                <w:sz w:val="24"/>
                <w:szCs w:val="24"/>
                <w:highlight w:val="none"/>
              </w:rPr>
            </w:pPr>
          </w:p>
        </w:tc>
        <w:tc>
          <w:tcPr>
            <w:tcW w:w="558" w:type="pct"/>
            <w:tcBorders>
              <w:top w:val="nil"/>
              <w:left w:val="nil"/>
              <w:bottom w:val="single" w:color="000000" w:sz="8" w:space="0"/>
              <w:right w:val="single" w:color="000000" w:sz="8" w:space="0"/>
            </w:tcBorders>
            <w:shd w:val="clear" w:color="auto" w:fill="FFFFFF"/>
            <w:vAlign w:val="center"/>
          </w:tcPr>
          <w:p>
            <w:pPr>
              <w:widowControl/>
              <w:jc w:val="center"/>
              <w:textAlignment w:val="center"/>
              <w:rPr>
                <w:rFonts w:ascii="仿宋" w:hAnsi="仿宋"/>
                <w:color w:val="auto"/>
                <w:sz w:val="24"/>
                <w:szCs w:val="24"/>
                <w:highlight w:val="none"/>
              </w:rPr>
            </w:pPr>
            <w:r>
              <w:rPr>
                <w:rFonts w:hint="eastAsia" w:ascii="仿宋" w:hAnsi="仿宋"/>
                <w:color w:val="auto"/>
                <w:kern w:val="0"/>
                <w:sz w:val="24"/>
                <w:szCs w:val="24"/>
                <w:highlight w:val="none"/>
                <w:lang w:bidi="ar"/>
              </w:rPr>
              <w:t>稻城县</w:t>
            </w:r>
          </w:p>
        </w:tc>
        <w:tc>
          <w:tcPr>
            <w:tcW w:w="581" w:type="pct"/>
            <w:tcBorders>
              <w:top w:val="nil"/>
              <w:left w:val="nil"/>
              <w:bottom w:val="single" w:color="000000" w:sz="8" w:space="0"/>
              <w:right w:val="single" w:color="000000" w:sz="8" w:space="0"/>
            </w:tcBorders>
            <w:shd w:val="clear" w:color="auto" w:fill="FFFFFF"/>
            <w:vAlign w:val="center"/>
          </w:tcPr>
          <w:p>
            <w:pPr>
              <w:widowControl/>
              <w:jc w:val="center"/>
              <w:textAlignment w:val="center"/>
              <w:rPr>
                <w:rFonts w:ascii="Times New Roman" w:hAnsi="Times New Roman"/>
                <w:color w:val="auto"/>
                <w:sz w:val="24"/>
                <w:szCs w:val="24"/>
                <w:highlight w:val="none"/>
              </w:rPr>
            </w:pPr>
            <w:r>
              <w:rPr>
                <w:rFonts w:ascii="Times New Roman" w:hAnsi="Times New Roman"/>
                <w:color w:val="auto"/>
                <w:kern w:val="0"/>
                <w:sz w:val="24"/>
                <w:szCs w:val="24"/>
                <w:highlight w:val="none"/>
                <w:lang w:bidi="ar"/>
              </w:rPr>
              <w:t>92</w:t>
            </w:r>
          </w:p>
        </w:tc>
        <w:tc>
          <w:tcPr>
            <w:tcW w:w="581" w:type="pct"/>
            <w:tcBorders>
              <w:top w:val="nil"/>
              <w:left w:val="nil"/>
              <w:bottom w:val="single" w:color="000000" w:sz="8" w:space="0"/>
              <w:right w:val="single" w:color="000000" w:sz="8" w:space="0"/>
            </w:tcBorders>
            <w:shd w:val="clear" w:color="auto" w:fill="FFFFFF"/>
            <w:noWrap/>
            <w:vAlign w:val="center"/>
          </w:tcPr>
          <w:p>
            <w:pPr>
              <w:widowControl/>
              <w:jc w:val="center"/>
              <w:textAlignment w:val="center"/>
              <w:rPr>
                <w:rFonts w:ascii="Times New Roman" w:hAnsi="Times New Roman"/>
                <w:color w:val="auto"/>
                <w:sz w:val="24"/>
                <w:szCs w:val="24"/>
                <w:highlight w:val="none"/>
              </w:rPr>
            </w:pPr>
            <w:r>
              <w:rPr>
                <w:rFonts w:ascii="Times New Roman" w:hAnsi="Times New Roman"/>
                <w:color w:val="auto"/>
                <w:kern w:val="0"/>
                <w:sz w:val="24"/>
                <w:szCs w:val="24"/>
                <w:highlight w:val="none"/>
                <w:lang w:bidi="ar"/>
              </w:rPr>
              <w:t>47</w:t>
            </w:r>
          </w:p>
        </w:tc>
        <w:tc>
          <w:tcPr>
            <w:tcW w:w="582" w:type="pct"/>
            <w:tcBorders>
              <w:top w:val="nil"/>
              <w:left w:val="nil"/>
              <w:bottom w:val="single" w:color="000000" w:sz="8" w:space="0"/>
              <w:right w:val="single" w:color="000000" w:sz="8" w:space="0"/>
            </w:tcBorders>
            <w:shd w:val="clear" w:color="auto" w:fill="FFFFFF"/>
            <w:noWrap/>
            <w:vAlign w:val="center"/>
          </w:tcPr>
          <w:p>
            <w:pPr>
              <w:widowControl/>
              <w:jc w:val="center"/>
              <w:textAlignment w:val="center"/>
              <w:rPr>
                <w:rFonts w:ascii="Times New Roman" w:hAnsi="Times New Roman"/>
                <w:color w:val="auto"/>
                <w:sz w:val="24"/>
                <w:szCs w:val="24"/>
                <w:highlight w:val="none"/>
              </w:rPr>
            </w:pPr>
            <w:r>
              <w:rPr>
                <w:rFonts w:ascii="Times New Roman" w:hAnsi="Times New Roman"/>
                <w:color w:val="auto"/>
                <w:kern w:val="0"/>
                <w:sz w:val="24"/>
                <w:szCs w:val="24"/>
                <w:highlight w:val="none"/>
                <w:lang w:bidi="ar"/>
              </w:rPr>
              <w:t>16</w:t>
            </w:r>
          </w:p>
        </w:tc>
        <w:tc>
          <w:tcPr>
            <w:tcW w:w="711" w:type="pct"/>
            <w:tcBorders>
              <w:top w:val="nil"/>
              <w:left w:val="nil"/>
              <w:bottom w:val="single" w:color="000000" w:sz="8" w:space="0"/>
              <w:right w:val="single" w:color="000000" w:sz="8" w:space="0"/>
            </w:tcBorders>
            <w:shd w:val="clear" w:color="auto" w:fill="FFFFFF"/>
            <w:noWrap/>
            <w:vAlign w:val="center"/>
          </w:tcPr>
          <w:p>
            <w:pPr>
              <w:widowControl/>
              <w:jc w:val="center"/>
              <w:textAlignment w:val="center"/>
              <w:rPr>
                <w:rFonts w:ascii="Times New Roman" w:hAnsi="Times New Roman"/>
                <w:color w:val="auto"/>
                <w:sz w:val="24"/>
                <w:szCs w:val="24"/>
                <w:highlight w:val="none"/>
              </w:rPr>
            </w:pPr>
            <w:r>
              <w:rPr>
                <w:rFonts w:ascii="Times New Roman" w:hAnsi="Times New Roman"/>
                <w:color w:val="auto"/>
                <w:kern w:val="0"/>
                <w:sz w:val="24"/>
                <w:szCs w:val="24"/>
                <w:highlight w:val="none"/>
                <w:lang w:bidi="ar"/>
              </w:rPr>
              <w:t>0.6</w:t>
            </w:r>
          </w:p>
        </w:tc>
        <w:tc>
          <w:tcPr>
            <w:tcW w:w="711" w:type="pct"/>
            <w:tcBorders>
              <w:top w:val="nil"/>
              <w:left w:val="nil"/>
              <w:bottom w:val="single" w:color="000000" w:sz="8" w:space="0"/>
              <w:right w:val="single" w:color="000000" w:sz="8" w:space="0"/>
            </w:tcBorders>
            <w:shd w:val="clear" w:color="auto" w:fill="FFFFFF"/>
            <w:noWrap/>
            <w:vAlign w:val="center"/>
          </w:tcPr>
          <w:p>
            <w:pPr>
              <w:widowControl/>
              <w:jc w:val="center"/>
              <w:textAlignment w:val="center"/>
              <w:rPr>
                <w:rFonts w:ascii="Times New Roman" w:hAnsi="Times New Roman"/>
                <w:color w:val="auto"/>
                <w:sz w:val="24"/>
                <w:szCs w:val="24"/>
                <w:highlight w:val="none"/>
              </w:rPr>
            </w:pPr>
            <w:r>
              <w:rPr>
                <w:rFonts w:ascii="Times New Roman" w:hAnsi="Times New Roman"/>
                <w:color w:val="auto"/>
                <w:kern w:val="0"/>
                <w:sz w:val="24"/>
                <w:szCs w:val="24"/>
                <w:highlight w:val="none"/>
                <w:lang w:bidi="ar"/>
              </w:rPr>
              <w:t>2.8</w:t>
            </w:r>
          </w:p>
        </w:tc>
        <w:tc>
          <w:tcPr>
            <w:tcW w:w="715" w:type="pct"/>
            <w:tcBorders>
              <w:top w:val="nil"/>
              <w:left w:val="nil"/>
              <w:bottom w:val="single" w:color="000000" w:sz="8" w:space="0"/>
              <w:right w:val="single" w:color="000000" w:sz="8" w:space="0"/>
            </w:tcBorders>
            <w:shd w:val="clear" w:color="auto" w:fill="FFFFFF"/>
            <w:noWrap/>
            <w:vAlign w:val="center"/>
          </w:tcPr>
          <w:p>
            <w:pPr>
              <w:widowControl/>
              <w:jc w:val="center"/>
              <w:textAlignment w:val="center"/>
              <w:rPr>
                <w:rFonts w:ascii="Times New Roman" w:hAnsi="Times New Roman"/>
                <w:color w:val="auto"/>
                <w:sz w:val="24"/>
                <w:szCs w:val="24"/>
                <w:highlight w:val="none"/>
              </w:rPr>
            </w:pPr>
            <w:r>
              <w:rPr>
                <w:rFonts w:ascii="Times New Roman" w:hAnsi="Times New Roman"/>
                <w:color w:val="auto"/>
                <w:kern w:val="0"/>
                <w:sz w:val="24"/>
                <w:szCs w:val="24"/>
                <w:highlight w:val="none"/>
                <w:lang w:bidi="ar"/>
              </w:rPr>
              <w:t>14351</w:t>
            </w:r>
          </w:p>
        </w:tc>
      </w:tr>
      <w:tr>
        <w:tblPrEx>
          <w:tblCellMar>
            <w:top w:w="0" w:type="dxa"/>
            <w:left w:w="108" w:type="dxa"/>
            <w:bottom w:w="0" w:type="dxa"/>
            <w:right w:w="108" w:type="dxa"/>
          </w:tblCellMar>
        </w:tblPrEx>
        <w:trPr>
          <w:trHeight w:val="383" w:hRule="atLeast"/>
          <w:jc w:val="center"/>
        </w:trPr>
        <w:tc>
          <w:tcPr>
            <w:tcW w:w="557" w:type="pct"/>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ascii="仿宋" w:hAnsi="仿宋"/>
                <w:color w:val="auto"/>
                <w:sz w:val="24"/>
                <w:szCs w:val="24"/>
                <w:highlight w:val="none"/>
              </w:rPr>
            </w:pPr>
          </w:p>
        </w:tc>
        <w:tc>
          <w:tcPr>
            <w:tcW w:w="558" w:type="pct"/>
            <w:tcBorders>
              <w:top w:val="nil"/>
              <w:left w:val="nil"/>
              <w:bottom w:val="single" w:color="auto" w:sz="4" w:space="0"/>
              <w:right w:val="single" w:color="000000" w:sz="8" w:space="0"/>
            </w:tcBorders>
            <w:shd w:val="clear" w:color="auto" w:fill="FFFFFF"/>
            <w:vAlign w:val="center"/>
          </w:tcPr>
          <w:p>
            <w:pPr>
              <w:widowControl/>
              <w:jc w:val="center"/>
              <w:textAlignment w:val="center"/>
              <w:rPr>
                <w:rFonts w:ascii="仿宋" w:hAnsi="仿宋"/>
                <w:color w:val="auto"/>
                <w:sz w:val="24"/>
                <w:szCs w:val="24"/>
                <w:highlight w:val="none"/>
              </w:rPr>
            </w:pPr>
            <w:r>
              <w:rPr>
                <w:rFonts w:hint="eastAsia" w:ascii="仿宋" w:hAnsi="仿宋"/>
                <w:color w:val="auto"/>
                <w:kern w:val="0"/>
                <w:sz w:val="24"/>
                <w:szCs w:val="24"/>
                <w:highlight w:val="none"/>
                <w:lang w:bidi="ar"/>
              </w:rPr>
              <w:t>得荣县</w:t>
            </w:r>
          </w:p>
        </w:tc>
        <w:tc>
          <w:tcPr>
            <w:tcW w:w="581" w:type="pct"/>
            <w:tcBorders>
              <w:top w:val="nil"/>
              <w:left w:val="nil"/>
              <w:bottom w:val="single" w:color="auto" w:sz="4" w:space="0"/>
              <w:right w:val="single" w:color="000000" w:sz="8" w:space="0"/>
            </w:tcBorders>
            <w:shd w:val="clear" w:color="auto" w:fill="FFFFFF"/>
            <w:vAlign w:val="center"/>
          </w:tcPr>
          <w:p>
            <w:pPr>
              <w:widowControl/>
              <w:jc w:val="center"/>
              <w:textAlignment w:val="center"/>
              <w:rPr>
                <w:rFonts w:ascii="Times New Roman" w:hAnsi="Times New Roman"/>
                <w:color w:val="auto"/>
                <w:sz w:val="24"/>
                <w:szCs w:val="24"/>
                <w:highlight w:val="none"/>
              </w:rPr>
            </w:pPr>
            <w:r>
              <w:rPr>
                <w:rFonts w:ascii="Times New Roman" w:hAnsi="Times New Roman"/>
                <w:color w:val="auto"/>
                <w:kern w:val="0"/>
                <w:sz w:val="24"/>
                <w:szCs w:val="24"/>
                <w:highlight w:val="none"/>
                <w:lang w:bidi="ar"/>
              </w:rPr>
              <w:t>103</w:t>
            </w:r>
          </w:p>
        </w:tc>
        <w:tc>
          <w:tcPr>
            <w:tcW w:w="581" w:type="pct"/>
            <w:tcBorders>
              <w:top w:val="nil"/>
              <w:left w:val="nil"/>
              <w:bottom w:val="single" w:color="auto" w:sz="4" w:space="0"/>
              <w:right w:val="single" w:color="000000" w:sz="8" w:space="0"/>
            </w:tcBorders>
            <w:shd w:val="clear" w:color="auto" w:fill="FFFFFF"/>
            <w:noWrap/>
            <w:vAlign w:val="center"/>
          </w:tcPr>
          <w:p>
            <w:pPr>
              <w:widowControl/>
              <w:jc w:val="center"/>
              <w:textAlignment w:val="center"/>
              <w:rPr>
                <w:rFonts w:ascii="Times New Roman" w:hAnsi="Times New Roman"/>
                <w:color w:val="auto"/>
                <w:sz w:val="24"/>
                <w:szCs w:val="24"/>
                <w:highlight w:val="none"/>
              </w:rPr>
            </w:pPr>
            <w:r>
              <w:rPr>
                <w:rFonts w:ascii="Times New Roman" w:hAnsi="Times New Roman"/>
                <w:color w:val="auto"/>
                <w:kern w:val="0"/>
                <w:sz w:val="24"/>
                <w:szCs w:val="24"/>
                <w:highlight w:val="none"/>
                <w:lang w:bidi="ar"/>
              </w:rPr>
              <w:t>57</w:t>
            </w:r>
          </w:p>
        </w:tc>
        <w:tc>
          <w:tcPr>
            <w:tcW w:w="582" w:type="pct"/>
            <w:tcBorders>
              <w:top w:val="nil"/>
              <w:left w:val="nil"/>
              <w:bottom w:val="single" w:color="auto" w:sz="4" w:space="0"/>
              <w:right w:val="single" w:color="000000" w:sz="8" w:space="0"/>
            </w:tcBorders>
            <w:shd w:val="clear" w:color="auto" w:fill="FFFFFF"/>
            <w:noWrap/>
            <w:vAlign w:val="center"/>
          </w:tcPr>
          <w:p>
            <w:pPr>
              <w:widowControl/>
              <w:jc w:val="center"/>
              <w:textAlignment w:val="center"/>
              <w:rPr>
                <w:rFonts w:ascii="Times New Roman" w:hAnsi="Times New Roman"/>
                <w:color w:val="auto"/>
                <w:sz w:val="24"/>
                <w:szCs w:val="24"/>
                <w:highlight w:val="none"/>
              </w:rPr>
            </w:pPr>
            <w:r>
              <w:rPr>
                <w:rFonts w:ascii="Times New Roman" w:hAnsi="Times New Roman"/>
                <w:color w:val="auto"/>
                <w:kern w:val="0"/>
                <w:sz w:val="24"/>
                <w:szCs w:val="24"/>
                <w:highlight w:val="none"/>
                <w:lang w:bidi="ar"/>
              </w:rPr>
              <w:t>19</w:t>
            </w:r>
          </w:p>
        </w:tc>
        <w:tc>
          <w:tcPr>
            <w:tcW w:w="711" w:type="pct"/>
            <w:tcBorders>
              <w:top w:val="nil"/>
              <w:left w:val="nil"/>
              <w:bottom w:val="single" w:color="auto" w:sz="4" w:space="0"/>
              <w:right w:val="single" w:color="000000" w:sz="8" w:space="0"/>
            </w:tcBorders>
            <w:shd w:val="clear" w:color="auto" w:fill="FFFFFF"/>
            <w:noWrap/>
            <w:vAlign w:val="center"/>
          </w:tcPr>
          <w:p>
            <w:pPr>
              <w:widowControl/>
              <w:jc w:val="center"/>
              <w:textAlignment w:val="center"/>
              <w:rPr>
                <w:rFonts w:ascii="Times New Roman" w:hAnsi="Times New Roman"/>
                <w:color w:val="auto"/>
                <w:sz w:val="24"/>
                <w:szCs w:val="24"/>
                <w:highlight w:val="none"/>
              </w:rPr>
            </w:pPr>
            <w:r>
              <w:rPr>
                <w:rFonts w:ascii="Times New Roman" w:hAnsi="Times New Roman"/>
                <w:color w:val="auto"/>
                <w:kern w:val="0"/>
                <w:sz w:val="24"/>
                <w:szCs w:val="24"/>
                <w:highlight w:val="none"/>
                <w:lang w:bidi="ar"/>
              </w:rPr>
              <w:t>0.5</w:t>
            </w:r>
          </w:p>
        </w:tc>
        <w:tc>
          <w:tcPr>
            <w:tcW w:w="711" w:type="pct"/>
            <w:tcBorders>
              <w:top w:val="nil"/>
              <w:left w:val="nil"/>
              <w:bottom w:val="single" w:color="auto" w:sz="4" w:space="0"/>
              <w:right w:val="single" w:color="000000" w:sz="8" w:space="0"/>
            </w:tcBorders>
            <w:shd w:val="clear" w:color="auto" w:fill="FFFFFF"/>
            <w:noWrap/>
            <w:vAlign w:val="center"/>
          </w:tcPr>
          <w:p>
            <w:pPr>
              <w:widowControl/>
              <w:jc w:val="center"/>
              <w:textAlignment w:val="center"/>
              <w:rPr>
                <w:rFonts w:ascii="Times New Roman" w:hAnsi="Times New Roman"/>
                <w:color w:val="auto"/>
                <w:sz w:val="24"/>
                <w:szCs w:val="24"/>
                <w:highlight w:val="none"/>
              </w:rPr>
            </w:pPr>
            <w:r>
              <w:rPr>
                <w:rFonts w:ascii="Times New Roman" w:hAnsi="Times New Roman"/>
                <w:color w:val="auto"/>
                <w:kern w:val="0"/>
                <w:sz w:val="24"/>
                <w:szCs w:val="24"/>
                <w:highlight w:val="none"/>
                <w:lang w:bidi="ar"/>
              </w:rPr>
              <w:t>2.1</w:t>
            </w:r>
          </w:p>
        </w:tc>
        <w:tc>
          <w:tcPr>
            <w:tcW w:w="715" w:type="pct"/>
            <w:tcBorders>
              <w:top w:val="nil"/>
              <w:left w:val="nil"/>
              <w:bottom w:val="single" w:color="auto" w:sz="4" w:space="0"/>
              <w:right w:val="single" w:color="000000" w:sz="8" w:space="0"/>
            </w:tcBorders>
            <w:shd w:val="clear" w:color="auto" w:fill="FFFFFF"/>
            <w:noWrap/>
            <w:vAlign w:val="center"/>
          </w:tcPr>
          <w:p>
            <w:pPr>
              <w:widowControl/>
              <w:jc w:val="center"/>
              <w:textAlignment w:val="center"/>
              <w:rPr>
                <w:rFonts w:ascii="Times New Roman" w:hAnsi="Times New Roman"/>
                <w:color w:val="auto"/>
                <w:sz w:val="24"/>
                <w:szCs w:val="24"/>
                <w:highlight w:val="none"/>
              </w:rPr>
            </w:pPr>
            <w:r>
              <w:rPr>
                <w:rFonts w:ascii="Times New Roman" w:hAnsi="Times New Roman"/>
                <w:color w:val="auto"/>
                <w:kern w:val="0"/>
                <w:sz w:val="24"/>
                <w:szCs w:val="24"/>
                <w:highlight w:val="none"/>
                <w:lang w:bidi="ar"/>
              </w:rPr>
              <w:t>13325</w:t>
            </w:r>
          </w:p>
        </w:tc>
      </w:tr>
      <w:tr>
        <w:tblPrEx>
          <w:tblCellMar>
            <w:top w:w="0" w:type="dxa"/>
            <w:left w:w="108" w:type="dxa"/>
            <w:bottom w:w="0" w:type="dxa"/>
            <w:right w:w="108" w:type="dxa"/>
          </w:tblCellMar>
        </w:tblPrEx>
        <w:trPr>
          <w:trHeight w:val="524" w:hRule="atLeast"/>
          <w:jc w:val="center"/>
        </w:trPr>
        <w:tc>
          <w:tcPr>
            <w:tcW w:w="557" w:type="pct"/>
            <w:tcBorders>
              <w:top w:val="single" w:color="auto" w:sz="4" w:space="0"/>
              <w:left w:val="single" w:color="auto" w:sz="4" w:space="0"/>
              <w:bottom w:val="single" w:color="auto" w:sz="4" w:space="0"/>
              <w:right w:val="single" w:color="000000" w:sz="4" w:space="0"/>
            </w:tcBorders>
            <w:shd w:val="clear" w:color="auto" w:fill="auto"/>
            <w:vAlign w:val="center"/>
          </w:tcPr>
          <w:p>
            <w:pPr>
              <w:jc w:val="center"/>
              <w:rPr>
                <w:rFonts w:ascii="仿宋" w:hAnsi="仿宋"/>
                <w:b/>
                <w:bCs/>
                <w:color w:val="auto"/>
                <w:sz w:val="24"/>
                <w:szCs w:val="24"/>
                <w:highlight w:val="none"/>
              </w:rPr>
            </w:pPr>
            <w:r>
              <w:rPr>
                <w:rFonts w:hint="eastAsia" w:ascii="仿宋" w:hAnsi="仿宋"/>
                <w:b/>
                <w:bCs/>
                <w:color w:val="auto"/>
                <w:sz w:val="24"/>
                <w:szCs w:val="24"/>
                <w:highlight w:val="none"/>
              </w:rPr>
              <w:t>合计</w:t>
            </w:r>
          </w:p>
        </w:tc>
        <w:tc>
          <w:tcPr>
            <w:tcW w:w="558" w:type="pct"/>
            <w:tcBorders>
              <w:top w:val="single" w:color="auto" w:sz="4" w:space="0"/>
              <w:left w:val="nil"/>
              <w:bottom w:val="single" w:color="auto" w:sz="4" w:space="0"/>
              <w:right w:val="single" w:color="000000" w:sz="8" w:space="0"/>
            </w:tcBorders>
            <w:shd w:val="clear" w:color="auto" w:fill="FFFFFF"/>
            <w:vAlign w:val="center"/>
          </w:tcPr>
          <w:p>
            <w:pPr>
              <w:widowControl/>
              <w:jc w:val="center"/>
              <w:textAlignment w:val="center"/>
              <w:rPr>
                <w:rFonts w:ascii="仿宋" w:hAnsi="仿宋"/>
                <w:b/>
                <w:bCs/>
                <w:color w:val="auto"/>
                <w:kern w:val="0"/>
                <w:sz w:val="24"/>
                <w:szCs w:val="24"/>
                <w:highlight w:val="none"/>
                <w:lang w:bidi="ar"/>
              </w:rPr>
            </w:pPr>
            <w:r>
              <w:rPr>
                <w:rFonts w:hint="eastAsia" w:ascii="仿宋" w:hAnsi="仿宋"/>
                <w:b/>
                <w:bCs/>
                <w:color w:val="auto"/>
                <w:kern w:val="0"/>
                <w:sz w:val="24"/>
                <w:szCs w:val="24"/>
                <w:highlight w:val="none"/>
                <w:lang w:bidi="ar"/>
              </w:rPr>
              <w:t>甘孜州</w:t>
            </w:r>
          </w:p>
        </w:tc>
        <w:tc>
          <w:tcPr>
            <w:tcW w:w="581" w:type="pct"/>
            <w:tcBorders>
              <w:top w:val="single" w:color="auto" w:sz="4" w:space="0"/>
              <w:left w:val="nil"/>
              <w:bottom w:val="single" w:color="auto" w:sz="4" w:space="0"/>
              <w:right w:val="single" w:color="000000" w:sz="8" w:space="0"/>
            </w:tcBorders>
            <w:shd w:val="clear" w:color="auto" w:fill="FFFFFF"/>
            <w:vAlign w:val="center"/>
          </w:tcPr>
          <w:p>
            <w:pPr>
              <w:widowControl/>
              <w:jc w:val="center"/>
              <w:textAlignment w:val="center"/>
              <w:rPr>
                <w:rFonts w:ascii="Times New Roman" w:hAnsi="Times New Roman"/>
                <w:b/>
                <w:bCs/>
                <w:color w:val="auto"/>
                <w:kern w:val="0"/>
                <w:sz w:val="24"/>
                <w:szCs w:val="24"/>
                <w:highlight w:val="none"/>
                <w:lang w:bidi="ar"/>
              </w:rPr>
            </w:pPr>
            <w:r>
              <w:rPr>
                <w:rFonts w:ascii="Times New Roman" w:hAnsi="Times New Roman"/>
                <w:b/>
                <w:bCs/>
                <w:color w:val="auto"/>
                <w:kern w:val="0"/>
                <w:sz w:val="24"/>
                <w:szCs w:val="24"/>
                <w:highlight w:val="none"/>
                <w:lang w:bidi="ar"/>
              </w:rPr>
              <w:t>2252</w:t>
            </w:r>
          </w:p>
        </w:tc>
        <w:tc>
          <w:tcPr>
            <w:tcW w:w="581" w:type="pct"/>
            <w:tcBorders>
              <w:top w:val="single" w:color="auto" w:sz="4" w:space="0"/>
              <w:left w:val="nil"/>
              <w:bottom w:val="single" w:color="auto" w:sz="4" w:space="0"/>
              <w:right w:val="single" w:color="000000" w:sz="8" w:space="0"/>
            </w:tcBorders>
            <w:shd w:val="clear" w:color="auto" w:fill="FFFFFF"/>
            <w:noWrap/>
            <w:vAlign w:val="center"/>
          </w:tcPr>
          <w:p>
            <w:pPr>
              <w:widowControl/>
              <w:jc w:val="center"/>
              <w:textAlignment w:val="center"/>
              <w:rPr>
                <w:rFonts w:ascii="Times New Roman" w:hAnsi="Times New Roman"/>
                <w:b/>
                <w:bCs/>
                <w:color w:val="auto"/>
                <w:kern w:val="0"/>
                <w:sz w:val="24"/>
                <w:szCs w:val="24"/>
                <w:highlight w:val="none"/>
                <w:lang w:bidi="ar"/>
              </w:rPr>
            </w:pPr>
            <w:r>
              <w:rPr>
                <w:rFonts w:ascii="Times New Roman" w:hAnsi="Times New Roman"/>
                <w:b/>
                <w:bCs/>
                <w:color w:val="auto"/>
                <w:kern w:val="0"/>
                <w:sz w:val="24"/>
                <w:szCs w:val="24"/>
                <w:highlight w:val="none"/>
                <w:lang w:bidi="ar"/>
              </w:rPr>
              <w:t>1212</w:t>
            </w:r>
          </w:p>
        </w:tc>
        <w:tc>
          <w:tcPr>
            <w:tcW w:w="582" w:type="pct"/>
            <w:tcBorders>
              <w:top w:val="single" w:color="auto" w:sz="4" w:space="0"/>
              <w:left w:val="nil"/>
              <w:bottom w:val="single" w:color="auto" w:sz="4" w:space="0"/>
              <w:right w:val="single" w:color="000000" w:sz="8" w:space="0"/>
            </w:tcBorders>
            <w:shd w:val="clear" w:color="auto" w:fill="FFFFFF"/>
            <w:noWrap/>
            <w:vAlign w:val="center"/>
          </w:tcPr>
          <w:p>
            <w:pPr>
              <w:widowControl/>
              <w:jc w:val="center"/>
              <w:textAlignment w:val="center"/>
              <w:rPr>
                <w:rFonts w:ascii="Times New Roman" w:hAnsi="Times New Roman"/>
                <w:b/>
                <w:bCs/>
                <w:color w:val="auto"/>
                <w:kern w:val="0"/>
                <w:sz w:val="24"/>
                <w:szCs w:val="24"/>
                <w:highlight w:val="none"/>
                <w:lang w:bidi="ar"/>
              </w:rPr>
            </w:pPr>
            <w:r>
              <w:rPr>
                <w:rFonts w:ascii="Times New Roman" w:hAnsi="Times New Roman"/>
                <w:b/>
                <w:bCs/>
                <w:color w:val="auto"/>
                <w:kern w:val="0"/>
                <w:sz w:val="24"/>
                <w:szCs w:val="24"/>
                <w:highlight w:val="none"/>
                <w:lang w:bidi="ar"/>
              </w:rPr>
              <w:t>542</w:t>
            </w:r>
          </w:p>
        </w:tc>
        <w:tc>
          <w:tcPr>
            <w:tcW w:w="711" w:type="pct"/>
            <w:tcBorders>
              <w:top w:val="single" w:color="auto" w:sz="4" w:space="0"/>
              <w:left w:val="nil"/>
              <w:bottom w:val="single" w:color="auto" w:sz="4" w:space="0"/>
              <w:right w:val="single" w:color="000000" w:sz="8" w:space="0"/>
            </w:tcBorders>
            <w:shd w:val="clear" w:color="auto" w:fill="FFFFFF"/>
            <w:noWrap/>
            <w:vAlign w:val="center"/>
          </w:tcPr>
          <w:p>
            <w:pPr>
              <w:widowControl/>
              <w:jc w:val="center"/>
              <w:textAlignment w:val="center"/>
              <w:rPr>
                <w:rFonts w:ascii="Times New Roman" w:hAnsi="Times New Roman"/>
                <w:b/>
                <w:bCs/>
                <w:color w:val="auto"/>
                <w:kern w:val="0"/>
                <w:sz w:val="24"/>
                <w:szCs w:val="24"/>
                <w:highlight w:val="none"/>
                <w:lang w:bidi="ar"/>
              </w:rPr>
            </w:pPr>
            <w:r>
              <w:rPr>
                <w:rFonts w:ascii="Times New Roman" w:hAnsi="Times New Roman"/>
                <w:b/>
                <w:bCs/>
                <w:color w:val="auto"/>
                <w:kern w:val="0"/>
                <w:sz w:val="24"/>
                <w:szCs w:val="24"/>
                <w:highlight w:val="none"/>
                <w:lang w:bidi="ar"/>
              </w:rPr>
              <w:t>22.6</w:t>
            </w:r>
          </w:p>
        </w:tc>
        <w:tc>
          <w:tcPr>
            <w:tcW w:w="711" w:type="pct"/>
            <w:tcBorders>
              <w:top w:val="single" w:color="auto" w:sz="4" w:space="0"/>
              <w:left w:val="nil"/>
              <w:bottom w:val="single" w:color="auto" w:sz="4" w:space="0"/>
              <w:right w:val="single" w:color="000000" w:sz="8" w:space="0"/>
            </w:tcBorders>
            <w:shd w:val="clear" w:color="auto" w:fill="FFFFFF"/>
            <w:noWrap/>
            <w:vAlign w:val="center"/>
          </w:tcPr>
          <w:p>
            <w:pPr>
              <w:widowControl/>
              <w:jc w:val="center"/>
              <w:textAlignment w:val="center"/>
              <w:rPr>
                <w:rFonts w:ascii="Times New Roman" w:hAnsi="Times New Roman"/>
                <w:b/>
                <w:bCs/>
                <w:color w:val="auto"/>
                <w:kern w:val="0"/>
                <w:sz w:val="24"/>
                <w:szCs w:val="24"/>
                <w:highlight w:val="none"/>
                <w:lang w:bidi="ar"/>
              </w:rPr>
            </w:pPr>
            <w:r>
              <w:rPr>
                <w:rFonts w:ascii="Times New Roman" w:hAnsi="Times New Roman"/>
                <w:b/>
                <w:bCs/>
                <w:color w:val="auto"/>
                <w:kern w:val="0"/>
                <w:sz w:val="24"/>
                <w:szCs w:val="24"/>
                <w:highlight w:val="none"/>
                <w:lang w:bidi="ar"/>
              </w:rPr>
              <w:t>91.1</w:t>
            </w:r>
          </w:p>
        </w:tc>
        <w:tc>
          <w:tcPr>
            <w:tcW w:w="715" w:type="pct"/>
            <w:tcBorders>
              <w:top w:val="single" w:color="auto" w:sz="4" w:space="0"/>
              <w:left w:val="nil"/>
              <w:bottom w:val="single" w:color="auto" w:sz="4" w:space="0"/>
              <w:right w:val="single" w:color="auto" w:sz="4" w:space="0"/>
            </w:tcBorders>
            <w:shd w:val="clear" w:color="auto" w:fill="FFFFFF"/>
            <w:noWrap/>
            <w:vAlign w:val="center"/>
          </w:tcPr>
          <w:p>
            <w:pPr>
              <w:widowControl/>
              <w:jc w:val="center"/>
              <w:textAlignment w:val="center"/>
              <w:rPr>
                <w:rFonts w:ascii="Times New Roman" w:hAnsi="Times New Roman"/>
                <w:b/>
                <w:bCs/>
                <w:color w:val="auto"/>
                <w:kern w:val="0"/>
                <w:sz w:val="24"/>
                <w:szCs w:val="24"/>
                <w:highlight w:val="none"/>
                <w:lang w:bidi="ar"/>
              </w:rPr>
            </w:pPr>
            <w:r>
              <w:rPr>
                <w:rFonts w:ascii="Times New Roman" w:hAnsi="Times New Roman"/>
                <w:b/>
                <w:bCs/>
                <w:color w:val="auto"/>
                <w:kern w:val="0"/>
                <w:sz w:val="24"/>
                <w:szCs w:val="24"/>
                <w:highlight w:val="none"/>
                <w:lang w:bidi="ar"/>
              </w:rPr>
              <w:t>13967</w:t>
            </w:r>
          </w:p>
        </w:tc>
      </w:tr>
    </w:tbl>
    <w:p>
      <w:pPr>
        <w:pStyle w:val="21"/>
        <w:rPr>
          <w:rFonts w:hint="default"/>
          <w:color w:val="auto"/>
          <w:highlight w:val="none"/>
        </w:rPr>
      </w:pPr>
    </w:p>
    <w:p>
      <w:pPr>
        <w:rPr>
          <w:rFonts w:hint="default"/>
          <w:color w:val="auto"/>
        </w:rPr>
      </w:pPr>
    </w:p>
    <w:p>
      <w:pPr>
        <w:pStyle w:val="5"/>
        <w:keepNext/>
        <w:keepLines/>
        <w:pageBreakBefore w:val="0"/>
        <w:widowControl w:val="0"/>
        <w:tabs>
          <w:tab w:val="clear" w:pos="0"/>
        </w:tabs>
        <w:suppressAutoHyphens w:val="0"/>
        <w:kinsoku/>
        <w:wordWrap/>
        <w:overflowPunct/>
        <w:topLinePunct w:val="0"/>
        <w:autoSpaceDE/>
        <w:autoSpaceDN/>
        <w:bidi w:val="0"/>
        <w:adjustRightInd/>
        <w:snapToGrid w:val="0"/>
        <w:spacing w:before="0" w:after="0" w:line="360" w:lineRule="auto"/>
        <w:ind w:firstLine="0" w:firstLineChars="0"/>
        <w:jc w:val="center"/>
        <w:textAlignment w:val="auto"/>
        <w:rPr>
          <w:rFonts w:hint="eastAsia" w:ascii="楷体" w:hAnsi="楷体" w:eastAsia="楷体" w:cs="黑体"/>
          <w:bCs w:val="0"/>
          <w:color w:val="auto"/>
          <w:kern w:val="0"/>
          <w:highlight w:val="none"/>
        </w:rPr>
      </w:pPr>
      <w:bookmarkStart w:id="177" w:name="_Toc4403"/>
      <w:bookmarkStart w:id="178" w:name="_Toc4455"/>
      <w:bookmarkStart w:id="179" w:name="_Toc22469"/>
      <w:r>
        <w:rPr>
          <w:rFonts w:hint="eastAsia" w:ascii="楷体" w:hAnsi="楷体" w:eastAsia="楷体" w:cs="黑体"/>
          <w:bCs w:val="0"/>
          <w:color w:val="auto"/>
          <w:kern w:val="0"/>
          <w:highlight w:val="none"/>
        </w:rPr>
        <w:t>附件</w:t>
      </w:r>
      <w:r>
        <w:rPr>
          <w:rFonts w:hint="eastAsia" w:ascii="楷体" w:hAnsi="楷体" w:eastAsia="楷体" w:cs="黑体"/>
          <w:bCs w:val="0"/>
          <w:color w:val="auto"/>
          <w:kern w:val="0"/>
          <w:highlight w:val="none"/>
          <w:lang w:val="en-US" w:eastAsia="zh-CN"/>
        </w:rPr>
        <w:t>4</w:t>
      </w:r>
      <w:r>
        <w:rPr>
          <w:rFonts w:hint="eastAsia" w:ascii="楷体" w:hAnsi="楷体" w:eastAsia="楷体" w:cs="黑体"/>
          <w:bCs w:val="0"/>
          <w:color w:val="auto"/>
          <w:kern w:val="0"/>
          <w:highlight w:val="none"/>
        </w:rPr>
        <w:t>：甘孜州乡村振兴重点帮扶县投资明细表</w:t>
      </w:r>
      <w:bookmarkEnd w:id="177"/>
      <w:bookmarkEnd w:id="178"/>
      <w:bookmarkEnd w:id="179"/>
    </w:p>
    <w:tbl>
      <w:tblPr>
        <w:tblStyle w:val="25"/>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60"/>
        <w:gridCol w:w="2030"/>
        <w:gridCol w:w="1268"/>
        <w:gridCol w:w="1527"/>
        <w:gridCol w:w="1527"/>
        <w:gridCol w:w="140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44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1"/>
                <w:szCs w:val="21"/>
                <w:u w:val="none"/>
              </w:rPr>
            </w:pPr>
            <w:r>
              <w:rPr>
                <w:rFonts w:hint="eastAsia" w:ascii="仿宋" w:hAnsi="仿宋" w:eastAsia="仿宋" w:cs="仿宋"/>
                <w:b/>
                <w:bCs/>
                <w:i w:val="0"/>
                <w:iCs w:val="0"/>
                <w:color w:val="auto"/>
                <w:kern w:val="0"/>
                <w:sz w:val="21"/>
                <w:szCs w:val="21"/>
                <w:u w:val="none"/>
                <w:lang w:val="en-US" w:eastAsia="zh-CN" w:bidi="ar"/>
              </w:rPr>
              <w:t>序号</w:t>
            </w:r>
          </w:p>
        </w:tc>
        <w:tc>
          <w:tcPr>
            <w:tcW w:w="119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1"/>
                <w:szCs w:val="21"/>
                <w:u w:val="none"/>
              </w:rPr>
            </w:pPr>
            <w:r>
              <w:rPr>
                <w:rFonts w:hint="eastAsia" w:ascii="仿宋" w:hAnsi="仿宋" w:eastAsia="仿宋" w:cs="仿宋"/>
                <w:b/>
                <w:bCs/>
                <w:i w:val="0"/>
                <w:iCs w:val="0"/>
                <w:color w:val="auto"/>
                <w:kern w:val="0"/>
                <w:sz w:val="21"/>
                <w:szCs w:val="21"/>
                <w:u w:val="none"/>
                <w:lang w:val="en-US" w:eastAsia="zh-CN" w:bidi="ar"/>
              </w:rPr>
              <w:t>类别</w:t>
            </w:r>
          </w:p>
        </w:tc>
        <w:tc>
          <w:tcPr>
            <w:tcW w:w="74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1"/>
                <w:szCs w:val="21"/>
                <w:u w:val="none"/>
              </w:rPr>
            </w:pPr>
            <w:r>
              <w:rPr>
                <w:rStyle w:val="54"/>
                <w:rFonts w:hint="eastAsia" w:ascii="仿宋" w:hAnsi="仿宋" w:eastAsia="仿宋" w:cs="仿宋"/>
                <w:color w:val="auto"/>
                <w:sz w:val="21"/>
                <w:szCs w:val="21"/>
                <w:lang w:val="en-US" w:eastAsia="zh-CN" w:bidi="ar"/>
              </w:rPr>
              <w:t>行政区域</w:t>
            </w:r>
            <w:r>
              <w:rPr>
                <w:rStyle w:val="55"/>
                <w:rFonts w:hint="eastAsia" w:ascii="仿宋" w:hAnsi="仿宋" w:eastAsia="仿宋" w:cs="仿宋"/>
                <w:color w:val="auto"/>
                <w:sz w:val="21"/>
                <w:szCs w:val="21"/>
                <w:lang w:val="en-US" w:eastAsia="zh-CN" w:bidi="ar"/>
              </w:rPr>
              <w:t xml:space="preserve">  </w:t>
            </w:r>
          </w:p>
        </w:tc>
        <w:tc>
          <w:tcPr>
            <w:tcW w:w="2617" w:type="pct"/>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1"/>
                <w:szCs w:val="21"/>
                <w:u w:val="none"/>
              </w:rPr>
            </w:pPr>
            <w:r>
              <w:rPr>
                <w:rFonts w:hint="eastAsia" w:ascii="仿宋" w:hAnsi="仿宋" w:eastAsia="仿宋" w:cs="仿宋"/>
                <w:b/>
                <w:bCs/>
                <w:i w:val="0"/>
                <w:iCs w:val="0"/>
                <w:color w:val="auto"/>
                <w:kern w:val="0"/>
                <w:sz w:val="21"/>
                <w:szCs w:val="21"/>
                <w:u w:val="none"/>
                <w:lang w:val="en-US" w:eastAsia="zh-CN" w:bidi="ar"/>
              </w:rPr>
              <w:t>总投资（万元）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4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b/>
                <w:bCs/>
                <w:i w:val="0"/>
                <w:iCs w:val="0"/>
                <w:color w:val="auto"/>
                <w:sz w:val="21"/>
                <w:szCs w:val="21"/>
                <w:u w:val="none"/>
              </w:rPr>
            </w:pPr>
          </w:p>
        </w:tc>
        <w:tc>
          <w:tcPr>
            <w:tcW w:w="11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auto"/>
                <w:sz w:val="21"/>
                <w:szCs w:val="21"/>
                <w:u w:val="none"/>
              </w:rPr>
            </w:pPr>
          </w:p>
        </w:tc>
        <w:tc>
          <w:tcPr>
            <w:tcW w:w="7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auto"/>
                <w:sz w:val="21"/>
                <w:szCs w:val="21"/>
                <w:u w:val="none"/>
              </w:rPr>
            </w:pPr>
          </w:p>
        </w:tc>
        <w:tc>
          <w:tcPr>
            <w:tcW w:w="2617"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b/>
                <w:bCs/>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44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b/>
                <w:bCs/>
                <w:i w:val="0"/>
                <w:iCs w:val="0"/>
                <w:color w:val="auto"/>
                <w:sz w:val="21"/>
                <w:szCs w:val="21"/>
                <w:u w:val="none"/>
              </w:rPr>
            </w:pPr>
          </w:p>
        </w:tc>
        <w:tc>
          <w:tcPr>
            <w:tcW w:w="11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auto"/>
                <w:sz w:val="21"/>
                <w:szCs w:val="21"/>
                <w:u w:val="none"/>
              </w:rPr>
            </w:pPr>
          </w:p>
        </w:tc>
        <w:tc>
          <w:tcPr>
            <w:tcW w:w="7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auto"/>
                <w:sz w:val="21"/>
                <w:szCs w:val="21"/>
                <w:u w:val="none"/>
              </w:rPr>
            </w:pPr>
          </w:p>
        </w:tc>
        <w:tc>
          <w:tcPr>
            <w:tcW w:w="8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1"/>
                <w:szCs w:val="21"/>
                <w:u w:val="none"/>
              </w:rPr>
            </w:pPr>
            <w:r>
              <w:rPr>
                <w:rFonts w:hint="eastAsia" w:ascii="仿宋" w:hAnsi="仿宋" w:eastAsia="仿宋" w:cs="仿宋"/>
                <w:b/>
                <w:bCs/>
                <w:i w:val="0"/>
                <w:iCs w:val="0"/>
                <w:color w:val="auto"/>
                <w:kern w:val="0"/>
                <w:sz w:val="21"/>
                <w:szCs w:val="21"/>
                <w:u w:val="none"/>
                <w:lang w:val="en-US" w:eastAsia="zh-CN" w:bidi="ar"/>
              </w:rPr>
              <w:t>合计</w:t>
            </w:r>
          </w:p>
        </w:tc>
        <w:tc>
          <w:tcPr>
            <w:tcW w:w="8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1"/>
                <w:szCs w:val="21"/>
                <w:u w:val="none"/>
              </w:rPr>
            </w:pPr>
            <w:r>
              <w:rPr>
                <w:rFonts w:hint="eastAsia" w:ascii="仿宋" w:hAnsi="仿宋" w:eastAsia="仿宋" w:cs="仿宋"/>
                <w:b/>
                <w:bCs/>
                <w:i w:val="0"/>
                <w:iCs w:val="0"/>
                <w:color w:val="auto"/>
                <w:kern w:val="0"/>
                <w:sz w:val="21"/>
                <w:szCs w:val="21"/>
                <w:u w:val="none"/>
                <w:lang w:val="en-US" w:eastAsia="zh-CN" w:bidi="ar"/>
              </w:rPr>
              <w:t>财政资金</w:t>
            </w:r>
          </w:p>
        </w:tc>
        <w:tc>
          <w:tcPr>
            <w:tcW w:w="82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1"/>
                <w:szCs w:val="21"/>
                <w:u w:val="none"/>
              </w:rPr>
            </w:pPr>
            <w:r>
              <w:rPr>
                <w:rFonts w:hint="eastAsia" w:ascii="仿宋" w:hAnsi="仿宋" w:eastAsia="仿宋" w:cs="仿宋"/>
                <w:b/>
                <w:bCs/>
                <w:i w:val="0"/>
                <w:iCs w:val="0"/>
                <w:color w:val="auto"/>
                <w:kern w:val="0"/>
                <w:sz w:val="21"/>
                <w:szCs w:val="21"/>
                <w:u w:val="none"/>
                <w:lang w:val="en-US" w:eastAsia="zh-CN" w:bidi="ar"/>
              </w:rPr>
              <w:t>其他资金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4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b/>
                <w:bCs/>
                <w:i w:val="0"/>
                <w:iCs w:val="0"/>
                <w:color w:val="auto"/>
                <w:sz w:val="21"/>
                <w:szCs w:val="21"/>
                <w:u w:val="none"/>
              </w:rPr>
            </w:pPr>
          </w:p>
        </w:tc>
        <w:tc>
          <w:tcPr>
            <w:tcW w:w="11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auto"/>
                <w:sz w:val="21"/>
                <w:szCs w:val="21"/>
                <w:u w:val="none"/>
              </w:rPr>
            </w:pPr>
          </w:p>
        </w:tc>
        <w:tc>
          <w:tcPr>
            <w:tcW w:w="7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auto"/>
                <w:sz w:val="21"/>
                <w:szCs w:val="21"/>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auto"/>
                <w:sz w:val="21"/>
                <w:szCs w:val="21"/>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auto"/>
                <w:sz w:val="21"/>
                <w:szCs w:val="21"/>
                <w:u w:val="none"/>
              </w:rPr>
            </w:pPr>
          </w:p>
        </w:tc>
        <w:tc>
          <w:tcPr>
            <w:tcW w:w="8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6" w:hRule="atLeast"/>
        </w:trPr>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w:t>
            </w:r>
          </w:p>
        </w:tc>
        <w:tc>
          <w:tcPr>
            <w:tcW w:w="119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1"/>
                <w:szCs w:val="21"/>
                <w:u w:val="none"/>
              </w:rPr>
            </w:pPr>
            <w:r>
              <w:rPr>
                <w:rFonts w:hint="eastAsia" w:ascii="仿宋" w:hAnsi="仿宋" w:eastAsia="仿宋" w:cs="仿宋"/>
                <w:b/>
                <w:bCs/>
                <w:i w:val="0"/>
                <w:iCs w:val="0"/>
                <w:color w:val="auto"/>
                <w:kern w:val="0"/>
                <w:sz w:val="21"/>
                <w:szCs w:val="21"/>
                <w:u w:val="none"/>
                <w:lang w:val="en-US" w:eastAsia="zh-CN" w:bidi="ar"/>
              </w:rPr>
              <w:t>国家重点帮扶县</w:t>
            </w:r>
          </w:p>
        </w:tc>
        <w:tc>
          <w:tcPr>
            <w:tcW w:w="74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道孚县</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492551.29</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434552.86</w:t>
            </w: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57998.43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9" w:hRule="atLeast"/>
        </w:trPr>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w:t>
            </w:r>
          </w:p>
        </w:tc>
        <w:tc>
          <w:tcPr>
            <w:tcW w:w="11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auto"/>
                <w:sz w:val="21"/>
                <w:szCs w:val="21"/>
                <w:u w:val="none"/>
              </w:rPr>
            </w:pPr>
          </w:p>
        </w:tc>
        <w:tc>
          <w:tcPr>
            <w:tcW w:w="74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炉霍县</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167157.87</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153352.25</w:t>
            </w: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13805.62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9" w:hRule="atLeast"/>
        </w:trPr>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3</w:t>
            </w:r>
          </w:p>
        </w:tc>
        <w:tc>
          <w:tcPr>
            <w:tcW w:w="11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auto"/>
                <w:sz w:val="21"/>
                <w:szCs w:val="21"/>
                <w:u w:val="none"/>
              </w:rPr>
            </w:pPr>
          </w:p>
        </w:tc>
        <w:tc>
          <w:tcPr>
            <w:tcW w:w="74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甘孜县</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408947.88</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366695.27</w:t>
            </w: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42252.61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1" w:hRule="atLeast"/>
        </w:trPr>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4</w:t>
            </w:r>
          </w:p>
        </w:tc>
        <w:tc>
          <w:tcPr>
            <w:tcW w:w="11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auto"/>
                <w:sz w:val="21"/>
                <w:szCs w:val="21"/>
                <w:u w:val="none"/>
              </w:rPr>
            </w:pPr>
          </w:p>
        </w:tc>
        <w:tc>
          <w:tcPr>
            <w:tcW w:w="74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新龙县</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349484.16</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315833.67</w:t>
            </w: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33650.49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5</w:t>
            </w:r>
          </w:p>
        </w:tc>
        <w:tc>
          <w:tcPr>
            <w:tcW w:w="11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auto"/>
                <w:sz w:val="21"/>
                <w:szCs w:val="21"/>
                <w:u w:val="none"/>
              </w:rPr>
            </w:pPr>
          </w:p>
        </w:tc>
        <w:tc>
          <w:tcPr>
            <w:tcW w:w="74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德格县</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396469.92</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235774.54</w:t>
            </w: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160695.37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6</w:t>
            </w:r>
          </w:p>
        </w:tc>
        <w:tc>
          <w:tcPr>
            <w:tcW w:w="11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auto"/>
                <w:sz w:val="21"/>
                <w:szCs w:val="21"/>
                <w:u w:val="none"/>
              </w:rPr>
            </w:pPr>
          </w:p>
        </w:tc>
        <w:tc>
          <w:tcPr>
            <w:tcW w:w="74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白玉县</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258085.76</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218696.61</w:t>
            </w: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39389.15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7</w:t>
            </w:r>
          </w:p>
        </w:tc>
        <w:tc>
          <w:tcPr>
            <w:tcW w:w="11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auto"/>
                <w:sz w:val="21"/>
                <w:szCs w:val="21"/>
                <w:u w:val="none"/>
              </w:rPr>
            </w:pPr>
          </w:p>
        </w:tc>
        <w:tc>
          <w:tcPr>
            <w:tcW w:w="74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石渠县</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559665.56</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416451.73</w:t>
            </w: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143213.83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8</w:t>
            </w:r>
          </w:p>
        </w:tc>
        <w:tc>
          <w:tcPr>
            <w:tcW w:w="11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auto"/>
                <w:sz w:val="21"/>
                <w:szCs w:val="21"/>
                <w:u w:val="none"/>
              </w:rPr>
            </w:pPr>
          </w:p>
        </w:tc>
        <w:tc>
          <w:tcPr>
            <w:tcW w:w="74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色达县</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318200.29</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287130.84</w:t>
            </w: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31069.45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7" w:hRule="atLeast"/>
        </w:trPr>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9</w:t>
            </w:r>
          </w:p>
        </w:tc>
        <w:tc>
          <w:tcPr>
            <w:tcW w:w="11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auto"/>
                <w:sz w:val="21"/>
                <w:szCs w:val="21"/>
                <w:u w:val="none"/>
              </w:rPr>
            </w:pPr>
          </w:p>
        </w:tc>
        <w:tc>
          <w:tcPr>
            <w:tcW w:w="74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理塘县</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166982.71</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158713.45</w:t>
            </w: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8269.26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trPr>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10</w:t>
            </w:r>
          </w:p>
        </w:tc>
        <w:tc>
          <w:tcPr>
            <w:tcW w:w="11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auto"/>
                <w:sz w:val="21"/>
                <w:szCs w:val="21"/>
                <w:u w:val="none"/>
              </w:rPr>
            </w:pPr>
          </w:p>
        </w:tc>
        <w:tc>
          <w:tcPr>
            <w:tcW w:w="74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1"/>
                <w:szCs w:val="21"/>
                <w:u w:val="none"/>
              </w:rPr>
            </w:pPr>
            <w:r>
              <w:rPr>
                <w:rFonts w:hint="eastAsia" w:ascii="仿宋" w:hAnsi="仿宋" w:eastAsia="仿宋" w:cs="仿宋"/>
                <w:b/>
                <w:bCs/>
                <w:i w:val="0"/>
                <w:iCs w:val="0"/>
                <w:color w:val="auto"/>
                <w:kern w:val="0"/>
                <w:sz w:val="21"/>
                <w:szCs w:val="21"/>
                <w:u w:val="none"/>
                <w:lang w:val="en-US" w:eastAsia="zh-CN" w:bidi="ar"/>
              </w:rPr>
              <w:t>小计</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u w:val="none"/>
                <w:lang w:val="en-US" w:eastAsia="zh-CN" w:bidi="ar"/>
              </w:rPr>
            </w:pPr>
            <w:r>
              <w:rPr>
                <w:rFonts w:hint="default" w:ascii="仿宋" w:hAnsi="仿宋" w:eastAsia="仿宋" w:cs="仿宋"/>
                <w:b/>
                <w:bCs/>
                <w:i w:val="0"/>
                <w:iCs w:val="0"/>
                <w:color w:val="auto"/>
                <w:kern w:val="0"/>
                <w:sz w:val="21"/>
                <w:szCs w:val="21"/>
                <w:u w:val="none"/>
                <w:lang w:val="en-US" w:eastAsia="zh-CN" w:bidi="ar"/>
              </w:rPr>
              <w:t>3117545.43</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u w:val="none"/>
                <w:lang w:val="en-US" w:eastAsia="zh-CN" w:bidi="ar"/>
              </w:rPr>
            </w:pPr>
            <w:r>
              <w:rPr>
                <w:rFonts w:hint="default" w:ascii="仿宋" w:hAnsi="仿宋" w:eastAsia="仿宋" w:cs="仿宋"/>
                <w:b/>
                <w:bCs/>
                <w:i w:val="0"/>
                <w:iCs w:val="0"/>
                <w:color w:val="auto"/>
                <w:kern w:val="0"/>
                <w:sz w:val="21"/>
                <w:szCs w:val="21"/>
                <w:u w:val="none"/>
                <w:lang w:val="en-US" w:eastAsia="zh-CN" w:bidi="ar"/>
              </w:rPr>
              <w:t>2587201.22</w:t>
            </w: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u w:val="none"/>
                <w:lang w:val="en-US" w:eastAsia="zh-CN" w:bidi="ar"/>
              </w:rPr>
            </w:pPr>
            <w:r>
              <w:rPr>
                <w:rFonts w:hint="default" w:ascii="仿宋" w:hAnsi="仿宋" w:eastAsia="仿宋" w:cs="仿宋"/>
                <w:b/>
                <w:bCs/>
                <w:i w:val="0"/>
                <w:iCs w:val="0"/>
                <w:color w:val="auto"/>
                <w:kern w:val="0"/>
                <w:sz w:val="21"/>
                <w:szCs w:val="21"/>
                <w:u w:val="none"/>
                <w:lang w:val="en-US" w:eastAsia="zh-CN" w:bidi="ar"/>
              </w:rPr>
              <w:t>530344.21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4" w:hRule="atLeast"/>
        </w:trPr>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11</w:t>
            </w:r>
          </w:p>
        </w:tc>
        <w:tc>
          <w:tcPr>
            <w:tcW w:w="119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1"/>
                <w:szCs w:val="21"/>
                <w:u w:val="none"/>
              </w:rPr>
            </w:pPr>
            <w:r>
              <w:rPr>
                <w:rFonts w:hint="eastAsia" w:ascii="仿宋" w:hAnsi="仿宋" w:eastAsia="仿宋" w:cs="仿宋"/>
                <w:b/>
                <w:bCs/>
                <w:i w:val="0"/>
                <w:iCs w:val="0"/>
                <w:color w:val="auto"/>
                <w:kern w:val="0"/>
                <w:sz w:val="21"/>
                <w:szCs w:val="21"/>
                <w:u w:val="none"/>
                <w:lang w:val="en-US" w:eastAsia="zh-CN" w:bidi="ar"/>
              </w:rPr>
              <w:t>省重点帮扶县</w:t>
            </w:r>
          </w:p>
        </w:tc>
        <w:tc>
          <w:tcPr>
            <w:tcW w:w="74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康定市</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189275.58</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166766.25</w:t>
            </w: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22509.33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4" w:hRule="atLeast"/>
        </w:trPr>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12</w:t>
            </w:r>
          </w:p>
        </w:tc>
        <w:tc>
          <w:tcPr>
            <w:tcW w:w="11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auto"/>
                <w:sz w:val="21"/>
                <w:szCs w:val="21"/>
                <w:u w:val="none"/>
              </w:rPr>
            </w:pPr>
          </w:p>
        </w:tc>
        <w:tc>
          <w:tcPr>
            <w:tcW w:w="74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泸定县</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133124.59</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97030.09</w:t>
            </w: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36094.50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3" w:hRule="atLeast"/>
        </w:trPr>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13</w:t>
            </w:r>
          </w:p>
        </w:tc>
        <w:tc>
          <w:tcPr>
            <w:tcW w:w="11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auto"/>
                <w:sz w:val="21"/>
                <w:szCs w:val="21"/>
                <w:u w:val="none"/>
              </w:rPr>
            </w:pPr>
          </w:p>
        </w:tc>
        <w:tc>
          <w:tcPr>
            <w:tcW w:w="74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丹巴县</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234702.62</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171430.40</w:t>
            </w: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63272.22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3" w:hRule="atLeast"/>
        </w:trPr>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14</w:t>
            </w:r>
          </w:p>
        </w:tc>
        <w:tc>
          <w:tcPr>
            <w:tcW w:w="11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auto"/>
                <w:sz w:val="21"/>
                <w:szCs w:val="21"/>
                <w:u w:val="none"/>
              </w:rPr>
            </w:pPr>
          </w:p>
        </w:tc>
        <w:tc>
          <w:tcPr>
            <w:tcW w:w="74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九龙县</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315817.28</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231906.53</w:t>
            </w: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83910.75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6" w:hRule="atLeast"/>
        </w:trPr>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15</w:t>
            </w:r>
          </w:p>
        </w:tc>
        <w:tc>
          <w:tcPr>
            <w:tcW w:w="11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auto"/>
                <w:sz w:val="21"/>
                <w:szCs w:val="21"/>
                <w:u w:val="none"/>
              </w:rPr>
            </w:pPr>
          </w:p>
        </w:tc>
        <w:tc>
          <w:tcPr>
            <w:tcW w:w="74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雅江县</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331842.29</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256720.51</w:t>
            </w: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75121.78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3" w:hRule="atLeast"/>
        </w:trPr>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16</w:t>
            </w:r>
          </w:p>
        </w:tc>
        <w:tc>
          <w:tcPr>
            <w:tcW w:w="11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auto"/>
                <w:sz w:val="21"/>
                <w:szCs w:val="21"/>
                <w:u w:val="none"/>
              </w:rPr>
            </w:pPr>
          </w:p>
        </w:tc>
        <w:tc>
          <w:tcPr>
            <w:tcW w:w="74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巴塘县</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83870.93</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80097.82</w:t>
            </w: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3773.11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6" w:hRule="atLeast"/>
        </w:trPr>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17</w:t>
            </w:r>
          </w:p>
        </w:tc>
        <w:tc>
          <w:tcPr>
            <w:tcW w:w="11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auto"/>
                <w:sz w:val="21"/>
                <w:szCs w:val="21"/>
                <w:u w:val="none"/>
              </w:rPr>
            </w:pPr>
          </w:p>
        </w:tc>
        <w:tc>
          <w:tcPr>
            <w:tcW w:w="74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乡城县</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235538.03</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143304.87</w:t>
            </w: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92233.16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6" w:hRule="atLeast"/>
        </w:trPr>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18</w:t>
            </w:r>
          </w:p>
        </w:tc>
        <w:tc>
          <w:tcPr>
            <w:tcW w:w="11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auto"/>
                <w:sz w:val="21"/>
                <w:szCs w:val="21"/>
                <w:u w:val="none"/>
              </w:rPr>
            </w:pPr>
          </w:p>
        </w:tc>
        <w:tc>
          <w:tcPr>
            <w:tcW w:w="74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稻城县</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163182.31</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123377.91</w:t>
            </w: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39804.40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9" w:hRule="atLeast"/>
        </w:trPr>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19</w:t>
            </w:r>
          </w:p>
        </w:tc>
        <w:tc>
          <w:tcPr>
            <w:tcW w:w="11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auto"/>
                <w:sz w:val="21"/>
                <w:szCs w:val="21"/>
                <w:u w:val="none"/>
              </w:rPr>
            </w:pPr>
          </w:p>
        </w:tc>
        <w:tc>
          <w:tcPr>
            <w:tcW w:w="74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得荣县</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91945.04</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90795.04</w:t>
            </w: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default" w:ascii="仿宋" w:hAnsi="仿宋" w:eastAsia="仿宋" w:cs="仿宋"/>
                <w:i w:val="0"/>
                <w:iCs w:val="0"/>
                <w:color w:val="auto"/>
                <w:kern w:val="0"/>
                <w:sz w:val="21"/>
                <w:szCs w:val="21"/>
                <w:u w:val="none"/>
                <w:lang w:val="en-US" w:eastAsia="zh-CN" w:bidi="ar"/>
              </w:rPr>
              <w:t>1150.00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9" w:hRule="atLeast"/>
        </w:trPr>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20</w:t>
            </w:r>
          </w:p>
        </w:tc>
        <w:tc>
          <w:tcPr>
            <w:tcW w:w="11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auto"/>
                <w:sz w:val="21"/>
                <w:szCs w:val="21"/>
                <w:u w:val="none"/>
              </w:rPr>
            </w:pPr>
          </w:p>
        </w:tc>
        <w:tc>
          <w:tcPr>
            <w:tcW w:w="74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1"/>
                <w:szCs w:val="21"/>
                <w:u w:val="none"/>
              </w:rPr>
            </w:pPr>
            <w:r>
              <w:rPr>
                <w:rFonts w:hint="eastAsia" w:ascii="仿宋" w:hAnsi="仿宋" w:eastAsia="仿宋" w:cs="仿宋"/>
                <w:b/>
                <w:bCs/>
                <w:i w:val="0"/>
                <w:iCs w:val="0"/>
                <w:color w:val="auto"/>
                <w:kern w:val="0"/>
                <w:sz w:val="21"/>
                <w:szCs w:val="21"/>
                <w:u w:val="none"/>
                <w:lang w:val="en-US" w:eastAsia="zh-CN" w:bidi="ar"/>
              </w:rPr>
              <w:t>小计</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u w:val="none"/>
                <w:lang w:val="en-US" w:eastAsia="zh-CN" w:bidi="ar"/>
              </w:rPr>
            </w:pPr>
            <w:r>
              <w:rPr>
                <w:rFonts w:hint="default" w:ascii="仿宋" w:hAnsi="仿宋" w:eastAsia="仿宋" w:cs="仿宋"/>
                <w:b/>
                <w:bCs/>
                <w:i w:val="0"/>
                <w:iCs w:val="0"/>
                <w:color w:val="auto"/>
                <w:kern w:val="0"/>
                <w:sz w:val="21"/>
                <w:szCs w:val="21"/>
                <w:u w:val="none"/>
                <w:lang w:val="en-US" w:eastAsia="zh-CN" w:bidi="ar"/>
              </w:rPr>
              <w:t>1779298.66</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u w:val="none"/>
                <w:lang w:val="en-US" w:eastAsia="zh-CN" w:bidi="ar"/>
              </w:rPr>
            </w:pPr>
            <w:r>
              <w:rPr>
                <w:rFonts w:hint="default" w:ascii="仿宋" w:hAnsi="仿宋" w:eastAsia="仿宋" w:cs="仿宋"/>
                <w:b/>
                <w:bCs/>
                <w:i w:val="0"/>
                <w:iCs w:val="0"/>
                <w:color w:val="auto"/>
                <w:kern w:val="0"/>
                <w:sz w:val="21"/>
                <w:szCs w:val="21"/>
                <w:u w:val="none"/>
                <w:lang w:val="en-US" w:eastAsia="zh-CN" w:bidi="ar"/>
              </w:rPr>
              <w:t>1361429.41</w:t>
            </w: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u w:val="none"/>
                <w:lang w:val="en-US" w:eastAsia="zh-CN" w:bidi="ar"/>
              </w:rPr>
            </w:pPr>
            <w:r>
              <w:rPr>
                <w:rFonts w:hint="default" w:ascii="仿宋" w:hAnsi="仿宋" w:eastAsia="仿宋" w:cs="仿宋"/>
                <w:b/>
                <w:bCs/>
                <w:i w:val="0"/>
                <w:iCs w:val="0"/>
                <w:color w:val="auto"/>
                <w:kern w:val="0"/>
                <w:sz w:val="21"/>
                <w:szCs w:val="21"/>
                <w:u w:val="none"/>
                <w:lang w:val="en-US" w:eastAsia="zh-CN" w:bidi="ar"/>
              </w:rPr>
              <w:t>417869.25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5" w:hRule="atLeast"/>
        </w:trPr>
        <w:tc>
          <w:tcPr>
            <w:tcW w:w="163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1"/>
                <w:szCs w:val="21"/>
                <w:u w:val="none"/>
              </w:rPr>
            </w:pPr>
            <w:r>
              <w:rPr>
                <w:rFonts w:hint="eastAsia" w:ascii="仿宋" w:hAnsi="仿宋" w:eastAsia="仿宋" w:cs="仿宋"/>
                <w:b/>
                <w:bCs/>
                <w:i w:val="0"/>
                <w:iCs w:val="0"/>
                <w:color w:val="auto"/>
                <w:kern w:val="0"/>
                <w:sz w:val="21"/>
                <w:szCs w:val="21"/>
                <w:u w:val="none"/>
                <w:lang w:val="en-US" w:eastAsia="zh-CN" w:bidi="ar"/>
              </w:rPr>
              <w:t>合  计</w:t>
            </w:r>
          </w:p>
        </w:tc>
        <w:tc>
          <w:tcPr>
            <w:tcW w:w="7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1"/>
                <w:szCs w:val="21"/>
                <w:u w:val="none"/>
              </w:rPr>
            </w:pPr>
            <w:r>
              <w:rPr>
                <w:rFonts w:hint="eastAsia" w:ascii="仿宋" w:hAnsi="仿宋" w:eastAsia="仿宋" w:cs="仿宋"/>
                <w:b/>
                <w:bCs/>
                <w:i w:val="0"/>
                <w:iCs w:val="0"/>
                <w:color w:val="auto"/>
                <w:kern w:val="0"/>
                <w:sz w:val="21"/>
                <w:szCs w:val="21"/>
                <w:u w:val="none"/>
                <w:lang w:val="en-US" w:eastAsia="zh-CN" w:bidi="ar"/>
              </w:rPr>
              <w:t>甘孜州</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u w:val="none"/>
                <w:lang w:val="en-US" w:eastAsia="zh-CN" w:bidi="ar"/>
              </w:rPr>
            </w:pPr>
            <w:r>
              <w:rPr>
                <w:rFonts w:hint="default" w:ascii="仿宋" w:hAnsi="仿宋" w:eastAsia="仿宋" w:cs="仿宋"/>
                <w:b/>
                <w:bCs/>
                <w:i w:val="0"/>
                <w:iCs w:val="0"/>
                <w:color w:val="auto"/>
                <w:kern w:val="0"/>
                <w:sz w:val="21"/>
                <w:szCs w:val="21"/>
                <w:u w:val="none"/>
                <w:lang w:val="en-US" w:eastAsia="zh-CN" w:bidi="ar"/>
              </w:rPr>
              <w:t>4896844.09</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u w:val="none"/>
                <w:lang w:val="en-US" w:eastAsia="zh-CN" w:bidi="ar"/>
              </w:rPr>
            </w:pPr>
            <w:r>
              <w:rPr>
                <w:rFonts w:hint="default" w:ascii="仿宋" w:hAnsi="仿宋" w:eastAsia="仿宋" w:cs="仿宋"/>
                <w:b/>
                <w:bCs/>
                <w:i w:val="0"/>
                <w:iCs w:val="0"/>
                <w:color w:val="auto"/>
                <w:kern w:val="0"/>
                <w:sz w:val="21"/>
                <w:szCs w:val="21"/>
                <w:u w:val="none"/>
                <w:lang w:val="en-US" w:eastAsia="zh-CN" w:bidi="ar"/>
              </w:rPr>
              <w:t>3948630.63</w:t>
            </w: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u w:val="none"/>
                <w:lang w:val="en-US" w:eastAsia="zh-CN" w:bidi="ar"/>
              </w:rPr>
            </w:pPr>
            <w:r>
              <w:rPr>
                <w:rFonts w:hint="default" w:ascii="仿宋" w:hAnsi="仿宋" w:eastAsia="仿宋" w:cs="仿宋"/>
                <w:b/>
                <w:bCs/>
                <w:i w:val="0"/>
                <w:iCs w:val="0"/>
                <w:color w:val="auto"/>
                <w:kern w:val="0"/>
                <w:sz w:val="21"/>
                <w:szCs w:val="21"/>
                <w:u w:val="none"/>
                <w:lang w:val="en-US" w:eastAsia="zh-CN" w:bidi="ar"/>
              </w:rPr>
              <w:t>948213.46</w:t>
            </w:r>
          </w:p>
        </w:tc>
      </w:tr>
    </w:tbl>
    <w:p>
      <w:pPr>
        <w:pStyle w:val="42"/>
        <w:ind w:left="0" w:leftChars="0" w:firstLine="0" w:firstLineChars="0"/>
        <w:rPr>
          <w:rFonts w:ascii="仿宋" w:hAnsi="仿宋"/>
          <w:b/>
          <w:bCs/>
          <w:color w:val="auto"/>
          <w:kern w:val="0"/>
          <w:sz w:val="28"/>
          <w:szCs w:val="28"/>
          <w:highlight w:val="none"/>
        </w:rPr>
      </w:pPr>
    </w:p>
    <w:p>
      <w:pPr>
        <w:rPr>
          <w:color w:val="auto"/>
          <w:highlight w:val="none"/>
        </w:rPr>
        <w:sectPr>
          <w:pgSz w:w="11906" w:h="16838"/>
          <w:pgMar w:top="1440" w:right="1800" w:bottom="1440" w:left="1800" w:header="851" w:footer="992" w:gutter="0"/>
          <w:pgNumType w:fmt="decimal"/>
          <w:cols w:space="425" w:num="1"/>
          <w:docGrid w:type="lines" w:linePitch="312" w:charSpace="0"/>
        </w:sectPr>
      </w:pPr>
    </w:p>
    <w:p>
      <w:pPr>
        <w:pStyle w:val="5"/>
        <w:keepNext/>
        <w:keepLines/>
        <w:pageBreakBefore w:val="0"/>
        <w:widowControl w:val="0"/>
        <w:tabs>
          <w:tab w:val="clear" w:pos="0"/>
        </w:tabs>
        <w:suppressAutoHyphens w:val="0"/>
        <w:kinsoku/>
        <w:wordWrap/>
        <w:overflowPunct/>
        <w:topLinePunct w:val="0"/>
        <w:autoSpaceDE/>
        <w:autoSpaceDN/>
        <w:bidi w:val="0"/>
        <w:adjustRightInd/>
        <w:snapToGrid w:val="0"/>
        <w:spacing w:before="0" w:after="0" w:line="360" w:lineRule="auto"/>
        <w:ind w:firstLine="0" w:firstLineChars="0"/>
        <w:jc w:val="center"/>
        <w:textAlignment w:val="auto"/>
        <w:rPr>
          <w:rFonts w:hint="eastAsia" w:ascii="楷体" w:hAnsi="楷体" w:eastAsia="楷体" w:cs="黑体"/>
          <w:bCs w:val="0"/>
          <w:color w:val="auto"/>
          <w:kern w:val="0"/>
          <w:highlight w:val="none"/>
        </w:rPr>
      </w:pPr>
      <w:bookmarkStart w:id="180" w:name="_Toc2089"/>
      <w:bookmarkStart w:id="181" w:name="_Toc24618"/>
      <w:bookmarkStart w:id="182" w:name="_Toc12070"/>
      <w:r>
        <w:rPr>
          <w:rFonts w:hint="eastAsia" w:ascii="楷体" w:hAnsi="楷体" w:eastAsia="楷体" w:cs="黑体"/>
          <w:bCs w:val="0"/>
          <w:color w:val="auto"/>
          <w:kern w:val="0"/>
          <w:highlight w:val="none"/>
        </w:rPr>
        <w:t>附件</w:t>
      </w:r>
      <w:r>
        <w:rPr>
          <w:rFonts w:hint="eastAsia" w:ascii="楷体" w:hAnsi="楷体" w:eastAsia="楷体" w:cs="黑体"/>
          <w:bCs w:val="0"/>
          <w:color w:val="auto"/>
          <w:kern w:val="0"/>
          <w:highlight w:val="none"/>
          <w:lang w:val="en-US" w:eastAsia="zh-CN"/>
        </w:rPr>
        <w:t>5</w:t>
      </w:r>
      <w:r>
        <w:rPr>
          <w:rFonts w:hint="eastAsia" w:ascii="楷体" w:hAnsi="楷体" w:eastAsia="楷体" w:cs="黑体"/>
          <w:bCs w:val="0"/>
          <w:color w:val="auto"/>
          <w:kern w:val="0"/>
          <w:highlight w:val="none"/>
        </w:rPr>
        <w:t>：甘孜州东西部协作结对关系一览表</w:t>
      </w:r>
      <w:bookmarkEnd w:id="180"/>
      <w:bookmarkEnd w:id="181"/>
      <w:bookmarkEnd w:id="182"/>
    </w:p>
    <w:tbl>
      <w:tblPr>
        <w:tblStyle w:val="25"/>
        <w:tblW w:w="4822" w:type="pct"/>
        <w:tblInd w:w="159" w:type="dxa"/>
        <w:tblLayout w:type="autofit"/>
        <w:tblCellMar>
          <w:top w:w="0" w:type="dxa"/>
          <w:left w:w="108" w:type="dxa"/>
          <w:bottom w:w="0" w:type="dxa"/>
          <w:right w:w="108" w:type="dxa"/>
        </w:tblCellMar>
      </w:tblPr>
      <w:tblGrid>
        <w:gridCol w:w="4203"/>
        <w:gridCol w:w="4534"/>
      </w:tblGrid>
      <w:tr>
        <w:tblPrEx>
          <w:tblCellMar>
            <w:top w:w="0" w:type="dxa"/>
            <w:left w:w="108" w:type="dxa"/>
            <w:bottom w:w="0" w:type="dxa"/>
            <w:right w:w="108" w:type="dxa"/>
          </w:tblCellMar>
        </w:tblPrEx>
        <w:trPr>
          <w:trHeight w:val="460" w:hRule="atLeast"/>
        </w:trPr>
        <w:tc>
          <w:tcPr>
            <w:tcW w:w="2405"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noWrap/>
            <w:vAlign w:val="center"/>
          </w:tcPr>
          <w:p>
            <w:pPr>
              <w:widowControl/>
              <w:spacing w:line="240" w:lineRule="auto"/>
              <w:jc w:val="center"/>
              <w:textAlignment w:val="center"/>
              <w:rPr>
                <w:rFonts w:ascii="仿宋" w:hAnsi="仿宋"/>
                <w:b/>
                <w:bCs/>
                <w:color w:val="auto"/>
                <w:sz w:val="28"/>
                <w:szCs w:val="28"/>
                <w:highlight w:val="none"/>
              </w:rPr>
            </w:pPr>
            <w:r>
              <w:rPr>
                <w:rFonts w:hint="eastAsia" w:ascii="仿宋" w:hAnsi="仿宋"/>
                <w:b/>
                <w:bCs/>
                <w:color w:val="auto"/>
                <w:kern w:val="0"/>
                <w:sz w:val="28"/>
                <w:szCs w:val="28"/>
                <w:highlight w:val="none"/>
                <w:lang w:bidi="ar"/>
              </w:rPr>
              <w:t>浙江省</w:t>
            </w:r>
          </w:p>
        </w:tc>
        <w:tc>
          <w:tcPr>
            <w:tcW w:w="2594"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noWrap/>
            <w:vAlign w:val="center"/>
          </w:tcPr>
          <w:p>
            <w:pPr>
              <w:widowControl/>
              <w:spacing w:line="240" w:lineRule="auto"/>
              <w:jc w:val="center"/>
              <w:textAlignment w:val="center"/>
              <w:rPr>
                <w:rFonts w:ascii="仿宋" w:hAnsi="仿宋"/>
                <w:b/>
                <w:bCs/>
                <w:color w:val="auto"/>
                <w:sz w:val="28"/>
                <w:szCs w:val="28"/>
                <w:highlight w:val="none"/>
              </w:rPr>
            </w:pPr>
            <w:r>
              <w:rPr>
                <w:rFonts w:hint="eastAsia" w:ascii="仿宋" w:hAnsi="仿宋"/>
                <w:b/>
                <w:bCs/>
                <w:color w:val="auto"/>
                <w:kern w:val="0"/>
                <w:sz w:val="28"/>
                <w:szCs w:val="28"/>
                <w:highlight w:val="none"/>
                <w:lang w:bidi="ar"/>
              </w:rPr>
              <w:t>甘孜州</w:t>
            </w:r>
          </w:p>
        </w:tc>
      </w:tr>
      <w:tr>
        <w:tblPrEx>
          <w:tblCellMar>
            <w:top w:w="0" w:type="dxa"/>
            <w:left w:w="108" w:type="dxa"/>
            <w:bottom w:w="0" w:type="dxa"/>
            <w:right w:w="108" w:type="dxa"/>
          </w:tblCellMar>
        </w:tblPrEx>
        <w:trPr>
          <w:trHeight w:val="354" w:hRule="atLeast"/>
        </w:trPr>
        <w:tc>
          <w:tcPr>
            <w:tcW w:w="2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ascii="仿宋" w:hAnsi="仿宋"/>
                <w:b/>
                <w:bCs/>
                <w:color w:val="auto"/>
                <w:sz w:val="24"/>
                <w:szCs w:val="24"/>
                <w:highlight w:val="none"/>
              </w:rPr>
            </w:pPr>
            <w:r>
              <w:rPr>
                <w:rFonts w:hint="eastAsia" w:ascii="仿宋" w:hAnsi="仿宋"/>
                <w:b/>
                <w:bCs/>
                <w:color w:val="auto"/>
                <w:kern w:val="0"/>
                <w:sz w:val="24"/>
                <w:szCs w:val="24"/>
                <w:highlight w:val="none"/>
                <w:lang w:bidi="ar"/>
              </w:rPr>
              <w:t>杭州市</w:t>
            </w:r>
          </w:p>
        </w:tc>
        <w:tc>
          <w:tcPr>
            <w:tcW w:w="2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ascii="仿宋" w:hAnsi="仿宋"/>
                <w:b/>
                <w:bCs/>
                <w:color w:val="auto"/>
                <w:sz w:val="24"/>
                <w:szCs w:val="24"/>
                <w:highlight w:val="none"/>
              </w:rPr>
            </w:pPr>
          </w:p>
        </w:tc>
      </w:tr>
      <w:tr>
        <w:tblPrEx>
          <w:tblCellMar>
            <w:top w:w="0" w:type="dxa"/>
            <w:left w:w="108" w:type="dxa"/>
            <w:bottom w:w="0" w:type="dxa"/>
            <w:right w:w="108" w:type="dxa"/>
          </w:tblCellMar>
        </w:tblPrEx>
        <w:trPr>
          <w:trHeight w:val="354" w:hRule="atLeast"/>
        </w:trPr>
        <w:tc>
          <w:tcPr>
            <w:tcW w:w="2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ascii="仿宋" w:hAnsi="仿宋"/>
                <w:color w:val="auto"/>
                <w:sz w:val="24"/>
                <w:szCs w:val="24"/>
                <w:highlight w:val="none"/>
              </w:rPr>
            </w:pPr>
            <w:r>
              <w:rPr>
                <w:rFonts w:hint="eastAsia" w:ascii="仿宋" w:hAnsi="仿宋"/>
                <w:color w:val="auto"/>
                <w:kern w:val="0"/>
                <w:sz w:val="24"/>
                <w:szCs w:val="24"/>
                <w:highlight w:val="none"/>
                <w:lang w:bidi="ar"/>
              </w:rPr>
              <w:t>上城区</w:t>
            </w:r>
          </w:p>
        </w:tc>
        <w:tc>
          <w:tcPr>
            <w:tcW w:w="2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ascii="仿宋" w:hAnsi="仿宋"/>
                <w:color w:val="auto"/>
                <w:sz w:val="24"/>
                <w:szCs w:val="24"/>
                <w:highlight w:val="none"/>
              </w:rPr>
            </w:pPr>
            <w:r>
              <w:rPr>
                <w:rFonts w:hint="eastAsia" w:ascii="仿宋" w:hAnsi="仿宋"/>
                <w:color w:val="auto"/>
                <w:kern w:val="0"/>
                <w:sz w:val="24"/>
                <w:szCs w:val="24"/>
                <w:highlight w:val="none"/>
                <w:lang w:bidi="ar"/>
              </w:rPr>
              <w:t>雅江县</w:t>
            </w:r>
          </w:p>
        </w:tc>
      </w:tr>
      <w:tr>
        <w:tblPrEx>
          <w:tblCellMar>
            <w:top w:w="0" w:type="dxa"/>
            <w:left w:w="108" w:type="dxa"/>
            <w:bottom w:w="0" w:type="dxa"/>
            <w:right w:w="108" w:type="dxa"/>
          </w:tblCellMar>
        </w:tblPrEx>
        <w:trPr>
          <w:trHeight w:val="354" w:hRule="atLeast"/>
        </w:trPr>
        <w:tc>
          <w:tcPr>
            <w:tcW w:w="2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ascii="仿宋" w:hAnsi="仿宋"/>
                <w:color w:val="auto"/>
                <w:sz w:val="24"/>
                <w:szCs w:val="24"/>
                <w:highlight w:val="none"/>
              </w:rPr>
            </w:pPr>
            <w:r>
              <w:rPr>
                <w:rFonts w:hint="eastAsia" w:ascii="仿宋" w:hAnsi="仿宋"/>
                <w:color w:val="auto"/>
                <w:kern w:val="0"/>
                <w:sz w:val="24"/>
                <w:szCs w:val="24"/>
                <w:highlight w:val="none"/>
                <w:lang w:bidi="ar"/>
              </w:rPr>
              <w:t>拱墅区</w:t>
            </w:r>
          </w:p>
        </w:tc>
        <w:tc>
          <w:tcPr>
            <w:tcW w:w="2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ascii="仿宋" w:hAnsi="仿宋"/>
                <w:color w:val="auto"/>
                <w:sz w:val="24"/>
                <w:szCs w:val="24"/>
                <w:highlight w:val="none"/>
              </w:rPr>
            </w:pPr>
            <w:r>
              <w:rPr>
                <w:rFonts w:hint="eastAsia" w:ascii="仿宋" w:hAnsi="仿宋"/>
                <w:color w:val="auto"/>
                <w:kern w:val="0"/>
                <w:sz w:val="24"/>
                <w:szCs w:val="24"/>
                <w:highlight w:val="none"/>
                <w:lang w:bidi="ar"/>
              </w:rPr>
              <w:t>泸定县</w:t>
            </w:r>
          </w:p>
        </w:tc>
      </w:tr>
      <w:tr>
        <w:tblPrEx>
          <w:tblCellMar>
            <w:top w:w="0" w:type="dxa"/>
            <w:left w:w="108" w:type="dxa"/>
            <w:bottom w:w="0" w:type="dxa"/>
            <w:right w:w="108" w:type="dxa"/>
          </w:tblCellMar>
        </w:tblPrEx>
        <w:trPr>
          <w:trHeight w:val="354" w:hRule="atLeast"/>
        </w:trPr>
        <w:tc>
          <w:tcPr>
            <w:tcW w:w="2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ascii="仿宋" w:hAnsi="仿宋"/>
                <w:color w:val="auto"/>
                <w:sz w:val="24"/>
                <w:szCs w:val="24"/>
                <w:highlight w:val="none"/>
              </w:rPr>
            </w:pPr>
            <w:r>
              <w:rPr>
                <w:rFonts w:hint="eastAsia" w:ascii="仿宋" w:hAnsi="仿宋"/>
                <w:color w:val="auto"/>
                <w:kern w:val="0"/>
                <w:sz w:val="24"/>
                <w:szCs w:val="24"/>
                <w:highlight w:val="none"/>
                <w:lang w:bidi="ar"/>
              </w:rPr>
              <w:t>西湖区</w:t>
            </w:r>
          </w:p>
        </w:tc>
        <w:tc>
          <w:tcPr>
            <w:tcW w:w="2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ascii="仿宋" w:hAnsi="仿宋"/>
                <w:color w:val="auto"/>
                <w:sz w:val="24"/>
                <w:szCs w:val="24"/>
                <w:highlight w:val="none"/>
              </w:rPr>
            </w:pPr>
            <w:r>
              <w:rPr>
                <w:rFonts w:hint="eastAsia" w:ascii="仿宋" w:hAnsi="仿宋"/>
                <w:color w:val="auto"/>
                <w:kern w:val="0"/>
                <w:sz w:val="24"/>
                <w:szCs w:val="24"/>
                <w:highlight w:val="none"/>
                <w:lang w:bidi="ar"/>
              </w:rPr>
              <w:t>九龙县</w:t>
            </w:r>
          </w:p>
        </w:tc>
      </w:tr>
      <w:tr>
        <w:tblPrEx>
          <w:tblCellMar>
            <w:top w:w="0" w:type="dxa"/>
            <w:left w:w="108" w:type="dxa"/>
            <w:bottom w:w="0" w:type="dxa"/>
            <w:right w:w="108" w:type="dxa"/>
          </w:tblCellMar>
        </w:tblPrEx>
        <w:trPr>
          <w:trHeight w:val="354" w:hRule="atLeast"/>
        </w:trPr>
        <w:tc>
          <w:tcPr>
            <w:tcW w:w="2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ascii="仿宋" w:hAnsi="仿宋"/>
                <w:color w:val="auto"/>
                <w:sz w:val="24"/>
                <w:szCs w:val="24"/>
                <w:highlight w:val="none"/>
              </w:rPr>
            </w:pPr>
            <w:r>
              <w:rPr>
                <w:rFonts w:hint="eastAsia" w:ascii="仿宋" w:hAnsi="仿宋"/>
                <w:color w:val="auto"/>
                <w:kern w:val="0"/>
                <w:sz w:val="24"/>
                <w:szCs w:val="24"/>
                <w:highlight w:val="none"/>
                <w:lang w:bidi="ar"/>
              </w:rPr>
              <w:t>萧山区</w:t>
            </w:r>
          </w:p>
        </w:tc>
        <w:tc>
          <w:tcPr>
            <w:tcW w:w="2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ascii="仿宋" w:hAnsi="仿宋"/>
                <w:color w:val="auto"/>
                <w:sz w:val="24"/>
                <w:szCs w:val="24"/>
                <w:highlight w:val="none"/>
              </w:rPr>
            </w:pPr>
            <w:r>
              <w:rPr>
                <w:rFonts w:hint="eastAsia" w:ascii="仿宋" w:hAnsi="仿宋"/>
                <w:color w:val="auto"/>
                <w:kern w:val="0"/>
                <w:sz w:val="24"/>
                <w:szCs w:val="24"/>
                <w:highlight w:val="none"/>
                <w:lang w:bidi="ar"/>
              </w:rPr>
              <w:t>康定市</w:t>
            </w:r>
          </w:p>
        </w:tc>
      </w:tr>
      <w:tr>
        <w:tblPrEx>
          <w:tblCellMar>
            <w:top w:w="0" w:type="dxa"/>
            <w:left w:w="108" w:type="dxa"/>
            <w:bottom w:w="0" w:type="dxa"/>
            <w:right w:w="108" w:type="dxa"/>
          </w:tblCellMar>
        </w:tblPrEx>
        <w:trPr>
          <w:trHeight w:val="354" w:hRule="atLeast"/>
        </w:trPr>
        <w:tc>
          <w:tcPr>
            <w:tcW w:w="2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ascii="仿宋" w:hAnsi="仿宋"/>
                <w:color w:val="auto"/>
                <w:sz w:val="24"/>
                <w:szCs w:val="24"/>
                <w:highlight w:val="none"/>
              </w:rPr>
            </w:pPr>
            <w:r>
              <w:rPr>
                <w:rFonts w:hint="eastAsia" w:ascii="仿宋" w:hAnsi="仿宋"/>
                <w:color w:val="auto"/>
                <w:kern w:val="0"/>
                <w:sz w:val="24"/>
                <w:szCs w:val="24"/>
                <w:highlight w:val="none"/>
                <w:lang w:bidi="ar"/>
              </w:rPr>
              <w:t>余杭区</w:t>
            </w:r>
          </w:p>
        </w:tc>
        <w:tc>
          <w:tcPr>
            <w:tcW w:w="2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ascii="仿宋" w:hAnsi="仿宋"/>
                <w:color w:val="auto"/>
                <w:sz w:val="24"/>
                <w:szCs w:val="24"/>
                <w:highlight w:val="none"/>
              </w:rPr>
            </w:pPr>
            <w:r>
              <w:rPr>
                <w:rFonts w:hint="eastAsia" w:ascii="仿宋" w:hAnsi="仿宋"/>
                <w:color w:val="auto"/>
                <w:kern w:val="0"/>
                <w:sz w:val="24"/>
                <w:szCs w:val="24"/>
                <w:highlight w:val="none"/>
                <w:lang w:bidi="ar"/>
              </w:rPr>
              <w:t>稻城县</w:t>
            </w:r>
          </w:p>
        </w:tc>
      </w:tr>
      <w:tr>
        <w:tblPrEx>
          <w:tblCellMar>
            <w:top w:w="0" w:type="dxa"/>
            <w:left w:w="108" w:type="dxa"/>
            <w:bottom w:w="0" w:type="dxa"/>
            <w:right w:w="108" w:type="dxa"/>
          </w:tblCellMar>
        </w:tblPrEx>
        <w:trPr>
          <w:trHeight w:val="354" w:hRule="atLeast"/>
        </w:trPr>
        <w:tc>
          <w:tcPr>
            <w:tcW w:w="2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ascii="仿宋" w:hAnsi="仿宋"/>
                <w:color w:val="auto"/>
                <w:sz w:val="24"/>
                <w:szCs w:val="24"/>
                <w:highlight w:val="none"/>
              </w:rPr>
            </w:pPr>
            <w:r>
              <w:rPr>
                <w:rFonts w:hint="eastAsia" w:ascii="仿宋" w:hAnsi="仿宋"/>
                <w:color w:val="auto"/>
                <w:kern w:val="0"/>
                <w:sz w:val="24"/>
                <w:szCs w:val="24"/>
                <w:highlight w:val="none"/>
                <w:lang w:bidi="ar"/>
              </w:rPr>
              <w:t>临平区</w:t>
            </w:r>
          </w:p>
        </w:tc>
        <w:tc>
          <w:tcPr>
            <w:tcW w:w="2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ascii="仿宋" w:hAnsi="仿宋"/>
                <w:color w:val="auto"/>
                <w:sz w:val="24"/>
                <w:szCs w:val="24"/>
                <w:highlight w:val="none"/>
              </w:rPr>
            </w:pPr>
            <w:r>
              <w:rPr>
                <w:rFonts w:hint="eastAsia" w:ascii="仿宋" w:hAnsi="仿宋"/>
                <w:color w:val="auto"/>
                <w:kern w:val="0"/>
                <w:sz w:val="24"/>
                <w:szCs w:val="24"/>
                <w:highlight w:val="none"/>
                <w:lang w:bidi="ar"/>
              </w:rPr>
              <w:t>石渠县</w:t>
            </w:r>
          </w:p>
        </w:tc>
      </w:tr>
      <w:tr>
        <w:tblPrEx>
          <w:tblCellMar>
            <w:top w:w="0" w:type="dxa"/>
            <w:left w:w="108" w:type="dxa"/>
            <w:bottom w:w="0" w:type="dxa"/>
            <w:right w:w="108" w:type="dxa"/>
          </w:tblCellMar>
        </w:tblPrEx>
        <w:trPr>
          <w:trHeight w:val="354" w:hRule="atLeast"/>
        </w:trPr>
        <w:tc>
          <w:tcPr>
            <w:tcW w:w="2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ascii="仿宋" w:hAnsi="仿宋"/>
                <w:color w:val="auto"/>
                <w:sz w:val="24"/>
                <w:szCs w:val="24"/>
                <w:highlight w:val="none"/>
              </w:rPr>
            </w:pPr>
            <w:r>
              <w:rPr>
                <w:rFonts w:hint="eastAsia" w:ascii="仿宋" w:hAnsi="仿宋"/>
                <w:color w:val="auto"/>
                <w:kern w:val="0"/>
                <w:sz w:val="24"/>
                <w:szCs w:val="24"/>
                <w:highlight w:val="none"/>
                <w:lang w:bidi="ar"/>
              </w:rPr>
              <w:t>钱塘区</w:t>
            </w:r>
          </w:p>
        </w:tc>
        <w:tc>
          <w:tcPr>
            <w:tcW w:w="2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ascii="仿宋" w:hAnsi="仿宋"/>
                <w:color w:val="auto"/>
                <w:sz w:val="24"/>
                <w:szCs w:val="24"/>
                <w:highlight w:val="none"/>
              </w:rPr>
            </w:pPr>
            <w:r>
              <w:rPr>
                <w:rFonts w:hint="eastAsia" w:ascii="仿宋" w:hAnsi="仿宋"/>
                <w:color w:val="auto"/>
                <w:kern w:val="0"/>
                <w:sz w:val="24"/>
                <w:szCs w:val="24"/>
                <w:highlight w:val="none"/>
                <w:lang w:bidi="ar"/>
              </w:rPr>
              <w:t>理塘县</w:t>
            </w:r>
          </w:p>
        </w:tc>
      </w:tr>
      <w:tr>
        <w:tblPrEx>
          <w:tblCellMar>
            <w:top w:w="0" w:type="dxa"/>
            <w:left w:w="108" w:type="dxa"/>
            <w:bottom w:w="0" w:type="dxa"/>
            <w:right w:w="108" w:type="dxa"/>
          </w:tblCellMar>
        </w:tblPrEx>
        <w:trPr>
          <w:trHeight w:val="354" w:hRule="atLeast"/>
        </w:trPr>
        <w:tc>
          <w:tcPr>
            <w:tcW w:w="2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ascii="仿宋" w:hAnsi="仿宋"/>
                <w:color w:val="auto"/>
                <w:sz w:val="24"/>
                <w:szCs w:val="24"/>
                <w:highlight w:val="none"/>
              </w:rPr>
            </w:pPr>
            <w:r>
              <w:rPr>
                <w:rFonts w:hint="eastAsia" w:ascii="仿宋" w:hAnsi="仿宋"/>
                <w:color w:val="auto"/>
                <w:kern w:val="0"/>
                <w:sz w:val="24"/>
                <w:szCs w:val="24"/>
                <w:highlight w:val="none"/>
                <w:lang w:bidi="ar"/>
              </w:rPr>
              <w:t>富阳区</w:t>
            </w:r>
          </w:p>
        </w:tc>
        <w:tc>
          <w:tcPr>
            <w:tcW w:w="2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ascii="仿宋" w:hAnsi="仿宋"/>
                <w:color w:val="auto"/>
                <w:sz w:val="24"/>
                <w:szCs w:val="24"/>
                <w:highlight w:val="none"/>
              </w:rPr>
            </w:pPr>
            <w:r>
              <w:rPr>
                <w:rFonts w:hint="eastAsia" w:ascii="仿宋" w:hAnsi="仿宋"/>
                <w:color w:val="auto"/>
                <w:kern w:val="0"/>
                <w:sz w:val="24"/>
                <w:szCs w:val="24"/>
                <w:highlight w:val="none"/>
                <w:lang w:bidi="ar"/>
              </w:rPr>
              <w:t>德格县</w:t>
            </w:r>
          </w:p>
        </w:tc>
      </w:tr>
      <w:tr>
        <w:tblPrEx>
          <w:tblCellMar>
            <w:top w:w="0" w:type="dxa"/>
            <w:left w:w="108" w:type="dxa"/>
            <w:bottom w:w="0" w:type="dxa"/>
            <w:right w:w="108" w:type="dxa"/>
          </w:tblCellMar>
        </w:tblPrEx>
        <w:trPr>
          <w:trHeight w:val="354" w:hRule="atLeast"/>
        </w:trPr>
        <w:tc>
          <w:tcPr>
            <w:tcW w:w="2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ascii="仿宋" w:hAnsi="仿宋"/>
                <w:color w:val="auto"/>
                <w:sz w:val="24"/>
                <w:szCs w:val="24"/>
                <w:highlight w:val="none"/>
              </w:rPr>
            </w:pPr>
            <w:r>
              <w:rPr>
                <w:rFonts w:hint="eastAsia" w:ascii="仿宋" w:hAnsi="仿宋"/>
                <w:color w:val="auto"/>
                <w:kern w:val="0"/>
                <w:sz w:val="24"/>
                <w:szCs w:val="24"/>
                <w:highlight w:val="none"/>
                <w:lang w:bidi="ar"/>
              </w:rPr>
              <w:t>临安区</w:t>
            </w:r>
          </w:p>
        </w:tc>
        <w:tc>
          <w:tcPr>
            <w:tcW w:w="2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ascii="仿宋" w:hAnsi="仿宋"/>
                <w:color w:val="auto"/>
                <w:sz w:val="24"/>
                <w:szCs w:val="24"/>
                <w:highlight w:val="none"/>
              </w:rPr>
            </w:pPr>
            <w:r>
              <w:rPr>
                <w:rFonts w:hint="eastAsia" w:ascii="仿宋" w:hAnsi="仿宋"/>
                <w:color w:val="auto"/>
                <w:kern w:val="0"/>
                <w:sz w:val="24"/>
                <w:szCs w:val="24"/>
                <w:highlight w:val="none"/>
                <w:lang w:bidi="ar"/>
              </w:rPr>
              <w:t>白玉县</w:t>
            </w:r>
          </w:p>
        </w:tc>
      </w:tr>
      <w:tr>
        <w:tblPrEx>
          <w:tblCellMar>
            <w:top w:w="0" w:type="dxa"/>
            <w:left w:w="108" w:type="dxa"/>
            <w:bottom w:w="0" w:type="dxa"/>
            <w:right w:w="108" w:type="dxa"/>
          </w:tblCellMar>
        </w:tblPrEx>
        <w:trPr>
          <w:trHeight w:val="354" w:hRule="atLeast"/>
        </w:trPr>
        <w:tc>
          <w:tcPr>
            <w:tcW w:w="2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ascii="仿宋" w:hAnsi="仿宋"/>
                <w:color w:val="auto"/>
                <w:sz w:val="24"/>
                <w:szCs w:val="24"/>
                <w:highlight w:val="none"/>
              </w:rPr>
            </w:pPr>
            <w:r>
              <w:rPr>
                <w:rFonts w:hint="eastAsia" w:ascii="仿宋" w:hAnsi="仿宋"/>
                <w:color w:val="auto"/>
                <w:kern w:val="0"/>
                <w:sz w:val="24"/>
                <w:szCs w:val="24"/>
                <w:highlight w:val="none"/>
                <w:lang w:bidi="ar"/>
              </w:rPr>
              <w:t>桐庐县</w:t>
            </w:r>
          </w:p>
        </w:tc>
        <w:tc>
          <w:tcPr>
            <w:tcW w:w="2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ascii="仿宋" w:hAnsi="仿宋"/>
                <w:color w:val="auto"/>
                <w:sz w:val="24"/>
                <w:szCs w:val="24"/>
                <w:highlight w:val="none"/>
              </w:rPr>
            </w:pPr>
            <w:r>
              <w:rPr>
                <w:rFonts w:hint="eastAsia" w:ascii="仿宋" w:hAnsi="仿宋"/>
                <w:color w:val="auto"/>
                <w:kern w:val="0"/>
                <w:sz w:val="24"/>
                <w:szCs w:val="24"/>
                <w:highlight w:val="none"/>
                <w:lang w:bidi="ar"/>
              </w:rPr>
              <w:t>得荣县</w:t>
            </w:r>
          </w:p>
        </w:tc>
      </w:tr>
      <w:tr>
        <w:tblPrEx>
          <w:tblCellMar>
            <w:top w:w="0" w:type="dxa"/>
            <w:left w:w="108" w:type="dxa"/>
            <w:bottom w:w="0" w:type="dxa"/>
            <w:right w:w="108" w:type="dxa"/>
          </w:tblCellMar>
        </w:tblPrEx>
        <w:trPr>
          <w:trHeight w:val="354" w:hRule="atLeast"/>
        </w:trPr>
        <w:tc>
          <w:tcPr>
            <w:tcW w:w="2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ascii="仿宋" w:hAnsi="仿宋"/>
                <w:color w:val="auto"/>
                <w:sz w:val="24"/>
                <w:szCs w:val="24"/>
                <w:highlight w:val="none"/>
              </w:rPr>
            </w:pPr>
            <w:r>
              <w:rPr>
                <w:rFonts w:hint="eastAsia" w:ascii="仿宋" w:hAnsi="仿宋"/>
                <w:color w:val="auto"/>
                <w:kern w:val="0"/>
                <w:sz w:val="24"/>
                <w:szCs w:val="24"/>
                <w:highlight w:val="none"/>
                <w:lang w:bidi="ar"/>
              </w:rPr>
              <w:t>淳安县</w:t>
            </w:r>
          </w:p>
        </w:tc>
        <w:tc>
          <w:tcPr>
            <w:tcW w:w="2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ascii="仿宋" w:hAnsi="仿宋"/>
                <w:color w:val="auto"/>
                <w:sz w:val="24"/>
                <w:szCs w:val="24"/>
                <w:highlight w:val="none"/>
              </w:rPr>
            </w:pPr>
            <w:r>
              <w:rPr>
                <w:rFonts w:hint="eastAsia" w:ascii="仿宋" w:hAnsi="仿宋"/>
                <w:color w:val="auto"/>
                <w:kern w:val="0"/>
                <w:sz w:val="24"/>
                <w:szCs w:val="24"/>
                <w:highlight w:val="none"/>
                <w:lang w:bidi="ar"/>
              </w:rPr>
              <w:t>巴塘县</w:t>
            </w:r>
          </w:p>
        </w:tc>
      </w:tr>
      <w:tr>
        <w:tblPrEx>
          <w:tblCellMar>
            <w:top w:w="0" w:type="dxa"/>
            <w:left w:w="108" w:type="dxa"/>
            <w:bottom w:w="0" w:type="dxa"/>
            <w:right w:w="108" w:type="dxa"/>
          </w:tblCellMar>
        </w:tblPrEx>
        <w:trPr>
          <w:trHeight w:val="354" w:hRule="atLeast"/>
        </w:trPr>
        <w:tc>
          <w:tcPr>
            <w:tcW w:w="2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ascii="仿宋" w:hAnsi="仿宋"/>
                <w:color w:val="auto"/>
                <w:sz w:val="24"/>
                <w:szCs w:val="24"/>
                <w:highlight w:val="none"/>
              </w:rPr>
            </w:pPr>
            <w:r>
              <w:rPr>
                <w:rFonts w:hint="eastAsia" w:ascii="仿宋" w:hAnsi="仿宋"/>
                <w:color w:val="auto"/>
                <w:kern w:val="0"/>
                <w:sz w:val="24"/>
                <w:szCs w:val="24"/>
                <w:highlight w:val="none"/>
                <w:lang w:bidi="ar"/>
              </w:rPr>
              <w:t>建德市</w:t>
            </w:r>
          </w:p>
        </w:tc>
        <w:tc>
          <w:tcPr>
            <w:tcW w:w="2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ascii="仿宋" w:hAnsi="仿宋"/>
                <w:color w:val="auto"/>
                <w:sz w:val="24"/>
                <w:szCs w:val="24"/>
                <w:highlight w:val="none"/>
              </w:rPr>
            </w:pPr>
            <w:r>
              <w:rPr>
                <w:rFonts w:hint="eastAsia" w:ascii="仿宋" w:hAnsi="仿宋"/>
                <w:color w:val="auto"/>
                <w:kern w:val="0"/>
                <w:sz w:val="24"/>
                <w:szCs w:val="24"/>
                <w:highlight w:val="none"/>
                <w:lang w:bidi="ar"/>
              </w:rPr>
              <w:t>乡城县</w:t>
            </w:r>
          </w:p>
        </w:tc>
      </w:tr>
      <w:tr>
        <w:tblPrEx>
          <w:tblCellMar>
            <w:top w:w="0" w:type="dxa"/>
            <w:left w:w="108" w:type="dxa"/>
            <w:bottom w:w="0" w:type="dxa"/>
            <w:right w:w="108" w:type="dxa"/>
          </w:tblCellMar>
        </w:tblPrEx>
        <w:trPr>
          <w:trHeight w:val="354" w:hRule="atLeast"/>
        </w:trPr>
        <w:tc>
          <w:tcPr>
            <w:tcW w:w="2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ascii="仿宋" w:hAnsi="仿宋"/>
                <w:b/>
                <w:bCs/>
                <w:color w:val="auto"/>
                <w:sz w:val="24"/>
                <w:szCs w:val="24"/>
                <w:highlight w:val="none"/>
              </w:rPr>
            </w:pPr>
            <w:r>
              <w:rPr>
                <w:rFonts w:hint="eastAsia" w:ascii="仿宋" w:hAnsi="仿宋"/>
                <w:b/>
                <w:bCs/>
                <w:color w:val="auto"/>
                <w:kern w:val="0"/>
                <w:sz w:val="24"/>
                <w:szCs w:val="24"/>
                <w:highlight w:val="none"/>
                <w:lang w:bidi="ar"/>
              </w:rPr>
              <w:t>台州市</w:t>
            </w:r>
          </w:p>
        </w:tc>
        <w:tc>
          <w:tcPr>
            <w:tcW w:w="2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ascii="仿宋" w:hAnsi="仿宋"/>
                <w:color w:val="auto"/>
                <w:sz w:val="24"/>
                <w:szCs w:val="24"/>
                <w:highlight w:val="none"/>
              </w:rPr>
            </w:pPr>
          </w:p>
        </w:tc>
      </w:tr>
      <w:tr>
        <w:tblPrEx>
          <w:tblCellMar>
            <w:top w:w="0" w:type="dxa"/>
            <w:left w:w="108" w:type="dxa"/>
            <w:bottom w:w="0" w:type="dxa"/>
            <w:right w:w="108" w:type="dxa"/>
          </w:tblCellMar>
        </w:tblPrEx>
        <w:trPr>
          <w:trHeight w:val="354" w:hRule="atLeast"/>
        </w:trPr>
        <w:tc>
          <w:tcPr>
            <w:tcW w:w="2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ascii="仿宋" w:hAnsi="仿宋"/>
                <w:color w:val="auto"/>
                <w:sz w:val="24"/>
                <w:szCs w:val="24"/>
                <w:highlight w:val="none"/>
              </w:rPr>
            </w:pPr>
            <w:r>
              <w:rPr>
                <w:rFonts w:hint="eastAsia" w:ascii="仿宋" w:hAnsi="仿宋"/>
                <w:color w:val="auto"/>
                <w:sz w:val="24"/>
                <w:szCs w:val="24"/>
                <w:highlight w:val="none"/>
              </w:rPr>
              <w:t>玉环市</w:t>
            </w:r>
          </w:p>
        </w:tc>
        <w:tc>
          <w:tcPr>
            <w:tcW w:w="2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ascii="仿宋" w:hAnsi="仿宋"/>
                <w:color w:val="auto"/>
                <w:sz w:val="24"/>
                <w:szCs w:val="24"/>
                <w:highlight w:val="none"/>
              </w:rPr>
            </w:pPr>
            <w:r>
              <w:rPr>
                <w:rFonts w:hint="eastAsia" w:ascii="仿宋" w:hAnsi="仿宋"/>
                <w:color w:val="auto"/>
                <w:kern w:val="0"/>
                <w:sz w:val="24"/>
                <w:szCs w:val="24"/>
                <w:highlight w:val="none"/>
                <w:lang w:bidi="ar"/>
              </w:rPr>
              <w:t>炉霍县</w:t>
            </w:r>
          </w:p>
        </w:tc>
      </w:tr>
      <w:tr>
        <w:tblPrEx>
          <w:tblCellMar>
            <w:top w:w="0" w:type="dxa"/>
            <w:left w:w="108" w:type="dxa"/>
            <w:bottom w:w="0" w:type="dxa"/>
            <w:right w:w="108" w:type="dxa"/>
          </w:tblCellMar>
        </w:tblPrEx>
        <w:trPr>
          <w:trHeight w:val="354" w:hRule="atLeast"/>
        </w:trPr>
        <w:tc>
          <w:tcPr>
            <w:tcW w:w="2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ascii="仿宋" w:hAnsi="仿宋"/>
                <w:color w:val="auto"/>
                <w:sz w:val="24"/>
                <w:szCs w:val="24"/>
                <w:highlight w:val="none"/>
              </w:rPr>
            </w:pPr>
            <w:r>
              <w:rPr>
                <w:rFonts w:hint="eastAsia" w:ascii="仿宋" w:hAnsi="仿宋"/>
                <w:color w:val="auto"/>
                <w:sz w:val="24"/>
                <w:szCs w:val="24"/>
                <w:highlight w:val="none"/>
              </w:rPr>
              <w:t>黄岩区</w:t>
            </w:r>
          </w:p>
        </w:tc>
        <w:tc>
          <w:tcPr>
            <w:tcW w:w="2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ascii="仿宋" w:hAnsi="仿宋"/>
                <w:color w:val="auto"/>
                <w:sz w:val="24"/>
                <w:szCs w:val="24"/>
                <w:highlight w:val="none"/>
              </w:rPr>
            </w:pPr>
            <w:r>
              <w:rPr>
                <w:rFonts w:hint="eastAsia" w:ascii="仿宋" w:hAnsi="仿宋"/>
                <w:color w:val="auto"/>
                <w:kern w:val="0"/>
                <w:sz w:val="24"/>
                <w:szCs w:val="24"/>
                <w:highlight w:val="none"/>
                <w:lang w:bidi="ar"/>
              </w:rPr>
              <w:t>新龙县</w:t>
            </w:r>
          </w:p>
        </w:tc>
      </w:tr>
      <w:tr>
        <w:tblPrEx>
          <w:tblCellMar>
            <w:top w:w="0" w:type="dxa"/>
            <w:left w:w="108" w:type="dxa"/>
            <w:bottom w:w="0" w:type="dxa"/>
            <w:right w:w="108" w:type="dxa"/>
          </w:tblCellMar>
        </w:tblPrEx>
        <w:trPr>
          <w:trHeight w:val="354" w:hRule="atLeast"/>
        </w:trPr>
        <w:tc>
          <w:tcPr>
            <w:tcW w:w="2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ascii="仿宋" w:hAnsi="仿宋"/>
                <w:color w:val="auto"/>
                <w:sz w:val="24"/>
                <w:szCs w:val="24"/>
                <w:highlight w:val="none"/>
              </w:rPr>
            </w:pPr>
            <w:r>
              <w:rPr>
                <w:rFonts w:hint="eastAsia" w:ascii="仿宋" w:hAnsi="仿宋"/>
                <w:color w:val="auto"/>
                <w:sz w:val="24"/>
                <w:szCs w:val="24"/>
                <w:highlight w:val="none"/>
              </w:rPr>
              <w:t>椒江区</w:t>
            </w:r>
          </w:p>
        </w:tc>
        <w:tc>
          <w:tcPr>
            <w:tcW w:w="2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ascii="仿宋" w:hAnsi="仿宋"/>
                <w:color w:val="auto"/>
                <w:sz w:val="24"/>
                <w:szCs w:val="24"/>
                <w:highlight w:val="none"/>
              </w:rPr>
            </w:pPr>
            <w:r>
              <w:rPr>
                <w:rFonts w:hint="eastAsia" w:ascii="仿宋" w:hAnsi="仿宋"/>
                <w:color w:val="auto"/>
                <w:kern w:val="0"/>
                <w:sz w:val="24"/>
                <w:szCs w:val="24"/>
                <w:highlight w:val="none"/>
                <w:lang w:bidi="ar"/>
              </w:rPr>
              <w:t>色达县</w:t>
            </w:r>
          </w:p>
        </w:tc>
      </w:tr>
      <w:tr>
        <w:tblPrEx>
          <w:tblCellMar>
            <w:top w:w="0" w:type="dxa"/>
            <w:left w:w="108" w:type="dxa"/>
            <w:bottom w:w="0" w:type="dxa"/>
            <w:right w:w="108" w:type="dxa"/>
          </w:tblCellMar>
        </w:tblPrEx>
        <w:trPr>
          <w:trHeight w:val="354" w:hRule="atLeast"/>
        </w:trPr>
        <w:tc>
          <w:tcPr>
            <w:tcW w:w="2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ascii="仿宋" w:hAnsi="仿宋"/>
                <w:color w:val="auto"/>
                <w:sz w:val="24"/>
                <w:szCs w:val="24"/>
                <w:highlight w:val="none"/>
              </w:rPr>
            </w:pPr>
            <w:r>
              <w:rPr>
                <w:rFonts w:hint="eastAsia" w:ascii="仿宋" w:hAnsi="仿宋"/>
                <w:color w:val="auto"/>
                <w:sz w:val="24"/>
                <w:szCs w:val="24"/>
                <w:highlight w:val="none"/>
              </w:rPr>
              <w:t>路桥区</w:t>
            </w:r>
          </w:p>
        </w:tc>
        <w:tc>
          <w:tcPr>
            <w:tcW w:w="2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ascii="仿宋" w:hAnsi="仿宋"/>
                <w:color w:val="auto"/>
                <w:sz w:val="24"/>
                <w:szCs w:val="24"/>
                <w:highlight w:val="none"/>
              </w:rPr>
            </w:pPr>
            <w:r>
              <w:rPr>
                <w:rFonts w:hint="eastAsia" w:ascii="仿宋" w:hAnsi="仿宋"/>
                <w:color w:val="auto"/>
                <w:kern w:val="0"/>
                <w:sz w:val="24"/>
                <w:szCs w:val="24"/>
                <w:highlight w:val="none"/>
                <w:lang w:bidi="ar"/>
              </w:rPr>
              <w:t>甘孜县</w:t>
            </w:r>
          </w:p>
        </w:tc>
      </w:tr>
      <w:tr>
        <w:tblPrEx>
          <w:tblCellMar>
            <w:top w:w="0" w:type="dxa"/>
            <w:left w:w="108" w:type="dxa"/>
            <w:bottom w:w="0" w:type="dxa"/>
            <w:right w:w="108" w:type="dxa"/>
          </w:tblCellMar>
        </w:tblPrEx>
        <w:trPr>
          <w:trHeight w:val="354" w:hRule="atLeast"/>
        </w:trPr>
        <w:tc>
          <w:tcPr>
            <w:tcW w:w="2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ascii="仿宋" w:hAnsi="仿宋"/>
                <w:b/>
                <w:bCs/>
                <w:color w:val="auto"/>
                <w:sz w:val="24"/>
                <w:szCs w:val="24"/>
                <w:highlight w:val="none"/>
              </w:rPr>
            </w:pPr>
            <w:r>
              <w:rPr>
                <w:rFonts w:hint="eastAsia" w:ascii="仿宋" w:hAnsi="仿宋"/>
                <w:b/>
                <w:bCs/>
                <w:color w:val="auto"/>
                <w:kern w:val="0"/>
                <w:sz w:val="24"/>
                <w:szCs w:val="24"/>
                <w:highlight w:val="none"/>
                <w:lang w:bidi="ar"/>
              </w:rPr>
              <w:t>金华市</w:t>
            </w:r>
          </w:p>
        </w:tc>
        <w:tc>
          <w:tcPr>
            <w:tcW w:w="2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ascii="仿宋" w:hAnsi="仿宋"/>
                <w:color w:val="auto"/>
                <w:sz w:val="24"/>
                <w:szCs w:val="24"/>
                <w:highlight w:val="none"/>
              </w:rPr>
            </w:pPr>
          </w:p>
        </w:tc>
      </w:tr>
      <w:tr>
        <w:tblPrEx>
          <w:tblCellMar>
            <w:top w:w="0" w:type="dxa"/>
            <w:left w:w="108" w:type="dxa"/>
            <w:bottom w:w="0" w:type="dxa"/>
            <w:right w:w="108" w:type="dxa"/>
          </w:tblCellMar>
        </w:tblPrEx>
        <w:trPr>
          <w:trHeight w:val="354" w:hRule="atLeast"/>
        </w:trPr>
        <w:tc>
          <w:tcPr>
            <w:tcW w:w="2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ascii="仿宋" w:hAnsi="仿宋"/>
                <w:color w:val="auto"/>
                <w:sz w:val="24"/>
                <w:szCs w:val="24"/>
                <w:highlight w:val="none"/>
              </w:rPr>
            </w:pPr>
            <w:r>
              <w:rPr>
                <w:rFonts w:hint="eastAsia" w:ascii="仿宋" w:hAnsi="仿宋"/>
                <w:color w:val="auto"/>
                <w:kern w:val="0"/>
                <w:sz w:val="24"/>
                <w:szCs w:val="24"/>
                <w:highlight w:val="none"/>
                <w:lang w:bidi="ar"/>
              </w:rPr>
              <w:t>金东区</w:t>
            </w:r>
          </w:p>
        </w:tc>
        <w:tc>
          <w:tcPr>
            <w:tcW w:w="2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ascii="仿宋" w:hAnsi="仿宋"/>
                <w:color w:val="auto"/>
                <w:sz w:val="24"/>
                <w:szCs w:val="24"/>
                <w:highlight w:val="none"/>
              </w:rPr>
            </w:pPr>
            <w:r>
              <w:rPr>
                <w:rFonts w:hint="eastAsia" w:ascii="仿宋" w:hAnsi="仿宋"/>
                <w:color w:val="auto"/>
                <w:kern w:val="0"/>
                <w:sz w:val="24"/>
                <w:szCs w:val="24"/>
                <w:highlight w:val="none"/>
                <w:lang w:bidi="ar"/>
              </w:rPr>
              <w:t>丹巴县</w:t>
            </w:r>
          </w:p>
        </w:tc>
      </w:tr>
      <w:tr>
        <w:tblPrEx>
          <w:tblCellMar>
            <w:top w:w="0" w:type="dxa"/>
            <w:left w:w="108" w:type="dxa"/>
            <w:bottom w:w="0" w:type="dxa"/>
            <w:right w:w="108" w:type="dxa"/>
          </w:tblCellMar>
        </w:tblPrEx>
        <w:trPr>
          <w:trHeight w:val="354" w:hRule="atLeast"/>
        </w:trPr>
        <w:tc>
          <w:tcPr>
            <w:tcW w:w="2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ascii="仿宋" w:hAnsi="仿宋"/>
                <w:color w:val="auto"/>
                <w:sz w:val="24"/>
                <w:szCs w:val="24"/>
                <w:highlight w:val="none"/>
              </w:rPr>
            </w:pPr>
            <w:r>
              <w:rPr>
                <w:rFonts w:hint="eastAsia" w:ascii="仿宋" w:hAnsi="仿宋"/>
                <w:color w:val="auto"/>
                <w:kern w:val="0"/>
                <w:sz w:val="24"/>
                <w:szCs w:val="24"/>
                <w:highlight w:val="none"/>
                <w:lang w:bidi="ar"/>
              </w:rPr>
              <w:t>婺城区</w:t>
            </w:r>
          </w:p>
        </w:tc>
        <w:tc>
          <w:tcPr>
            <w:tcW w:w="2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ascii="仿宋" w:hAnsi="仿宋"/>
                <w:color w:val="auto"/>
                <w:sz w:val="24"/>
                <w:szCs w:val="24"/>
                <w:highlight w:val="none"/>
              </w:rPr>
            </w:pPr>
            <w:r>
              <w:rPr>
                <w:rFonts w:hint="eastAsia" w:ascii="仿宋" w:hAnsi="仿宋"/>
                <w:color w:val="auto"/>
                <w:kern w:val="0"/>
                <w:sz w:val="24"/>
                <w:szCs w:val="24"/>
                <w:highlight w:val="none"/>
                <w:lang w:bidi="ar"/>
              </w:rPr>
              <w:t>道孚县</w:t>
            </w:r>
          </w:p>
        </w:tc>
      </w:tr>
    </w:tbl>
    <w:p>
      <w:pPr>
        <w:pStyle w:val="21"/>
        <w:rPr>
          <w:rFonts w:hint="default"/>
          <w:color w:val="auto"/>
          <w:highlight w:val="none"/>
        </w:rPr>
      </w:pPr>
    </w:p>
    <w:p>
      <w:pPr>
        <w:rPr>
          <w:rFonts w:ascii="仿宋" w:hAnsi="仿宋"/>
          <w:b/>
          <w:bCs/>
          <w:color w:val="auto"/>
          <w:kern w:val="0"/>
          <w:highlight w:val="none"/>
        </w:rPr>
      </w:pPr>
      <w:r>
        <w:rPr>
          <w:rFonts w:hint="eastAsia" w:ascii="仿宋" w:hAnsi="仿宋"/>
          <w:b/>
          <w:bCs/>
          <w:color w:val="auto"/>
          <w:kern w:val="0"/>
          <w:highlight w:val="none"/>
        </w:rPr>
        <w:br w:type="page"/>
      </w:r>
    </w:p>
    <w:p>
      <w:pPr>
        <w:pStyle w:val="5"/>
        <w:keepNext/>
        <w:keepLines/>
        <w:pageBreakBefore w:val="0"/>
        <w:widowControl w:val="0"/>
        <w:tabs>
          <w:tab w:val="clear" w:pos="0"/>
        </w:tabs>
        <w:suppressAutoHyphens w:val="0"/>
        <w:kinsoku/>
        <w:wordWrap/>
        <w:overflowPunct/>
        <w:topLinePunct w:val="0"/>
        <w:autoSpaceDE/>
        <w:autoSpaceDN/>
        <w:bidi w:val="0"/>
        <w:adjustRightInd/>
        <w:snapToGrid w:val="0"/>
        <w:spacing w:before="0" w:after="0" w:line="360" w:lineRule="auto"/>
        <w:ind w:firstLine="0" w:firstLineChars="0"/>
        <w:jc w:val="center"/>
        <w:textAlignment w:val="auto"/>
        <w:rPr>
          <w:rFonts w:hint="eastAsia" w:ascii="楷体" w:hAnsi="楷体" w:eastAsia="楷体" w:cs="黑体"/>
          <w:bCs w:val="0"/>
          <w:color w:val="auto"/>
          <w:kern w:val="0"/>
          <w:highlight w:val="none"/>
        </w:rPr>
      </w:pPr>
      <w:bookmarkStart w:id="183" w:name="_Toc21565"/>
      <w:bookmarkStart w:id="184" w:name="_Toc12003"/>
      <w:bookmarkStart w:id="185" w:name="_Toc2763"/>
      <w:r>
        <w:rPr>
          <w:rFonts w:hint="eastAsia" w:ascii="楷体" w:hAnsi="楷体" w:eastAsia="楷体" w:cs="黑体"/>
          <w:bCs w:val="0"/>
          <w:color w:val="auto"/>
          <w:kern w:val="0"/>
          <w:highlight w:val="none"/>
        </w:rPr>
        <w:t>附件</w:t>
      </w:r>
      <w:r>
        <w:rPr>
          <w:rFonts w:hint="eastAsia" w:ascii="楷体" w:hAnsi="楷体" w:eastAsia="楷体" w:cs="黑体"/>
          <w:bCs w:val="0"/>
          <w:color w:val="auto"/>
          <w:kern w:val="0"/>
          <w:highlight w:val="none"/>
          <w:lang w:val="en-US" w:eastAsia="zh-CN"/>
        </w:rPr>
        <w:t>6</w:t>
      </w:r>
      <w:r>
        <w:rPr>
          <w:rFonts w:hint="eastAsia" w:ascii="楷体" w:hAnsi="楷体" w:eastAsia="楷体" w:cs="黑体"/>
          <w:bCs w:val="0"/>
          <w:color w:val="auto"/>
          <w:kern w:val="0"/>
          <w:highlight w:val="none"/>
        </w:rPr>
        <w:t>：</w:t>
      </w:r>
      <w:bookmarkStart w:id="186" w:name="_Toc11772"/>
      <w:r>
        <w:rPr>
          <w:rFonts w:hint="eastAsia" w:ascii="楷体" w:hAnsi="楷体" w:eastAsia="楷体" w:cs="黑体"/>
          <w:bCs w:val="0"/>
          <w:color w:val="auto"/>
          <w:kern w:val="0"/>
          <w:highlight w:val="none"/>
          <w:lang w:eastAsia="zh-CN"/>
        </w:rPr>
        <w:t>甘孜州巩固拓展脱贫攻坚成果同乡村振兴有效衔接规划</w:t>
      </w:r>
      <w:r>
        <w:rPr>
          <w:rFonts w:hint="eastAsia" w:ascii="楷体" w:hAnsi="楷体" w:eastAsia="楷体" w:cs="黑体"/>
          <w:bCs w:val="0"/>
          <w:color w:val="auto"/>
          <w:kern w:val="0"/>
          <w:highlight w:val="none"/>
        </w:rPr>
        <w:t>项目一览表</w:t>
      </w:r>
      <w:bookmarkEnd w:id="183"/>
      <w:bookmarkEnd w:id="184"/>
      <w:bookmarkEnd w:id="185"/>
      <w:bookmarkEnd w:id="186"/>
    </w:p>
    <w:p>
      <w:pPr>
        <w:pStyle w:val="4"/>
        <w:keepNext/>
        <w:keepLines/>
        <w:pageBreakBefore w:val="0"/>
        <w:widowControl w:val="0"/>
        <w:tabs>
          <w:tab w:val="clear" w:pos="0"/>
        </w:tabs>
        <w:suppressAutoHyphens w:val="0"/>
        <w:kinsoku/>
        <w:wordWrap/>
        <w:overflowPunct/>
        <w:topLinePunct w:val="0"/>
        <w:autoSpaceDE/>
        <w:autoSpaceDN/>
        <w:bidi w:val="0"/>
        <w:adjustRightInd/>
        <w:snapToGrid/>
        <w:spacing w:before="40" w:after="100" w:line="579" w:lineRule="auto"/>
        <w:jc w:val="both"/>
        <w:textAlignment w:val="auto"/>
        <w:rPr>
          <w:rFonts w:ascii="仿宋" w:hAnsi="仿宋"/>
          <w:b/>
          <w:bCs/>
          <w:color w:val="auto"/>
          <w:kern w:val="0"/>
          <w:sz w:val="28"/>
          <w:szCs w:val="28"/>
          <w:highlight w:val="none"/>
        </w:rPr>
      </w:pPr>
    </w:p>
    <w:sectPr>
      <w:footerReference r:id="rId16" w:type="default"/>
      <w:pgSz w:w="11906" w:h="16838"/>
      <w:pgMar w:top="1928" w:right="1474" w:bottom="1814" w:left="1588" w:header="851" w:footer="992" w:gutter="0"/>
      <w:pgNumType w:fmt="decimal"/>
      <w:cols w:space="425" w:num="1"/>
      <w:docGrid w:type="lines" w:linePitch="43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1808C49-3C1C-48D6-AD96-7E0CF3CF9A4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embedRegular r:id="rId2" w:fontKey="{4BBD9BD5-7220-4AC5-A42E-E9041ECFFBCE}"/>
  </w:font>
  <w:font w:name="仿宋_GB2312">
    <w:panose1 w:val="02010609030101010101"/>
    <w:charset w:val="86"/>
    <w:family w:val="modern"/>
    <w:pitch w:val="default"/>
    <w:sig w:usb0="00000001" w:usb1="080E0000" w:usb2="00000000" w:usb3="00000000" w:csb0="00040000" w:csb1="00000000"/>
    <w:embedRegular r:id="rId3" w:fontKey="{18A6E872-9D27-47CC-8290-C146E448422B}"/>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方正小标宋_GBK">
    <w:panose1 w:val="03000509000000000000"/>
    <w:charset w:val="86"/>
    <w:family w:val="script"/>
    <w:pitch w:val="default"/>
    <w:sig w:usb0="00000001" w:usb1="080E0000" w:usb2="00000000" w:usb3="00000000" w:csb0="00040000" w:csb1="00000000"/>
    <w:embedRegular r:id="rId4" w:fontKey="{CF767B15-E29D-489E-BE0D-4414BE503729}"/>
  </w:font>
  <w:font w:name="方正黑体简体">
    <w:altName w:val="微软雅黑"/>
    <w:panose1 w:val="0201060103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方正小标宋简体">
    <w:panose1 w:val="03000509000000000000"/>
    <w:charset w:val="86"/>
    <w:family w:val="script"/>
    <w:pitch w:val="default"/>
    <w:sig w:usb0="00000001" w:usb1="080E0000" w:usb2="00000000" w:usb3="00000000" w:csb0="00040000" w:csb1="00000000"/>
    <w:embedRegular r:id="rId5" w:fontKey="{7DDB7A5C-7CEA-4742-A570-799B9E7337A1}"/>
  </w:font>
  <w:font w:name="楷体">
    <w:panose1 w:val="02010609060101010101"/>
    <w:charset w:val="86"/>
    <w:family w:val="modern"/>
    <w:pitch w:val="default"/>
    <w:sig w:usb0="800002BF" w:usb1="38CF7CFA" w:usb2="00000016" w:usb3="00000000" w:csb0="00040001" w:csb1="00000000"/>
    <w:embedRegular r:id="rId6" w:fontKey="{7B0B0C0B-3ED7-485D-AFB3-F57E722875DD}"/>
  </w:font>
  <w:font w:name="方正黑体_GBK">
    <w:panose1 w:val="03000509000000000000"/>
    <w:charset w:val="86"/>
    <w:family w:val="script"/>
    <w:pitch w:val="default"/>
    <w:sig w:usb0="00000001" w:usb1="080E0000" w:usb2="00000000" w:usb3="00000000" w:csb0="00040000" w:csb1="00000000"/>
    <w:embedRegular r:id="rId7" w:fontKey="{D4450E4D-E0D7-4E5A-B6B5-3F791AE39B88}"/>
  </w:font>
  <w:font w:name="方正仿宋_GBK">
    <w:panose1 w:val="03000509000000000000"/>
    <w:charset w:val="86"/>
    <w:family w:val="script"/>
    <w:pitch w:val="default"/>
    <w:sig w:usb0="00000001" w:usb1="080E0000" w:usb2="00000000" w:usb3="00000000" w:csb0="00040000" w:csb1="00000000"/>
    <w:embedRegular r:id="rId8" w:fontKey="{E32908E6-CA09-4F8F-BF7D-2E7335999870}"/>
  </w:font>
  <w:font w:name="楷体_GB2312">
    <w:panose1 w:val="02010609030101010101"/>
    <w:charset w:val="86"/>
    <w:family w:val="modern"/>
    <w:pitch w:val="default"/>
    <w:sig w:usb0="00000001" w:usb1="080E0000" w:usb2="00000000" w:usb3="00000000" w:csb0="00040000" w:csb1="00000000"/>
    <w:embedRegular r:id="rId9" w:fontKey="{435C192C-8C5D-4B13-BC1F-40EB8B41816F}"/>
  </w:font>
  <w:font w:name="方正楷体_GBK">
    <w:panose1 w:val="03000509000000000000"/>
    <w:charset w:val="86"/>
    <w:family w:val="script"/>
    <w:pitch w:val="default"/>
    <w:sig w:usb0="00000001" w:usb1="080E0000" w:usb2="00000000" w:usb3="00000000" w:csb0="00040000" w:csb1="00000000"/>
    <w:embedRegular r:id="rId10" w:fontKey="{5C146D5C-284E-49CB-AE01-F89A76C6C7B3}"/>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left="640" w:leftChars="200" w:right="640" w:rightChars="200"/>
      <w:rPr>
        <w:rFonts w:ascii="Times New Roman" w:hAnsi="Times New Roman"/>
        <w:sz w:val="28"/>
        <w:szCs w:val="28"/>
      </w:rPr>
    </w:pPr>
    <w:r>
      <w:rPr>
        <w:sz w:val="2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2</w:t>
                    </w:r>
                    <w:r>
                      <w:fldChar w:fldCharType="end"/>
                    </w:r>
                  </w:p>
                </w:txbxContent>
              </v:textbox>
            </v:shape>
          </w:pict>
        </mc:Fallback>
      </mc:AlternateContent>
    </w:r>
  </w:p>
  <w:p>
    <w:pPr>
      <w:pStyle w:val="1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123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TdpA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DTdpAzAgAAYwQAAA4AAAAAAAAAAQAgAAAAHwEAAGRycy9lMm9Eb2MueG1sUEsF&#10;BgAAAAAGAAYAWQEAAMQFA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123</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10">
    <w:p>
      <w:pPr>
        <w:spacing w:line="360" w:lineRule="auto"/>
      </w:pPr>
      <w:r>
        <w:separator/>
      </w:r>
    </w:p>
  </w:footnote>
  <w:footnote w:type="continuationSeparator" w:id="11">
    <w:p>
      <w:pPr>
        <w:spacing w:line="360" w:lineRule="auto"/>
      </w:pPr>
      <w:r>
        <w:continuationSeparator/>
      </w:r>
    </w:p>
  </w:footnote>
  <w:footnote w:id="0">
    <w:p>
      <w:pPr>
        <w:pStyle w:val="19"/>
        <w:keepNext w:val="0"/>
        <w:keepLines w:val="0"/>
        <w:pageBreakBefore w:val="0"/>
        <w:widowControl w:val="0"/>
        <w:kinsoku/>
        <w:wordWrap/>
        <w:overflowPunct/>
        <w:topLinePunct w:val="0"/>
        <w:autoSpaceDE/>
        <w:autoSpaceDN/>
        <w:bidi w:val="0"/>
        <w:adjustRightInd/>
        <w:snapToGrid w:val="0"/>
        <w:spacing w:line="240" w:lineRule="exact"/>
        <w:textAlignment w:val="auto"/>
      </w:pPr>
      <w:r>
        <w:rPr>
          <w:rStyle w:val="30"/>
        </w:rPr>
        <w:footnoteRef/>
      </w:r>
      <w:r>
        <w:t xml:space="preserve"> </w:t>
      </w:r>
      <w:r>
        <w:rPr>
          <w:rFonts w:hint="eastAsia"/>
          <w:b/>
          <w:bCs/>
        </w:rPr>
        <w:t>六期叠加</w:t>
      </w:r>
      <w:r>
        <w:rPr>
          <w:rFonts w:hint="eastAsia"/>
        </w:rPr>
        <w:t>：重要战略机遇期、反分裂斗争关键期、社会大局长治久安推进期、经济社会高质量发展转型期、生态文明建设深化期、脱贫</w:t>
      </w:r>
      <w:r>
        <w:rPr>
          <w:rFonts w:hint="eastAsia"/>
          <w:lang w:val="en-US" w:eastAsia="zh-CN"/>
        </w:rPr>
        <w:t>成果</w:t>
      </w:r>
      <w:r>
        <w:rPr>
          <w:rFonts w:hint="eastAsia"/>
        </w:rPr>
        <w:t>巩固提升期。</w:t>
      </w:r>
    </w:p>
  </w:footnote>
  <w:footnote w:id="1">
    <w:p>
      <w:pPr>
        <w:pStyle w:val="19"/>
        <w:keepNext w:val="0"/>
        <w:keepLines w:val="0"/>
        <w:pageBreakBefore w:val="0"/>
        <w:widowControl w:val="0"/>
        <w:kinsoku/>
        <w:wordWrap/>
        <w:overflowPunct/>
        <w:topLinePunct w:val="0"/>
        <w:autoSpaceDE/>
        <w:autoSpaceDN/>
        <w:bidi w:val="0"/>
        <w:adjustRightInd/>
        <w:snapToGrid w:val="0"/>
        <w:spacing w:line="240" w:lineRule="exact"/>
        <w:textAlignment w:val="auto"/>
      </w:pPr>
      <w:r>
        <w:rPr>
          <w:rStyle w:val="30"/>
        </w:rPr>
        <w:footnoteRef/>
      </w:r>
      <w:r>
        <w:t xml:space="preserve"> </w:t>
      </w:r>
      <w:r>
        <w:rPr>
          <w:rFonts w:hint="eastAsia"/>
          <w:b/>
          <w:bCs/>
        </w:rPr>
        <w:t>九性并存</w:t>
      </w:r>
      <w:r>
        <w:rPr>
          <w:rFonts w:hint="eastAsia"/>
        </w:rPr>
        <w:t>：巩固脱贫攻坚的前置性、重大基建项目的周期性、开展易地搬迁的延续性、实施乡村振兴的梯度性、实施产业振兴的融合性、实施人才振兴的重要性</w:t>
      </w:r>
      <w:r>
        <w:rPr>
          <w:rFonts w:hint="eastAsia"/>
          <w:lang w:eastAsia="zh-CN"/>
        </w:rPr>
        <w:t>、</w:t>
      </w:r>
      <w:r>
        <w:rPr>
          <w:rFonts w:hint="eastAsia"/>
        </w:rPr>
        <w:t>实施文化振兴的创造性、实施生态振兴的全局性、实施组织振兴的关键性。</w:t>
      </w:r>
    </w:p>
  </w:footnote>
  <w:footnote w:id="2">
    <w:p>
      <w:pPr>
        <w:pStyle w:val="19"/>
        <w:snapToGrid w:val="0"/>
        <w:rPr>
          <w:rFonts w:hint="default" w:eastAsia="仿宋"/>
          <w:lang w:val="en-US" w:eastAsia="zh-CN"/>
        </w:rPr>
      </w:pPr>
      <w:r>
        <w:rPr>
          <w:rStyle w:val="30"/>
        </w:rPr>
        <w:footnoteRef/>
      </w:r>
      <w:r>
        <w:t xml:space="preserve"> </w:t>
      </w:r>
      <w:r>
        <w:rPr>
          <w:rFonts w:hint="eastAsia"/>
          <w:lang w:val="en-US" w:eastAsia="zh-CN"/>
        </w:rPr>
        <w:t>三高地带：高寒地带、高原河谷地带、高山峡谷地带。</w:t>
      </w:r>
    </w:p>
  </w:footnote>
  <w:footnote w:id="3">
    <w:p>
      <w:pPr>
        <w:pStyle w:val="19"/>
        <w:snapToGrid w:val="0"/>
      </w:pPr>
      <w:r>
        <w:rPr>
          <w:rStyle w:val="30"/>
        </w:rPr>
        <w:footnoteRef/>
      </w:r>
      <w:r>
        <w:t xml:space="preserve"> </w:t>
      </w:r>
      <w:r>
        <w:rPr>
          <w:rFonts w:hint="eastAsia"/>
        </w:rPr>
        <w:t>“三江六带”现代农业产业带</w:t>
      </w:r>
      <w:r>
        <w:rPr>
          <w:rFonts w:hint="eastAsia"/>
          <w:lang w:eastAsia="zh-CN"/>
        </w:rPr>
        <w:t>：</w:t>
      </w:r>
      <w:r>
        <w:rPr>
          <w:rFonts w:hint="eastAsia"/>
        </w:rPr>
        <w:t>以优化产业结构为目的，打破县域行政区划界限，在大渡河、金沙江、雅砻江三大流域建设六个现代农业产业带。</w:t>
      </w:r>
    </w:p>
  </w:footnote>
  <w:footnote w:id="4">
    <w:p>
      <w:pPr>
        <w:pStyle w:val="19"/>
        <w:snapToGrid w:val="0"/>
        <w:rPr>
          <w:rFonts w:hint="default" w:eastAsia="仿宋"/>
          <w:lang w:val="en-US" w:eastAsia="zh-CN"/>
        </w:rPr>
      </w:pPr>
      <w:r>
        <w:rPr>
          <w:rStyle w:val="30"/>
        </w:rPr>
        <w:footnoteRef/>
      </w:r>
      <w:r>
        <w:t xml:space="preserve"> </w:t>
      </w:r>
      <w:r>
        <w:rPr>
          <w:rFonts w:hint="eastAsia"/>
          <w:lang w:eastAsia="zh-CN"/>
        </w:rPr>
        <w:t>“</w:t>
      </w:r>
      <w:r>
        <w:rPr>
          <w:rFonts w:hint="eastAsia"/>
          <w:lang w:val="en-US" w:eastAsia="zh-CN"/>
        </w:rPr>
        <w:t>导、加、链、育、防</w:t>
      </w:r>
      <w:r>
        <w:rPr>
          <w:rFonts w:hint="eastAsia"/>
          <w:lang w:eastAsia="zh-CN"/>
        </w:rPr>
        <w:t>”：“</w:t>
      </w:r>
      <w:r>
        <w:rPr>
          <w:rFonts w:hint="eastAsia"/>
          <w:lang w:val="en-US" w:eastAsia="zh-CN"/>
        </w:rPr>
        <w:t>导</w:t>
      </w:r>
      <w:r>
        <w:rPr>
          <w:rFonts w:hint="eastAsia"/>
          <w:lang w:eastAsia="zh-CN"/>
        </w:rPr>
        <w:t>”</w:t>
      </w:r>
      <w:r>
        <w:rPr>
          <w:rFonts w:hint="eastAsia"/>
          <w:lang w:val="en-US" w:eastAsia="zh-CN"/>
        </w:rPr>
        <w:t>，政府引导；“加”，企业+、农户+、金融+等；“链”，供应链、产业链、利益链；“育”，产业培育、主体培育；“防”，风险防范。</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pict>
        <v:shape id="PowerPlusWaterMarkObject4904967" o:spid="_x0000_s2058" o:spt="136" type="#_x0000_t136" style="position:absolute;left:0pt;height:124.65pt;width:498.75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shape="t" fitpath="t" trim="f" xscale="f" string="浙江大学" style="font-family:创艺简标宋;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pict>
        <v:shape id="PowerPlusWaterMarkObject4904970" o:spid="_x0000_s2061" o:spt="136" type="#_x0000_t136" style="position:absolute;left:0pt;height:124.65pt;width:498.75pt;mso-position-horizontal:center;mso-position-horizontal-relative:margin;mso-position-vertical:center;mso-position-vertical-relative:margin;rotation:20643840f;z-index:-251653120;mso-width-relative:page;mso-height-relative:page;" fillcolor="#C0C0C0" filled="t" stroked="f" coordsize="21600,21600" o:allowincell="f">
          <v:path/>
          <v:fill on="t" opacity="32768f" focussize="0,0"/>
          <v:stroke on="f"/>
          <v:imagedata o:title=""/>
          <o:lock v:ext="edit"/>
          <v:textpath on="t" fitshape="t" fitpath="t" trim="f" xscale="f" string="浙江大学" style="font-family:创艺简标宋;font-size:1pt;v-text-align:center;"/>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565C7B7"/>
    <w:multiLevelType w:val="singleLevel"/>
    <w:tmpl w:val="C565C7B7"/>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saveSubsetFonts/>
  <w:bordersDoNotSurroundHeader w:val="0"/>
  <w:bordersDoNotSurroundFooter w:val="0"/>
  <w:documentProtection w:enforcement="0"/>
  <w:defaultTabStop w:val="420"/>
  <w:evenAndOddHeaders w:val="1"/>
  <w:drawingGridHorizontalSpacing w:val="160"/>
  <w:drawingGridVerticalSpacing w:val="435"/>
  <w:displayHorizontalDrawingGridEvery w:val="1"/>
  <w:displayVerticalDrawingGridEvery w:val="1"/>
  <w:noPunctuationKerning w:val="1"/>
  <w:characterSpacingControl w:val="compressPunctuation"/>
  <w:hdrShapeDefaults>
    <o:shapelayout v:ext="edit">
      <o:idmap v:ext="edit" data="2"/>
    </o:shapelayout>
  </w:hdrShapeDefaults>
  <w:footnotePr>
    <w:footnote w:id="10"/>
    <w:footnote w:id="1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gyOWQ2NmE3ODMwYTcxNDU2ZTgxN2M4NTI2YTU0YjUifQ=="/>
    <w:docVar w:name="KSO_WPS_MARK_KEY" w:val="74a50516-633d-478d-85b4-c8b01adb7514"/>
  </w:docVars>
  <w:rsids>
    <w:rsidRoot w:val="00C54DE7"/>
    <w:rsid w:val="00000967"/>
    <w:rsid w:val="00001DD9"/>
    <w:rsid w:val="00005E7E"/>
    <w:rsid w:val="00006AE6"/>
    <w:rsid w:val="00006C6C"/>
    <w:rsid w:val="000112D7"/>
    <w:rsid w:val="00011758"/>
    <w:rsid w:val="000118A6"/>
    <w:rsid w:val="00011B08"/>
    <w:rsid w:val="00013034"/>
    <w:rsid w:val="00014E5E"/>
    <w:rsid w:val="00015F5B"/>
    <w:rsid w:val="000175E9"/>
    <w:rsid w:val="00020337"/>
    <w:rsid w:val="00024632"/>
    <w:rsid w:val="000273CC"/>
    <w:rsid w:val="000275BE"/>
    <w:rsid w:val="00031FFC"/>
    <w:rsid w:val="00032BB1"/>
    <w:rsid w:val="00034D86"/>
    <w:rsid w:val="00035B3B"/>
    <w:rsid w:val="00043144"/>
    <w:rsid w:val="0004506F"/>
    <w:rsid w:val="00045838"/>
    <w:rsid w:val="000458A5"/>
    <w:rsid w:val="00045A34"/>
    <w:rsid w:val="00046CA0"/>
    <w:rsid w:val="00046FC4"/>
    <w:rsid w:val="0004782E"/>
    <w:rsid w:val="00050603"/>
    <w:rsid w:val="0005128D"/>
    <w:rsid w:val="000515C0"/>
    <w:rsid w:val="00051E52"/>
    <w:rsid w:val="000525C5"/>
    <w:rsid w:val="00052851"/>
    <w:rsid w:val="000536F0"/>
    <w:rsid w:val="00056CC2"/>
    <w:rsid w:val="00057E48"/>
    <w:rsid w:val="000609F6"/>
    <w:rsid w:val="000613D9"/>
    <w:rsid w:val="00061C10"/>
    <w:rsid w:val="000627D6"/>
    <w:rsid w:val="00065865"/>
    <w:rsid w:val="00066BF6"/>
    <w:rsid w:val="000715EE"/>
    <w:rsid w:val="00072455"/>
    <w:rsid w:val="00072489"/>
    <w:rsid w:val="00073C8F"/>
    <w:rsid w:val="0007572E"/>
    <w:rsid w:val="00075A41"/>
    <w:rsid w:val="0007794C"/>
    <w:rsid w:val="00083245"/>
    <w:rsid w:val="00085013"/>
    <w:rsid w:val="00086D96"/>
    <w:rsid w:val="00086E44"/>
    <w:rsid w:val="00087FEE"/>
    <w:rsid w:val="00091654"/>
    <w:rsid w:val="00091897"/>
    <w:rsid w:val="00092623"/>
    <w:rsid w:val="0009724B"/>
    <w:rsid w:val="000A2277"/>
    <w:rsid w:val="000A3106"/>
    <w:rsid w:val="000A3158"/>
    <w:rsid w:val="000A45B2"/>
    <w:rsid w:val="000A54DD"/>
    <w:rsid w:val="000A5619"/>
    <w:rsid w:val="000A60F0"/>
    <w:rsid w:val="000B0BEC"/>
    <w:rsid w:val="000B1362"/>
    <w:rsid w:val="000B192F"/>
    <w:rsid w:val="000B1D20"/>
    <w:rsid w:val="000B2593"/>
    <w:rsid w:val="000B3D41"/>
    <w:rsid w:val="000B44D3"/>
    <w:rsid w:val="000B6455"/>
    <w:rsid w:val="000B79ED"/>
    <w:rsid w:val="000C0C8B"/>
    <w:rsid w:val="000C12C4"/>
    <w:rsid w:val="000C1986"/>
    <w:rsid w:val="000C1D00"/>
    <w:rsid w:val="000C25E8"/>
    <w:rsid w:val="000C2A5E"/>
    <w:rsid w:val="000C2BFD"/>
    <w:rsid w:val="000C3DA7"/>
    <w:rsid w:val="000C70AA"/>
    <w:rsid w:val="000C7A7C"/>
    <w:rsid w:val="000D1BA0"/>
    <w:rsid w:val="000D277A"/>
    <w:rsid w:val="000D4D12"/>
    <w:rsid w:val="000D4EC7"/>
    <w:rsid w:val="000D60E9"/>
    <w:rsid w:val="000E154F"/>
    <w:rsid w:val="000E2C97"/>
    <w:rsid w:val="000E342B"/>
    <w:rsid w:val="000E5C0E"/>
    <w:rsid w:val="000E5D71"/>
    <w:rsid w:val="000E7E63"/>
    <w:rsid w:val="000F383A"/>
    <w:rsid w:val="000F3EBE"/>
    <w:rsid w:val="000F4C91"/>
    <w:rsid w:val="00100F85"/>
    <w:rsid w:val="001014CA"/>
    <w:rsid w:val="001019C6"/>
    <w:rsid w:val="00101D60"/>
    <w:rsid w:val="00101E74"/>
    <w:rsid w:val="00103309"/>
    <w:rsid w:val="00105025"/>
    <w:rsid w:val="0010670B"/>
    <w:rsid w:val="00107264"/>
    <w:rsid w:val="00111439"/>
    <w:rsid w:val="001134FC"/>
    <w:rsid w:val="00120147"/>
    <w:rsid w:val="00120C13"/>
    <w:rsid w:val="0012232A"/>
    <w:rsid w:val="0012446D"/>
    <w:rsid w:val="00124D9D"/>
    <w:rsid w:val="00125861"/>
    <w:rsid w:val="00125AEA"/>
    <w:rsid w:val="00127D59"/>
    <w:rsid w:val="00130461"/>
    <w:rsid w:val="0013275F"/>
    <w:rsid w:val="00135135"/>
    <w:rsid w:val="00135325"/>
    <w:rsid w:val="0013715C"/>
    <w:rsid w:val="00140028"/>
    <w:rsid w:val="00140514"/>
    <w:rsid w:val="00143340"/>
    <w:rsid w:val="00144768"/>
    <w:rsid w:val="00145565"/>
    <w:rsid w:val="00145E8C"/>
    <w:rsid w:val="00146DB6"/>
    <w:rsid w:val="00150127"/>
    <w:rsid w:val="00151432"/>
    <w:rsid w:val="00151C4A"/>
    <w:rsid w:val="00152D93"/>
    <w:rsid w:val="00152EF0"/>
    <w:rsid w:val="00153536"/>
    <w:rsid w:val="00153AE3"/>
    <w:rsid w:val="00155351"/>
    <w:rsid w:val="001568B5"/>
    <w:rsid w:val="001570FF"/>
    <w:rsid w:val="00157A8B"/>
    <w:rsid w:val="00160327"/>
    <w:rsid w:val="00162C80"/>
    <w:rsid w:val="00163ABA"/>
    <w:rsid w:val="00164277"/>
    <w:rsid w:val="001647A6"/>
    <w:rsid w:val="001666EA"/>
    <w:rsid w:val="00166822"/>
    <w:rsid w:val="001669D4"/>
    <w:rsid w:val="0016763C"/>
    <w:rsid w:val="0016786C"/>
    <w:rsid w:val="0017025C"/>
    <w:rsid w:val="00172B58"/>
    <w:rsid w:val="00174B85"/>
    <w:rsid w:val="00174DF3"/>
    <w:rsid w:val="001766FD"/>
    <w:rsid w:val="0018099E"/>
    <w:rsid w:val="0018274C"/>
    <w:rsid w:val="00184DE9"/>
    <w:rsid w:val="00185C15"/>
    <w:rsid w:val="001868F3"/>
    <w:rsid w:val="00186BF0"/>
    <w:rsid w:val="001871E6"/>
    <w:rsid w:val="001904EE"/>
    <w:rsid w:val="00190A7C"/>
    <w:rsid w:val="00190C26"/>
    <w:rsid w:val="00191CBE"/>
    <w:rsid w:val="00193FE8"/>
    <w:rsid w:val="00194AD9"/>
    <w:rsid w:val="0019680D"/>
    <w:rsid w:val="001A0183"/>
    <w:rsid w:val="001A0DA1"/>
    <w:rsid w:val="001A1C53"/>
    <w:rsid w:val="001A251E"/>
    <w:rsid w:val="001A2968"/>
    <w:rsid w:val="001A3088"/>
    <w:rsid w:val="001A3109"/>
    <w:rsid w:val="001A3E37"/>
    <w:rsid w:val="001A4258"/>
    <w:rsid w:val="001A4716"/>
    <w:rsid w:val="001A4C2C"/>
    <w:rsid w:val="001A6A03"/>
    <w:rsid w:val="001A6FB4"/>
    <w:rsid w:val="001A780C"/>
    <w:rsid w:val="001B040C"/>
    <w:rsid w:val="001B561B"/>
    <w:rsid w:val="001B7044"/>
    <w:rsid w:val="001B7AD6"/>
    <w:rsid w:val="001C1A57"/>
    <w:rsid w:val="001C2879"/>
    <w:rsid w:val="001C3545"/>
    <w:rsid w:val="001C4C0D"/>
    <w:rsid w:val="001C651E"/>
    <w:rsid w:val="001C7542"/>
    <w:rsid w:val="001C78C8"/>
    <w:rsid w:val="001D08B8"/>
    <w:rsid w:val="001D09CF"/>
    <w:rsid w:val="001D15A8"/>
    <w:rsid w:val="001D2B5C"/>
    <w:rsid w:val="001D31CE"/>
    <w:rsid w:val="001D5142"/>
    <w:rsid w:val="001D562A"/>
    <w:rsid w:val="001D7819"/>
    <w:rsid w:val="001D7BAA"/>
    <w:rsid w:val="001E0294"/>
    <w:rsid w:val="001E3139"/>
    <w:rsid w:val="001E412C"/>
    <w:rsid w:val="001E473C"/>
    <w:rsid w:val="001F09E4"/>
    <w:rsid w:val="001F1D2C"/>
    <w:rsid w:val="001F2194"/>
    <w:rsid w:val="001F232F"/>
    <w:rsid w:val="001F3327"/>
    <w:rsid w:val="001F3ADA"/>
    <w:rsid w:val="001F4B38"/>
    <w:rsid w:val="00202951"/>
    <w:rsid w:val="00203D35"/>
    <w:rsid w:val="0020623B"/>
    <w:rsid w:val="00206E29"/>
    <w:rsid w:val="00211E08"/>
    <w:rsid w:val="0021207E"/>
    <w:rsid w:val="00212106"/>
    <w:rsid w:val="00213A37"/>
    <w:rsid w:val="00216459"/>
    <w:rsid w:val="00221836"/>
    <w:rsid w:val="0022223E"/>
    <w:rsid w:val="002235CA"/>
    <w:rsid w:val="00224DCC"/>
    <w:rsid w:val="00225E72"/>
    <w:rsid w:val="002264C6"/>
    <w:rsid w:val="002306BA"/>
    <w:rsid w:val="002322FE"/>
    <w:rsid w:val="002347DA"/>
    <w:rsid w:val="002348CD"/>
    <w:rsid w:val="00237B11"/>
    <w:rsid w:val="00237D30"/>
    <w:rsid w:val="00237EA8"/>
    <w:rsid w:val="00243168"/>
    <w:rsid w:val="00243471"/>
    <w:rsid w:val="00243DF4"/>
    <w:rsid w:val="00244484"/>
    <w:rsid w:val="00244646"/>
    <w:rsid w:val="00244C88"/>
    <w:rsid w:val="00246F93"/>
    <w:rsid w:val="00247343"/>
    <w:rsid w:val="00254269"/>
    <w:rsid w:val="002564A3"/>
    <w:rsid w:val="0025730B"/>
    <w:rsid w:val="002573F3"/>
    <w:rsid w:val="002574AB"/>
    <w:rsid w:val="00261D22"/>
    <w:rsid w:val="002625C6"/>
    <w:rsid w:val="00262D96"/>
    <w:rsid w:val="00262EEF"/>
    <w:rsid w:val="00263AE8"/>
    <w:rsid w:val="00264E69"/>
    <w:rsid w:val="002703C6"/>
    <w:rsid w:val="002706CE"/>
    <w:rsid w:val="00270A32"/>
    <w:rsid w:val="00271856"/>
    <w:rsid w:val="00271C28"/>
    <w:rsid w:val="00274308"/>
    <w:rsid w:val="0027491A"/>
    <w:rsid w:val="00275078"/>
    <w:rsid w:val="00276E33"/>
    <w:rsid w:val="00276F67"/>
    <w:rsid w:val="00282176"/>
    <w:rsid w:val="002831C3"/>
    <w:rsid w:val="0028340C"/>
    <w:rsid w:val="00283446"/>
    <w:rsid w:val="00284AE3"/>
    <w:rsid w:val="00284C97"/>
    <w:rsid w:val="00285085"/>
    <w:rsid w:val="00285178"/>
    <w:rsid w:val="002869DD"/>
    <w:rsid w:val="002872BC"/>
    <w:rsid w:val="002876E1"/>
    <w:rsid w:val="002920CE"/>
    <w:rsid w:val="00292BAB"/>
    <w:rsid w:val="00293E30"/>
    <w:rsid w:val="00294023"/>
    <w:rsid w:val="00296BBA"/>
    <w:rsid w:val="002A0E0E"/>
    <w:rsid w:val="002A12E2"/>
    <w:rsid w:val="002A20C9"/>
    <w:rsid w:val="002A3186"/>
    <w:rsid w:val="002A62DD"/>
    <w:rsid w:val="002A7F71"/>
    <w:rsid w:val="002B00D5"/>
    <w:rsid w:val="002B0AC5"/>
    <w:rsid w:val="002B0D72"/>
    <w:rsid w:val="002B1D0D"/>
    <w:rsid w:val="002B2B00"/>
    <w:rsid w:val="002B4697"/>
    <w:rsid w:val="002B5BC5"/>
    <w:rsid w:val="002B6923"/>
    <w:rsid w:val="002B74B5"/>
    <w:rsid w:val="002C1AC6"/>
    <w:rsid w:val="002C2368"/>
    <w:rsid w:val="002C2EA2"/>
    <w:rsid w:val="002C3C7A"/>
    <w:rsid w:val="002C4449"/>
    <w:rsid w:val="002C4B89"/>
    <w:rsid w:val="002C5838"/>
    <w:rsid w:val="002C61CF"/>
    <w:rsid w:val="002C61F7"/>
    <w:rsid w:val="002D1EDF"/>
    <w:rsid w:val="002D2FB5"/>
    <w:rsid w:val="002D4475"/>
    <w:rsid w:val="002D4BBD"/>
    <w:rsid w:val="002D5802"/>
    <w:rsid w:val="002D5AD8"/>
    <w:rsid w:val="002D5D4C"/>
    <w:rsid w:val="002D7BF9"/>
    <w:rsid w:val="002E06BA"/>
    <w:rsid w:val="002E0CBD"/>
    <w:rsid w:val="002E1D1A"/>
    <w:rsid w:val="002E5862"/>
    <w:rsid w:val="002E6325"/>
    <w:rsid w:val="002E6413"/>
    <w:rsid w:val="002E6958"/>
    <w:rsid w:val="002E6D06"/>
    <w:rsid w:val="002F0A03"/>
    <w:rsid w:val="002F618E"/>
    <w:rsid w:val="002F6849"/>
    <w:rsid w:val="002F68CB"/>
    <w:rsid w:val="002F7C03"/>
    <w:rsid w:val="003017D9"/>
    <w:rsid w:val="003029BB"/>
    <w:rsid w:val="00303F39"/>
    <w:rsid w:val="00303FB1"/>
    <w:rsid w:val="003046CA"/>
    <w:rsid w:val="0030484B"/>
    <w:rsid w:val="00306666"/>
    <w:rsid w:val="00310C6B"/>
    <w:rsid w:val="00310F63"/>
    <w:rsid w:val="00317EA1"/>
    <w:rsid w:val="00321135"/>
    <w:rsid w:val="00325F77"/>
    <w:rsid w:val="00326725"/>
    <w:rsid w:val="00331033"/>
    <w:rsid w:val="00334B57"/>
    <w:rsid w:val="00340138"/>
    <w:rsid w:val="00341EF3"/>
    <w:rsid w:val="00342631"/>
    <w:rsid w:val="00344FA8"/>
    <w:rsid w:val="00345AB3"/>
    <w:rsid w:val="00345CC0"/>
    <w:rsid w:val="00346361"/>
    <w:rsid w:val="00347738"/>
    <w:rsid w:val="00347DFE"/>
    <w:rsid w:val="0035110E"/>
    <w:rsid w:val="003516BC"/>
    <w:rsid w:val="00351D23"/>
    <w:rsid w:val="003548A3"/>
    <w:rsid w:val="00354D46"/>
    <w:rsid w:val="00354E0F"/>
    <w:rsid w:val="0035619D"/>
    <w:rsid w:val="003568C0"/>
    <w:rsid w:val="003568E0"/>
    <w:rsid w:val="00360D58"/>
    <w:rsid w:val="003625FB"/>
    <w:rsid w:val="00364C6D"/>
    <w:rsid w:val="00366CF9"/>
    <w:rsid w:val="003678F9"/>
    <w:rsid w:val="00367B89"/>
    <w:rsid w:val="003711FF"/>
    <w:rsid w:val="00371E0E"/>
    <w:rsid w:val="003731B5"/>
    <w:rsid w:val="00373ED7"/>
    <w:rsid w:val="00374C58"/>
    <w:rsid w:val="00375E34"/>
    <w:rsid w:val="00380625"/>
    <w:rsid w:val="00382D01"/>
    <w:rsid w:val="00384483"/>
    <w:rsid w:val="003844E6"/>
    <w:rsid w:val="0039066E"/>
    <w:rsid w:val="00391E17"/>
    <w:rsid w:val="00396454"/>
    <w:rsid w:val="003974B2"/>
    <w:rsid w:val="00397913"/>
    <w:rsid w:val="003A18BE"/>
    <w:rsid w:val="003A1A9F"/>
    <w:rsid w:val="003A1F93"/>
    <w:rsid w:val="003A36A3"/>
    <w:rsid w:val="003A41A5"/>
    <w:rsid w:val="003A4386"/>
    <w:rsid w:val="003A5375"/>
    <w:rsid w:val="003A5C1D"/>
    <w:rsid w:val="003A6157"/>
    <w:rsid w:val="003B1C27"/>
    <w:rsid w:val="003B1CFC"/>
    <w:rsid w:val="003B643A"/>
    <w:rsid w:val="003C0731"/>
    <w:rsid w:val="003C28DE"/>
    <w:rsid w:val="003D0404"/>
    <w:rsid w:val="003D19D4"/>
    <w:rsid w:val="003D2031"/>
    <w:rsid w:val="003D2068"/>
    <w:rsid w:val="003D21B2"/>
    <w:rsid w:val="003D42FF"/>
    <w:rsid w:val="003D43FC"/>
    <w:rsid w:val="003D6528"/>
    <w:rsid w:val="003D6AB0"/>
    <w:rsid w:val="003E00F7"/>
    <w:rsid w:val="003E260D"/>
    <w:rsid w:val="003E288E"/>
    <w:rsid w:val="003E4054"/>
    <w:rsid w:val="003E4956"/>
    <w:rsid w:val="003E733E"/>
    <w:rsid w:val="003E7D4A"/>
    <w:rsid w:val="003F021B"/>
    <w:rsid w:val="003F125E"/>
    <w:rsid w:val="003F280C"/>
    <w:rsid w:val="003F2CC2"/>
    <w:rsid w:val="003F2DB8"/>
    <w:rsid w:val="003F498B"/>
    <w:rsid w:val="003F5AD0"/>
    <w:rsid w:val="003F6C03"/>
    <w:rsid w:val="00400683"/>
    <w:rsid w:val="00400A92"/>
    <w:rsid w:val="00400C23"/>
    <w:rsid w:val="00404381"/>
    <w:rsid w:val="004051C7"/>
    <w:rsid w:val="004112FE"/>
    <w:rsid w:val="004116CB"/>
    <w:rsid w:val="004117D2"/>
    <w:rsid w:val="00411CA3"/>
    <w:rsid w:val="00412B6B"/>
    <w:rsid w:val="004133D0"/>
    <w:rsid w:val="00415A11"/>
    <w:rsid w:val="00416146"/>
    <w:rsid w:val="004201BA"/>
    <w:rsid w:val="00420275"/>
    <w:rsid w:val="004202CE"/>
    <w:rsid w:val="00420307"/>
    <w:rsid w:val="00424581"/>
    <w:rsid w:val="00425DD3"/>
    <w:rsid w:val="004277C9"/>
    <w:rsid w:val="00427B35"/>
    <w:rsid w:val="00430EF5"/>
    <w:rsid w:val="00430F8E"/>
    <w:rsid w:val="00430FDE"/>
    <w:rsid w:val="00432C75"/>
    <w:rsid w:val="00437AF0"/>
    <w:rsid w:val="00440D92"/>
    <w:rsid w:val="00441793"/>
    <w:rsid w:val="004437BD"/>
    <w:rsid w:val="0044455A"/>
    <w:rsid w:val="00444913"/>
    <w:rsid w:val="0044515D"/>
    <w:rsid w:val="004451B4"/>
    <w:rsid w:val="00446B74"/>
    <w:rsid w:val="004508AF"/>
    <w:rsid w:val="00452572"/>
    <w:rsid w:val="00453D14"/>
    <w:rsid w:val="0045406C"/>
    <w:rsid w:val="0045599E"/>
    <w:rsid w:val="00456512"/>
    <w:rsid w:val="00456627"/>
    <w:rsid w:val="00456FD9"/>
    <w:rsid w:val="00460825"/>
    <w:rsid w:val="00461022"/>
    <w:rsid w:val="00461B4A"/>
    <w:rsid w:val="004629ED"/>
    <w:rsid w:val="00463412"/>
    <w:rsid w:val="0046375D"/>
    <w:rsid w:val="00464046"/>
    <w:rsid w:val="0046695D"/>
    <w:rsid w:val="00466B8A"/>
    <w:rsid w:val="00466C15"/>
    <w:rsid w:val="004672B9"/>
    <w:rsid w:val="00467B53"/>
    <w:rsid w:val="0047190B"/>
    <w:rsid w:val="00471D53"/>
    <w:rsid w:val="00471D76"/>
    <w:rsid w:val="004723D6"/>
    <w:rsid w:val="00472A0D"/>
    <w:rsid w:val="00472AFA"/>
    <w:rsid w:val="00472DD0"/>
    <w:rsid w:val="00473810"/>
    <w:rsid w:val="0047476D"/>
    <w:rsid w:val="00475F84"/>
    <w:rsid w:val="00481AC2"/>
    <w:rsid w:val="0048334F"/>
    <w:rsid w:val="00484995"/>
    <w:rsid w:val="00484D9B"/>
    <w:rsid w:val="0048568F"/>
    <w:rsid w:val="0048598B"/>
    <w:rsid w:val="00487785"/>
    <w:rsid w:val="00487E47"/>
    <w:rsid w:val="004906D1"/>
    <w:rsid w:val="004914CA"/>
    <w:rsid w:val="004915A9"/>
    <w:rsid w:val="004924B9"/>
    <w:rsid w:val="004937A9"/>
    <w:rsid w:val="004963B1"/>
    <w:rsid w:val="004A33B1"/>
    <w:rsid w:val="004A3BEA"/>
    <w:rsid w:val="004A50CB"/>
    <w:rsid w:val="004A6961"/>
    <w:rsid w:val="004B0D62"/>
    <w:rsid w:val="004B0D73"/>
    <w:rsid w:val="004B2633"/>
    <w:rsid w:val="004B4283"/>
    <w:rsid w:val="004B48CF"/>
    <w:rsid w:val="004B4E2E"/>
    <w:rsid w:val="004B626E"/>
    <w:rsid w:val="004B6C7C"/>
    <w:rsid w:val="004C0075"/>
    <w:rsid w:val="004C0647"/>
    <w:rsid w:val="004C1A1F"/>
    <w:rsid w:val="004C2C97"/>
    <w:rsid w:val="004C443E"/>
    <w:rsid w:val="004C53B9"/>
    <w:rsid w:val="004C72CA"/>
    <w:rsid w:val="004D0985"/>
    <w:rsid w:val="004D4AEB"/>
    <w:rsid w:val="004D4CA8"/>
    <w:rsid w:val="004D5FBF"/>
    <w:rsid w:val="004D68F8"/>
    <w:rsid w:val="004E058A"/>
    <w:rsid w:val="004E0863"/>
    <w:rsid w:val="004E2611"/>
    <w:rsid w:val="004E3920"/>
    <w:rsid w:val="004E4777"/>
    <w:rsid w:val="004E7D88"/>
    <w:rsid w:val="004F0CE5"/>
    <w:rsid w:val="004F14CA"/>
    <w:rsid w:val="004F25E9"/>
    <w:rsid w:val="004F35B4"/>
    <w:rsid w:val="004F3609"/>
    <w:rsid w:val="004F5265"/>
    <w:rsid w:val="004F574B"/>
    <w:rsid w:val="00500138"/>
    <w:rsid w:val="00500251"/>
    <w:rsid w:val="00501EE6"/>
    <w:rsid w:val="00501F88"/>
    <w:rsid w:val="00502684"/>
    <w:rsid w:val="005027A4"/>
    <w:rsid w:val="00502A40"/>
    <w:rsid w:val="00502A9E"/>
    <w:rsid w:val="00504C82"/>
    <w:rsid w:val="00505E2A"/>
    <w:rsid w:val="00506FF9"/>
    <w:rsid w:val="005070E8"/>
    <w:rsid w:val="0050792A"/>
    <w:rsid w:val="00510425"/>
    <w:rsid w:val="00512F2B"/>
    <w:rsid w:val="00515F3A"/>
    <w:rsid w:val="0051610D"/>
    <w:rsid w:val="005168F0"/>
    <w:rsid w:val="005200CA"/>
    <w:rsid w:val="00520E9F"/>
    <w:rsid w:val="00520F97"/>
    <w:rsid w:val="005214E7"/>
    <w:rsid w:val="00522499"/>
    <w:rsid w:val="005230FC"/>
    <w:rsid w:val="0052310D"/>
    <w:rsid w:val="005272B6"/>
    <w:rsid w:val="00527B22"/>
    <w:rsid w:val="005319D6"/>
    <w:rsid w:val="00532088"/>
    <w:rsid w:val="0053231B"/>
    <w:rsid w:val="00534FC1"/>
    <w:rsid w:val="00535755"/>
    <w:rsid w:val="00535E7A"/>
    <w:rsid w:val="005400D0"/>
    <w:rsid w:val="00542076"/>
    <w:rsid w:val="005425F9"/>
    <w:rsid w:val="00543230"/>
    <w:rsid w:val="005465D3"/>
    <w:rsid w:val="00546A02"/>
    <w:rsid w:val="00547F1A"/>
    <w:rsid w:val="00551211"/>
    <w:rsid w:val="00551612"/>
    <w:rsid w:val="00551D24"/>
    <w:rsid w:val="00553CCC"/>
    <w:rsid w:val="005542AC"/>
    <w:rsid w:val="0055433B"/>
    <w:rsid w:val="00554F40"/>
    <w:rsid w:val="00555FC9"/>
    <w:rsid w:val="005574FC"/>
    <w:rsid w:val="00562951"/>
    <w:rsid w:val="00563654"/>
    <w:rsid w:val="00563BB2"/>
    <w:rsid w:val="00565308"/>
    <w:rsid w:val="00566C19"/>
    <w:rsid w:val="00566DD1"/>
    <w:rsid w:val="005679E8"/>
    <w:rsid w:val="00567E9C"/>
    <w:rsid w:val="00570529"/>
    <w:rsid w:val="005714B5"/>
    <w:rsid w:val="00571E54"/>
    <w:rsid w:val="0057411C"/>
    <w:rsid w:val="0057449D"/>
    <w:rsid w:val="00575579"/>
    <w:rsid w:val="0057557C"/>
    <w:rsid w:val="005776BF"/>
    <w:rsid w:val="005776C2"/>
    <w:rsid w:val="0058530E"/>
    <w:rsid w:val="005876D2"/>
    <w:rsid w:val="005925FE"/>
    <w:rsid w:val="00593490"/>
    <w:rsid w:val="005940DC"/>
    <w:rsid w:val="00594A16"/>
    <w:rsid w:val="00596009"/>
    <w:rsid w:val="005973E1"/>
    <w:rsid w:val="005A015B"/>
    <w:rsid w:val="005A6087"/>
    <w:rsid w:val="005A6568"/>
    <w:rsid w:val="005B13AB"/>
    <w:rsid w:val="005B1697"/>
    <w:rsid w:val="005B2B45"/>
    <w:rsid w:val="005B33E5"/>
    <w:rsid w:val="005B3785"/>
    <w:rsid w:val="005C0A17"/>
    <w:rsid w:val="005C0AA2"/>
    <w:rsid w:val="005C2F8B"/>
    <w:rsid w:val="005C41F2"/>
    <w:rsid w:val="005C42BB"/>
    <w:rsid w:val="005C4AD3"/>
    <w:rsid w:val="005C4D2E"/>
    <w:rsid w:val="005C5FB3"/>
    <w:rsid w:val="005C6698"/>
    <w:rsid w:val="005C6ADC"/>
    <w:rsid w:val="005C770F"/>
    <w:rsid w:val="005D0E0E"/>
    <w:rsid w:val="005D12F4"/>
    <w:rsid w:val="005D2BB7"/>
    <w:rsid w:val="005D2D75"/>
    <w:rsid w:val="005D421F"/>
    <w:rsid w:val="005D537C"/>
    <w:rsid w:val="005E07B9"/>
    <w:rsid w:val="005E135F"/>
    <w:rsid w:val="005E4A98"/>
    <w:rsid w:val="005F2C3D"/>
    <w:rsid w:val="005F2D2F"/>
    <w:rsid w:val="005F3525"/>
    <w:rsid w:val="005F481F"/>
    <w:rsid w:val="005F5249"/>
    <w:rsid w:val="005F65CD"/>
    <w:rsid w:val="00600799"/>
    <w:rsid w:val="00601B44"/>
    <w:rsid w:val="00601D3E"/>
    <w:rsid w:val="00602809"/>
    <w:rsid w:val="006038F5"/>
    <w:rsid w:val="00604DDF"/>
    <w:rsid w:val="00605394"/>
    <w:rsid w:val="0061040A"/>
    <w:rsid w:val="00611567"/>
    <w:rsid w:val="006123FE"/>
    <w:rsid w:val="00612987"/>
    <w:rsid w:val="00612C5D"/>
    <w:rsid w:val="006149DF"/>
    <w:rsid w:val="00615EA1"/>
    <w:rsid w:val="00621C19"/>
    <w:rsid w:val="00621E5F"/>
    <w:rsid w:val="006225F6"/>
    <w:rsid w:val="00624415"/>
    <w:rsid w:val="00624758"/>
    <w:rsid w:val="0062549D"/>
    <w:rsid w:val="00626DE3"/>
    <w:rsid w:val="00627D0A"/>
    <w:rsid w:val="00630236"/>
    <w:rsid w:val="00630FA1"/>
    <w:rsid w:val="0063236E"/>
    <w:rsid w:val="00632B5F"/>
    <w:rsid w:val="00634992"/>
    <w:rsid w:val="00634A3F"/>
    <w:rsid w:val="0063606A"/>
    <w:rsid w:val="006360BD"/>
    <w:rsid w:val="00636FC1"/>
    <w:rsid w:val="00637CCC"/>
    <w:rsid w:val="00637D49"/>
    <w:rsid w:val="0064215F"/>
    <w:rsid w:val="00643EF2"/>
    <w:rsid w:val="0064414E"/>
    <w:rsid w:val="00644940"/>
    <w:rsid w:val="00646ABA"/>
    <w:rsid w:val="006504D1"/>
    <w:rsid w:val="0065070B"/>
    <w:rsid w:val="0065618C"/>
    <w:rsid w:val="00657987"/>
    <w:rsid w:val="0066015F"/>
    <w:rsid w:val="0066230E"/>
    <w:rsid w:val="0066368B"/>
    <w:rsid w:val="00665883"/>
    <w:rsid w:val="00665BAD"/>
    <w:rsid w:val="00666655"/>
    <w:rsid w:val="006677A1"/>
    <w:rsid w:val="0066795B"/>
    <w:rsid w:val="00672833"/>
    <w:rsid w:val="00672E2D"/>
    <w:rsid w:val="00673B22"/>
    <w:rsid w:val="0067478D"/>
    <w:rsid w:val="00675481"/>
    <w:rsid w:val="00675E61"/>
    <w:rsid w:val="00677149"/>
    <w:rsid w:val="00680508"/>
    <w:rsid w:val="00680FA0"/>
    <w:rsid w:val="006811D4"/>
    <w:rsid w:val="00681385"/>
    <w:rsid w:val="006813EF"/>
    <w:rsid w:val="0068167F"/>
    <w:rsid w:val="006836D3"/>
    <w:rsid w:val="00684215"/>
    <w:rsid w:val="00685A6D"/>
    <w:rsid w:val="00686443"/>
    <w:rsid w:val="006866E8"/>
    <w:rsid w:val="0068724E"/>
    <w:rsid w:val="00694DA5"/>
    <w:rsid w:val="006A30C5"/>
    <w:rsid w:val="006A3B2C"/>
    <w:rsid w:val="006A54B1"/>
    <w:rsid w:val="006A67B8"/>
    <w:rsid w:val="006B0AF7"/>
    <w:rsid w:val="006B26EC"/>
    <w:rsid w:val="006B27B8"/>
    <w:rsid w:val="006B2915"/>
    <w:rsid w:val="006B3073"/>
    <w:rsid w:val="006B3546"/>
    <w:rsid w:val="006B3999"/>
    <w:rsid w:val="006B6C73"/>
    <w:rsid w:val="006C0FA2"/>
    <w:rsid w:val="006C1F09"/>
    <w:rsid w:val="006C2D4F"/>
    <w:rsid w:val="006C4394"/>
    <w:rsid w:val="006C789D"/>
    <w:rsid w:val="006D01B7"/>
    <w:rsid w:val="006D0CE9"/>
    <w:rsid w:val="006D2A98"/>
    <w:rsid w:val="006D2E1D"/>
    <w:rsid w:val="006D30C3"/>
    <w:rsid w:val="006D38E7"/>
    <w:rsid w:val="006D4A56"/>
    <w:rsid w:val="006D6F59"/>
    <w:rsid w:val="006E05BE"/>
    <w:rsid w:val="006E0802"/>
    <w:rsid w:val="006E14A3"/>
    <w:rsid w:val="006E31E0"/>
    <w:rsid w:val="006E4997"/>
    <w:rsid w:val="006E5C3E"/>
    <w:rsid w:val="006F0CBD"/>
    <w:rsid w:val="006F175B"/>
    <w:rsid w:val="006F257C"/>
    <w:rsid w:val="006F2C02"/>
    <w:rsid w:val="006F30EA"/>
    <w:rsid w:val="006F3265"/>
    <w:rsid w:val="006F407B"/>
    <w:rsid w:val="006F49A5"/>
    <w:rsid w:val="006F4A5E"/>
    <w:rsid w:val="007001CE"/>
    <w:rsid w:val="00701202"/>
    <w:rsid w:val="0070135D"/>
    <w:rsid w:val="007017DD"/>
    <w:rsid w:val="00702588"/>
    <w:rsid w:val="00702713"/>
    <w:rsid w:val="00705209"/>
    <w:rsid w:val="00705740"/>
    <w:rsid w:val="0070590B"/>
    <w:rsid w:val="007126B3"/>
    <w:rsid w:val="007135B0"/>
    <w:rsid w:val="0071385B"/>
    <w:rsid w:val="00714625"/>
    <w:rsid w:val="007152CE"/>
    <w:rsid w:val="00716C59"/>
    <w:rsid w:val="007200AE"/>
    <w:rsid w:val="00721CCB"/>
    <w:rsid w:val="007221CC"/>
    <w:rsid w:val="00722776"/>
    <w:rsid w:val="00723ED9"/>
    <w:rsid w:val="00724552"/>
    <w:rsid w:val="00726EA1"/>
    <w:rsid w:val="0072785B"/>
    <w:rsid w:val="00730B3C"/>
    <w:rsid w:val="007331E4"/>
    <w:rsid w:val="00733BBE"/>
    <w:rsid w:val="00734B32"/>
    <w:rsid w:val="00735EA1"/>
    <w:rsid w:val="0073628D"/>
    <w:rsid w:val="00736D82"/>
    <w:rsid w:val="007373E8"/>
    <w:rsid w:val="00740848"/>
    <w:rsid w:val="00742B2B"/>
    <w:rsid w:val="0074590B"/>
    <w:rsid w:val="007460B2"/>
    <w:rsid w:val="00747928"/>
    <w:rsid w:val="00751548"/>
    <w:rsid w:val="0075194C"/>
    <w:rsid w:val="00751A01"/>
    <w:rsid w:val="00751CD7"/>
    <w:rsid w:val="00752609"/>
    <w:rsid w:val="00752BE1"/>
    <w:rsid w:val="00754DA5"/>
    <w:rsid w:val="00756FDA"/>
    <w:rsid w:val="00757AB1"/>
    <w:rsid w:val="00760367"/>
    <w:rsid w:val="00760A34"/>
    <w:rsid w:val="0076194E"/>
    <w:rsid w:val="00761F52"/>
    <w:rsid w:val="00764D84"/>
    <w:rsid w:val="00765B68"/>
    <w:rsid w:val="0076731F"/>
    <w:rsid w:val="00767B55"/>
    <w:rsid w:val="00771B68"/>
    <w:rsid w:val="00772BC8"/>
    <w:rsid w:val="00772E9B"/>
    <w:rsid w:val="0077319F"/>
    <w:rsid w:val="00775C68"/>
    <w:rsid w:val="0077716A"/>
    <w:rsid w:val="00777484"/>
    <w:rsid w:val="00777547"/>
    <w:rsid w:val="00781F3D"/>
    <w:rsid w:val="00782A50"/>
    <w:rsid w:val="00784737"/>
    <w:rsid w:val="00784A1E"/>
    <w:rsid w:val="00784B6B"/>
    <w:rsid w:val="00786974"/>
    <w:rsid w:val="00787A9C"/>
    <w:rsid w:val="00791357"/>
    <w:rsid w:val="00791D85"/>
    <w:rsid w:val="00792C9D"/>
    <w:rsid w:val="00793B90"/>
    <w:rsid w:val="00794D98"/>
    <w:rsid w:val="007958E0"/>
    <w:rsid w:val="00795A5F"/>
    <w:rsid w:val="00795B46"/>
    <w:rsid w:val="00795B6F"/>
    <w:rsid w:val="00795B93"/>
    <w:rsid w:val="007A0B55"/>
    <w:rsid w:val="007A2069"/>
    <w:rsid w:val="007A3406"/>
    <w:rsid w:val="007A3E54"/>
    <w:rsid w:val="007A46AD"/>
    <w:rsid w:val="007A5E86"/>
    <w:rsid w:val="007A6F63"/>
    <w:rsid w:val="007A7FEE"/>
    <w:rsid w:val="007B02E4"/>
    <w:rsid w:val="007B2D7D"/>
    <w:rsid w:val="007B3AC1"/>
    <w:rsid w:val="007B4D0D"/>
    <w:rsid w:val="007B55CF"/>
    <w:rsid w:val="007B6506"/>
    <w:rsid w:val="007B6EB4"/>
    <w:rsid w:val="007B6FE6"/>
    <w:rsid w:val="007B7445"/>
    <w:rsid w:val="007C21A9"/>
    <w:rsid w:val="007C3543"/>
    <w:rsid w:val="007C5FA6"/>
    <w:rsid w:val="007C7BD6"/>
    <w:rsid w:val="007D0F01"/>
    <w:rsid w:val="007D174C"/>
    <w:rsid w:val="007D24E7"/>
    <w:rsid w:val="007D4070"/>
    <w:rsid w:val="007D44BC"/>
    <w:rsid w:val="007D53FF"/>
    <w:rsid w:val="007D58A0"/>
    <w:rsid w:val="007E1572"/>
    <w:rsid w:val="007E17A3"/>
    <w:rsid w:val="007E270B"/>
    <w:rsid w:val="007E2EF7"/>
    <w:rsid w:val="007E3E86"/>
    <w:rsid w:val="007E4C72"/>
    <w:rsid w:val="007E4CA5"/>
    <w:rsid w:val="007E55C7"/>
    <w:rsid w:val="007E67BC"/>
    <w:rsid w:val="007E6B3A"/>
    <w:rsid w:val="007E7427"/>
    <w:rsid w:val="007F03F1"/>
    <w:rsid w:val="007F0A1D"/>
    <w:rsid w:val="007F2221"/>
    <w:rsid w:val="007F27CB"/>
    <w:rsid w:val="007F3253"/>
    <w:rsid w:val="007F4141"/>
    <w:rsid w:val="007F5576"/>
    <w:rsid w:val="007F6C6F"/>
    <w:rsid w:val="007F7153"/>
    <w:rsid w:val="008015C4"/>
    <w:rsid w:val="00801BCF"/>
    <w:rsid w:val="0080241C"/>
    <w:rsid w:val="00803594"/>
    <w:rsid w:val="0080370F"/>
    <w:rsid w:val="008039CF"/>
    <w:rsid w:val="00803C00"/>
    <w:rsid w:val="008046F0"/>
    <w:rsid w:val="00806F90"/>
    <w:rsid w:val="008102F1"/>
    <w:rsid w:val="008106F1"/>
    <w:rsid w:val="00810C6E"/>
    <w:rsid w:val="0081402C"/>
    <w:rsid w:val="008140A7"/>
    <w:rsid w:val="00814497"/>
    <w:rsid w:val="008203C8"/>
    <w:rsid w:val="00820A43"/>
    <w:rsid w:val="00821043"/>
    <w:rsid w:val="00824069"/>
    <w:rsid w:val="00824AFD"/>
    <w:rsid w:val="00825537"/>
    <w:rsid w:val="00825BD8"/>
    <w:rsid w:val="008275DE"/>
    <w:rsid w:val="0083050D"/>
    <w:rsid w:val="00830BDD"/>
    <w:rsid w:val="00833406"/>
    <w:rsid w:val="00833A4A"/>
    <w:rsid w:val="00835AAA"/>
    <w:rsid w:val="00836536"/>
    <w:rsid w:val="0083728B"/>
    <w:rsid w:val="00840AF4"/>
    <w:rsid w:val="00844285"/>
    <w:rsid w:val="00845B88"/>
    <w:rsid w:val="008476F7"/>
    <w:rsid w:val="008478B2"/>
    <w:rsid w:val="00847AD3"/>
    <w:rsid w:val="00850F39"/>
    <w:rsid w:val="008526C4"/>
    <w:rsid w:val="00853FFC"/>
    <w:rsid w:val="00856112"/>
    <w:rsid w:val="00856367"/>
    <w:rsid w:val="00856718"/>
    <w:rsid w:val="00856E93"/>
    <w:rsid w:val="00857A55"/>
    <w:rsid w:val="0086041D"/>
    <w:rsid w:val="00862228"/>
    <w:rsid w:val="00863983"/>
    <w:rsid w:val="00863B59"/>
    <w:rsid w:val="00863CF8"/>
    <w:rsid w:val="00866DCB"/>
    <w:rsid w:val="00866FFB"/>
    <w:rsid w:val="008715D1"/>
    <w:rsid w:val="0087167F"/>
    <w:rsid w:val="00872B57"/>
    <w:rsid w:val="0087338F"/>
    <w:rsid w:val="008750B7"/>
    <w:rsid w:val="00875146"/>
    <w:rsid w:val="00875413"/>
    <w:rsid w:val="00875612"/>
    <w:rsid w:val="00877F19"/>
    <w:rsid w:val="00880CA3"/>
    <w:rsid w:val="00881585"/>
    <w:rsid w:val="00882158"/>
    <w:rsid w:val="00883743"/>
    <w:rsid w:val="00883AF5"/>
    <w:rsid w:val="00886130"/>
    <w:rsid w:val="00887C69"/>
    <w:rsid w:val="0089180E"/>
    <w:rsid w:val="0089189B"/>
    <w:rsid w:val="00892793"/>
    <w:rsid w:val="00893649"/>
    <w:rsid w:val="00893A0B"/>
    <w:rsid w:val="0089515A"/>
    <w:rsid w:val="008954CA"/>
    <w:rsid w:val="00897151"/>
    <w:rsid w:val="008975B1"/>
    <w:rsid w:val="008A2556"/>
    <w:rsid w:val="008A7751"/>
    <w:rsid w:val="008A7EF2"/>
    <w:rsid w:val="008B0F7C"/>
    <w:rsid w:val="008B1768"/>
    <w:rsid w:val="008B25A3"/>
    <w:rsid w:val="008B2C67"/>
    <w:rsid w:val="008B2F13"/>
    <w:rsid w:val="008B4CD8"/>
    <w:rsid w:val="008B7937"/>
    <w:rsid w:val="008C19C7"/>
    <w:rsid w:val="008C340D"/>
    <w:rsid w:val="008C3866"/>
    <w:rsid w:val="008C4915"/>
    <w:rsid w:val="008D2896"/>
    <w:rsid w:val="008D313A"/>
    <w:rsid w:val="008D481D"/>
    <w:rsid w:val="008D5A22"/>
    <w:rsid w:val="008D7222"/>
    <w:rsid w:val="008E0E24"/>
    <w:rsid w:val="008E151D"/>
    <w:rsid w:val="008E178C"/>
    <w:rsid w:val="008E2E7F"/>
    <w:rsid w:val="008E3439"/>
    <w:rsid w:val="008E3532"/>
    <w:rsid w:val="008E35A1"/>
    <w:rsid w:val="008E4C94"/>
    <w:rsid w:val="008E529F"/>
    <w:rsid w:val="008E535B"/>
    <w:rsid w:val="008E5D8F"/>
    <w:rsid w:val="008E705E"/>
    <w:rsid w:val="008E7136"/>
    <w:rsid w:val="008E7F3C"/>
    <w:rsid w:val="008F10D7"/>
    <w:rsid w:val="008F144D"/>
    <w:rsid w:val="008F153B"/>
    <w:rsid w:val="008F3AA0"/>
    <w:rsid w:val="008F45C2"/>
    <w:rsid w:val="008F597F"/>
    <w:rsid w:val="008F612C"/>
    <w:rsid w:val="008F701C"/>
    <w:rsid w:val="008F797C"/>
    <w:rsid w:val="009016B5"/>
    <w:rsid w:val="009102DD"/>
    <w:rsid w:val="0091219A"/>
    <w:rsid w:val="00913D36"/>
    <w:rsid w:val="00915286"/>
    <w:rsid w:val="009176DE"/>
    <w:rsid w:val="00920750"/>
    <w:rsid w:val="00921B8D"/>
    <w:rsid w:val="009223D2"/>
    <w:rsid w:val="00923AFF"/>
    <w:rsid w:val="00924B63"/>
    <w:rsid w:val="00930674"/>
    <w:rsid w:val="0093360F"/>
    <w:rsid w:val="00933AF8"/>
    <w:rsid w:val="0093503C"/>
    <w:rsid w:val="00936D20"/>
    <w:rsid w:val="00941FA0"/>
    <w:rsid w:val="00942023"/>
    <w:rsid w:val="009424B7"/>
    <w:rsid w:val="00942B50"/>
    <w:rsid w:val="00942D42"/>
    <w:rsid w:val="00944316"/>
    <w:rsid w:val="009444C8"/>
    <w:rsid w:val="00945368"/>
    <w:rsid w:val="00945679"/>
    <w:rsid w:val="00945EB5"/>
    <w:rsid w:val="00945F3D"/>
    <w:rsid w:val="00951729"/>
    <w:rsid w:val="0095442B"/>
    <w:rsid w:val="0095508A"/>
    <w:rsid w:val="00956845"/>
    <w:rsid w:val="00956A94"/>
    <w:rsid w:val="009570C4"/>
    <w:rsid w:val="00957F47"/>
    <w:rsid w:val="00960E5A"/>
    <w:rsid w:val="0096286E"/>
    <w:rsid w:val="00962DD3"/>
    <w:rsid w:val="0096363E"/>
    <w:rsid w:val="00963E01"/>
    <w:rsid w:val="0096402C"/>
    <w:rsid w:val="00964C96"/>
    <w:rsid w:val="0096571C"/>
    <w:rsid w:val="0096679D"/>
    <w:rsid w:val="0096699D"/>
    <w:rsid w:val="009671CF"/>
    <w:rsid w:val="00970664"/>
    <w:rsid w:val="00970F85"/>
    <w:rsid w:val="00972385"/>
    <w:rsid w:val="00973559"/>
    <w:rsid w:val="00973FB8"/>
    <w:rsid w:val="00975180"/>
    <w:rsid w:val="00976CD3"/>
    <w:rsid w:val="00977447"/>
    <w:rsid w:val="00977B14"/>
    <w:rsid w:val="009805A0"/>
    <w:rsid w:val="00981B9B"/>
    <w:rsid w:val="00981FEF"/>
    <w:rsid w:val="0098656A"/>
    <w:rsid w:val="009869F6"/>
    <w:rsid w:val="00991ADF"/>
    <w:rsid w:val="0099232F"/>
    <w:rsid w:val="00993BB7"/>
    <w:rsid w:val="009946DA"/>
    <w:rsid w:val="00995776"/>
    <w:rsid w:val="00996FEC"/>
    <w:rsid w:val="009974E2"/>
    <w:rsid w:val="00997B27"/>
    <w:rsid w:val="009A07C5"/>
    <w:rsid w:val="009A080A"/>
    <w:rsid w:val="009A0E13"/>
    <w:rsid w:val="009A13B3"/>
    <w:rsid w:val="009A4013"/>
    <w:rsid w:val="009A6906"/>
    <w:rsid w:val="009A70FC"/>
    <w:rsid w:val="009A7605"/>
    <w:rsid w:val="009A78C0"/>
    <w:rsid w:val="009B04A9"/>
    <w:rsid w:val="009B123E"/>
    <w:rsid w:val="009B1458"/>
    <w:rsid w:val="009B4084"/>
    <w:rsid w:val="009B60C3"/>
    <w:rsid w:val="009C03EC"/>
    <w:rsid w:val="009C15CF"/>
    <w:rsid w:val="009C1BDC"/>
    <w:rsid w:val="009C20A9"/>
    <w:rsid w:val="009C4810"/>
    <w:rsid w:val="009C48F9"/>
    <w:rsid w:val="009C4B1C"/>
    <w:rsid w:val="009C4F6B"/>
    <w:rsid w:val="009C5F30"/>
    <w:rsid w:val="009C698F"/>
    <w:rsid w:val="009C7DF4"/>
    <w:rsid w:val="009D04A9"/>
    <w:rsid w:val="009D17A2"/>
    <w:rsid w:val="009D2E42"/>
    <w:rsid w:val="009D3EF3"/>
    <w:rsid w:val="009D4C89"/>
    <w:rsid w:val="009D616F"/>
    <w:rsid w:val="009E6A0A"/>
    <w:rsid w:val="009E728F"/>
    <w:rsid w:val="009F00ED"/>
    <w:rsid w:val="009F347C"/>
    <w:rsid w:val="009F4C1B"/>
    <w:rsid w:val="009F6393"/>
    <w:rsid w:val="009F67D3"/>
    <w:rsid w:val="009F6C41"/>
    <w:rsid w:val="009F72A7"/>
    <w:rsid w:val="009F73CA"/>
    <w:rsid w:val="009F741E"/>
    <w:rsid w:val="00A0041D"/>
    <w:rsid w:val="00A010FE"/>
    <w:rsid w:val="00A018CF"/>
    <w:rsid w:val="00A037DA"/>
    <w:rsid w:val="00A03B15"/>
    <w:rsid w:val="00A04003"/>
    <w:rsid w:val="00A06F42"/>
    <w:rsid w:val="00A10054"/>
    <w:rsid w:val="00A107BA"/>
    <w:rsid w:val="00A10A60"/>
    <w:rsid w:val="00A119FC"/>
    <w:rsid w:val="00A12CE5"/>
    <w:rsid w:val="00A13D32"/>
    <w:rsid w:val="00A1446B"/>
    <w:rsid w:val="00A16189"/>
    <w:rsid w:val="00A16BE5"/>
    <w:rsid w:val="00A21EDA"/>
    <w:rsid w:val="00A2226D"/>
    <w:rsid w:val="00A2335A"/>
    <w:rsid w:val="00A26AA6"/>
    <w:rsid w:val="00A27C62"/>
    <w:rsid w:val="00A301C6"/>
    <w:rsid w:val="00A30957"/>
    <w:rsid w:val="00A31DD2"/>
    <w:rsid w:val="00A35FB1"/>
    <w:rsid w:val="00A3675F"/>
    <w:rsid w:val="00A36C30"/>
    <w:rsid w:val="00A4183D"/>
    <w:rsid w:val="00A42231"/>
    <w:rsid w:val="00A4228C"/>
    <w:rsid w:val="00A44618"/>
    <w:rsid w:val="00A4665A"/>
    <w:rsid w:val="00A46BC3"/>
    <w:rsid w:val="00A46BC4"/>
    <w:rsid w:val="00A50468"/>
    <w:rsid w:val="00A511ED"/>
    <w:rsid w:val="00A532D8"/>
    <w:rsid w:val="00A534A2"/>
    <w:rsid w:val="00A534C8"/>
    <w:rsid w:val="00A5379B"/>
    <w:rsid w:val="00A5566E"/>
    <w:rsid w:val="00A556FC"/>
    <w:rsid w:val="00A55E0C"/>
    <w:rsid w:val="00A56FB4"/>
    <w:rsid w:val="00A61654"/>
    <w:rsid w:val="00A61C63"/>
    <w:rsid w:val="00A62173"/>
    <w:rsid w:val="00A6244D"/>
    <w:rsid w:val="00A62C97"/>
    <w:rsid w:val="00A6519F"/>
    <w:rsid w:val="00A67D58"/>
    <w:rsid w:val="00A74005"/>
    <w:rsid w:val="00A74AF3"/>
    <w:rsid w:val="00A778AD"/>
    <w:rsid w:val="00A77CB1"/>
    <w:rsid w:val="00A80563"/>
    <w:rsid w:val="00A81976"/>
    <w:rsid w:val="00A82B66"/>
    <w:rsid w:val="00A855CA"/>
    <w:rsid w:val="00A864E1"/>
    <w:rsid w:val="00A875D8"/>
    <w:rsid w:val="00A92EC3"/>
    <w:rsid w:val="00A95A9A"/>
    <w:rsid w:val="00A97060"/>
    <w:rsid w:val="00AA0061"/>
    <w:rsid w:val="00AA16E1"/>
    <w:rsid w:val="00AA283C"/>
    <w:rsid w:val="00AA433C"/>
    <w:rsid w:val="00AA5A39"/>
    <w:rsid w:val="00AA6C16"/>
    <w:rsid w:val="00AA731E"/>
    <w:rsid w:val="00AA7B2C"/>
    <w:rsid w:val="00AB1812"/>
    <w:rsid w:val="00AB1B57"/>
    <w:rsid w:val="00AB2C89"/>
    <w:rsid w:val="00AB33B5"/>
    <w:rsid w:val="00AB35C0"/>
    <w:rsid w:val="00AB3A4D"/>
    <w:rsid w:val="00AC1C13"/>
    <w:rsid w:val="00AC2DB0"/>
    <w:rsid w:val="00AC395C"/>
    <w:rsid w:val="00AC4AF7"/>
    <w:rsid w:val="00AC5918"/>
    <w:rsid w:val="00AD16DE"/>
    <w:rsid w:val="00AD3FB6"/>
    <w:rsid w:val="00AD4592"/>
    <w:rsid w:val="00AD5001"/>
    <w:rsid w:val="00AD510A"/>
    <w:rsid w:val="00AD5259"/>
    <w:rsid w:val="00AD558A"/>
    <w:rsid w:val="00AD7208"/>
    <w:rsid w:val="00AD7338"/>
    <w:rsid w:val="00AE04E4"/>
    <w:rsid w:val="00AE05AB"/>
    <w:rsid w:val="00AE1FC8"/>
    <w:rsid w:val="00AE2352"/>
    <w:rsid w:val="00AE2697"/>
    <w:rsid w:val="00AE30B0"/>
    <w:rsid w:val="00AE3171"/>
    <w:rsid w:val="00AE7A82"/>
    <w:rsid w:val="00AF06C5"/>
    <w:rsid w:val="00AF12B6"/>
    <w:rsid w:val="00AF3A1C"/>
    <w:rsid w:val="00AF3FB3"/>
    <w:rsid w:val="00AF607C"/>
    <w:rsid w:val="00B01019"/>
    <w:rsid w:val="00B0177B"/>
    <w:rsid w:val="00B02B1A"/>
    <w:rsid w:val="00B0306C"/>
    <w:rsid w:val="00B042F8"/>
    <w:rsid w:val="00B04B17"/>
    <w:rsid w:val="00B04BA3"/>
    <w:rsid w:val="00B05EE0"/>
    <w:rsid w:val="00B10C79"/>
    <w:rsid w:val="00B116ED"/>
    <w:rsid w:val="00B12AA2"/>
    <w:rsid w:val="00B13176"/>
    <w:rsid w:val="00B144AD"/>
    <w:rsid w:val="00B14F8A"/>
    <w:rsid w:val="00B20F40"/>
    <w:rsid w:val="00B20FEE"/>
    <w:rsid w:val="00B23AFB"/>
    <w:rsid w:val="00B243BB"/>
    <w:rsid w:val="00B24616"/>
    <w:rsid w:val="00B26362"/>
    <w:rsid w:val="00B27FC1"/>
    <w:rsid w:val="00B302AF"/>
    <w:rsid w:val="00B30D70"/>
    <w:rsid w:val="00B32474"/>
    <w:rsid w:val="00B34890"/>
    <w:rsid w:val="00B34E58"/>
    <w:rsid w:val="00B366E2"/>
    <w:rsid w:val="00B37C3A"/>
    <w:rsid w:val="00B40431"/>
    <w:rsid w:val="00B40DAF"/>
    <w:rsid w:val="00B42DF5"/>
    <w:rsid w:val="00B44B61"/>
    <w:rsid w:val="00B46918"/>
    <w:rsid w:val="00B47029"/>
    <w:rsid w:val="00B47194"/>
    <w:rsid w:val="00B47609"/>
    <w:rsid w:val="00B47FF3"/>
    <w:rsid w:val="00B53D45"/>
    <w:rsid w:val="00B55A5D"/>
    <w:rsid w:val="00B561ED"/>
    <w:rsid w:val="00B57977"/>
    <w:rsid w:val="00B57D3E"/>
    <w:rsid w:val="00B57F20"/>
    <w:rsid w:val="00B61DA9"/>
    <w:rsid w:val="00B62E82"/>
    <w:rsid w:val="00B65308"/>
    <w:rsid w:val="00B67085"/>
    <w:rsid w:val="00B6725D"/>
    <w:rsid w:val="00B70940"/>
    <w:rsid w:val="00B709F2"/>
    <w:rsid w:val="00B70CBF"/>
    <w:rsid w:val="00B711C6"/>
    <w:rsid w:val="00B71F65"/>
    <w:rsid w:val="00B72F1A"/>
    <w:rsid w:val="00B7586D"/>
    <w:rsid w:val="00B76600"/>
    <w:rsid w:val="00B767EE"/>
    <w:rsid w:val="00B77378"/>
    <w:rsid w:val="00B80B08"/>
    <w:rsid w:val="00B832E1"/>
    <w:rsid w:val="00B85582"/>
    <w:rsid w:val="00B8642B"/>
    <w:rsid w:val="00B87A8B"/>
    <w:rsid w:val="00B9119F"/>
    <w:rsid w:val="00B91918"/>
    <w:rsid w:val="00B92181"/>
    <w:rsid w:val="00B92303"/>
    <w:rsid w:val="00B93FFC"/>
    <w:rsid w:val="00B95052"/>
    <w:rsid w:val="00B95C19"/>
    <w:rsid w:val="00B95D0D"/>
    <w:rsid w:val="00BA1A55"/>
    <w:rsid w:val="00BA1A7E"/>
    <w:rsid w:val="00BA2CB4"/>
    <w:rsid w:val="00BA417A"/>
    <w:rsid w:val="00BA5D1B"/>
    <w:rsid w:val="00BA7328"/>
    <w:rsid w:val="00BB1B92"/>
    <w:rsid w:val="00BB23D2"/>
    <w:rsid w:val="00BB2885"/>
    <w:rsid w:val="00BB3031"/>
    <w:rsid w:val="00BB31EB"/>
    <w:rsid w:val="00BB3C5A"/>
    <w:rsid w:val="00BB4DEA"/>
    <w:rsid w:val="00BB660E"/>
    <w:rsid w:val="00BB7831"/>
    <w:rsid w:val="00BC11DD"/>
    <w:rsid w:val="00BC320F"/>
    <w:rsid w:val="00BC411B"/>
    <w:rsid w:val="00BC75BD"/>
    <w:rsid w:val="00BC7B3D"/>
    <w:rsid w:val="00BD02F5"/>
    <w:rsid w:val="00BD4BA2"/>
    <w:rsid w:val="00BD5B18"/>
    <w:rsid w:val="00BD75C5"/>
    <w:rsid w:val="00BE06EA"/>
    <w:rsid w:val="00BE3292"/>
    <w:rsid w:val="00BE3A9D"/>
    <w:rsid w:val="00BE3D52"/>
    <w:rsid w:val="00BF1E79"/>
    <w:rsid w:val="00BF2B41"/>
    <w:rsid w:val="00BF2E22"/>
    <w:rsid w:val="00BF35F1"/>
    <w:rsid w:val="00BF61D5"/>
    <w:rsid w:val="00BF73AA"/>
    <w:rsid w:val="00BF7AA7"/>
    <w:rsid w:val="00C00990"/>
    <w:rsid w:val="00C029DD"/>
    <w:rsid w:val="00C02EAE"/>
    <w:rsid w:val="00C05F2A"/>
    <w:rsid w:val="00C072E6"/>
    <w:rsid w:val="00C1153A"/>
    <w:rsid w:val="00C14C5D"/>
    <w:rsid w:val="00C17D7C"/>
    <w:rsid w:val="00C2367B"/>
    <w:rsid w:val="00C26349"/>
    <w:rsid w:val="00C26429"/>
    <w:rsid w:val="00C268F2"/>
    <w:rsid w:val="00C26CF6"/>
    <w:rsid w:val="00C30018"/>
    <w:rsid w:val="00C31A44"/>
    <w:rsid w:val="00C31CF4"/>
    <w:rsid w:val="00C33C3E"/>
    <w:rsid w:val="00C3486E"/>
    <w:rsid w:val="00C3493B"/>
    <w:rsid w:val="00C34DAD"/>
    <w:rsid w:val="00C37034"/>
    <w:rsid w:val="00C4257F"/>
    <w:rsid w:val="00C43277"/>
    <w:rsid w:val="00C454D2"/>
    <w:rsid w:val="00C45691"/>
    <w:rsid w:val="00C46DE9"/>
    <w:rsid w:val="00C51129"/>
    <w:rsid w:val="00C514F1"/>
    <w:rsid w:val="00C52B4C"/>
    <w:rsid w:val="00C53C28"/>
    <w:rsid w:val="00C5400E"/>
    <w:rsid w:val="00C5467B"/>
    <w:rsid w:val="00C5496B"/>
    <w:rsid w:val="00C54DE7"/>
    <w:rsid w:val="00C574BA"/>
    <w:rsid w:val="00C579D3"/>
    <w:rsid w:val="00C603FA"/>
    <w:rsid w:val="00C61256"/>
    <w:rsid w:val="00C6150F"/>
    <w:rsid w:val="00C61EE8"/>
    <w:rsid w:val="00C622E1"/>
    <w:rsid w:val="00C644AB"/>
    <w:rsid w:val="00C70460"/>
    <w:rsid w:val="00C73613"/>
    <w:rsid w:val="00C8121D"/>
    <w:rsid w:val="00C817B3"/>
    <w:rsid w:val="00C863A9"/>
    <w:rsid w:val="00C90772"/>
    <w:rsid w:val="00C90FA5"/>
    <w:rsid w:val="00C91411"/>
    <w:rsid w:val="00C9273B"/>
    <w:rsid w:val="00C92E37"/>
    <w:rsid w:val="00C92FBF"/>
    <w:rsid w:val="00C93579"/>
    <w:rsid w:val="00CA05EE"/>
    <w:rsid w:val="00CA2521"/>
    <w:rsid w:val="00CA37E4"/>
    <w:rsid w:val="00CA4C8F"/>
    <w:rsid w:val="00CA5EB5"/>
    <w:rsid w:val="00CA6606"/>
    <w:rsid w:val="00CA6AC9"/>
    <w:rsid w:val="00CA747B"/>
    <w:rsid w:val="00CA7555"/>
    <w:rsid w:val="00CA7EEA"/>
    <w:rsid w:val="00CB188E"/>
    <w:rsid w:val="00CB1EB4"/>
    <w:rsid w:val="00CB4214"/>
    <w:rsid w:val="00CB5F5E"/>
    <w:rsid w:val="00CB7162"/>
    <w:rsid w:val="00CB7DD4"/>
    <w:rsid w:val="00CC0C4A"/>
    <w:rsid w:val="00CC2C91"/>
    <w:rsid w:val="00CC3330"/>
    <w:rsid w:val="00CC3B3D"/>
    <w:rsid w:val="00CC3C77"/>
    <w:rsid w:val="00CC4028"/>
    <w:rsid w:val="00CC5C2B"/>
    <w:rsid w:val="00CC6A32"/>
    <w:rsid w:val="00CD29DB"/>
    <w:rsid w:val="00CD5345"/>
    <w:rsid w:val="00CD56F4"/>
    <w:rsid w:val="00CD5F24"/>
    <w:rsid w:val="00CD602E"/>
    <w:rsid w:val="00CE0E57"/>
    <w:rsid w:val="00CE2742"/>
    <w:rsid w:val="00CE3A95"/>
    <w:rsid w:val="00CE3BC5"/>
    <w:rsid w:val="00CE6497"/>
    <w:rsid w:val="00CE683D"/>
    <w:rsid w:val="00CE72AE"/>
    <w:rsid w:val="00CF014A"/>
    <w:rsid w:val="00CF4A97"/>
    <w:rsid w:val="00CF6446"/>
    <w:rsid w:val="00CF7449"/>
    <w:rsid w:val="00CF796E"/>
    <w:rsid w:val="00CF7C36"/>
    <w:rsid w:val="00D00430"/>
    <w:rsid w:val="00D01278"/>
    <w:rsid w:val="00D02AB6"/>
    <w:rsid w:val="00D05808"/>
    <w:rsid w:val="00D05D81"/>
    <w:rsid w:val="00D074CA"/>
    <w:rsid w:val="00D11515"/>
    <w:rsid w:val="00D11A1C"/>
    <w:rsid w:val="00D127C4"/>
    <w:rsid w:val="00D13F18"/>
    <w:rsid w:val="00D1438F"/>
    <w:rsid w:val="00D149CC"/>
    <w:rsid w:val="00D150EF"/>
    <w:rsid w:val="00D1529D"/>
    <w:rsid w:val="00D15C59"/>
    <w:rsid w:val="00D20904"/>
    <w:rsid w:val="00D2105F"/>
    <w:rsid w:val="00D21FBB"/>
    <w:rsid w:val="00D2257A"/>
    <w:rsid w:val="00D22D8F"/>
    <w:rsid w:val="00D245E5"/>
    <w:rsid w:val="00D24FF0"/>
    <w:rsid w:val="00D276C6"/>
    <w:rsid w:val="00D31A83"/>
    <w:rsid w:val="00D3214C"/>
    <w:rsid w:val="00D323B7"/>
    <w:rsid w:val="00D3315B"/>
    <w:rsid w:val="00D40D69"/>
    <w:rsid w:val="00D40E3C"/>
    <w:rsid w:val="00D40FF6"/>
    <w:rsid w:val="00D41577"/>
    <w:rsid w:val="00D41907"/>
    <w:rsid w:val="00D41C42"/>
    <w:rsid w:val="00D41F28"/>
    <w:rsid w:val="00D42C72"/>
    <w:rsid w:val="00D433D4"/>
    <w:rsid w:val="00D44BA1"/>
    <w:rsid w:val="00D4596E"/>
    <w:rsid w:val="00D45E99"/>
    <w:rsid w:val="00D5063A"/>
    <w:rsid w:val="00D50E40"/>
    <w:rsid w:val="00D51769"/>
    <w:rsid w:val="00D55F01"/>
    <w:rsid w:val="00D55FE4"/>
    <w:rsid w:val="00D5688F"/>
    <w:rsid w:val="00D56A72"/>
    <w:rsid w:val="00D56D19"/>
    <w:rsid w:val="00D57B70"/>
    <w:rsid w:val="00D57E1B"/>
    <w:rsid w:val="00D57E72"/>
    <w:rsid w:val="00D615DF"/>
    <w:rsid w:val="00D61792"/>
    <w:rsid w:val="00D61AB2"/>
    <w:rsid w:val="00D61B62"/>
    <w:rsid w:val="00D62126"/>
    <w:rsid w:val="00D6212F"/>
    <w:rsid w:val="00D70859"/>
    <w:rsid w:val="00D70F3C"/>
    <w:rsid w:val="00D71A2B"/>
    <w:rsid w:val="00D72C4E"/>
    <w:rsid w:val="00D73068"/>
    <w:rsid w:val="00D75B41"/>
    <w:rsid w:val="00D80852"/>
    <w:rsid w:val="00D81168"/>
    <w:rsid w:val="00D833D6"/>
    <w:rsid w:val="00D8393C"/>
    <w:rsid w:val="00D907DA"/>
    <w:rsid w:val="00D9363A"/>
    <w:rsid w:val="00D93F7E"/>
    <w:rsid w:val="00D941DF"/>
    <w:rsid w:val="00D95AC9"/>
    <w:rsid w:val="00DA2CE9"/>
    <w:rsid w:val="00DA3188"/>
    <w:rsid w:val="00DA318F"/>
    <w:rsid w:val="00DA764C"/>
    <w:rsid w:val="00DB02A1"/>
    <w:rsid w:val="00DB09DE"/>
    <w:rsid w:val="00DB0F6C"/>
    <w:rsid w:val="00DB15BA"/>
    <w:rsid w:val="00DB20F7"/>
    <w:rsid w:val="00DB2CFA"/>
    <w:rsid w:val="00DB51D9"/>
    <w:rsid w:val="00DB60AD"/>
    <w:rsid w:val="00DB6C43"/>
    <w:rsid w:val="00DB7C72"/>
    <w:rsid w:val="00DC02AE"/>
    <w:rsid w:val="00DC15E0"/>
    <w:rsid w:val="00DC5294"/>
    <w:rsid w:val="00DC5E6F"/>
    <w:rsid w:val="00DC732F"/>
    <w:rsid w:val="00DC754D"/>
    <w:rsid w:val="00DD05E8"/>
    <w:rsid w:val="00DD1619"/>
    <w:rsid w:val="00DD4D8F"/>
    <w:rsid w:val="00DD5E65"/>
    <w:rsid w:val="00DD5F2F"/>
    <w:rsid w:val="00DD75D2"/>
    <w:rsid w:val="00DD7F1D"/>
    <w:rsid w:val="00DE093A"/>
    <w:rsid w:val="00DE113D"/>
    <w:rsid w:val="00DE1BE7"/>
    <w:rsid w:val="00DE344D"/>
    <w:rsid w:val="00DE3995"/>
    <w:rsid w:val="00DE45A3"/>
    <w:rsid w:val="00DE4DAE"/>
    <w:rsid w:val="00DE5743"/>
    <w:rsid w:val="00DE630F"/>
    <w:rsid w:val="00DE7468"/>
    <w:rsid w:val="00DE7869"/>
    <w:rsid w:val="00DE7F8D"/>
    <w:rsid w:val="00DF01EB"/>
    <w:rsid w:val="00DF09A4"/>
    <w:rsid w:val="00DF14BB"/>
    <w:rsid w:val="00DF5C76"/>
    <w:rsid w:val="00DF66DF"/>
    <w:rsid w:val="00E00ED7"/>
    <w:rsid w:val="00E01D6C"/>
    <w:rsid w:val="00E03189"/>
    <w:rsid w:val="00E03437"/>
    <w:rsid w:val="00E071AB"/>
    <w:rsid w:val="00E1051C"/>
    <w:rsid w:val="00E122A8"/>
    <w:rsid w:val="00E12573"/>
    <w:rsid w:val="00E13486"/>
    <w:rsid w:val="00E13694"/>
    <w:rsid w:val="00E15234"/>
    <w:rsid w:val="00E1732D"/>
    <w:rsid w:val="00E17F20"/>
    <w:rsid w:val="00E2058B"/>
    <w:rsid w:val="00E21C94"/>
    <w:rsid w:val="00E242CE"/>
    <w:rsid w:val="00E25100"/>
    <w:rsid w:val="00E304E1"/>
    <w:rsid w:val="00E30FAC"/>
    <w:rsid w:val="00E31986"/>
    <w:rsid w:val="00E31A68"/>
    <w:rsid w:val="00E31BDA"/>
    <w:rsid w:val="00E32D5A"/>
    <w:rsid w:val="00E336D2"/>
    <w:rsid w:val="00E36D61"/>
    <w:rsid w:val="00E3787F"/>
    <w:rsid w:val="00E37A62"/>
    <w:rsid w:val="00E37AE4"/>
    <w:rsid w:val="00E4016B"/>
    <w:rsid w:val="00E43A7F"/>
    <w:rsid w:val="00E44283"/>
    <w:rsid w:val="00E44698"/>
    <w:rsid w:val="00E449B8"/>
    <w:rsid w:val="00E45BC0"/>
    <w:rsid w:val="00E472F2"/>
    <w:rsid w:val="00E476B3"/>
    <w:rsid w:val="00E476D2"/>
    <w:rsid w:val="00E50AEA"/>
    <w:rsid w:val="00E50E24"/>
    <w:rsid w:val="00E51382"/>
    <w:rsid w:val="00E51E31"/>
    <w:rsid w:val="00E5326D"/>
    <w:rsid w:val="00E541A3"/>
    <w:rsid w:val="00E54D24"/>
    <w:rsid w:val="00E558CB"/>
    <w:rsid w:val="00E55D37"/>
    <w:rsid w:val="00E57E70"/>
    <w:rsid w:val="00E60625"/>
    <w:rsid w:val="00E61138"/>
    <w:rsid w:val="00E63F4C"/>
    <w:rsid w:val="00E645F8"/>
    <w:rsid w:val="00E67442"/>
    <w:rsid w:val="00E67A4D"/>
    <w:rsid w:val="00E71790"/>
    <w:rsid w:val="00E724D8"/>
    <w:rsid w:val="00E74FEC"/>
    <w:rsid w:val="00E76523"/>
    <w:rsid w:val="00E77C1C"/>
    <w:rsid w:val="00E77F68"/>
    <w:rsid w:val="00E80299"/>
    <w:rsid w:val="00E8131C"/>
    <w:rsid w:val="00E846E5"/>
    <w:rsid w:val="00E87AEF"/>
    <w:rsid w:val="00E9044E"/>
    <w:rsid w:val="00E9324E"/>
    <w:rsid w:val="00E93896"/>
    <w:rsid w:val="00E94671"/>
    <w:rsid w:val="00E94FC5"/>
    <w:rsid w:val="00E974F6"/>
    <w:rsid w:val="00EA17E9"/>
    <w:rsid w:val="00EA2E25"/>
    <w:rsid w:val="00EA358D"/>
    <w:rsid w:val="00EA399E"/>
    <w:rsid w:val="00EA5ED7"/>
    <w:rsid w:val="00EA5FC1"/>
    <w:rsid w:val="00EA6341"/>
    <w:rsid w:val="00EA6FE0"/>
    <w:rsid w:val="00EA7950"/>
    <w:rsid w:val="00EB107A"/>
    <w:rsid w:val="00EB187F"/>
    <w:rsid w:val="00EB1C0E"/>
    <w:rsid w:val="00EB258A"/>
    <w:rsid w:val="00EB393C"/>
    <w:rsid w:val="00EB492E"/>
    <w:rsid w:val="00EB5423"/>
    <w:rsid w:val="00EB64B3"/>
    <w:rsid w:val="00EC09BF"/>
    <w:rsid w:val="00EC13CC"/>
    <w:rsid w:val="00EC1E6C"/>
    <w:rsid w:val="00EC2895"/>
    <w:rsid w:val="00EC309E"/>
    <w:rsid w:val="00EC4CD5"/>
    <w:rsid w:val="00EC5590"/>
    <w:rsid w:val="00EC6C41"/>
    <w:rsid w:val="00ED0E89"/>
    <w:rsid w:val="00ED1BA6"/>
    <w:rsid w:val="00ED1BD1"/>
    <w:rsid w:val="00ED2DE8"/>
    <w:rsid w:val="00ED413B"/>
    <w:rsid w:val="00ED5F0B"/>
    <w:rsid w:val="00ED661D"/>
    <w:rsid w:val="00ED6D0B"/>
    <w:rsid w:val="00ED7104"/>
    <w:rsid w:val="00ED75BB"/>
    <w:rsid w:val="00ED7D9D"/>
    <w:rsid w:val="00EE0B13"/>
    <w:rsid w:val="00EE18CE"/>
    <w:rsid w:val="00EE2038"/>
    <w:rsid w:val="00EE2FA3"/>
    <w:rsid w:val="00EE6089"/>
    <w:rsid w:val="00EE6DAB"/>
    <w:rsid w:val="00EF04C1"/>
    <w:rsid w:val="00EF5D94"/>
    <w:rsid w:val="00EF777D"/>
    <w:rsid w:val="00EF7950"/>
    <w:rsid w:val="00F01BDC"/>
    <w:rsid w:val="00F01C94"/>
    <w:rsid w:val="00F0299F"/>
    <w:rsid w:val="00F04D4C"/>
    <w:rsid w:val="00F0545F"/>
    <w:rsid w:val="00F076A3"/>
    <w:rsid w:val="00F10B5B"/>
    <w:rsid w:val="00F111B2"/>
    <w:rsid w:val="00F1191B"/>
    <w:rsid w:val="00F124B2"/>
    <w:rsid w:val="00F12969"/>
    <w:rsid w:val="00F1792B"/>
    <w:rsid w:val="00F20689"/>
    <w:rsid w:val="00F21D0E"/>
    <w:rsid w:val="00F2279E"/>
    <w:rsid w:val="00F22F9D"/>
    <w:rsid w:val="00F246B2"/>
    <w:rsid w:val="00F26279"/>
    <w:rsid w:val="00F30989"/>
    <w:rsid w:val="00F32727"/>
    <w:rsid w:val="00F327AA"/>
    <w:rsid w:val="00F40236"/>
    <w:rsid w:val="00F41684"/>
    <w:rsid w:val="00F4209E"/>
    <w:rsid w:val="00F43183"/>
    <w:rsid w:val="00F43908"/>
    <w:rsid w:val="00F43FF7"/>
    <w:rsid w:val="00F44075"/>
    <w:rsid w:val="00F44F67"/>
    <w:rsid w:val="00F461E1"/>
    <w:rsid w:val="00F46D15"/>
    <w:rsid w:val="00F501C5"/>
    <w:rsid w:val="00F50C93"/>
    <w:rsid w:val="00F50D25"/>
    <w:rsid w:val="00F52A8D"/>
    <w:rsid w:val="00F52AE0"/>
    <w:rsid w:val="00F55DA4"/>
    <w:rsid w:val="00F6036E"/>
    <w:rsid w:val="00F6174C"/>
    <w:rsid w:val="00F676AF"/>
    <w:rsid w:val="00F705B3"/>
    <w:rsid w:val="00F705E0"/>
    <w:rsid w:val="00F71B58"/>
    <w:rsid w:val="00F72CA9"/>
    <w:rsid w:val="00F73851"/>
    <w:rsid w:val="00F7757C"/>
    <w:rsid w:val="00F775D5"/>
    <w:rsid w:val="00F83EBD"/>
    <w:rsid w:val="00F86769"/>
    <w:rsid w:val="00F86CDD"/>
    <w:rsid w:val="00F903AB"/>
    <w:rsid w:val="00F91317"/>
    <w:rsid w:val="00F94030"/>
    <w:rsid w:val="00F94DA3"/>
    <w:rsid w:val="00F96698"/>
    <w:rsid w:val="00F96A9E"/>
    <w:rsid w:val="00FA1A1C"/>
    <w:rsid w:val="00FA4480"/>
    <w:rsid w:val="00FA52A9"/>
    <w:rsid w:val="00FA5AE4"/>
    <w:rsid w:val="00FA5C81"/>
    <w:rsid w:val="00FA66A9"/>
    <w:rsid w:val="00FA7F6E"/>
    <w:rsid w:val="00FB0C4F"/>
    <w:rsid w:val="00FB249D"/>
    <w:rsid w:val="00FB66EB"/>
    <w:rsid w:val="00FB6F26"/>
    <w:rsid w:val="00FB71CD"/>
    <w:rsid w:val="00FC12E1"/>
    <w:rsid w:val="00FC1719"/>
    <w:rsid w:val="00FC1A56"/>
    <w:rsid w:val="00FC22D8"/>
    <w:rsid w:val="00FC3862"/>
    <w:rsid w:val="00FC3E1B"/>
    <w:rsid w:val="00FC579B"/>
    <w:rsid w:val="00FC7059"/>
    <w:rsid w:val="00FC7DDE"/>
    <w:rsid w:val="00FD1947"/>
    <w:rsid w:val="00FD25DB"/>
    <w:rsid w:val="00FD3378"/>
    <w:rsid w:val="00FD34B4"/>
    <w:rsid w:val="00FD483A"/>
    <w:rsid w:val="00FD4D2E"/>
    <w:rsid w:val="00FD5616"/>
    <w:rsid w:val="00FD5E38"/>
    <w:rsid w:val="00FD6267"/>
    <w:rsid w:val="00FD694D"/>
    <w:rsid w:val="00FD6D5D"/>
    <w:rsid w:val="00FD70E1"/>
    <w:rsid w:val="00FE1BC1"/>
    <w:rsid w:val="00FE1C69"/>
    <w:rsid w:val="00FE1CFA"/>
    <w:rsid w:val="00FE5241"/>
    <w:rsid w:val="00FE5DE6"/>
    <w:rsid w:val="00FE673B"/>
    <w:rsid w:val="00FE7B94"/>
    <w:rsid w:val="00FF0E9B"/>
    <w:rsid w:val="00FF1641"/>
    <w:rsid w:val="00FF1796"/>
    <w:rsid w:val="00FF1E02"/>
    <w:rsid w:val="00FF43A9"/>
    <w:rsid w:val="00FF521E"/>
    <w:rsid w:val="00FF55CE"/>
    <w:rsid w:val="01001B5E"/>
    <w:rsid w:val="010158D6"/>
    <w:rsid w:val="0102159D"/>
    <w:rsid w:val="01027E5C"/>
    <w:rsid w:val="01057174"/>
    <w:rsid w:val="01064C9A"/>
    <w:rsid w:val="01066A48"/>
    <w:rsid w:val="010800CC"/>
    <w:rsid w:val="010827C0"/>
    <w:rsid w:val="010B405F"/>
    <w:rsid w:val="010C0502"/>
    <w:rsid w:val="010D427B"/>
    <w:rsid w:val="010D7DD7"/>
    <w:rsid w:val="010F0FD0"/>
    <w:rsid w:val="010F3B4F"/>
    <w:rsid w:val="01102460"/>
    <w:rsid w:val="01115B19"/>
    <w:rsid w:val="0112363F"/>
    <w:rsid w:val="01124D80"/>
    <w:rsid w:val="011253ED"/>
    <w:rsid w:val="01130DE1"/>
    <w:rsid w:val="011428ED"/>
    <w:rsid w:val="011473B7"/>
    <w:rsid w:val="01160EA3"/>
    <w:rsid w:val="01161381"/>
    <w:rsid w:val="01176EA7"/>
    <w:rsid w:val="011949CD"/>
    <w:rsid w:val="011C626C"/>
    <w:rsid w:val="011D2710"/>
    <w:rsid w:val="01203FAE"/>
    <w:rsid w:val="012133E5"/>
    <w:rsid w:val="01213882"/>
    <w:rsid w:val="01227D26"/>
    <w:rsid w:val="01233A9E"/>
    <w:rsid w:val="012515C4"/>
    <w:rsid w:val="01255120"/>
    <w:rsid w:val="01260E98"/>
    <w:rsid w:val="012670EA"/>
    <w:rsid w:val="01284C10"/>
    <w:rsid w:val="012A4E2C"/>
    <w:rsid w:val="012D2227"/>
    <w:rsid w:val="012D66CB"/>
    <w:rsid w:val="012F41F1"/>
    <w:rsid w:val="013637D1"/>
    <w:rsid w:val="013712F7"/>
    <w:rsid w:val="01387EAC"/>
    <w:rsid w:val="01390BCC"/>
    <w:rsid w:val="0139423D"/>
    <w:rsid w:val="013C246A"/>
    <w:rsid w:val="013D4B60"/>
    <w:rsid w:val="013E4434"/>
    <w:rsid w:val="013E61E2"/>
    <w:rsid w:val="014001AC"/>
    <w:rsid w:val="014063FE"/>
    <w:rsid w:val="014337F8"/>
    <w:rsid w:val="01463C70"/>
    <w:rsid w:val="0147153B"/>
    <w:rsid w:val="0147778C"/>
    <w:rsid w:val="01483505"/>
    <w:rsid w:val="014925F1"/>
    <w:rsid w:val="014A2DD9"/>
    <w:rsid w:val="014B4F11"/>
    <w:rsid w:val="014C6B51"/>
    <w:rsid w:val="014E3493"/>
    <w:rsid w:val="014F6641"/>
    <w:rsid w:val="01505F15"/>
    <w:rsid w:val="015123B9"/>
    <w:rsid w:val="01514167"/>
    <w:rsid w:val="01545A05"/>
    <w:rsid w:val="01553765"/>
    <w:rsid w:val="0156177E"/>
    <w:rsid w:val="01565C22"/>
    <w:rsid w:val="015772A4"/>
    <w:rsid w:val="0159126E"/>
    <w:rsid w:val="01591402"/>
    <w:rsid w:val="015B4A06"/>
    <w:rsid w:val="015B4FE6"/>
    <w:rsid w:val="015B6D94"/>
    <w:rsid w:val="015C2B0C"/>
    <w:rsid w:val="015E6884"/>
    <w:rsid w:val="016043AA"/>
    <w:rsid w:val="01626374"/>
    <w:rsid w:val="01635C49"/>
    <w:rsid w:val="016519C1"/>
    <w:rsid w:val="01675739"/>
    <w:rsid w:val="0168325F"/>
    <w:rsid w:val="016C71F3"/>
    <w:rsid w:val="016D6AC7"/>
    <w:rsid w:val="016D6E1B"/>
    <w:rsid w:val="016F283F"/>
    <w:rsid w:val="0170579C"/>
    <w:rsid w:val="017165B7"/>
    <w:rsid w:val="0173585E"/>
    <w:rsid w:val="017460A8"/>
    <w:rsid w:val="01761E20"/>
    <w:rsid w:val="0176597C"/>
    <w:rsid w:val="01785B98"/>
    <w:rsid w:val="018502B5"/>
    <w:rsid w:val="01853E11"/>
    <w:rsid w:val="01873A23"/>
    <w:rsid w:val="01875DDB"/>
    <w:rsid w:val="01883901"/>
    <w:rsid w:val="018A7679"/>
    <w:rsid w:val="018D0F17"/>
    <w:rsid w:val="01934780"/>
    <w:rsid w:val="019B3634"/>
    <w:rsid w:val="019C5EFA"/>
    <w:rsid w:val="019E081A"/>
    <w:rsid w:val="019E3125"/>
    <w:rsid w:val="01A22C15"/>
    <w:rsid w:val="01A249C3"/>
    <w:rsid w:val="01A324E9"/>
    <w:rsid w:val="01A611B0"/>
    <w:rsid w:val="01A6752C"/>
    <w:rsid w:val="01A7022B"/>
    <w:rsid w:val="01A85D51"/>
    <w:rsid w:val="01A93FA3"/>
    <w:rsid w:val="01AD5116"/>
    <w:rsid w:val="01AE3368"/>
    <w:rsid w:val="01B02C2F"/>
    <w:rsid w:val="01B110AA"/>
    <w:rsid w:val="01B3097E"/>
    <w:rsid w:val="01B42948"/>
    <w:rsid w:val="01B464A4"/>
    <w:rsid w:val="01B6046E"/>
    <w:rsid w:val="01BC2913"/>
    <w:rsid w:val="01BD35AB"/>
    <w:rsid w:val="01BF1294"/>
    <w:rsid w:val="01BF5575"/>
    <w:rsid w:val="01C04E49"/>
    <w:rsid w:val="01C25065"/>
    <w:rsid w:val="01C26E13"/>
    <w:rsid w:val="01C34939"/>
    <w:rsid w:val="01C40DDD"/>
    <w:rsid w:val="01C506B1"/>
    <w:rsid w:val="01C761D7"/>
    <w:rsid w:val="01CA5CC8"/>
    <w:rsid w:val="01CA63A7"/>
    <w:rsid w:val="01CC1A40"/>
    <w:rsid w:val="01CE0DBD"/>
    <w:rsid w:val="01CE3A0A"/>
    <w:rsid w:val="01CE61B8"/>
    <w:rsid w:val="01D1627A"/>
    <w:rsid w:val="01D17056"/>
    <w:rsid w:val="01D31020"/>
    <w:rsid w:val="01D32DCE"/>
    <w:rsid w:val="01D408F4"/>
    <w:rsid w:val="01D54D98"/>
    <w:rsid w:val="01D628BE"/>
    <w:rsid w:val="01D6466C"/>
    <w:rsid w:val="01D803E5"/>
    <w:rsid w:val="01D84888"/>
    <w:rsid w:val="01D9415D"/>
    <w:rsid w:val="01DD59FB"/>
    <w:rsid w:val="01DE1773"/>
    <w:rsid w:val="01DF79C5"/>
    <w:rsid w:val="01E01D0E"/>
    <w:rsid w:val="01E0373D"/>
    <w:rsid w:val="01E07299"/>
    <w:rsid w:val="01E2462E"/>
    <w:rsid w:val="01E4322D"/>
    <w:rsid w:val="01E44FDB"/>
    <w:rsid w:val="01E46D89"/>
    <w:rsid w:val="01E66FA5"/>
    <w:rsid w:val="01E70628"/>
    <w:rsid w:val="01E74ACC"/>
    <w:rsid w:val="01E7687A"/>
    <w:rsid w:val="01E92DC0"/>
    <w:rsid w:val="01E943A0"/>
    <w:rsid w:val="01EA0118"/>
    <w:rsid w:val="01EC0334"/>
    <w:rsid w:val="01EC20E2"/>
    <w:rsid w:val="01EC5C3E"/>
    <w:rsid w:val="01EE19B6"/>
    <w:rsid w:val="01EE7C08"/>
    <w:rsid w:val="01F36A43"/>
    <w:rsid w:val="01F36FCC"/>
    <w:rsid w:val="01F571E8"/>
    <w:rsid w:val="01F66ABD"/>
    <w:rsid w:val="01F86854"/>
    <w:rsid w:val="01FA65AD"/>
    <w:rsid w:val="01FB40D3"/>
    <w:rsid w:val="01FD3E07"/>
    <w:rsid w:val="01FE5971"/>
    <w:rsid w:val="01FE68D7"/>
    <w:rsid w:val="01FF0067"/>
    <w:rsid w:val="01FF1E15"/>
    <w:rsid w:val="020016E9"/>
    <w:rsid w:val="0200793B"/>
    <w:rsid w:val="020236B3"/>
    <w:rsid w:val="020411DA"/>
    <w:rsid w:val="0204742C"/>
    <w:rsid w:val="020531A4"/>
    <w:rsid w:val="02054F52"/>
    <w:rsid w:val="02070CCA"/>
    <w:rsid w:val="02092C94"/>
    <w:rsid w:val="020A2568"/>
    <w:rsid w:val="020C0D2B"/>
    <w:rsid w:val="020D21BB"/>
    <w:rsid w:val="020E02AA"/>
    <w:rsid w:val="02111B48"/>
    <w:rsid w:val="0213141D"/>
    <w:rsid w:val="021533E7"/>
    <w:rsid w:val="02186A33"/>
    <w:rsid w:val="021A09FD"/>
    <w:rsid w:val="021B4775"/>
    <w:rsid w:val="021B6523"/>
    <w:rsid w:val="02205A60"/>
    <w:rsid w:val="02223D56"/>
    <w:rsid w:val="02225B04"/>
    <w:rsid w:val="0224362A"/>
    <w:rsid w:val="02247ACE"/>
    <w:rsid w:val="022618D2"/>
    <w:rsid w:val="022678CE"/>
    <w:rsid w:val="0227311A"/>
    <w:rsid w:val="02274EC8"/>
    <w:rsid w:val="02275933"/>
    <w:rsid w:val="02296E92"/>
    <w:rsid w:val="022B0E5C"/>
    <w:rsid w:val="022B2C0A"/>
    <w:rsid w:val="022C6982"/>
    <w:rsid w:val="022E44A8"/>
    <w:rsid w:val="022F7197"/>
    <w:rsid w:val="02300221"/>
    <w:rsid w:val="02301FCF"/>
    <w:rsid w:val="02313F99"/>
    <w:rsid w:val="02317AF5"/>
    <w:rsid w:val="0232372D"/>
    <w:rsid w:val="0233386D"/>
    <w:rsid w:val="02337D11"/>
    <w:rsid w:val="0236335D"/>
    <w:rsid w:val="023870D5"/>
    <w:rsid w:val="023A4BFB"/>
    <w:rsid w:val="023B0973"/>
    <w:rsid w:val="023D293E"/>
    <w:rsid w:val="023F0464"/>
    <w:rsid w:val="023F66B6"/>
    <w:rsid w:val="024535A0"/>
    <w:rsid w:val="024617F2"/>
    <w:rsid w:val="0247556A"/>
    <w:rsid w:val="024837DC"/>
    <w:rsid w:val="024B6E08"/>
    <w:rsid w:val="024C0DD3"/>
    <w:rsid w:val="024C2B81"/>
    <w:rsid w:val="024C35ED"/>
    <w:rsid w:val="024E4B4B"/>
    <w:rsid w:val="025263E9"/>
    <w:rsid w:val="0252745F"/>
    <w:rsid w:val="02551A35"/>
    <w:rsid w:val="02557C87"/>
    <w:rsid w:val="02571C51"/>
    <w:rsid w:val="025832D3"/>
    <w:rsid w:val="02587777"/>
    <w:rsid w:val="025A4B3C"/>
    <w:rsid w:val="025A529E"/>
    <w:rsid w:val="025C7268"/>
    <w:rsid w:val="025D08EA"/>
    <w:rsid w:val="025D6B3C"/>
    <w:rsid w:val="0261487E"/>
    <w:rsid w:val="02691984"/>
    <w:rsid w:val="026954E1"/>
    <w:rsid w:val="026B1259"/>
    <w:rsid w:val="026B3007"/>
    <w:rsid w:val="026C6D7F"/>
    <w:rsid w:val="026E0D49"/>
    <w:rsid w:val="026E2AF7"/>
    <w:rsid w:val="02702D13"/>
    <w:rsid w:val="0273010D"/>
    <w:rsid w:val="02734808"/>
    <w:rsid w:val="027520D7"/>
    <w:rsid w:val="02783976"/>
    <w:rsid w:val="02785724"/>
    <w:rsid w:val="027A76EE"/>
    <w:rsid w:val="027B385B"/>
    <w:rsid w:val="027C3466"/>
    <w:rsid w:val="027F6AB2"/>
    <w:rsid w:val="02820350"/>
    <w:rsid w:val="02866093"/>
    <w:rsid w:val="02873BB9"/>
    <w:rsid w:val="028C0A7F"/>
    <w:rsid w:val="028D6748"/>
    <w:rsid w:val="028D7421"/>
    <w:rsid w:val="028E3199"/>
    <w:rsid w:val="028E4F47"/>
    <w:rsid w:val="02902A6D"/>
    <w:rsid w:val="02906F11"/>
    <w:rsid w:val="029167E5"/>
    <w:rsid w:val="02922C89"/>
    <w:rsid w:val="029248F1"/>
    <w:rsid w:val="02954528"/>
    <w:rsid w:val="02963DFC"/>
    <w:rsid w:val="0297204E"/>
    <w:rsid w:val="02975B92"/>
    <w:rsid w:val="029A7D90"/>
    <w:rsid w:val="029C1412"/>
    <w:rsid w:val="029C3B08"/>
    <w:rsid w:val="029C58B6"/>
    <w:rsid w:val="029D518A"/>
    <w:rsid w:val="02A11815"/>
    <w:rsid w:val="02A14C7A"/>
    <w:rsid w:val="02A209F3"/>
    <w:rsid w:val="02A227A1"/>
    <w:rsid w:val="02A604E3"/>
    <w:rsid w:val="02A66735"/>
    <w:rsid w:val="02AB3D4B"/>
    <w:rsid w:val="02AB5AF9"/>
    <w:rsid w:val="02AB78A7"/>
    <w:rsid w:val="02AE7397"/>
    <w:rsid w:val="02B06584"/>
    <w:rsid w:val="02B250DA"/>
    <w:rsid w:val="02B32C00"/>
    <w:rsid w:val="02B47D3B"/>
    <w:rsid w:val="02B726F0"/>
    <w:rsid w:val="02B96008"/>
    <w:rsid w:val="02BA3F8E"/>
    <w:rsid w:val="02BA5D3C"/>
    <w:rsid w:val="02BC3862"/>
    <w:rsid w:val="02BC7D06"/>
    <w:rsid w:val="02BF15A4"/>
    <w:rsid w:val="02BF77F6"/>
    <w:rsid w:val="02C1356F"/>
    <w:rsid w:val="02C1531D"/>
    <w:rsid w:val="02C2228F"/>
    <w:rsid w:val="02C24BF1"/>
    <w:rsid w:val="02C31095"/>
    <w:rsid w:val="02C32E43"/>
    <w:rsid w:val="02C458C8"/>
    <w:rsid w:val="02C46BBB"/>
    <w:rsid w:val="02C92162"/>
    <w:rsid w:val="02CA1EB1"/>
    <w:rsid w:val="02CB1CF7"/>
    <w:rsid w:val="02CB619B"/>
    <w:rsid w:val="02CD5A6F"/>
    <w:rsid w:val="02CF7A3A"/>
    <w:rsid w:val="02D037B2"/>
    <w:rsid w:val="02D0730E"/>
    <w:rsid w:val="02D212D8"/>
    <w:rsid w:val="02D36DFE"/>
    <w:rsid w:val="02D432A2"/>
    <w:rsid w:val="02D45050"/>
    <w:rsid w:val="02D7069C"/>
    <w:rsid w:val="02D84414"/>
    <w:rsid w:val="02D844B5"/>
    <w:rsid w:val="02DA1F3A"/>
    <w:rsid w:val="02DC5CB3"/>
    <w:rsid w:val="02DE5ECF"/>
    <w:rsid w:val="02DE7C7D"/>
    <w:rsid w:val="02E132C9"/>
    <w:rsid w:val="02E334E5"/>
    <w:rsid w:val="02E35293"/>
    <w:rsid w:val="02E64D83"/>
    <w:rsid w:val="02E72B1A"/>
    <w:rsid w:val="02E80AFB"/>
    <w:rsid w:val="02EA4873"/>
    <w:rsid w:val="02EB4148"/>
    <w:rsid w:val="02ED6112"/>
    <w:rsid w:val="02EE59E6"/>
    <w:rsid w:val="02EF3E7D"/>
    <w:rsid w:val="02F456F2"/>
    <w:rsid w:val="02F53218"/>
    <w:rsid w:val="02F70D3E"/>
    <w:rsid w:val="02F72AEC"/>
    <w:rsid w:val="02FC45A7"/>
    <w:rsid w:val="02FC6355"/>
    <w:rsid w:val="02FF0DA1"/>
    <w:rsid w:val="03011BBD"/>
    <w:rsid w:val="03031491"/>
    <w:rsid w:val="03035935"/>
    <w:rsid w:val="030376E3"/>
    <w:rsid w:val="030516AD"/>
    <w:rsid w:val="030671D3"/>
    <w:rsid w:val="030709C3"/>
    <w:rsid w:val="03086AA8"/>
    <w:rsid w:val="03092820"/>
    <w:rsid w:val="030C3BD6"/>
    <w:rsid w:val="030E7E36"/>
    <w:rsid w:val="030F42DA"/>
    <w:rsid w:val="03103BAE"/>
    <w:rsid w:val="03125B78"/>
    <w:rsid w:val="03127926"/>
    <w:rsid w:val="0313544C"/>
    <w:rsid w:val="031511C4"/>
    <w:rsid w:val="03165668"/>
    <w:rsid w:val="03174F3D"/>
    <w:rsid w:val="03192A63"/>
    <w:rsid w:val="03195159"/>
    <w:rsid w:val="031A59A9"/>
    <w:rsid w:val="031A67DB"/>
    <w:rsid w:val="031B2C7F"/>
    <w:rsid w:val="031D6EFB"/>
    <w:rsid w:val="031E62CB"/>
    <w:rsid w:val="031F2043"/>
    <w:rsid w:val="031F3DF1"/>
    <w:rsid w:val="03200295"/>
    <w:rsid w:val="032064E7"/>
    <w:rsid w:val="03215DBB"/>
    <w:rsid w:val="03217B69"/>
    <w:rsid w:val="032338E1"/>
    <w:rsid w:val="03253AFD"/>
    <w:rsid w:val="032633D2"/>
    <w:rsid w:val="03271B39"/>
    <w:rsid w:val="0328714A"/>
    <w:rsid w:val="032A4C70"/>
    <w:rsid w:val="032B6C3A"/>
    <w:rsid w:val="032C73AC"/>
    <w:rsid w:val="032F672A"/>
    <w:rsid w:val="03305FFE"/>
    <w:rsid w:val="03323B24"/>
    <w:rsid w:val="03326801"/>
    <w:rsid w:val="03327FC8"/>
    <w:rsid w:val="03343D40"/>
    <w:rsid w:val="03391357"/>
    <w:rsid w:val="03394F93"/>
    <w:rsid w:val="033A6423"/>
    <w:rsid w:val="033C49A3"/>
    <w:rsid w:val="033E696D"/>
    <w:rsid w:val="03404493"/>
    <w:rsid w:val="03411FE4"/>
    <w:rsid w:val="03443858"/>
    <w:rsid w:val="03451AAA"/>
    <w:rsid w:val="03455F4E"/>
    <w:rsid w:val="03463A74"/>
    <w:rsid w:val="03465822"/>
    <w:rsid w:val="03475E56"/>
    <w:rsid w:val="03483348"/>
    <w:rsid w:val="034A70C0"/>
    <w:rsid w:val="034C72DC"/>
    <w:rsid w:val="034F0B7A"/>
    <w:rsid w:val="034F11C2"/>
    <w:rsid w:val="0350044F"/>
    <w:rsid w:val="03500C6F"/>
    <w:rsid w:val="03522419"/>
    <w:rsid w:val="03546191"/>
    <w:rsid w:val="03561F09"/>
    <w:rsid w:val="03563CB7"/>
    <w:rsid w:val="035717DD"/>
    <w:rsid w:val="035937A7"/>
    <w:rsid w:val="03595555"/>
    <w:rsid w:val="03597303"/>
    <w:rsid w:val="035A307B"/>
    <w:rsid w:val="035C032D"/>
    <w:rsid w:val="035C6DF3"/>
    <w:rsid w:val="035E0DBD"/>
    <w:rsid w:val="035E3634"/>
    <w:rsid w:val="035F693C"/>
    <w:rsid w:val="03604B36"/>
    <w:rsid w:val="0361265C"/>
    <w:rsid w:val="0361440A"/>
    <w:rsid w:val="03630182"/>
    <w:rsid w:val="036363D4"/>
    <w:rsid w:val="0366286F"/>
    <w:rsid w:val="03681C3C"/>
    <w:rsid w:val="036839EA"/>
    <w:rsid w:val="036D2DAF"/>
    <w:rsid w:val="036D7B71"/>
    <w:rsid w:val="0370464D"/>
    <w:rsid w:val="03705062"/>
    <w:rsid w:val="03726617"/>
    <w:rsid w:val="03735124"/>
    <w:rsid w:val="03767EB5"/>
    <w:rsid w:val="03771E7F"/>
    <w:rsid w:val="03773C2D"/>
    <w:rsid w:val="037979A5"/>
    <w:rsid w:val="037A38B6"/>
    <w:rsid w:val="037B371D"/>
    <w:rsid w:val="037C1244"/>
    <w:rsid w:val="037D56E7"/>
    <w:rsid w:val="03824AAC"/>
    <w:rsid w:val="038325D2"/>
    <w:rsid w:val="0385634A"/>
    <w:rsid w:val="038720C2"/>
    <w:rsid w:val="038A570F"/>
    <w:rsid w:val="038A7E04"/>
    <w:rsid w:val="038B483B"/>
    <w:rsid w:val="038D16A3"/>
    <w:rsid w:val="038D3451"/>
    <w:rsid w:val="038D51FF"/>
    <w:rsid w:val="038F0F77"/>
    <w:rsid w:val="038F1A7B"/>
    <w:rsid w:val="038F464C"/>
    <w:rsid w:val="038F541B"/>
    <w:rsid w:val="03905ADC"/>
    <w:rsid w:val="0394445D"/>
    <w:rsid w:val="039447DF"/>
    <w:rsid w:val="039667A9"/>
    <w:rsid w:val="0397607D"/>
    <w:rsid w:val="03990B92"/>
    <w:rsid w:val="039B3DC0"/>
    <w:rsid w:val="039C3694"/>
    <w:rsid w:val="039D7B38"/>
    <w:rsid w:val="03A04F32"/>
    <w:rsid w:val="03A32C74"/>
    <w:rsid w:val="03A367D0"/>
    <w:rsid w:val="03A43F52"/>
    <w:rsid w:val="03A52548"/>
    <w:rsid w:val="03A74512"/>
    <w:rsid w:val="03A8028B"/>
    <w:rsid w:val="03AA4003"/>
    <w:rsid w:val="03AC7D7B"/>
    <w:rsid w:val="03AD764F"/>
    <w:rsid w:val="03AE3AF3"/>
    <w:rsid w:val="03B1713F"/>
    <w:rsid w:val="03B22EB7"/>
    <w:rsid w:val="03B279E6"/>
    <w:rsid w:val="03B325B7"/>
    <w:rsid w:val="03B42306"/>
    <w:rsid w:val="03B64756"/>
    <w:rsid w:val="03B66504"/>
    <w:rsid w:val="03B74063"/>
    <w:rsid w:val="03B83858"/>
    <w:rsid w:val="03B86720"/>
    <w:rsid w:val="03B92498"/>
    <w:rsid w:val="03C055D4"/>
    <w:rsid w:val="03C2134C"/>
    <w:rsid w:val="03C2759E"/>
    <w:rsid w:val="03C30C20"/>
    <w:rsid w:val="03C350C4"/>
    <w:rsid w:val="03C36E72"/>
    <w:rsid w:val="03C449CC"/>
    <w:rsid w:val="03C50E3C"/>
    <w:rsid w:val="03C52BEB"/>
    <w:rsid w:val="03C6471B"/>
    <w:rsid w:val="03C75CB8"/>
    <w:rsid w:val="03C9092D"/>
    <w:rsid w:val="03CC21CB"/>
    <w:rsid w:val="03CC5D27"/>
    <w:rsid w:val="03CD1A9F"/>
    <w:rsid w:val="03CE7CF1"/>
    <w:rsid w:val="03CF5817"/>
    <w:rsid w:val="03D177E1"/>
    <w:rsid w:val="03D270B5"/>
    <w:rsid w:val="03D33559"/>
    <w:rsid w:val="03D35307"/>
    <w:rsid w:val="03D472D2"/>
    <w:rsid w:val="03D81701"/>
    <w:rsid w:val="03D96696"/>
    <w:rsid w:val="03DD1CE2"/>
    <w:rsid w:val="03DD6186"/>
    <w:rsid w:val="03DD7F34"/>
    <w:rsid w:val="03DE35EF"/>
    <w:rsid w:val="03DE5A5A"/>
    <w:rsid w:val="03E05C76"/>
    <w:rsid w:val="03E07A24"/>
    <w:rsid w:val="03E2379C"/>
    <w:rsid w:val="03E2554B"/>
    <w:rsid w:val="03E37F54"/>
    <w:rsid w:val="03E56DE9"/>
    <w:rsid w:val="03E80687"/>
    <w:rsid w:val="03EC63C9"/>
    <w:rsid w:val="03EE2141"/>
    <w:rsid w:val="03EF5EB9"/>
    <w:rsid w:val="03F139E0"/>
    <w:rsid w:val="03F4527E"/>
    <w:rsid w:val="03F82FC0"/>
    <w:rsid w:val="03F90AE6"/>
    <w:rsid w:val="03FA6D38"/>
    <w:rsid w:val="03FD2384"/>
    <w:rsid w:val="03FD4132"/>
    <w:rsid w:val="03FF434E"/>
    <w:rsid w:val="0401090C"/>
    <w:rsid w:val="04021749"/>
    <w:rsid w:val="04043713"/>
    <w:rsid w:val="04051239"/>
    <w:rsid w:val="0406477E"/>
    <w:rsid w:val="04073203"/>
    <w:rsid w:val="0408226F"/>
    <w:rsid w:val="040E139A"/>
    <w:rsid w:val="040E6340"/>
    <w:rsid w:val="040F43A0"/>
    <w:rsid w:val="0410030A"/>
    <w:rsid w:val="04131BA8"/>
    <w:rsid w:val="0414147C"/>
    <w:rsid w:val="041651F4"/>
    <w:rsid w:val="041D47D5"/>
    <w:rsid w:val="041E2A05"/>
    <w:rsid w:val="04206073"/>
    <w:rsid w:val="04221DEB"/>
    <w:rsid w:val="04283AB7"/>
    <w:rsid w:val="042913CB"/>
    <w:rsid w:val="042A0CA0"/>
    <w:rsid w:val="042B5143"/>
    <w:rsid w:val="042D10BB"/>
    <w:rsid w:val="042E0790"/>
    <w:rsid w:val="042E69E2"/>
    <w:rsid w:val="042F4508"/>
    <w:rsid w:val="042F62B6"/>
    <w:rsid w:val="0430275A"/>
    <w:rsid w:val="0432773A"/>
    <w:rsid w:val="0433224A"/>
    <w:rsid w:val="04335DA6"/>
    <w:rsid w:val="043438CC"/>
    <w:rsid w:val="04351B1E"/>
    <w:rsid w:val="04365896"/>
    <w:rsid w:val="043833BC"/>
    <w:rsid w:val="04390EE3"/>
    <w:rsid w:val="043A5387"/>
    <w:rsid w:val="043B10FF"/>
    <w:rsid w:val="043B2EAD"/>
    <w:rsid w:val="043D4E77"/>
    <w:rsid w:val="043F299D"/>
    <w:rsid w:val="04403406"/>
    <w:rsid w:val="0442248D"/>
    <w:rsid w:val="04425FE9"/>
    <w:rsid w:val="0444209F"/>
    <w:rsid w:val="04444720"/>
    <w:rsid w:val="04455AD9"/>
    <w:rsid w:val="044572F1"/>
    <w:rsid w:val="04473600"/>
    <w:rsid w:val="04485C72"/>
    <w:rsid w:val="0449381C"/>
    <w:rsid w:val="044955CA"/>
    <w:rsid w:val="044B7594"/>
    <w:rsid w:val="044E0E32"/>
    <w:rsid w:val="044E2BE0"/>
    <w:rsid w:val="044E498E"/>
    <w:rsid w:val="044E57D2"/>
    <w:rsid w:val="045301F6"/>
    <w:rsid w:val="04536448"/>
    <w:rsid w:val="04575F38"/>
    <w:rsid w:val="04581455"/>
    <w:rsid w:val="04581CB1"/>
    <w:rsid w:val="0458580D"/>
    <w:rsid w:val="045B52FD"/>
    <w:rsid w:val="045D1075"/>
    <w:rsid w:val="046248DD"/>
    <w:rsid w:val="046441B2"/>
    <w:rsid w:val="046643CE"/>
    <w:rsid w:val="04675A50"/>
    <w:rsid w:val="046B19E4"/>
    <w:rsid w:val="04700DA8"/>
    <w:rsid w:val="04706AE1"/>
    <w:rsid w:val="047168CE"/>
    <w:rsid w:val="04730898"/>
    <w:rsid w:val="04730C2E"/>
    <w:rsid w:val="047434CD"/>
    <w:rsid w:val="04754611"/>
    <w:rsid w:val="047563BF"/>
    <w:rsid w:val="04763EE5"/>
    <w:rsid w:val="04781A0B"/>
    <w:rsid w:val="04783610"/>
    <w:rsid w:val="047A1C27"/>
    <w:rsid w:val="047A39D5"/>
    <w:rsid w:val="047A5783"/>
    <w:rsid w:val="047B14FB"/>
    <w:rsid w:val="047F71D1"/>
    <w:rsid w:val="047F723D"/>
    <w:rsid w:val="04842AA6"/>
    <w:rsid w:val="04854128"/>
    <w:rsid w:val="048605CC"/>
    <w:rsid w:val="04891E6A"/>
    <w:rsid w:val="04893C18"/>
    <w:rsid w:val="048A44A4"/>
    <w:rsid w:val="048B5BE2"/>
    <w:rsid w:val="048B7990"/>
    <w:rsid w:val="048D6A34"/>
    <w:rsid w:val="048E56D2"/>
    <w:rsid w:val="0490144A"/>
    <w:rsid w:val="04921BD5"/>
    <w:rsid w:val="04926F71"/>
    <w:rsid w:val="049525BD"/>
    <w:rsid w:val="04967ABA"/>
    <w:rsid w:val="049820AD"/>
    <w:rsid w:val="04992949"/>
    <w:rsid w:val="049B5269"/>
    <w:rsid w:val="049E532B"/>
    <w:rsid w:val="049F343C"/>
    <w:rsid w:val="04A3117E"/>
    <w:rsid w:val="04A42800"/>
    <w:rsid w:val="04A70542"/>
    <w:rsid w:val="04A9250C"/>
    <w:rsid w:val="04A96068"/>
    <w:rsid w:val="04AD7905"/>
    <w:rsid w:val="04B14F1D"/>
    <w:rsid w:val="04B22060"/>
    <w:rsid w:val="04B30C95"/>
    <w:rsid w:val="04B35139"/>
    <w:rsid w:val="04B47551"/>
    <w:rsid w:val="04B50EB1"/>
    <w:rsid w:val="04B54A0D"/>
    <w:rsid w:val="04B70785"/>
    <w:rsid w:val="04B74C29"/>
    <w:rsid w:val="04B76C63"/>
    <w:rsid w:val="04B8274F"/>
    <w:rsid w:val="04B907F2"/>
    <w:rsid w:val="04BA33C3"/>
    <w:rsid w:val="04BC08B4"/>
    <w:rsid w:val="04BC223F"/>
    <w:rsid w:val="04BC5D9C"/>
    <w:rsid w:val="04BE5FB8"/>
    <w:rsid w:val="04BF588C"/>
    <w:rsid w:val="04C106C5"/>
    <w:rsid w:val="04C133B2"/>
    <w:rsid w:val="04C2712A"/>
    <w:rsid w:val="04C34475"/>
    <w:rsid w:val="04C410F4"/>
    <w:rsid w:val="04C609C8"/>
    <w:rsid w:val="04C82992"/>
    <w:rsid w:val="04C9495C"/>
    <w:rsid w:val="04C9670A"/>
    <w:rsid w:val="04CB3884"/>
    <w:rsid w:val="04CB5FDF"/>
    <w:rsid w:val="04CC1D57"/>
    <w:rsid w:val="04CD1839"/>
    <w:rsid w:val="04CD7FA9"/>
    <w:rsid w:val="04CE1F73"/>
    <w:rsid w:val="04D01847"/>
    <w:rsid w:val="04D035F5"/>
    <w:rsid w:val="04D12B77"/>
    <w:rsid w:val="04D1736D"/>
    <w:rsid w:val="04D2164A"/>
    <w:rsid w:val="04D72BD5"/>
    <w:rsid w:val="04DA4474"/>
    <w:rsid w:val="04DB26FC"/>
    <w:rsid w:val="04DE21B6"/>
    <w:rsid w:val="04DF1A8A"/>
    <w:rsid w:val="04DF7CDC"/>
    <w:rsid w:val="04E23328"/>
    <w:rsid w:val="04E60F50"/>
    <w:rsid w:val="04E672BC"/>
    <w:rsid w:val="04E716C3"/>
    <w:rsid w:val="04E84DE3"/>
    <w:rsid w:val="04E946B7"/>
    <w:rsid w:val="04EB042F"/>
    <w:rsid w:val="04EB48D3"/>
    <w:rsid w:val="04ED23F9"/>
    <w:rsid w:val="04EE7F1F"/>
    <w:rsid w:val="04F04BD3"/>
    <w:rsid w:val="04F30983"/>
    <w:rsid w:val="04F33787"/>
    <w:rsid w:val="04F35535"/>
    <w:rsid w:val="04F574FF"/>
    <w:rsid w:val="04F60A45"/>
    <w:rsid w:val="04F75026"/>
    <w:rsid w:val="04F76DD4"/>
    <w:rsid w:val="04F96FF0"/>
    <w:rsid w:val="04FA4B16"/>
    <w:rsid w:val="04FA68C4"/>
    <w:rsid w:val="04FC088E"/>
    <w:rsid w:val="04FC263C"/>
    <w:rsid w:val="04FD0162"/>
    <w:rsid w:val="04FD4606"/>
    <w:rsid w:val="04FF212C"/>
    <w:rsid w:val="05031C1C"/>
    <w:rsid w:val="05033049"/>
    <w:rsid w:val="050414F1"/>
    <w:rsid w:val="050444D9"/>
    <w:rsid w:val="05045994"/>
    <w:rsid w:val="05047743"/>
    <w:rsid w:val="05055969"/>
    <w:rsid w:val="0506170D"/>
    <w:rsid w:val="05065269"/>
    <w:rsid w:val="05085485"/>
    <w:rsid w:val="05087233"/>
    <w:rsid w:val="05092FAB"/>
    <w:rsid w:val="05094D59"/>
    <w:rsid w:val="050B0AD1"/>
    <w:rsid w:val="050E1577"/>
    <w:rsid w:val="05107E95"/>
    <w:rsid w:val="05143E2A"/>
    <w:rsid w:val="051554AC"/>
    <w:rsid w:val="05171224"/>
    <w:rsid w:val="05177476"/>
    <w:rsid w:val="05183DDF"/>
    <w:rsid w:val="05184F9C"/>
    <w:rsid w:val="051A6F66"/>
    <w:rsid w:val="051E0804"/>
    <w:rsid w:val="051F457C"/>
    <w:rsid w:val="0523406D"/>
    <w:rsid w:val="05237BC9"/>
    <w:rsid w:val="05241B93"/>
    <w:rsid w:val="052878D5"/>
    <w:rsid w:val="053022E6"/>
    <w:rsid w:val="05355B4E"/>
    <w:rsid w:val="05373674"/>
    <w:rsid w:val="053973EC"/>
    <w:rsid w:val="053A13B6"/>
    <w:rsid w:val="053A4F12"/>
    <w:rsid w:val="053E246F"/>
    <w:rsid w:val="053F077B"/>
    <w:rsid w:val="054017D2"/>
    <w:rsid w:val="054229B7"/>
    <w:rsid w:val="0543026B"/>
    <w:rsid w:val="05445D91"/>
    <w:rsid w:val="05446FFA"/>
    <w:rsid w:val="05453FE3"/>
    <w:rsid w:val="05485881"/>
    <w:rsid w:val="054B5371"/>
    <w:rsid w:val="054E2A1E"/>
    <w:rsid w:val="05502988"/>
    <w:rsid w:val="05504736"/>
    <w:rsid w:val="055204AE"/>
    <w:rsid w:val="05545FD4"/>
    <w:rsid w:val="05575AC4"/>
    <w:rsid w:val="055B3806"/>
    <w:rsid w:val="055C3295"/>
    <w:rsid w:val="055E50A5"/>
    <w:rsid w:val="05600E1D"/>
    <w:rsid w:val="05614B95"/>
    <w:rsid w:val="05616943"/>
    <w:rsid w:val="0563090D"/>
    <w:rsid w:val="05654685"/>
    <w:rsid w:val="05687CD1"/>
    <w:rsid w:val="056B1570"/>
    <w:rsid w:val="056D178C"/>
    <w:rsid w:val="056D353A"/>
    <w:rsid w:val="056D52E8"/>
    <w:rsid w:val="05700AD7"/>
    <w:rsid w:val="0571302A"/>
    <w:rsid w:val="057166D8"/>
    <w:rsid w:val="05726DA2"/>
    <w:rsid w:val="0575419C"/>
    <w:rsid w:val="057730B9"/>
    <w:rsid w:val="057747FA"/>
    <w:rsid w:val="05777F14"/>
    <w:rsid w:val="05790131"/>
    <w:rsid w:val="057A17B3"/>
    <w:rsid w:val="057B7A05"/>
    <w:rsid w:val="057E5747"/>
    <w:rsid w:val="05816D3C"/>
    <w:rsid w:val="0582190D"/>
    <w:rsid w:val="05834B0B"/>
    <w:rsid w:val="05860158"/>
    <w:rsid w:val="05880374"/>
    <w:rsid w:val="0588403E"/>
    <w:rsid w:val="0588577F"/>
    <w:rsid w:val="058A40EC"/>
    <w:rsid w:val="058C2EF3"/>
    <w:rsid w:val="058D598A"/>
    <w:rsid w:val="058D7738"/>
    <w:rsid w:val="058F1702"/>
    <w:rsid w:val="0591547A"/>
    <w:rsid w:val="05917228"/>
    <w:rsid w:val="05940AC6"/>
    <w:rsid w:val="05946D18"/>
    <w:rsid w:val="059B00A7"/>
    <w:rsid w:val="05A056BD"/>
    <w:rsid w:val="05A131E3"/>
    <w:rsid w:val="05A36F5B"/>
    <w:rsid w:val="05A50F26"/>
    <w:rsid w:val="05A54A82"/>
    <w:rsid w:val="05A625A8"/>
    <w:rsid w:val="05A86320"/>
    <w:rsid w:val="05AB5E10"/>
    <w:rsid w:val="05AB73D8"/>
    <w:rsid w:val="05AB7BBE"/>
    <w:rsid w:val="05AD7DDA"/>
    <w:rsid w:val="05AF76AE"/>
    <w:rsid w:val="05B11678"/>
    <w:rsid w:val="05B146DA"/>
    <w:rsid w:val="05B20F4D"/>
    <w:rsid w:val="05B2719F"/>
    <w:rsid w:val="05B60A3D"/>
    <w:rsid w:val="05B66C8F"/>
    <w:rsid w:val="05B80C59"/>
    <w:rsid w:val="05B9052D"/>
    <w:rsid w:val="05BB6053"/>
    <w:rsid w:val="05BD6F8F"/>
    <w:rsid w:val="05BE1FE7"/>
    <w:rsid w:val="05BE78F1"/>
    <w:rsid w:val="05BF6A7D"/>
    <w:rsid w:val="05C10C2D"/>
    <w:rsid w:val="05C23886"/>
    <w:rsid w:val="05C30230"/>
    <w:rsid w:val="05C3315A"/>
    <w:rsid w:val="05C649F8"/>
    <w:rsid w:val="05CA098C"/>
    <w:rsid w:val="05CD3FD8"/>
    <w:rsid w:val="05CF1AFF"/>
    <w:rsid w:val="05D15877"/>
    <w:rsid w:val="05D22509"/>
    <w:rsid w:val="05D37841"/>
    <w:rsid w:val="05D45367"/>
    <w:rsid w:val="05D47115"/>
    <w:rsid w:val="05D62E8D"/>
    <w:rsid w:val="05D76C05"/>
    <w:rsid w:val="05D7717B"/>
    <w:rsid w:val="05D830A9"/>
    <w:rsid w:val="05D90BCF"/>
    <w:rsid w:val="05D95027"/>
    <w:rsid w:val="05DC0DD7"/>
    <w:rsid w:val="05DC421B"/>
    <w:rsid w:val="05DD06BF"/>
    <w:rsid w:val="05DD2267"/>
    <w:rsid w:val="05DE61E6"/>
    <w:rsid w:val="05E05ABA"/>
    <w:rsid w:val="05E27A84"/>
    <w:rsid w:val="05E41A4E"/>
    <w:rsid w:val="05E46539"/>
    <w:rsid w:val="05E51322"/>
    <w:rsid w:val="05E57574"/>
    <w:rsid w:val="05E76E48"/>
    <w:rsid w:val="05E7762B"/>
    <w:rsid w:val="05EA2DDC"/>
    <w:rsid w:val="05EC445F"/>
    <w:rsid w:val="05EF21A1"/>
    <w:rsid w:val="05F11A75"/>
    <w:rsid w:val="05F15F19"/>
    <w:rsid w:val="05F257ED"/>
    <w:rsid w:val="05F31C91"/>
    <w:rsid w:val="05F61781"/>
    <w:rsid w:val="05F81055"/>
    <w:rsid w:val="05F9301F"/>
    <w:rsid w:val="05FB28F4"/>
    <w:rsid w:val="05FB57F0"/>
    <w:rsid w:val="05FD2B10"/>
    <w:rsid w:val="05FD48BE"/>
    <w:rsid w:val="05FD5DDE"/>
    <w:rsid w:val="05FE23E4"/>
    <w:rsid w:val="0600615C"/>
    <w:rsid w:val="06007F0A"/>
    <w:rsid w:val="06043E9E"/>
    <w:rsid w:val="06055520"/>
    <w:rsid w:val="06065761"/>
    <w:rsid w:val="06085010"/>
    <w:rsid w:val="060A0D89"/>
    <w:rsid w:val="060C2D53"/>
    <w:rsid w:val="060C68AF"/>
    <w:rsid w:val="061225E7"/>
    <w:rsid w:val="06127C3D"/>
    <w:rsid w:val="06135E8F"/>
    <w:rsid w:val="06141C07"/>
    <w:rsid w:val="06175254"/>
    <w:rsid w:val="0619721E"/>
    <w:rsid w:val="061A5470"/>
    <w:rsid w:val="061D0ABC"/>
    <w:rsid w:val="061E4045"/>
    <w:rsid w:val="061F2A86"/>
    <w:rsid w:val="0620235A"/>
    <w:rsid w:val="062067FE"/>
    <w:rsid w:val="06222576"/>
    <w:rsid w:val="06233BF8"/>
    <w:rsid w:val="06250A5D"/>
    <w:rsid w:val="06293905"/>
    <w:rsid w:val="062956B3"/>
    <w:rsid w:val="062A142B"/>
    <w:rsid w:val="062A343F"/>
    <w:rsid w:val="062A4F87"/>
    <w:rsid w:val="062B7846"/>
    <w:rsid w:val="062C0CFF"/>
    <w:rsid w:val="062D71EF"/>
    <w:rsid w:val="062F259D"/>
    <w:rsid w:val="062F6A41"/>
    <w:rsid w:val="06314567"/>
    <w:rsid w:val="0632278B"/>
    <w:rsid w:val="063302DF"/>
    <w:rsid w:val="063522A9"/>
    <w:rsid w:val="06383B48"/>
    <w:rsid w:val="0639341C"/>
    <w:rsid w:val="063B3638"/>
    <w:rsid w:val="063B7194"/>
    <w:rsid w:val="063D2F0C"/>
    <w:rsid w:val="063D4CBA"/>
    <w:rsid w:val="063E0A32"/>
    <w:rsid w:val="063F4ED6"/>
    <w:rsid w:val="06400C4E"/>
    <w:rsid w:val="064029FC"/>
    <w:rsid w:val="064047AA"/>
    <w:rsid w:val="064249C6"/>
    <w:rsid w:val="06440B61"/>
    <w:rsid w:val="064424ED"/>
    <w:rsid w:val="06451DC1"/>
    <w:rsid w:val="06466906"/>
    <w:rsid w:val="064918B1"/>
    <w:rsid w:val="064A5629"/>
    <w:rsid w:val="064C3C08"/>
    <w:rsid w:val="064E12C8"/>
    <w:rsid w:val="064E336B"/>
    <w:rsid w:val="064F3CCA"/>
    <w:rsid w:val="064F49ED"/>
    <w:rsid w:val="06500E91"/>
    <w:rsid w:val="06514C09"/>
    <w:rsid w:val="06563FCE"/>
    <w:rsid w:val="06581AF4"/>
    <w:rsid w:val="06585F98"/>
    <w:rsid w:val="06587EB5"/>
    <w:rsid w:val="065A3ABE"/>
    <w:rsid w:val="065A620C"/>
    <w:rsid w:val="065B7D0E"/>
    <w:rsid w:val="065D535C"/>
    <w:rsid w:val="065F10D4"/>
    <w:rsid w:val="0662770E"/>
    <w:rsid w:val="06640499"/>
    <w:rsid w:val="066606B5"/>
    <w:rsid w:val="0667442D"/>
    <w:rsid w:val="06677F89"/>
    <w:rsid w:val="06681CA0"/>
    <w:rsid w:val="06693D01"/>
    <w:rsid w:val="066F04FF"/>
    <w:rsid w:val="06710E08"/>
    <w:rsid w:val="06744454"/>
    <w:rsid w:val="067526A6"/>
    <w:rsid w:val="067601CC"/>
    <w:rsid w:val="06764670"/>
    <w:rsid w:val="0676641E"/>
    <w:rsid w:val="06775734"/>
    <w:rsid w:val="067A5F0E"/>
    <w:rsid w:val="067B1C86"/>
    <w:rsid w:val="067B57E2"/>
    <w:rsid w:val="067C15A6"/>
    <w:rsid w:val="067D155B"/>
    <w:rsid w:val="067D77AC"/>
    <w:rsid w:val="067F1777"/>
    <w:rsid w:val="06824DC3"/>
    <w:rsid w:val="06862B05"/>
    <w:rsid w:val="068648B3"/>
    <w:rsid w:val="0687062B"/>
    <w:rsid w:val="06874187"/>
    <w:rsid w:val="068943A3"/>
    <w:rsid w:val="06897EFF"/>
    <w:rsid w:val="068B1EC9"/>
    <w:rsid w:val="068C3E93"/>
    <w:rsid w:val="068C79F0"/>
    <w:rsid w:val="068E19BA"/>
    <w:rsid w:val="06905732"/>
    <w:rsid w:val="0692233C"/>
    <w:rsid w:val="069468A4"/>
    <w:rsid w:val="069479F2"/>
    <w:rsid w:val="06952D48"/>
    <w:rsid w:val="0696086E"/>
    <w:rsid w:val="0696261C"/>
    <w:rsid w:val="06976AC0"/>
    <w:rsid w:val="06982838"/>
    <w:rsid w:val="06986394"/>
    <w:rsid w:val="069A3EBB"/>
    <w:rsid w:val="069C687F"/>
    <w:rsid w:val="069D39AB"/>
    <w:rsid w:val="069F5975"/>
    <w:rsid w:val="069F7723"/>
    <w:rsid w:val="06A0349B"/>
    <w:rsid w:val="06A20FC1"/>
    <w:rsid w:val="06A50AB1"/>
    <w:rsid w:val="06A80874"/>
    <w:rsid w:val="06A905A2"/>
    <w:rsid w:val="06A92350"/>
    <w:rsid w:val="06A967F3"/>
    <w:rsid w:val="06AB431A"/>
    <w:rsid w:val="06AE5BB8"/>
    <w:rsid w:val="06AF5B76"/>
    <w:rsid w:val="06B331CE"/>
    <w:rsid w:val="06B55198"/>
    <w:rsid w:val="06B56F46"/>
    <w:rsid w:val="06B62CBE"/>
    <w:rsid w:val="06B64A6C"/>
    <w:rsid w:val="06B807E5"/>
    <w:rsid w:val="06B83EA4"/>
    <w:rsid w:val="06B86A37"/>
    <w:rsid w:val="06BB2083"/>
    <w:rsid w:val="06BB4B21"/>
    <w:rsid w:val="06BC6A39"/>
    <w:rsid w:val="06BD229F"/>
    <w:rsid w:val="06BF6017"/>
    <w:rsid w:val="06BF7DC5"/>
    <w:rsid w:val="06C06AFB"/>
    <w:rsid w:val="06C07699"/>
    <w:rsid w:val="06C13B3D"/>
    <w:rsid w:val="06C4362D"/>
    <w:rsid w:val="06C54CB0"/>
    <w:rsid w:val="06C74ECC"/>
    <w:rsid w:val="06C90C44"/>
    <w:rsid w:val="06C929F2"/>
    <w:rsid w:val="06CB676A"/>
    <w:rsid w:val="06CC4290"/>
    <w:rsid w:val="06CE0008"/>
    <w:rsid w:val="06D05B2E"/>
    <w:rsid w:val="06D25D4A"/>
    <w:rsid w:val="06D3561E"/>
    <w:rsid w:val="06D575E9"/>
    <w:rsid w:val="06D82C35"/>
    <w:rsid w:val="06DC2725"/>
    <w:rsid w:val="06DE46EF"/>
    <w:rsid w:val="06DF5D71"/>
    <w:rsid w:val="06E15F8D"/>
    <w:rsid w:val="06E31BE3"/>
    <w:rsid w:val="06E415DA"/>
    <w:rsid w:val="06E45A7E"/>
    <w:rsid w:val="06E67100"/>
    <w:rsid w:val="06E95DE7"/>
    <w:rsid w:val="06E96BF0"/>
    <w:rsid w:val="06EA0626"/>
    <w:rsid w:val="06EB0BBA"/>
    <w:rsid w:val="06EB0D44"/>
    <w:rsid w:val="06EB2968"/>
    <w:rsid w:val="06EC66E0"/>
    <w:rsid w:val="06EE2458"/>
    <w:rsid w:val="06F15AA5"/>
    <w:rsid w:val="06F35CC1"/>
    <w:rsid w:val="06F37A6F"/>
    <w:rsid w:val="06F537E7"/>
    <w:rsid w:val="06F53C79"/>
    <w:rsid w:val="06F55595"/>
    <w:rsid w:val="06F704E7"/>
    <w:rsid w:val="06F7755F"/>
    <w:rsid w:val="06F82C62"/>
    <w:rsid w:val="06F832D7"/>
    <w:rsid w:val="06FA2BAB"/>
    <w:rsid w:val="070103DE"/>
    <w:rsid w:val="070168AD"/>
    <w:rsid w:val="07035F04"/>
    <w:rsid w:val="07043A2A"/>
    <w:rsid w:val="07047ECE"/>
    <w:rsid w:val="0706115F"/>
    <w:rsid w:val="07072967"/>
    <w:rsid w:val="070B300A"/>
    <w:rsid w:val="070B4DB8"/>
    <w:rsid w:val="070B6D54"/>
    <w:rsid w:val="070C28DE"/>
    <w:rsid w:val="070D5B0C"/>
    <w:rsid w:val="07102341"/>
    <w:rsid w:val="07106873"/>
    <w:rsid w:val="07124399"/>
    <w:rsid w:val="07131EBF"/>
    <w:rsid w:val="07133C6D"/>
    <w:rsid w:val="07153E89"/>
    <w:rsid w:val="071579E5"/>
    <w:rsid w:val="071719AF"/>
    <w:rsid w:val="07195727"/>
    <w:rsid w:val="071B2025"/>
    <w:rsid w:val="0721282E"/>
    <w:rsid w:val="0721638A"/>
    <w:rsid w:val="07222102"/>
    <w:rsid w:val="07230354"/>
    <w:rsid w:val="072440CC"/>
    <w:rsid w:val="07245E7A"/>
    <w:rsid w:val="07287718"/>
    <w:rsid w:val="072B545A"/>
    <w:rsid w:val="072B6F49"/>
    <w:rsid w:val="072D11D3"/>
    <w:rsid w:val="072E6CF9"/>
    <w:rsid w:val="0730481F"/>
    <w:rsid w:val="073065CD"/>
    <w:rsid w:val="0733430F"/>
    <w:rsid w:val="07342561"/>
    <w:rsid w:val="07351E35"/>
    <w:rsid w:val="073562D9"/>
    <w:rsid w:val="073700BD"/>
    <w:rsid w:val="073A38EF"/>
    <w:rsid w:val="073A569E"/>
    <w:rsid w:val="073A744C"/>
    <w:rsid w:val="073C1416"/>
    <w:rsid w:val="073D3F2F"/>
    <w:rsid w:val="073E518E"/>
    <w:rsid w:val="073F2CB4"/>
    <w:rsid w:val="074402CA"/>
    <w:rsid w:val="0744651C"/>
    <w:rsid w:val="074526C1"/>
    <w:rsid w:val="07465DF0"/>
    <w:rsid w:val="0749768F"/>
    <w:rsid w:val="074A1D85"/>
    <w:rsid w:val="074A3B33"/>
    <w:rsid w:val="074D3623"/>
    <w:rsid w:val="074F408E"/>
    <w:rsid w:val="07500A1D"/>
    <w:rsid w:val="07504EC1"/>
    <w:rsid w:val="075229E7"/>
    <w:rsid w:val="07524795"/>
    <w:rsid w:val="0753050D"/>
    <w:rsid w:val="0754675F"/>
    <w:rsid w:val="07554285"/>
    <w:rsid w:val="07573902"/>
    <w:rsid w:val="07577FFE"/>
    <w:rsid w:val="07591FC8"/>
    <w:rsid w:val="07593D76"/>
    <w:rsid w:val="075A7AEE"/>
    <w:rsid w:val="075C3866"/>
    <w:rsid w:val="075E313A"/>
    <w:rsid w:val="075E3268"/>
    <w:rsid w:val="075F5104"/>
    <w:rsid w:val="07634BF4"/>
    <w:rsid w:val="07683FB9"/>
    <w:rsid w:val="07697D31"/>
    <w:rsid w:val="076B5857"/>
    <w:rsid w:val="076D7821"/>
    <w:rsid w:val="076F3599"/>
    <w:rsid w:val="07707311"/>
    <w:rsid w:val="07716B0D"/>
    <w:rsid w:val="07726BE5"/>
    <w:rsid w:val="07746E01"/>
    <w:rsid w:val="077566D6"/>
    <w:rsid w:val="077706A0"/>
    <w:rsid w:val="0777244E"/>
    <w:rsid w:val="077A1F3E"/>
    <w:rsid w:val="077C7A64"/>
    <w:rsid w:val="077E1111"/>
    <w:rsid w:val="078057A6"/>
    <w:rsid w:val="07807554"/>
    <w:rsid w:val="0781151E"/>
    <w:rsid w:val="078132CC"/>
    <w:rsid w:val="0781507A"/>
    <w:rsid w:val="07832BA1"/>
    <w:rsid w:val="078A2181"/>
    <w:rsid w:val="078C3715"/>
    <w:rsid w:val="078D7EC3"/>
    <w:rsid w:val="078E1545"/>
    <w:rsid w:val="07911761"/>
    <w:rsid w:val="07944DAE"/>
    <w:rsid w:val="07972AF0"/>
    <w:rsid w:val="0797489E"/>
    <w:rsid w:val="079B438E"/>
    <w:rsid w:val="079C0106"/>
    <w:rsid w:val="07A1396F"/>
    <w:rsid w:val="07A1571D"/>
    <w:rsid w:val="07A2707C"/>
    <w:rsid w:val="07A31495"/>
    <w:rsid w:val="07A4456D"/>
    <w:rsid w:val="07A80859"/>
    <w:rsid w:val="07AB20F7"/>
    <w:rsid w:val="07AD2313"/>
    <w:rsid w:val="07B05960"/>
    <w:rsid w:val="07B0770E"/>
    <w:rsid w:val="07B13BB2"/>
    <w:rsid w:val="07B40FAC"/>
    <w:rsid w:val="07B62F76"/>
    <w:rsid w:val="07B70A9C"/>
    <w:rsid w:val="07B92A66"/>
    <w:rsid w:val="07BA6793"/>
    <w:rsid w:val="07BB67DE"/>
    <w:rsid w:val="07BC60B3"/>
    <w:rsid w:val="07BD3C84"/>
    <w:rsid w:val="07C02047"/>
    <w:rsid w:val="07C17B6D"/>
    <w:rsid w:val="07C338E5"/>
    <w:rsid w:val="07C5765D"/>
    <w:rsid w:val="07C66F31"/>
    <w:rsid w:val="07C84A57"/>
    <w:rsid w:val="07CA6288"/>
    <w:rsid w:val="07CE6099"/>
    <w:rsid w:val="07CE6EBF"/>
    <w:rsid w:val="07CF228A"/>
    <w:rsid w:val="07CF503D"/>
    <w:rsid w:val="07CF5DE6"/>
    <w:rsid w:val="07D24A1A"/>
    <w:rsid w:val="07D4164E"/>
    <w:rsid w:val="07D63618"/>
    <w:rsid w:val="07D7113E"/>
    <w:rsid w:val="07D93108"/>
    <w:rsid w:val="07DD49A7"/>
    <w:rsid w:val="07DE427B"/>
    <w:rsid w:val="07E06245"/>
    <w:rsid w:val="07E07FF3"/>
    <w:rsid w:val="07E31891"/>
    <w:rsid w:val="07E3599F"/>
    <w:rsid w:val="07E37AE3"/>
    <w:rsid w:val="07E61381"/>
    <w:rsid w:val="07E850FA"/>
    <w:rsid w:val="07EA2C20"/>
    <w:rsid w:val="07EA70C4"/>
    <w:rsid w:val="07EC4BEA"/>
    <w:rsid w:val="07EC6998"/>
    <w:rsid w:val="07EE5683"/>
    <w:rsid w:val="07F10452"/>
    <w:rsid w:val="07F414F5"/>
    <w:rsid w:val="07F46D17"/>
    <w:rsid w:val="07F7358F"/>
    <w:rsid w:val="07F7533D"/>
    <w:rsid w:val="07F817E1"/>
    <w:rsid w:val="07F910B5"/>
    <w:rsid w:val="07F97307"/>
    <w:rsid w:val="07FB307F"/>
    <w:rsid w:val="07FB6BDB"/>
    <w:rsid w:val="07FC2953"/>
    <w:rsid w:val="07FD446B"/>
    <w:rsid w:val="07FE491D"/>
    <w:rsid w:val="08017F69"/>
    <w:rsid w:val="08031F33"/>
    <w:rsid w:val="08055CAB"/>
    <w:rsid w:val="08065580"/>
    <w:rsid w:val="080976BA"/>
    <w:rsid w:val="080A1514"/>
    <w:rsid w:val="080A5070"/>
    <w:rsid w:val="080B2B96"/>
    <w:rsid w:val="080D2DB2"/>
    <w:rsid w:val="081163FE"/>
    <w:rsid w:val="08123F24"/>
    <w:rsid w:val="08131059"/>
    <w:rsid w:val="08144141"/>
    <w:rsid w:val="08161C67"/>
    <w:rsid w:val="0817488F"/>
    <w:rsid w:val="08183C31"/>
    <w:rsid w:val="081845DE"/>
    <w:rsid w:val="08193505"/>
    <w:rsid w:val="081952B3"/>
    <w:rsid w:val="08202AE5"/>
    <w:rsid w:val="0822060B"/>
    <w:rsid w:val="082500FC"/>
    <w:rsid w:val="08251EAA"/>
    <w:rsid w:val="08275C22"/>
    <w:rsid w:val="0828199A"/>
    <w:rsid w:val="082A3964"/>
    <w:rsid w:val="082C3238"/>
    <w:rsid w:val="082D0D5E"/>
    <w:rsid w:val="082F0F7A"/>
    <w:rsid w:val="082F2D28"/>
    <w:rsid w:val="0831084F"/>
    <w:rsid w:val="08314CF2"/>
    <w:rsid w:val="083245C7"/>
    <w:rsid w:val="08357E18"/>
    <w:rsid w:val="083612A8"/>
    <w:rsid w:val="08387E2F"/>
    <w:rsid w:val="08397703"/>
    <w:rsid w:val="083C39D9"/>
    <w:rsid w:val="083D3697"/>
    <w:rsid w:val="083D5445"/>
    <w:rsid w:val="083D71F3"/>
    <w:rsid w:val="083E2F6B"/>
    <w:rsid w:val="08404F36"/>
    <w:rsid w:val="08406CE4"/>
    <w:rsid w:val="08444A26"/>
    <w:rsid w:val="084560A8"/>
    <w:rsid w:val="08470072"/>
    <w:rsid w:val="084762C4"/>
    <w:rsid w:val="0849203C"/>
    <w:rsid w:val="084A1910"/>
    <w:rsid w:val="084E7652"/>
    <w:rsid w:val="084F33CB"/>
    <w:rsid w:val="08502026"/>
    <w:rsid w:val="08512C9F"/>
    <w:rsid w:val="08517143"/>
    <w:rsid w:val="08534C69"/>
    <w:rsid w:val="08536A17"/>
    <w:rsid w:val="0854278F"/>
    <w:rsid w:val="08566507"/>
    <w:rsid w:val="0858227F"/>
    <w:rsid w:val="085B1D6F"/>
    <w:rsid w:val="085B58CB"/>
    <w:rsid w:val="085C2FC2"/>
    <w:rsid w:val="085D1644"/>
    <w:rsid w:val="085E7023"/>
    <w:rsid w:val="08624EAC"/>
    <w:rsid w:val="08626C5A"/>
    <w:rsid w:val="086329D2"/>
    <w:rsid w:val="08646E76"/>
    <w:rsid w:val="086504F8"/>
    <w:rsid w:val="08660CC0"/>
    <w:rsid w:val="08687FE8"/>
    <w:rsid w:val="0869623A"/>
    <w:rsid w:val="086A3D60"/>
    <w:rsid w:val="086C7AD9"/>
    <w:rsid w:val="086F75C9"/>
    <w:rsid w:val="087150EF"/>
    <w:rsid w:val="0874698D"/>
    <w:rsid w:val="08760957"/>
    <w:rsid w:val="08762705"/>
    <w:rsid w:val="08764FF9"/>
    <w:rsid w:val="087846CF"/>
    <w:rsid w:val="08793FA4"/>
    <w:rsid w:val="087B41C0"/>
    <w:rsid w:val="087B5F6E"/>
    <w:rsid w:val="087C0E6B"/>
    <w:rsid w:val="087C2D8F"/>
    <w:rsid w:val="087D1CE6"/>
    <w:rsid w:val="087D7F38"/>
    <w:rsid w:val="087E15BA"/>
    <w:rsid w:val="08803584"/>
    <w:rsid w:val="088210AA"/>
    <w:rsid w:val="08836BD0"/>
    <w:rsid w:val="088421CE"/>
    <w:rsid w:val="08844E22"/>
    <w:rsid w:val="08864AEE"/>
    <w:rsid w:val="08874912"/>
    <w:rsid w:val="088A1DA4"/>
    <w:rsid w:val="088C1F29"/>
    <w:rsid w:val="088F4710"/>
    <w:rsid w:val="08901A19"/>
    <w:rsid w:val="08907C6B"/>
    <w:rsid w:val="08935065"/>
    <w:rsid w:val="089B216C"/>
    <w:rsid w:val="089B5884"/>
    <w:rsid w:val="089D4136"/>
    <w:rsid w:val="089D5EE4"/>
    <w:rsid w:val="089D7C92"/>
    <w:rsid w:val="08A07782"/>
    <w:rsid w:val="08A13C26"/>
    <w:rsid w:val="08A454C4"/>
    <w:rsid w:val="08A52C48"/>
    <w:rsid w:val="08A54D99"/>
    <w:rsid w:val="08A70B11"/>
    <w:rsid w:val="08AA0601"/>
    <w:rsid w:val="08AA23AF"/>
    <w:rsid w:val="08AB6853"/>
    <w:rsid w:val="08AC4379"/>
    <w:rsid w:val="08AC7F4A"/>
    <w:rsid w:val="08AE00F1"/>
    <w:rsid w:val="08AE1E9F"/>
    <w:rsid w:val="08AE286A"/>
    <w:rsid w:val="08AF3CFA"/>
    <w:rsid w:val="08AF5C17"/>
    <w:rsid w:val="08B1198F"/>
    <w:rsid w:val="08B17BE1"/>
    <w:rsid w:val="08B33959"/>
    <w:rsid w:val="08B57B6C"/>
    <w:rsid w:val="08B60D54"/>
    <w:rsid w:val="08B651F8"/>
    <w:rsid w:val="08B80F70"/>
    <w:rsid w:val="08BA12DC"/>
    <w:rsid w:val="08BB45BC"/>
    <w:rsid w:val="08BB636A"/>
    <w:rsid w:val="08BD0334"/>
    <w:rsid w:val="08BD20E2"/>
    <w:rsid w:val="08BD778E"/>
    <w:rsid w:val="08C07850"/>
    <w:rsid w:val="08C20994"/>
    <w:rsid w:val="08C23B9D"/>
    <w:rsid w:val="08C2594B"/>
    <w:rsid w:val="08C461D1"/>
    <w:rsid w:val="08C4784C"/>
    <w:rsid w:val="08C571E9"/>
    <w:rsid w:val="08C77405"/>
    <w:rsid w:val="08C848A1"/>
    <w:rsid w:val="08C85FE2"/>
    <w:rsid w:val="08C94F2B"/>
    <w:rsid w:val="08CB2A51"/>
    <w:rsid w:val="08CC4A1B"/>
    <w:rsid w:val="08CD7283"/>
    <w:rsid w:val="08CE2541"/>
    <w:rsid w:val="08CF1E16"/>
    <w:rsid w:val="08D062B9"/>
    <w:rsid w:val="08D31906"/>
    <w:rsid w:val="08D31953"/>
    <w:rsid w:val="08D35DAA"/>
    <w:rsid w:val="08D6431D"/>
    <w:rsid w:val="08D77648"/>
    <w:rsid w:val="08D833C0"/>
    <w:rsid w:val="08DA03F7"/>
    <w:rsid w:val="08DA0EE6"/>
    <w:rsid w:val="08DA7138"/>
    <w:rsid w:val="08DB6A0C"/>
    <w:rsid w:val="08DF02AB"/>
    <w:rsid w:val="08DF474E"/>
    <w:rsid w:val="08DF64FD"/>
    <w:rsid w:val="08E104C7"/>
    <w:rsid w:val="08E25FED"/>
    <w:rsid w:val="08E41D65"/>
    <w:rsid w:val="08E91129"/>
    <w:rsid w:val="08EB6C4F"/>
    <w:rsid w:val="08EC29C7"/>
    <w:rsid w:val="08EC3C9C"/>
    <w:rsid w:val="08EE4992"/>
    <w:rsid w:val="08EE6740"/>
    <w:rsid w:val="08F0070A"/>
    <w:rsid w:val="08F301FA"/>
    <w:rsid w:val="08F31FA8"/>
    <w:rsid w:val="08F55D20"/>
    <w:rsid w:val="08FA3336"/>
    <w:rsid w:val="08FC3791"/>
    <w:rsid w:val="08FF094D"/>
    <w:rsid w:val="08FF26FB"/>
    <w:rsid w:val="09075A53"/>
    <w:rsid w:val="090B10A0"/>
    <w:rsid w:val="090B72F2"/>
    <w:rsid w:val="090D1B45"/>
    <w:rsid w:val="09102B5A"/>
    <w:rsid w:val="091066B6"/>
    <w:rsid w:val="091268D2"/>
    <w:rsid w:val="09130588"/>
    <w:rsid w:val="0913566E"/>
    <w:rsid w:val="09137F54"/>
    <w:rsid w:val="09153CCC"/>
    <w:rsid w:val="09167A44"/>
    <w:rsid w:val="09175C96"/>
    <w:rsid w:val="091A12E3"/>
    <w:rsid w:val="091A5787"/>
    <w:rsid w:val="091A7535"/>
    <w:rsid w:val="091B27E2"/>
    <w:rsid w:val="091B505B"/>
    <w:rsid w:val="091C32AD"/>
    <w:rsid w:val="091F4B4B"/>
    <w:rsid w:val="09216B15"/>
    <w:rsid w:val="092263E9"/>
    <w:rsid w:val="0926412B"/>
    <w:rsid w:val="09265ED9"/>
    <w:rsid w:val="09297778"/>
    <w:rsid w:val="092B34F0"/>
    <w:rsid w:val="09320D22"/>
    <w:rsid w:val="09322AD0"/>
    <w:rsid w:val="09330CF7"/>
    <w:rsid w:val="09334EA2"/>
    <w:rsid w:val="093478C1"/>
    <w:rsid w:val="09350D51"/>
    <w:rsid w:val="09385C0D"/>
    <w:rsid w:val="093920B1"/>
    <w:rsid w:val="093A3733"/>
    <w:rsid w:val="093A7BD7"/>
    <w:rsid w:val="093C74AB"/>
    <w:rsid w:val="093D20B4"/>
    <w:rsid w:val="093D3223"/>
    <w:rsid w:val="093E76C7"/>
    <w:rsid w:val="094075A5"/>
    <w:rsid w:val="09414AC1"/>
    <w:rsid w:val="09453417"/>
    <w:rsid w:val="0946657C"/>
    <w:rsid w:val="094822F4"/>
    <w:rsid w:val="09491BC8"/>
    <w:rsid w:val="0949606C"/>
    <w:rsid w:val="094B1DE4"/>
    <w:rsid w:val="094B46B8"/>
    <w:rsid w:val="094B5940"/>
    <w:rsid w:val="094D790A"/>
    <w:rsid w:val="095174B4"/>
    <w:rsid w:val="09523172"/>
    <w:rsid w:val="09532A47"/>
    <w:rsid w:val="0955033B"/>
    <w:rsid w:val="0955056D"/>
    <w:rsid w:val="0958005D"/>
    <w:rsid w:val="09581E0B"/>
    <w:rsid w:val="095962AF"/>
    <w:rsid w:val="095A2027"/>
    <w:rsid w:val="095A2D1D"/>
    <w:rsid w:val="095A3DD5"/>
    <w:rsid w:val="095C7B4D"/>
    <w:rsid w:val="09615163"/>
    <w:rsid w:val="09622C8A"/>
    <w:rsid w:val="09644C54"/>
    <w:rsid w:val="09646A02"/>
    <w:rsid w:val="0965433A"/>
    <w:rsid w:val="09664528"/>
    <w:rsid w:val="0969226A"/>
    <w:rsid w:val="096A10D1"/>
    <w:rsid w:val="096B4234"/>
    <w:rsid w:val="096B7D90"/>
    <w:rsid w:val="096D3B08"/>
    <w:rsid w:val="097053A7"/>
    <w:rsid w:val="097430E9"/>
    <w:rsid w:val="09772BD9"/>
    <w:rsid w:val="09776735"/>
    <w:rsid w:val="097906FF"/>
    <w:rsid w:val="097A6225"/>
    <w:rsid w:val="097C01EF"/>
    <w:rsid w:val="097C3D4B"/>
    <w:rsid w:val="097F1A8E"/>
    <w:rsid w:val="09815806"/>
    <w:rsid w:val="09827358"/>
    <w:rsid w:val="098307E8"/>
    <w:rsid w:val="0983157E"/>
    <w:rsid w:val="09855EF7"/>
    <w:rsid w:val="09866978"/>
    <w:rsid w:val="098826F0"/>
    <w:rsid w:val="09885D9B"/>
    <w:rsid w:val="09895486"/>
    <w:rsid w:val="09896468"/>
    <w:rsid w:val="098A290C"/>
    <w:rsid w:val="098B21E0"/>
    <w:rsid w:val="098B3F8E"/>
    <w:rsid w:val="098D41AA"/>
    <w:rsid w:val="098F195C"/>
    <w:rsid w:val="098F1CD1"/>
    <w:rsid w:val="09903C9B"/>
    <w:rsid w:val="09931095"/>
    <w:rsid w:val="09945539"/>
    <w:rsid w:val="0995305F"/>
    <w:rsid w:val="099557CE"/>
    <w:rsid w:val="0996182F"/>
    <w:rsid w:val="09966640"/>
    <w:rsid w:val="09972933"/>
    <w:rsid w:val="09976DD7"/>
    <w:rsid w:val="0998414F"/>
    <w:rsid w:val="099A0675"/>
    <w:rsid w:val="099E0166"/>
    <w:rsid w:val="099E7FC1"/>
    <w:rsid w:val="099F5C8C"/>
    <w:rsid w:val="09A6526C"/>
    <w:rsid w:val="09A80FE4"/>
    <w:rsid w:val="09A92667"/>
    <w:rsid w:val="09AA6B0A"/>
    <w:rsid w:val="09AB4631"/>
    <w:rsid w:val="09AB63DF"/>
    <w:rsid w:val="09AD2157"/>
    <w:rsid w:val="09AF2373"/>
    <w:rsid w:val="09B07E99"/>
    <w:rsid w:val="09B23C11"/>
    <w:rsid w:val="09B2776D"/>
    <w:rsid w:val="09B434E5"/>
    <w:rsid w:val="09B658FB"/>
    <w:rsid w:val="09B72FD5"/>
    <w:rsid w:val="09B74D83"/>
    <w:rsid w:val="09B84C5E"/>
    <w:rsid w:val="09B94F9F"/>
    <w:rsid w:val="09B96D4E"/>
    <w:rsid w:val="09BE4364"/>
    <w:rsid w:val="09BE6112"/>
    <w:rsid w:val="09BF1E8A"/>
    <w:rsid w:val="09C00789"/>
    <w:rsid w:val="09C0632E"/>
    <w:rsid w:val="09C474A0"/>
    <w:rsid w:val="09C83435"/>
    <w:rsid w:val="09C86F91"/>
    <w:rsid w:val="09CA0F5B"/>
    <w:rsid w:val="09CA2D09"/>
    <w:rsid w:val="09CC6A5A"/>
    <w:rsid w:val="09CD0A4B"/>
    <w:rsid w:val="09CE595E"/>
    <w:rsid w:val="09D04097"/>
    <w:rsid w:val="09D21BBD"/>
    <w:rsid w:val="09D242DF"/>
    <w:rsid w:val="09D36BFF"/>
    <w:rsid w:val="09D41DD9"/>
    <w:rsid w:val="09D43B87"/>
    <w:rsid w:val="09D45935"/>
    <w:rsid w:val="09D516AE"/>
    <w:rsid w:val="09D65B51"/>
    <w:rsid w:val="09D75426"/>
    <w:rsid w:val="09D9119E"/>
    <w:rsid w:val="09DA6CC4"/>
    <w:rsid w:val="09DB4F16"/>
    <w:rsid w:val="09DC47EA"/>
    <w:rsid w:val="09DE0562"/>
    <w:rsid w:val="09DE2882"/>
    <w:rsid w:val="09DF42DA"/>
    <w:rsid w:val="09DF68E3"/>
    <w:rsid w:val="09E0077E"/>
    <w:rsid w:val="09E13DD4"/>
    <w:rsid w:val="09E33DCA"/>
    <w:rsid w:val="09E35B78"/>
    <w:rsid w:val="09E518F1"/>
    <w:rsid w:val="09E65669"/>
    <w:rsid w:val="09E813E1"/>
    <w:rsid w:val="09E87633"/>
    <w:rsid w:val="09E97995"/>
    <w:rsid w:val="09EF09C1"/>
    <w:rsid w:val="09EF276F"/>
    <w:rsid w:val="09F064E7"/>
    <w:rsid w:val="09F24D59"/>
    <w:rsid w:val="09F935EE"/>
    <w:rsid w:val="09FB1114"/>
    <w:rsid w:val="09FC4E8C"/>
    <w:rsid w:val="09FD729B"/>
    <w:rsid w:val="09FE0C04"/>
    <w:rsid w:val="0A00497C"/>
    <w:rsid w:val="0A00672A"/>
    <w:rsid w:val="0A0501E5"/>
    <w:rsid w:val="0A051F93"/>
    <w:rsid w:val="0A067AB9"/>
    <w:rsid w:val="0A075D0B"/>
    <w:rsid w:val="0A0855DF"/>
    <w:rsid w:val="0A086F7F"/>
    <w:rsid w:val="0A0A57FB"/>
    <w:rsid w:val="0A0E3D07"/>
    <w:rsid w:val="0A0F2E11"/>
    <w:rsid w:val="0A106680"/>
    <w:rsid w:val="0A116B8A"/>
    <w:rsid w:val="0A122902"/>
    <w:rsid w:val="0A134092"/>
    <w:rsid w:val="0A1421D6"/>
    <w:rsid w:val="0A173A74"/>
    <w:rsid w:val="0A183EA3"/>
    <w:rsid w:val="0A186A74"/>
    <w:rsid w:val="0A187F18"/>
    <w:rsid w:val="0A1977EC"/>
    <w:rsid w:val="0A1A59F0"/>
    <w:rsid w:val="0A1B17B6"/>
    <w:rsid w:val="0A1C108A"/>
    <w:rsid w:val="0A1E3055"/>
    <w:rsid w:val="0A200B7B"/>
    <w:rsid w:val="0A20501F"/>
    <w:rsid w:val="0A232419"/>
    <w:rsid w:val="0A245017"/>
    <w:rsid w:val="0A256191"/>
    <w:rsid w:val="0A2979F9"/>
    <w:rsid w:val="0A2A19F9"/>
    <w:rsid w:val="0A2A37A7"/>
    <w:rsid w:val="0A2A62B8"/>
    <w:rsid w:val="0A2C39C3"/>
    <w:rsid w:val="0A2C751F"/>
    <w:rsid w:val="0A310FDA"/>
    <w:rsid w:val="0A314B36"/>
    <w:rsid w:val="0A342878"/>
    <w:rsid w:val="0A3463D4"/>
    <w:rsid w:val="0A36214C"/>
    <w:rsid w:val="0A365616"/>
    <w:rsid w:val="0A3665F0"/>
    <w:rsid w:val="0A391C3C"/>
    <w:rsid w:val="0A397E8E"/>
    <w:rsid w:val="0A3A36E4"/>
    <w:rsid w:val="0A3B3C06"/>
    <w:rsid w:val="0A3B59B5"/>
    <w:rsid w:val="0A3D172D"/>
    <w:rsid w:val="0A3D797F"/>
    <w:rsid w:val="0A3E36F7"/>
    <w:rsid w:val="0A4030AF"/>
    <w:rsid w:val="0A486323"/>
    <w:rsid w:val="0A4C1970"/>
    <w:rsid w:val="0A530095"/>
    <w:rsid w:val="0A540824"/>
    <w:rsid w:val="0A586566"/>
    <w:rsid w:val="0A590531"/>
    <w:rsid w:val="0A5922DF"/>
    <w:rsid w:val="0A595E3B"/>
    <w:rsid w:val="0A5B7E05"/>
    <w:rsid w:val="0A5C592B"/>
    <w:rsid w:val="0A5D1DCF"/>
    <w:rsid w:val="0A5D3B7D"/>
    <w:rsid w:val="0A5D3D18"/>
    <w:rsid w:val="0A5E16A3"/>
    <w:rsid w:val="0A5E5C25"/>
    <w:rsid w:val="0A60366D"/>
    <w:rsid w:val="0A60541B"/>
    <w:rsid w:val="0A621193"/>
    <w:rsid w:val="0A634F0B"/>
    <w:rsid w:val="0A64315D"/>
    <w:rsid w:val="0A6462CF"/>
    <w:rsid w:val="0A670558"/>
    <w:rsid w:val="0A6749FB"/>
    <w:rsid w:val="0A6A0048"/>
    <w:rsid w:val="0A6A629A"/>
    <w:rsid w:val="0A6C3DC0"/>
    <w:rsid w:val="0A6D7B38"/>
    <w:rsid w:val="0A6F565E"/>
    <w:rsid w:val="0A72691A"/>
    <w:rsid w:val="0A726EFC"/>
    <w:rsid w:val="0A764C3F"/>
    <w:rsid w:val="0A7B04A7"/>
    <w:rsid w:val="0A7B4003"/>
    <w:rsid w:val="0A7D60DB"/>
    <w:rsid w:val="0A7D7D7B"/>
    <w:rsid w:val="0A805ABD"/>
    <w:rsid w:val="0A8235E3"/>
    <w:rsid w:val="0A83110A"/>
    <w:rsid w:val="0A8455AD"/>
    <w:rsid w:val="0A876F85"/>
    <w:rsid w:val="0A8A2498"/>
    <w:rsid w:val="0A8A5906"/>
    <w:rsid w:val="0A8A693C"/>
    <w:rsid w:val="0A8D3D36"/>
    <w:rsid w:val="0A8E1F88"/>
    <w:rsid w:val="0A8E2D3C"/>
    <w:rsid w:val="0A8F6BA7"/>
    <w:rsid w:val="0A911A78"/>
    <w:rsid w:val="0A947E48"/>
    <w:rsid w:val="0A96708F"/>
    <w:rsid w:val="0A99092D"/>
    <w:rsid w:val="0A9926DB"/>
    <w:rsid w:val="0A9A6B7F"/>
    <w:rsid w:val="0A9D21CB"/>
    <w:rsid w:val="0A9F4195"/>
    <w:rsid w:val="0AA03A6A"/>
    <w:rsid w:val="0AA479FE"/>
    <w:rsid w:val="0AA90B70"/>
    <w:rsid w:val="0AA95014"/>
    <w:rsid w:val="0AAA48E8"/>
    <w:rsid w:val="0AAC240E"/>
    <w:rsid w:val="0AAE6186"/>
    <w:rsid w:val="0AB05EE0"/>
    <w:rsid w:val="0AB063A2"/>
    <w:rsid w:val="0AB10AB1"/>
    <w:rsid w:val="0AB13EC9"/>
    <w:rsid w:val="0AB37C41"/>
    <w:rsid w:val="0AB47515"/>
    <w:rsid w:val="0AB55CF1"/>
    <w:rsid w:val="0AB614DF"/>
    <w:rsid w:val="0AB85257"/>
    <w:rsid w:val="0AB87005"/>
    <w:rsid w:val="0ABD286D"/>
    <w:rsid w:val="0ABF65E6"/>
    <w:rsid w:val="0AC0410C"/>
    <w:rsid w:val="0AC260D6"/>
    <w:rsid w:val="0AC32EC6"/>
    <w:rsid w:val="0AC35E36"/>
    <w:rsid w:val="0AC37758"/>
    <w:rsid w:val="0AC45233"/>
    <w:rsid w:val="0AC51722"/>
    <w:rsid w:val="0AC534D0"/>
    <w:rsid w:val="0AC557E6"/>
    <w:rsid w:val="0AC77248"/>
    <w:rsid w:val="0ACA6D38"/>
    <w:rsid w:val="0ACB2AE8"/>
    <w:rsid w:val="0ACC3F78"/>
    <w:rsid w:val="0ACE05D7"/>
    <w:rsid w:val="0ACE6829"/>
    <w:rsid w:val="0ACF434F"/>
    <w:rsid w:val="0AD007F3"/>
    <w:rsid w:val="0AD100C7"/>
    <w:rsid w:val="0AD27DEA"/>
    <w:rsid w:val="0AD33E3F"/>
    <w:rsid w:val="0AD35BED"/>
    <w:rsid w:val="0AD6392F"/>
    <w:rsid w:val="0ADB2CF4"/>
    <w:rsid w:val="0ADD4CBE"/>
    <w:rsid w:val="0ADD6A6C"/>
    <w:rsid w:val="0ADF0A36"/>
    <w:rsid w:val="0ADF4592"/>
    <w:rsid w:val="0AE0655C"/>
    <w:rsid w:val="0AE55920"/>
    <w:rsid w:val="0AE71698"/>
    <w:rsid w:val="0AEA2F37"/>
    <w:rsid w:val="0AEC3153"/>
    <w:rsid w:val="0AEC6CAF"/>
    <w:rsid w:val="0AEE0C79"/>
    <w:rsid w:val="0AEE6ECB"/>
    <w:rsid w:val="0AF0679F"/>
    <w:rsid w:val="0AF10769"/>
    <w:rsid w:val="0AF142C5"/>
    <w:rsid w:val="0AF52007"/>
    <w:rsid w:val="0AF71DB6"/>
    <w:rsid w:val="0AF838A6"/>
    <w:rsid w:val="0AFB5144"/>
    <w:rsid w:val="0AFC2A7C"/>
    <w:rsid w:val="0AFD0EBC"/>
    <w:rsid w:val="0B024724"/>
    <w:rsid w:val="0B0264D2"/>
    <w:rsid w:val="0B064109"/>
    <w:rsid w:val="0B07016A"/>
    <w:rsid w:val="0B093D05"/>
    <w:rsid w:val="0B095AB3"/>
    <w:rsid w:val="0B0C10FF"/>
    <w:rsid w:val="0B0C55A3"/>
    <w:rsid w:val="0B0E131B"/>
    <w:rsid w:val="0B100BEF"/>
    <w:rsid w:val="0B1065FD"/>
    <w:rsid w:val="0B112BB9"/>
    <w:rsid w:val="0B116715"/>
    <w:rsid w:val="0B136931"/>
    <w:rsid w:val="0B161F7E"/>
    <w:rsid w:val="0B177C5F"/>
    <w:rsid w:val="0B187AA4"/>
    <w:rsid w:val="0B1A381C"/>
    <w:rsid w:val="0B1C57E6"/>
    <w:rsid w:val="0B1D50BA"/>
    <w:rsid w:val="0B1E3820"/>
    <w:rsid w:val="0B1E4F61"/>
    <w:rsid w:val="0B204BAA"/>
    <w:rsid w:val="0B2121A1"/>
    <w:rsid w:val="0B212DFC"/>
    <w:rsid w:val="0B224DC6"/>
    <w:rsid w:val="0B2428ED"/>
    <w:rsid w:val="0B250B22"/>
    <w:rsid w:val="0B297F03"/>
    <w:rsid w:val="0B2C354F"/>
    <w:rsid w:val="0B2D79F3"/>
    <w:rsid w:val="0B2E5519"/>
    <w:rsid w:val="0B350656"/>
    <w:rsid w:val="0B354AFA"/>
    <w:rsid w:val="0B36617C"/>
    <w:rsid w:val="0B381EF4"/>
    <w:rsid w:val="0B3C19E4"/>
    <w:rsid w:val="0B3F14D4"/>
    <w:rsid w:val="0B41349E"/>
    <w:rsid w:val="0B424B21"/>
    <w:rsid w:val="0B440899"/>
    <w:rsid w:val="0B446AEB"/>
    <w:rsid w:val="0B460AB5"/>
    <w:rsid w:val="0B462863"/>
    <w:rsid w:val="0B464611"/>
    <w:rsid w:val="0B470389"/>
    <w:rsid w:val="0B48482D"/>
    <w:rsid w:val="0B492353"/>
    <w:rsid w:val="0B494101"/>
    <w:rsid w:val="0B4B7E79"/>
    <w:rsid w:val="0B4C599F"/>
    <w:rsid w:val="0B4D1E43"/>
    <w:rsid w:val="0B4E7969"/>
    <w:rsid w:val="0B552AA6"/>
    <w:rsid w:val="0B5605CC"/>
    <w:rsid w:val="0B5739B0"/>
    <w:rsid w:val="0B5A00BC"/>
    <w:rsid w:val="0B5A630E"/>
    <w:rsid w:val="0B5D195B"/>
    <w:rsid w:val="0B5F1B77"/>
    <w:rsid w:val="0B5F3925"/>
    <w:rsid w:val="0B600112"/>
    <w:rsid w:val="0B61144B"/>
    <w:rsid w:val="0B6158EF"/>
    <w:rsid w:val="0B6251C3"/>
    <w:rsid w:val="0B64718D"/>
    <w:rsid w:val="0B666A61"/>
    <w:rsid w:val="0B680A2B"/>
    <w:rsid w:val="0B691F51"/>
    <w:rsid w:val="0B6947A3"/>
    <w:rsid w:val="0B695C55"/>
    <w:rsid w:val="0B696551"/>
    <w:rsid w:val="0B6B051B"/>
    <w:rsid w:val="0B6B22C9"/>
    <w:rsid w:val="0B6B4077"/>
    <w:rsid w:val="0B6D6042"/>
    <w:rsid w:val="0B6E5916"/>
    <w:rsid w:val="0B6F1C37"/>
    <w:rsid w:val="0B705B32"/>
    <w:rsid w:val="0B7078E0"/>
    <w:rsid w:val="0B7205B8"/>
    <w:rsid w:val="0B723658"/>
    <w:rsid w:val="0B725406"/>
    <w:rsid w:val="0B7373D0"/>
    <w:rsid w:val="0B756CA4"/>
    <w:rsid w:val="0B7849E6"/>
    <w:rsid w:val="0B792C38"/>
    <w:rsid w:val="0B7A42BB"/>
    <w:rsid w:val="0B7A69B0"/>
    <w:rsid w:val="0B7C0033"/>
    <w:rsid w:val="0B7C2DAB"/>
    <w:rsid w:val="0B7D3DAB"/>
    <w:rsid w:val="0B7E024F"/>
    <w:rsid w:val="0B7F7B23"/>
    <w:rsid w:val="0B811AED"/>
    <w:rsid w:val="0B81389B"/>
    <w:rsid w:val="0B815649"/>
    <w:rsid w:val="0B8213C1"/>
    <w:rsid w:val="0B832C7E"/>
    <w:rsid w:val="0B84410E"/>
    <w:rsid w:val="0B845139"/>
    <w:rsid w:val="0B8A7F80"/>
    <w:rsid w:val="0B8B28A0"/>
    <w:rsid w:val="0B8B471A"/>
    <w:rsid w:val="0B8D2240"/>
    <w:rsid w:val="0B8D66E4"/>
    <w:rsid w:val="0B8E7D66"/>
    <w:rsid w:val="0B925AA8"/>
    <w:rsid w:val="0B9335CE"/>
    <w:rsid w:val="0B93537C"/>
    <w:rsid w:val="0B9730BE"/>
    <w:rsid w:val="0B9744C6"/>
    <w:rsid w:val="0B974E6D"/>
    <w:rsid w:val="0B980BE5"/>
    <w:rsid w:val="0B995089"/>
    <w:rsid w:val="0B9A495D"/>
    <w:rsid w:val="0B9B77C4"/>
    <w:rsid w:val="0B9F6694"/>
    <w:rsid w:val="0BA17A99"/>
    <w:rsid w:val="0BA37CB5"/>
    <w:rsid w:val="0BA53A2D"/>
    <w:rsid w:val="0BA63302"/>
    <w:rsid w:val="0BA8707A"/>
    <w:rsid w:val="0BAD643E"/>
    <w:rsid w:val="0BAF665A"/>
    <w:rsid w:val="0BB03DE1"/>
    <w:rsid w:val="0BB145BB"/>
    <w:rsid w:val="0BB43C70"/>
    <w:rsid w:val="0BB53545"/>
    <w:rsid w:val="0BB7042D"/>
    <w:rsid w:val="0BB7550F"/>
    <w:rsid w:val="0BB772BD"/>
    <w:rsid w:val="0BB8476F"/>
    <w:rsid w:val="0BB84DE3"/>
    <w:rsid w:val="0BB93035"/>
    <w:rsid w:val="0BB974D9"/>
    <w:rsid w:val="0BBA0B5B"/>
    <w:rsid w:val="0BBA6DAD"/>
    <w:rsid w:val="0BBC48D3"/>
    <w:rsid w:val="0BBE572F"/>
    <w:rsid w:val="0BBF2615"/>
    <w:rsid w:val="0BC1013B"/>
    <w:rsid w:val="0BC33EB3"/>
    <w:rsid w:val="0BC65752"/>
    <w:rsid w:val="0BC83278"/>
    <w:rsid w:val="0BCB68A3"/>
    <w:rsid w:val="0BCB720C"/>
    <w:rsid w:val="0BCD4D32"/>
    <w:rsid w:val="0BCD6AE0"/>
    <w:rsid w:val="0BCE4606"/>
    <w:rsid w:val="0BCF2858"/>
    <w:rsid w:val="0BD065D0"/>
    <w:rsid w:val="0BD13BA5"/>
    <w:rsid w:val="0BD240F7"/>
    <w:rsid w:val="0BD25EA5"/>
    <w:rsid w:val="0BD31C1D"/>
    <w:rsid w:val="0BD47E6F"/>
    <w:rsid w:val="0BD51E39"/>
    <w:rsid w:val="0BD7795F"/>
    <w:rsid w:val="0BD87233"/>
    <w:rsid w:val="0BD95485"/>
    <w:rsid w:val="0BDA11FD"/>
    <w:rsid w:val="0BDA2FAB"/>
    <w:rsid w:val="0BDC4F75"/>
    <w:rsid w:val="0BDE2A9B"/>
    <w:rsid w:val="0BDE6F3F"/>
    <w:rsid w:val="0BDF05C2"/>
    <w:rsid w:val="0BE04A65"/>
    <w:rsid w:val="0BE34556"/>
    <w:rsid w:val="0BE43E2A"/>
    <w:rsid w:val="0BE45BD8"/>
    <w:rsid w:val="0BE61950"/>
    <w:rsid w:val="0BE67BA2"/>
    <w:rsid w:val="0BE84D82"/>
    <w:rsid w:val="0BEB6F66"/>
    <w:rsid w:val="0BED0F30"/>
    <w:rsid w:val="0BEF2EFA"/>
    <w:rsid w:val="0BEF455D"/>
    <w:rsid w:val="0BF027CF"/>
    <w:rsid w:val="0BF16C73"/>
    <w:rsid w:val="0BF202F5"/>
    <w:rsid w:val="0BF422BF"/>
    <w:rsid w:val="0BF57DE5"/>
    <w:rsid w:val="0BF91683"/>
    <w:rsid w:val="0BF978D5"/>
    <w:rsid w:val="0BFA53FB"/>
    <w:rsid w:val="0BFB4241"/>
    <w:rsid w:val="0BFC1173"/>
    <w:rsid w:val="0BFE313E"/>
    <w:rsid w:val="0C0000B3"/>
    <w:rsid w:val="0C032502"/>
    <w:rsid w:val="0C0369A6"/>
    <w:rsid w:val="0C0544CC"/>
    <w:rsid w:val="0C05627A"/>
    <w:rsid w:val="0C060244"/>
    <w:rsid w:val="0C083C74"/>
    <w:rsid w:val="0C087B18"/>
    <w:rsid w:val="0C0C51C6"/>
    <w:rsid w:val="0C0D15D3"/>
    <w:rsid w:val="0C0D7AE6"/>
    <w:rsid w:val="0C1110C3"/>
    <w:rsid w:val="0C1213BA"/>
    <w:rsid w:val="0C126BE9"/>
    <w:rsid w:val="0C1464BD"/>
    <w:rsid w:val="0C146529"/>
    <w:rsid w:val="0C152235"/>
    <w:rsid w:val="0C1558FA"/>
    <w:rsid w:val="0C175FAD"/>
    <w:rsid w:val="0C1A784C"/>
    <w:rsid w:val="0C1B5A9E"/>
    <w:rsid w:val="0C1E10EA"/>
    <w:rsid w:val="0C1E21AC"/>
    <w:rsid w:val="0C2030B4"/>
    <w:rsid w:val="0C216E2C"/>
    <w:rsid w:val="0C2506CA"/>
    <w:rsid w:val="0C251717"/>
    <w:rsid w:val="0C2A3F33"/>
    <w:rsid w:val="0C2A5CE1"/>
    <w:rsid w:val="0C2A7A8F"/>
    <w:rsid w:val="0C2B4087"/>
    <w:rsid w:val="0C2C7CAB"/>
    <w:rsid w:val="0C2D3A23"/>
    <w:rsid w:val="0C2D70D0"/>
    <w:rsid w:val="0C2D757F"/>
    <w:rsid w:val="0C300E1D"/>
    <w:rsid w:val="0C320371"/>
    <w:rsid w:val="0C321039"/>
    <w:rsid w:val="0C324B95"/>
    <w:rsid w:val="0C344DB1"/>
    <w:rsid w:val="0C360B29"/>
    <w:rsid w:val="0C3628D7"/>
    <w:rsid w:val="0C37664F"/>
    <w:rsid w:val="0C395F24"/>
    <w:rsid w:val="0C3B16D4"/>
    <w:rsid w:val="0C3B6140"/>
    <w:rsid w:val="0C3C2B64"/>
    <w:rsid w:val="0C3D1EB8"/>
    <w:rsid w:val="0C3E178C"/>
    <w:rsid w:val="0C403756"/>
    <w:rsid w:val="0C41127C"/>
    <w:rsid w:val="0C421E03"/>
    <w:rsid w:val="0C4274CE"/>
    <w:rsid w:val="0C430B50"/>
    <w:rsid w:val="0C443EC7"/>
    <w:rsid w:val="0C4548C9"/>
    <w:rsid w:val="0C472848"/>
    <w:rsid w:val="0C474AE5"/>
    <w:rsid w:val="0C48260B"/>
    <w:rsid w:val="0C4B5C57"/>
    <w:rsid w:val="0C4D5E73"/>
    <w:rsid w:val="0C4F5747"/>
    <w:rsid w:val="0C4F7899"/>
    <w:rsid w:val="0C5114BF"/>
    <w:rsid w:val="0C517711"/>
    <w:rsid w:val="0C525237"/>
    <w:rsid w:val="0C530DEB"/>
    <w:rsid w:val="0C540FAF"/>
    <w:rsid w:val="0C57284E"/>
    <w:rsid w:val="0C5B0590"/>
    <w:rsid w:val="0C5B233E"/>
    <w:rsid w:val="0C5E03CC"/>
    <w:rsid w:val="0C605BA6"/>
    <w:rsid w:val="0C626AF8"/>
    <w:rsid w:val="0C6311F3"/>
    <w:rsid w:val="0C662A91"/>
    <w:rsid w:val="0C6C00A7"/>
    <w:rsid w:val="0C6C0502"/>
    <w:rsid w:val="0C6C62F9"/>
    <w:rsid w:val="0C6D3E1F"/>
    <w:rsid w:val="0C7117A3"/>
    <w:rsid w:val="0C711B61"/>
    <w:rsid w:val="0C71390F"/>
    <w:rsid w:val="0C7156BE"/>
    <w:rsid w:val="0C727A18"/>
    <w:rsid w:val="0C732416"/>
    <w:rsid w:val="0C782EF0"/>
    <w:rsid w:val="0C790A16"/>
    <w:rsid w:val="0C796C68"/>
    <w:rsid w:val="0C7A3F96"/>
    <w:rsid w:val="0C7B02EA"/>
    <w:rsid w:val="0C7B29E0"/>
    <w:rsid w:val="0C7C4062"/>
    <w:rsid w:val="0C7D0506"/>
    <w:rsid w:val="0C7E7DDA"/>
    <w:rsid w:val="0C807FF6"/>
    <w:rsid w:val="0C8278CB"/>
    <w:rsid w:val="0C85560D"/>
    <w:rsid w:val="0C882A07"/>
    <w:rsid w:val="0C8E2713"/>
    <w:rsid w:val="0C8F023A"/>
    <w:rsid w:val="0C8F1FE8"/>
    <w:rsid w:val="0C913FB2"/>
    <w:rsid w:val="0C917B0E"/>
    <w:rsid w:val="0C940276"/>
    <w:rsid w:val="0C945850"/>
    <w:rsid w:val="0C96202E"/>
    <w:rsid w:val="0C963376"/>
    <w:rsid w:val="0C981A7D"/>
    <w:rsid w:val="0C9920F0"/>
    <w:rsid w:val="0C9B6BDE"/>
    <w:rsid w:val="0C9E047D"/>
    <w:rsid w:val="0CA05FA3"/>
    <w:rsid w:val="0CA35D73"/>
    <w:rsid w:val="0CA43CE5"/>
    <w:rsid w:val="0CA44632"/>
    <w:rsid w:val="0CA710DF"/>
    <w:rsid w:val="0CA75583"/>
    <w:rsid w:val="0CA77331"/>
    <w:rsid w:val="0CA82ECF"/>
    <w:rsid w:val="0CA85B84"/>
    <w:rsid w:val="0CAA1934"/>
    <w:rsid w:val="0CAA5073"/>
    <w:rsid w:val="0CAC0DEC"/>
    <w:rsid w:val="0CAC4948"/>
    <w:rsid w:val="0CAD06C0"/>
    <w:rsid w:val="0CAF268A"/>
    <w:rsid w:val="0CB32C96"/>
    <w:rsid w:val="0CB42E1D"/>
    <w:rsid w:val="0CB657C6"/>
    <w:rsid w:val="0CB90E13"/>
    <w:rsid w:val="0CB952B6"/>
    <w:rsid w:val="0CBB2DDD"/>
    <w:rsid w:val="0CBB4B8B"/>
    <w:rsid w:val="0CBD0903"/>
    <w:rsid w:val="0CBE28CD"/>
    <w:rsid w:val="0CBE467B"/>
    <w:rsid w:val="0CBF6295"/>
    <w:rsid w:val="0CC04897"/>
    <w:rsid w:val="0CC71781"/>
    <w:rsid w:val="0CC779D3"/>
    <w:rsid w:val="0CCE2B10"/>
    <w:rsid w:val="0CCF38FF"/>
    <w:rsid w:val="0CD10852"/>
    <w:rsid w:val="0CD143AE"/>
    <w:rsid w:val="0CD276AF"/>
    <w:rsid w:val="0CD81BE1"/>
    <w:rsid w:val="0CD93263"/>
    <w:rsid w:val="0CDA7707"/>
    <w:rsid w:val="0CDB347F"/>
    <w:rsid w:val="0CDD0FA5"/>
    <w:rsid w:val="0CDD2D53"/>
    <w:rsid w:val="0CDE6ACB"/>
    <w:rsid w:val="0CDF4D1D"/>
    <w:rsid w:val="0CE045F1"/>
    <w:rsid w:val="0CE2480D"/>
    <w:rsid w:val="0CE40585"/>
    <w:rsid w:val="0CE51C08"/>
    <w:rsid w:val="0CE73BD2"/>
    <w:rsid w:val="0CE9794A"/>
    <w:rsid w:val="0CEA36C2"/>
    <w:rsid w:val="0CEA5470"/>
    <w:rsid w:val="0CEC11E8"/>
    <w:rsid w:val="0CEC743A"/>
    <w:rsid w:val="0CEE6D0E"/>
    <w:rsid w:val="0CEF0CD8"/>
    <w:rsid w:val="0CF0035E"/>
    <w:rsid w:val="0CF06F2A"/>
    <w:rsid w:val="0CF415B9"/>
    <w:rsid w:val="0CF462EF"/>
    <w:rsid w:val="0CF53ED9"/>
    <w:rsid w:val="0CF62067"/>
    <w:rsid w:val="0CF63E15"/>
    <w:rsid w:val="0CF85DDF"/>
    <w:rsid w:val="0CF956B3"/>
    <w:rsid w:val="0CFA3905"/>
    <w:rsid w:val="0CFB7D4B"/>
    <w:rsid w:val="0CFD1647"/>
    <w:rsid w:val="0D004C93"/>
    <w:rsid w:val="0D026C5D"/>
    <w:rsid w:val="0D0429D6"/>
    <w:rsid w:val="0D076022"/>
    <w:rsid w:val="0D077DD0"/>
    <w:rsid w:val="0D097FEC"/>
    <w:rsid w:val="0D0E5602"/>
    <w:rsid w:val="0D103128"/>
    <w:rsid w:val="0D1349C7"/>
    <w:rsid w:val="0D156991"/>
    <w:rsid w:val="0D162709"/>
    <w:rsid w:val="0D181FDD"/>
    <w:rsid w:val="0D197B03"/>
    <w:rsid w:val="0D1A32D4"/>
    <w:rsid w:val="0D1C7D1F"/>
    <w:rsid w:val="0D1D3A97"/>
    <w:rsid w:val="0D1F15BD"/>
    <w:rsid w:val="0D200E92"/>
    <w:rsid w:val="0D240982"/>
    <w:rsid w:val="0D2758D8"/>
    <w:rsid w:val="0D2766C4"/>
    <w:rsid w:val="0D29243C"/>
    <w:rsid w:val="0D292DC9"/>
    <w:rsid w:val="0D295F98"/>
    <w:rsid w:val="0D2A3ABE"/>
    <w:rsid w:val="0D2E35AF"/>
    <w:rsid w:val="0D3037CB"/>
    <w:rsid w:val="0D3112F1"/>
    <w:rsid w:val="0D31309F"/>
    <w:rsid w:val="0D314E4D"/>
    <w:rsid w:val="0D346A4C"/>
    <w:rsid w:val="0D366907"/>
    <w:rsid w:val="0D377F28"/>
    <w:rsid w:val="0D38442D"/>
    <w:rsid w:val="0D3861DB"/>
    <w:rsid w:val="0D397CED"/>
    <w:rsid w:val="0D3D1A44"/>
    <w:rsid w:val="0D3D37F2"/>
    <w:rsid w:val="0D3F57BC"/>
    <w:rsid w:val="0D417786"/>
    <w:rsid w:val="0D42705A"/>
    <w:rsid w:val="0D441024"/>
    <w:rsid w:val="0D4508F8"/>
    <w:rsid w:val="0D464D9C"/>
    <w:rsid w:val="0D4728C2"/>
    <w:rsid w:val="0D4903E8"/>
    <w:rsid w:val="0D49663A"/>
    <w:rsid w:val="0D4A3843"/>
    <w:rsid w:val="0D4C1C87"/>
    <w:rsid w:val="0D4F4AE4"/>
    <w:rsid w:val="0D5154EF"/>
    <w:rsid w:val="0D523741"/>
    <w:rsid w:val="0D533465"/>
    <w:rsid w:val="0D5648B3"/>
    <w:rsid w:val="0D576FA9"/>
    <w:rsid w:val="0D584ACF"/>
    <w:rsid w:val="0D5A0848"/>
    <w:rsid w:val="0D5B011C"/>
    <w:rsid w:val="0D5D3E94"/>
    <w:rsid w:val="0D5D5C42"/>
    <w:rsid w:val="0D5F19BA"/>
    <w:rsid w:val="0D5F7C0C"/>
    <w:rsid w:val="0D605732"/>
    <w:rsid w:val="0D611BD6"/>
    <w:rsid w:val="0D645222"/>
    <w:rsid w:val="0D660F9A"/>
    <w:rsid w:val="0D662D48"/>
    <w:rsid w:val="0D676AC1"/>
    <w:rsid w:val="0D6826AC"/>
    <w:rsid w:val="0D6A16EC"/>
    <w:rsid w:val="0D6E2C3E"/>
    <w:rsid w:val="0D6E7E4F"/>
    <w:rsid w:val="0D703BC7"/>
    <w:rsid w:val="0D7336B7"/>
    <w:rsid w:val="0D7511DD"/>
    <w:rsid w:val="0D755681"/>
    <w:rsid w:val="0D75742F"/>
    <w:rsid w:val="0D766D04"/>
    <w:rsid w:val="0D782A7C"/>
    <w:rsid w:val="0D786F20"/>
    <w:rsid w:val="0D7A6610"/>
    <w:rsid w:val="0D7A67F4"/>
    <w:rsid w:val="0D7C6A10"/>
    <w:rsid w:val="0D7D62E4"/>
    <w:rsid w:val="0D7F02AE"/>
    <w:rsid w:val="0D7F3BC3"/>
    <w:rsid w:val="0D805053"/>
    <w:rsid w:val="0D8238FA"/>
    <w:rsid w:val="0D8256A8"/>
    <w:rsid w:val="0D837D9E"/>
    <w:rsid w:val="0D841421"/>
    <w:rsid w:val="0D8458C4"/>
    <w:rsid w:val="0D8838E1"/>
    <w:rsid w:val="0D896A37"/>
    <w:rsid w:val="0D8C6527"/>
    <w:rsid w:val="0D8D29CB"/>
    <w:rsid w:val="0D8E04F1"/>
    <w:rsid w:val="0D8E6743"/>
    <w:rsid w:val="0D906017"/>
    <w:rsid w:val="0D907DC5"/>
    <w:rsid w:val="0D913B3D"/>
    <w:rsid w:val="0D933D59"/>
    <w:rsid w:val="0D935B07"/>
    <w:rsid w:val="0D9378B6"/>
    <w:rsid w:val="0D951880"/>
    <w:rsid w:val="0D957AD2"/>
    <w:rsid w:val="0D991370"/>
    <w:rsid w:val="0D99476A"/>
    <w:rsid w:val="0D9A50E8"/>
    <w:rsid w:val="0D9D24E2"/>
    <w:rsid w:val="0DA11FD2"/>
    <w:rsid w:val="0DA33F9D"/>
    <w:rsid w:val="0DA41AC3"/>
    <w:rsid w:val="0DA43871"/>
    <w:rsid w:val="0DA4444E"/>
    <w:rsid w:val="0DA548D8"/>
    <w:rsid w:val="0DA90E87"/>
    <w:rsid w:val="0DA970D9"/>
    <w:rsid w:val="0DAA56EF"/>
    <w:rsid w:val="0DAD4E1B"/>
    <w:rsid w:val="0DAE2941"/>
    <w:rsid w:val="0DAE46EF"/>
    <w:rsid w:val="0DB00467"/>
    <w:rsid w:val="0DB26A52"/>
    <w:rsid w:val="0DB31D06"/>
    <w:rsid w:val="0DB37EE2"/>
    <w:rsid w:val="0DB55A7E"/>
    <w:rsid w:val="0DB717F6"/>
    <w:rsid w:val="0DB77A48"/>
    <w:rsid w:val="0DB8556E"/>
    <w:rsid w:val="0DBC0F94"/>
    <w:rsid w:val="0DBD4932"/>
    <w:rsid w:val="0DBE0DD6"/>
    <w:rsid w:val="0DBF68FD"/>
    <w:rsid w:val="0DC024E6"/>
    <w:rsid w:val="0DC161D1"/>
    <w:rsid w:val="0DC43F13"/>
    <w:rsid w:val="0DC45CC1"/>
    <w:rsid w:val="0DC62141"/>
    <w:rsid w:val="0DC67C8B"/>
    <w:rsid w:val="0DC80C78"/>
    <w:rsid w:val="0DC83A03"/>
    <w:rsid w:val="0DC9020F"/>
    <w:rsid w:val="0DC91529"/>
    <w:rsid w:val="0DC9777B"/>
    <w:rsid w:val="0DCB704F"/>
    <w:rsid w:val="0DCE08EE"/>
    <w:rsid w:val="0DCF4D92"/>
    <w:rsid w:val="0DD231BA"/>
    <w:rsid w:val="0DD26630"/>
    <w:rsid w:val="0DD57ECE"/>
    <w:rsid w:val="0DD75B9C"/>
    <w:rsid w:val="0DD95C10"/>
    <w:rsid w:val="0DDB70EE"/>
    <w:rsid w:val="0DDC300B"/>
    <w:rsid w:val="0DDC74AE"/>
    <w:rsid w:val="0DE545B5"/>
    <w:rsid w:val="0DE6032D"/>
    <w:rsid w:val="0DE620DB"/>
    <w:rsid w:val="0DE63E89"/>
    <w:rsid w:val="0DE819AF"/>
    <w:rsid w:val="0DEB54A2"/>
    <w:rsid w:val="0DEB5944"/>
    <w:rsid w:val="0DED16BC"/>
    <w:rsid w:val="0DED346A"/>
    <w:rsid w:val="0DED7DC2"/>
    <w:rsid w:val="0DEE0F90"/>
    <w:rsid w:val="0DEE2D3E"/>
    <w:rsid w:val="0DF06AB6"/>
    <w:rsid w:val="0DF465A6"/>
    <w:rsid w:val="0DF50570"/>
    <w:rsid w:val="0DF5231E"/>
    <w:rsid w:val="0DF540CC"/>
    <w:rsid w:val="0DF90060"/>
    <w:rsid w:val="0DFC6427"/>
    <w:rsid w:val="0E016AA0"/>
    <w:rsid w:val="0E056049"/>
    <w:rsid w:val="0E060087"/>
    <w:rsid w:val="0E0662D9"/>
    <w:rsid w:val="0E0802A4"/>
    <w:rsid w:val="0E083E00"/>
    <w:rsid w:val="0E097B78"/>
    <w:rsid w:val="0E0D7668"/>
    <w:rsid w:val="0E0F33E0"/>
    <w:rsid w:val="0E100F06"/>
    <w:rsid w:val="0E121122"/>
    <w:rsid w:val="0E15476E"/>
    <w:rsid w:val="0E15651D"/>
    <w:rsid w:val="0E1A1D85"/>
    <w:rsid w:val="0E1B7FD7"/>
    <w:rsid w:val="0E1C3D4F"/>
    <w:rsid w:val="0E2055ED"/>
    <w:rsid w:val="0E211365"/>
    <w:rsid w:val="0E214EC1"/>
    <w:rsid w:val="0E2350DD"/>
    <w:rsid w:val="0E26072A"/>
    <w:rsid w:val="0E2624D8"/>
    <w:rsid w:val="0E286250"/>
    <w:rsid w:val="0E2B3EC3"/>
    <w:rsid w:val="0E2F75DE"/>
    <w:rsid w:val="0E3015A8"/>
    <w:rsid w:val="0E305316"/>
    <w:rsid w:val="0E3177FA"/>
    <w:rsid w:val="0E325320"/>
    <w:rsid w:val="0E3270CE"/>
    <w:rsid w:val="0E3310C6"/>
    <w:rsid w:val="0E341099"/>
    <w:rsid w:val="0E344BF5"/>
    <w:rsid w:val="0E370B89"/>
    <w:rsid w:val="0E39045D"/>
    <w:rsid w:val="0E39220B"/>
    <w:rsid w:val="0E3966AF"/>
    <w:rsid w:val="0E3A41D5"/>
    <w:rsid w:val="0E3B2427"/>
    <w:rsid w:val="0E3C619F"/>
    <w:rsid w:val="0E3F3599"/>
    <w:rsid w:val="0E455054"/>
    <w:rsid w:val="0E456E02"/>
    <w:rsid w:val="0E4709CC"/>
    <w:rsid w:val="0E4806A0"/>
    <w:rsid w:val="0E4868F2"/>
    <w:rsid w:val="0E4A08BC"/>
    <w:rsid w:val="0E4A266A"/>
    <w:rsid w:val="0E4B0190"/>
    <w:rsid w:val="0E4B63E2"/>
    <w:rsid w:val="0E4D1C6D"/>
    <w:rsid w:val="0E4D215A"/>
    <w:rsid w:val="0E4D3F08"/>
    <w:rsid w:val="0E4D5CB6"/>
    <w:rsid w:val="0E4F5ED2"/>
    <w:rsid w:val="0E544711"/>
    <w:rsid w:val="0E573697"/>
    <w:rsid w:val="0E583092"/>
    <w:rsid w:val="0E5928AD"/>
    <w:rsid w:val="0E59465B"/>
    <w:rsid w:val="0E5A03D3"/>
    <w:rsid w:val="0E5A4301"/>
    <w:rsid w:val="0E5B4877"/>
    <w:rsid w:val="0E5C239D"/>
    <w:rsid w:val="0E5E1C72"/>
    <w:rsid w:val="0E6059EA"/>
    <w:rsid w:val="0E611762"/>
    <w:rsid w:val="0E625C06"/>
    <w:rsid w:val="0E6301A5"/>
    <w:rsid w:val="0E63197E"/>
    <w:rsid w:val="0E6574A4"/>
    <w:rsid w:val="0E666D78"/>
    <w:rsid w:val="0E680D42"/>
    <w:rsid w:val="0E686875"/>
    <w:rsid w:val="0E686F94"/>
    <w:rsid w:val="0E6A54A7"/>
    <w:rsid w:val="0E6D45AA"/>
    <w:rsid w:val="0E6F20D1"/>
    <w:rsid w:val="0E707BF7"/>
    <w:rsid w:val="0E741495"/>
    <w:rsid w:val="0E7476E7"/>
    <w:rsid w:val="0E76345F"/>
    <w:rsid w:val="0E78305D"/>
    <w:rsid w:val="0E794A78"/>
    <w:rsid w:val="0E794CFD"/>
    <w:rsid w:val="0E7B0A75"/>
    <w:rsid w:val="0E7C47EE"/>
    <w:rsid w:val="0E835B7C"/>
    <w:rsid w:val="0E8536A2"/>
    <w:rsid w:val="0E855450"/>
    <w:rsid w:val="0E8611C8"/>
    <w:rsid w:val="0E862E2C"/>
    <w:rsid w:val="0E884F40"/>
    <w:rsid w:val="0E8A2A67"/>
    <w:rsid w:val="0E8D2557"/>
    <w:rsid w:val="0E8D69FB"/>
    <w:rsid w:val="0E8F43C2"/>
    <w:rsid w:val="0E8F4521"/>
    <w:rsid w:val="0E910299"/>
    <w:rsid w:val="0E924011"/>
    <w:rsid w:val="0E927B6D"/>
    <w:rsid w:val="0E9438E5"/>
    <w:rsid w:val="0E963B01"/>
    <w:rsid w:val="0E96765D"/>
    <w:rsid w:val="0E981627"/>
    <w:rsid w:val="0E9B1118"/>
    <w:rsid w:val="0E9B4C74"/>
    <w:rsid w:val="0E9D4E90"/>
    <w:rsid w:val="0E9E6512"/>
    <w:rsid w:val="0EA004DC"/>
    <w:rsid w:val="0EA0228A"/>
    <w:rsid w:val="0EA24254"/>
    <w:rsid w:val="0EA33B28"/>
    <w:rsid w:val="0EA53D44"/>
    <w:rsid w:val="0EA63619"/>
    <w:rsid w:val="0EA65B99"/>
    <w:rsid w:val="0EA72878"/>
    <w:rsid w:val="0EA855E3"/>
    <w:rsid w:val="0EA868D9"/>
    <w:rsid w:val="0EAC6E81"/>
    <w:rsid w:val="0EB421D9"/>
    <w:rsid w:val="0EB45D35"/>
    <w:rsid w:val="0EB57A4D"/>
    <w:rsid w:val="0EB61AAE"/>
    <w:rsid w:val="0EB6385C"/>
    <w:rsid w:val="0EB67D00"/>
    <w:rsid w:val="0EB96D0F"/>
    <w:rsid w:val="0EBB70C4"/>
    <w:rsid w:val="0EBE0962"/>
    <w:rsid w:val="0EC341CA"/>
    <w:rsid w:val="0EC35F79"/>
    <w:rsid w:val="0EC51CF1"/>
    <w:rsid w:val="0EC73CBB"/>
    <w:rsid w:val="0EC817E1"/>
    <w:rsid w:val="0EC8358F"/>
    <w:rsid w:val="0ECA7307"/>
    <w:rsid w:val="0ECB1C73"/>
    <w:rsid w:val="0ECC7523"/>
    <w:rsid w:val="0ECE5049"/>
    <w:rsid w:val="0ECE5567"/>
    <w:rsid w:val="0ED21969"/>
    <w:rsid w:val="0ED62150"/>
    <w:rsid w:val="0ED71A24"/>
    <w:rsid w:val="0ED91C40"/>
    <w:rsid w:val="0ED939EE"/>
    <w:rsid w:val="0EDB32C2"/>
    <w:rsid w:val="0EDC2BF8"/>
    <w:rsid w:val="0EDC703A"/>
    <w:rsid w:val="0EE06B2A"/>
    <w:rsid w:val="0EE26D46"/>
    <w:rsid w:val="0EE3661B"/>
    <w:rsid w:val="0EE7610B"/>
    <w:rsid w:val="0EE83C31"/>
    <w:rsid w:val="0EE859DF"/>
    <w:rsid w:val="0EEA5BFB"/>
    <w:rsid w:val="0EEC54CF"/>
    <w:rsid w:val="0EEE7499"/>
    <w:rsid w:val="0EEF4FBF"/>
    <w:rsid w:val="0EF10D38"/>
    <w:rsid w:val="0EF279EF"/>
    <w:rsid w:val="0EF56A7A"/>
    <w:rsid w:val="0EF6634E"/>
    <w:rsid w:val="0EF83861"/>
    <w:rsid w:val="0EF83E74"/>
    <w:rsid w:val="0EF97BEC"/>
    <w:rsid w:val="0EFB1BB6"/>
    <w:rsid w:val="0EFB3964"/>
    <w:rsid w:val="0EFB5712"/>
    <w:rsid w:val="0EFD148A"/>
    <w:rsid w:val="0EFE5203"/>
    <w:rsid w:val="0EFE7398"/>
    <w:rsid w:val="0EFF16A6"/>
    <w:rsid w:val="0EFF5A98"/>
    <w:rsid w:val="0EFF7422"/>
    <w:rsid w:val="0F001FF3"/>
    <w:rsid w:val="0F022F45"/>
    <w:rsid w:val="0F024CF3"/>
    <w:rsid w:val="0F026AA1"/>
    <w:rsid w:val="0F087E2F"/>
    <w:rsid w:val="0F0A004B"/>
    <w:rsid w:val="0F0A1DF9"/>
    <w:rsid w:val="0F0A3BA7"/>
    <w:rsid w:val="0F0C4BF1"/>
    <w:rsid w:val="0F0C5B71"/>
    <w:rsid w:val="0F0D5446"/>
    <w:rsid w:val="0F0E3698"/>
    <w:rsid w:val="0F1113DA"/>
    <w:rsid w:val="0F135152"/>
    <w:rsid w:val="0F152C78"/>
    <w:rsid w:val="0F16254C"/>
    <w:rsid w:val="0F19203C"/>
    <w:rsid w:val="0F1A64E0"/>
    <w:rsid w:val="0F1D1B2D"/>
    <w:rsid w:val="0F1D7D7F"/>
    <w:rsid w:val="0F2033CB"/>
    <w:rsid w:val="0F212A6D"/>
    <w:rsid w:val="0F227143"/>
    <w:rsid w:val="0F242EBB"/>
    <w:rsid w:val="0F25287E"/>
    <w:rsid w:val="0F264E85"/>
    <w:rsid w:val="0F2729AB"/>
    <w:rsid w:val="0F2904D1"/>
    <w:rsid w:val="0F29227F"/>
    <w:rsid w:val="0F296723"/>
    <w:rsid w:val="0F297ABE"/>
    <w:rsid w:val="0F2A5FF8"/>
    <w:rsid w:val="0F2B249C"/>
    <w:rsid w:val="0F2E5AE8"/>
    <w:rsid w:val="0F2E7896"/>
    <w:rsid w:val="0F3155D8"/>
    <w:rsid w:val="0F334EAC"/>
    <w:rsid w:val="0F3375A2"/>
    <w:rsid w:val="0F346E76"/>
    <w:rsid w:val="0F3550C8"/>
    <w:rsid w:val="0F362BEE"/>
    <w:rsid w:val="0F386966"/>
    <w:rsid w:val="0F3C7675"/>
    <w:rsid w:val="0F3D73C4"/>
    <w:rsid w:val="0F403A6D"/>
    <w:rsid w:val="0F40581B"/>
    <w:rsid w:val="0F423341"/>
    <w:rsid w:val="0F424977"/>
    <w:rsid w:val="0F4277E5"/>
    <w:rsid w:val="0F461BB7"/>
    <w:rsid w:val="0F4672D5"/>
    <w:rsid w:val="0F470958"/>
    <w:rsid w:val="0F492922"/>
    <w:rsid w:val="0F4B669A"/>
    <w:rsid w:val="0F4E1CE6"/>
    <w:rsid w:val="0F4F43AA"/>
    <w:rsid w:val="0F4F5A5E"/>
    <w:rsid w:val="0F501F02"/>
    <w:rsid w:val="0F515C7A"/>
    <w:rsid w:val="0F5337A0"/>
    <w:rsid w:val="0F5358FC"/>
    <w:rsid w:val="0F543075"/>
    <w:rsid w:val="0F54564B"/>
    <w:rsid w:val="0F5512C6"/>
    <w:rsid w:val="0F566DED"/>
    <w:rsid w:val="0F582B65"/>
    <w:rsid w:val="0F583FCC"/>
    <w:rsid w:val="0F590F2E"/>
    <w:rsid w:val="0F5A1B1C"/>
    <w:rsid w:val="0F5B32D6"/>
    <w:rsid w:val="0F5B408E"/>
    <w:rsid w:val="0F5C08A7"/>
    <w:rsid w:val="0F5D017B"/>
    <w:rsid w:val="0F5D461F"/>
    <w:rsid w:val="0F5D63CD"/>
    <w:rsid w:val="0F5F0397"/>
    <w:rsid w:val="0F646881"/>
    <w:rsid w:val="0F661726"/>
    <w:rsid w:val="0F670FFA"/>
    <w:rsid w:val="0F672DA8"/>
    <w:rsid w:val="0F6B0AEA"/>
    <w:rsid w:val="0F6B6D3C"/>
    <w:rsid w:val="0F6C6610"/>
    <w:rsid w:val="0F6E4136"/>
    <w:rsid w:val="0F713C26"/>
    <w:rsid w:val="0F722315"/>
    <w:rsid w:val="0F73799F"/>
    <w:rsid w:val="0F7554C5"/>
    <w:rsid w:val="0F76123D"/>
    <w:rsid w:val="0F76748F"/>
    <w:rsid w:val="0F7A0AA7"/>
    <w:rsid w:val="0F7A0D2D"/>
    <w:rsid w:val="0F7B6853"/>
    <w:rsid w:val="0F7D66E8"/>
    <w:rsid w:val="0F7D6A6F"/>
    <w:rsid w:val="0F7E323B"/>
    <w:rsid w:val="0F7F1D48"/>
    <w:rsid w:val="0F81030D"/>
    <w:rsid w:val="0F815324"/>
    <w:rsid w:val="0F824086"/>
    <w:rsid w:val="0F827BE2"/>
    <w:rsid w:val="0F8306C9"/>
    <w:rsid w:val="0F84472A"/>
    <w:rsid w:val="0F847DFE"/>
    <w:rsid w:val="0F865924"/>
    <w:rsid w:val="0F8676D2"/>
    <w:rsid w:val="0F8830AB"/>
    <w:rsid w:val="0F890F70"/>
    <w:rsid w:val="0F8B2F3A"/>
    <w:rsid w:val="0F8B4CE8"/>
    <w:rsid w:val="0F8C0A60"/>
    <w:rsid w:val="0F8C280E"/>
    <w:rsid w:val="0F8C6CB2"/>
    <w:rsid w:val="0F8E2A2A"/>
    <w:rsid w:val="0F900551"/>
    <w:rsid w:val="0F9242C9"/>
    <w:rsid w:val="0F933B9D"/>
    <w:rsid w:val="0F96368D"/>
    <w:rsid w:val="0F9718DF"/>
    <w:rsid w:val="0F985657"/>
    <w:rsid w:val="0F9A317D"/>
    <w:rsid w:val="0F9B1521"/>
    <w:rsid w:val="0FA027C1"/>
    <w:rsid w:val="0FA062BA"/>
    <w:rsid w:val="0FA551A3"/>
    <w:rsid w:val="0FA61B22"/>
    <w:rsid w:val="0FA67D74"/>
    <w:rsid w:val="0FA91612"/>
    <w:rsid w:val="0FA933C0"/>
    <w:rsid w:val="0FAB0EE6"/>
    <w:rsid w:val="0FAC2EB1"/>
    <w:rsid w:val="0FAF6255"/>
    <w:rsid w:val="0FB029A1"/>
    <w:rsid w:val="0FB0474F"/>
    <w:rsid w:val="0FB04F4B"/>
    <w:rsid w:val="0FB104C7"/>
    <w:rsid w:val="0FB12275"/>
    <w:rsid w:val="0FB32491"/>
    <w:rsid w:val="0FB41BF6"/>
    <w:rsid w:val="0FB57FB7"/>
    <w:rsid w:val="0FB75ADD"/>
    <w:rsid w:val="0FB87AA7"/>
    <w:rsid w:val="0FBD0C1A"/>
    <w:rsid w:val="0FBD50BE"/>
    <w:rsid w:val="0FBD6E6C"/>
    <w:rsid w:val="0FC11AFA"/>
    <w:rsid w:val="0FC14BAE"/>
    <w:rsid w:val="0FC1695C"/>
    <w:rsid w:val="0FC401FA"/>
    <w:rsid w:val="0FC621C4"/>
    <w:rsid w:val="0FC65D20"/>
    <w:rsid w:val="0FC95811"/>
    <w:rsid w:val="0FCA42ED"/>
    <w:rsid w:val="0FCB77DB"/>
    <w:rsid w:val="0FCD5301"/>
    <w:rsid w:val="0FCE2E27"/>
    <w:rsid w:val="0FCE5F07"/>
    <w:rsid w:val="0FCE72CB"/>
    <w:rsid w:val="0FD06B9F"/>
    <w:rsid w:val="0FD3043D"/>
    <w:rsid w:val="0FD45C91"/>
    <w:rsid w:val="0FD50659"/>
    <w:rsid w:val="0FD51400"/>
    <w:rsid w:val="0FD52407"/>
    <w:rsid w:val="0FD85A54"/>
    <w:rsid w:val="0FD91EF8"/>
    <w:rsid w:val="0FD92952"/>
    <w:rsid w:val="0FDC5544"/>
    <w:rsid w:val="0FE20680"/>
    <w:rsid w:val="0FE32D76"/>
    <w:rsid w:val="0FE4089C"/>
    <w:rsid w:val="0FE44E94"/>
    <w:rsid w:val="0FE465D5"/>
    <w:rsid w:val="0FE60171"/>
    <w:rsid w:val="0FE74F56"/>
    <w:rsid w:val="0FE8038D"/>
    <w:rsid w:val="0FE95EB3"/>
    <w:rsid w:val="0FE97C61"/>
    <w:rsid w:val="0FEB1C2B"/>
    <w:rsid w:val="0FEB39D9"/>
    <w:rsid w:val="0FEB5787"/>
    <w:rsid w:val="0FED0DC8"/>
    <w:rsid w:val="0FEF171B"/>
    <w:rsid w:val="0FF02D9D"/>
    <w:rsid w:val="0FF10BD9"/>
    <w:rsid w:val="0FF26B15"/>
    <w:rsid w:val="0FF3288D"/>
    <w:rsid w:val="0FF57658"/>
    <w:rsid w:val="0FF705D0"/>
    <w:rsid w:val="0FF7237E"/>
    <w:rsid w:val="0FF74A4B"/>
    <w:rsid w:val="0FFA1E6E"/>
    <w:rsid w:val="0FFC5BE6"/>
    <w:rsid w:val="0FFC7994"/>
    <w:rsid w:val="0FFF516E"/>
    <w:rsid w:val="0FFF56D6"/>
    <w:rsid w:val="10034786"/>
    <w:rsid w:val="10042CED"/>
    <w:rsid w:val="10060813"/>
    <w:rsid w:val="100920B1"/>
    <w:rsid w:val="100B5E29"/>
    <w:rsid w:val="100D394F"/>
    <w:rsid w:val="100E1475"/>
    <w:rsid w:val="100E76C7"/>
    <w:rsid w:val="100F5919"/>
    <w:rsid w:val="10120F66"/>
    <w:rsid w:val="10125409"/>
    <w:rsid w:val="10132AE3"/>
    <w:rsid w:val="10134CDE"/>
    <w:rsid w:val="10150A56"/>
    <w:rsid w:val="10172A20"/>
    <w:rsid w:val="101747CE"/>
    <w:rsid w:val="101A2510"/>
    <w:rsid w:val="101A42BE"/>
    <w:rsid w:val="101C0036"/>
    <w:rsid w:val="101E3DAE"/>
    <w:rsid w:val="101E5B5C"/>
    <w:rsid w:val="101F18D4"/>
    <w:rsid w:val="1021564D"/>
    <w:rsid w:val="102173FB"/>
    <w:rsid w:val="10234F21"/>
    <w:rsid w:val="10240C99"/>
    <w:rsid w:val="10243A68"/>
    <w:rsid w:val="1025513D"/>
    <w:rsid w:val="10262C63"/>
    <w:rsid w:val="10264A11"/>
    <w:rsid w:val="10284C2D"/>
    <w:rsid w:val="102962AF"/>
    <w:rsid w:val="102B0279"/>
    <w:rsid w:val="102B7629"/>
    <w:rsid w:val="102D5D9F"/>
    <w:rsid w:val="102E5BA3"/>
    <w:rsid w:val="10303AE2"/>
    <w:rsid w:val="1030763E"/>
    <w:rsid w:val="10321608"/>
    <w:rsid w:val="1032785A"/>
    <w:rsid w:val="10345380"/>
    <w:rsid w:val="103465A8"/>
    <w:rsid w:val="1034712E"/>
    <w:rsid w:val="10354C54"/>
    <w:rsid w:val="1037079D"/>
    <w:rsid w:val="103709CC"/>
    <w:rsid w:val="10376C1E"/>
    <w:rsid w:val="103B4960"/>
    <w:rsid w:val="103E1D5B"/>
    <w:rsid w:val="103E7FAD"/>
    <w:rsid w:val="10401F77"/>
    <w:rsid w:val="104135F9"/>
    <w:rsid w:val="10417A9D"/>
    <w:rsid w:val="1045758D"/>
    <w:rsid w:val="104650B3"/>
    <w:rsid w:val="10482BD9"/>
    <w:rsid w:val="104A6951"/>
    <w:rsid w:val="104B091B"/>
    <w:rsid w:val="1053332C"/>
    <w:rsid w:val="10545A22"/>
    <w:rsid w:val="105651B6"/>
    <w:rsid w:val="10572E1C"/>
    <w:rsid w:val="10596B94"/>
    <w:rsid w:val="105A290D"/>
    <w:rsid w:val="105E23FD"/>
    <w:rsid w:val="106317C1"/>
    <w:rsid w:val="10635C65"/>
    <w:rsid w:val="10637A13"/>
    <w:rsid w:val="1065378B"/>
    <w:rsid w:val="10667503"/>
    <w:rsid w:val="10675755"/>
    <w:rsid w:val="106A362C"/>
    <w:rsid w:val="106B68C8"/>
    <w:rsid w:val="106C2D6C"/>
    <w:rsid w:val="106F0166"/>
    <w:rsid w:val="106F460A"/>
    <w:rsid w:val="10702130"/>
    <w:rsid w:val="10703EDE"/>
    <w:rsid w:val="107409F0"/>
    <w:rsid w:val="10741C20"/>
    <w:rsid w:val="107734BE"/>
    <w:rsid w:val="107870C0"/>
    <w:rsid w:val="10790FE5"/>
    <w:rsid w:val="10791C91"/>
    <w:rsid w:val="10797237"/>
    <w:rsid w:val="107B2FAF"/>
    <w:rsid w:val="107B4D5D"/>
    <w:rsid w:val="107C0AD5"/>
    <w:rsid w:val="107C6D27"/>
    <w:rsid w:val="10802373"/>
    <w:rsid w:val="108160EB"/>
    <w:rsid w:val="10822369"/>
    <w:rsid w:val="108300B5"/>
    <w:rsid w:val="10861954"/>
    <w:rsid w:val="10864295"/>
    <w:rsid w:val="108C6F6A"/>
    <w:rsid w:val="108D4A90"/>
    <w:rsid w:val="10923E54"/>
    <w:rsid w:val="10945E1E"/>
    <w:rsid w:val="10967DE9"/>
    <w:rsid w:val="109776BD"/>
    <w:rsid w:val="109866AA"/>
    <w:rsid w:val="10991687"/>
    <w:rsid w:val="10993435"/>
    <w:rsid w:val="109C4CD3"/>
    <w:rsid w:val="109C5E52"/>
    <w:rsid w:val="109E6C9D"/>
    <w:rsid w:val="10A342B4"/>
    <w:rsid w:val="10A36062"/>
    <w:rsid w:val="10A5627E"/>
    <w:rsid w:val="10A65B52"/>
    <w:rsid w:val="10A67900"/>
    <w:rsid w:val="10A8619F"/>
    <w:rsid w:val="10A9762F"/>
    <w:rsid w:val="10AB3168"/>
    <w:rsid w:val="10AC760C"/>
    <w:rsid w:val="10AD6EE0"/>
    <w:rsid w:val="10AF6730"/>
    <w:rsid w:val="10B22749"/>
    <w:rsid w:val="10B244F7"/>
    <w:rsid w:val="10B262A5"/>
    <w:rsid w:val="10B44742"/>
    <w:rsid w:val="10B77D5F"/>
    <w:rsid w:val="10B93AD7"/>
    <w:rsid w:val="10B93C9D"/>
    <w:rsid w:val="10B95885"/>
    <w:rsid w:val="10BB784F"/>
    <w:rsid w:val="10BE4C49"/>
    <w:rsid w:val="10BE733F"/>
    <w:rsid w:val="10C04E65"/>
    <w:rsid w:val="10C16D46"/>
    <w:rsid w:val="10C20BDE"/>
    <w:rsid w:val="10C5247C"/>
    <w:rsid w:val="10C61728"/>
    <w:rsid w:val="10C761F4"/>
    <w:rsid w:val="10C77FE7"/>
    <w:rsid w:val="10C803AD"/>
    <w:rsid w:val="10C84048"/>
    <w:rsid w:val="10CA1840"/>
    <w:rsid w:val="10CC559A"/>
    <w:rsid w:val="10CD1330"/>
    <w:rsid w:val="10CE7EBA"/>
    <w:rsid w:val="10CF6E57"/>
    <w:rsid w:val="10D10E21"/>
    <w:rsid w:val="10D12BCF"/>
    <w:rsid w:val="10D34B99"/>
    <w:rsid w:val="10D4446D"/>
    <w:rsid w:val="10D73F5D"/>
    <w:rsid w:val="10D821AF"/>
    <w:rsid w:val="10D91A83"/>
    <w:rsid w:val="10D95F27"/>
    <w:rsid w:val="10D97CD5"/>
    <w:rsid w:val="10DC1574"/>
    <w:rsid w:val="10DD77C5"/>
    <w:rsid w:val="10DE709A"/>
    <w:rsid w:val="10E02E12"/>
    <w:rsid w:val="10E16330"/>
    <w:rsid w:val="10E24DDC"/>
    <w:rsid w:val="10E30B54"/>
    <w:rsid w:val="10E50428"/>
    <w:rsid w:val="10E53570"/>
    <w:rsid w:val="10E70644"/>
    <w:rsid w:val="10E70A61"/>
    <w:rsid w:val="10E741A0"/>
    <w:rsid w:val="10E8616A"/>
    <w:rsid w:val="10EA3C90"/>
    <w:rsid w:val="10EC17B7"/>
    <w:rsid w:val="10EC3443"/>
    <w:rsid w:val="10EC7A09"/>
    <w:rsid w:val="10ED1D02"/>
    <w:rsid w:val="10EF12A7"/>
    <w:rsid w:val="10F20D97"/>
    <w:rsid w:val="10F25D47"/>
    <w:rsid w:val="10F55A09"/>
    <w:rsid w:val="10F60887"/>
    <w:rsid w:val="10F66AD9"/>
    <w:rsid w:val="10F863AD"/>
    <w:rsid w:val="10F90377"/>
    <w:rsid w:val="10F93ED3"/>
    <w:rsid w:val="10FA5A47"/>
    <w:rsid w:val="10FB5E9E"/>
    <w:rsid w:val="10FB7C4C"/>
    <w:rsid w:val="10FC259F"/>
    <w:rsid w:val="10FE14EA"/>
    <w:rsid w:val="10FE598E"/>
    <w:rsid w:val="11005262"/>
    <w:rsid w:val="1102722C"/>
    <w:rsid w:val="11052878"/>
    <w:rsid w:val="110765F0"/>
    <w:rsid w:val="110D277C"/>
    <w:rsid w:val="110D3EBD"/>
    <w:rsid w:val="110D797F"/>
    <w:rsid w:val="110E3C0C"/>
    <w:rsid w:val="1111121D"/>
    <w:rsid w:val="111156C1"/>
    <w:rsid w:val="11150F0E"/>
    <w:rsid w:val="111725AC"/>
    <w:rsid w:val="111807FE"/>
    <w:rsid w:val="111927C8"/>
    <w:rsid w:val="111E1B8C"/>
    <w:rsid w:val="1122167C"/>
    <w:rsid w:val="11233511"/>
    <w:rsid w:val="112371A2"/>
    <w:rsid w:val="11250A02"/>
    <w:rsid w:val="1125116C"/>
    <w:rsid w:val="11252F1A"/>
    <w:rsid w:val="11254CC9"/>
    <w:rsid w:val="11274EE5"/>
    <w:rsid w:val="112A22DF"/>
    <w:rsid w:val="112C5D04"/>
    <w:rsid w:val="112E0021"/>
    <w:rsid w:val="112E6273"/>
    <w:rsid w:val="113118BF"/>
    <w:rsid w:val="11317B11"/>
    <w:rsid w:val="1134315E"/>
    <w:rsid w:val="11360C84"/>
    <w:rsid w:val="11364558"/>
    <w:rsid w:val="11366ED6"/>
    <w:rsid w:val="11372E17"/>
    <w:rsid w:val="11382C4E"/>
    <w:rsid w:val="113849FC"/>
    <w:rsid w:val="113B44EC"/>
    <w:rsid w:val="113D64B6"/>
    <w:rsid w:val="113E3FDC"/>
    <w:rsid w:val="11427629"/>
    <w:rsid w:val="114333A1"/>
    <w:rsid w:val="11434745"/>
    <w:rsid w:val="114535BD"/>
    <w:rsid w:val="1145536B"/>
    <w:rsid w:val="114809B7"/>
    <w:rsid w:val="114A128D"/>
    <w:rsid w:val="114C04A7"/>
    <w:rsid w:val="114E421F"/>
    <w:rsid w:val="114F1D45"/>
    <w:rsid w:val="114F7F97"/>
    <w:rsid w:val="11513D10"/>
    <w:rsid w:val="11535CDA"/>
    <w:rsid w:val="11553800"/>
    <w:rsid w:val="11561326"/>
    <w:rsid w:val="115832F0"/>
    <w:rsid w:val="1158509E"/>
    <w:rsid w:val="11586462"/>
    <w:rsid w:val="11586E4C"/>
    <w:rsid w:val="115A7068"/>
    <w:rsid w:val="115B4B8E"/>
    <w:rsid w:val="115C36A2"/>
    <w:rsid w:val="115D0906"/>
    <w:rsid w:val="115E01DA"/>
    <w:rsid w:val="116003F7"/>
    <w:rsid w:val="11627900"/>
    <w:rsid w:val="11627CCB"/>
    <w:rsid w:val="116457F1"/>
    <w:rsid w:val="116520B4"/>
    <w:rsid w:val="1165325A"/>
    <w:rsid w:val="11665A0D"/>
    <w:rsid w:val="11671785"/>
    <w:rsid w:val="11673533"/>
    <w:rsid w:val="116752E1"/>
    <w:rsid w:val="11684816"/>
    <w:rsid w:val="116972AB"/>
    <w:rsid w:val="116A6B7F"/>
    <w:rsid w:val="116C28F7"/>
    <w:rsid w:val="116E041E"/>
    <w:rsid w:val="116E6670"/>
    <w:rsid w:val="1171712A"/>
    <w:rsid w:val="11731ED8"/>
    <w:rsid w:val="1178129C"/>
    <w:rsid w:val="1178331A"/>
    <w:rsid w:val="117874EE"/>
    <w:rsid w:val="117A3266"/>
    <w:rsid w:val="117B0D8C"/>
    <w:rsid w:val="117B2B3A"/>
    <w:rsid w:val="117D411C"/>
    <w:rsid w:val="117F262B"/>
    <w:rsid w:val="11800151"/>
    <w:rsid w:val="118041DE"/>
    <w:rsid w:val="11812847"/>
    <w:rsid w:val="11823EC9"/>
    <w:rsid w:val="118268CF"/>
    <w:rsid w:val="118440E5"/>
    <w:rsid w:val="11867E5D"/>
    <w:rsid w:val="118714DF"/>
    <w:rsid w:val="118934A9"/>
    <w:rsid w:val="118A0FD0"/>
    <w:rsid w:val="118C4D48"/>
    <w:rsid w:val="118E286E"/>
    <w:rsid w:val="118E6D12"/>
    <w:rsid w:val="118E7D0F"/>
    <w:rsid w:val="118F79C1"/>
    <w:rsid w:val="11902A8A"/>
    <w:rsid w:val="1191235E"/>
    <w:rsid w:val="11920202"/>
    <w:rsid w:val="11951E4E"/>
    <w:rsid w:val="1198193E"/>
    <w:rsid w:val="119836EC"/>
    <w:rsid w:val="119A56B6"/>
    <w:rsid w:val="119C2276"/>
    <w:rsid w:val="119D51A7"/>
    <w:rsid w:val="119D6F55"/>
    <w:rsid w:val="11A2456B"/>
    <w:rsid w:val="11A249A7"/>
    <w:rsid w:val="11A402E3"/>
    <w:rsid w:val="11A46535"/>
    <w:rsid w:val="11A65EF9"/>
    <w:rsid w:val="11AC53EA"/>
    <w:rsid w:val="11B12A00"/>
    <w:rsid w:val="11B147AE"/>
    <w:rsid w:val="11B30526"/>
    <w:rsid w:val="11B52E1D"/>
    <w:rsid w:val="11B76268"/>
    <w:rsid w:val="11B85B3D"/>
    <w:rsid w:val="11B95BDC"/>
    <w:rsid w:val="11BA3663"/>
    <w:rsid w:val="11BA40BE"/>
    <w:rsid w:val="11BB562D"/>
    <w:rsid w:val="11BB73DB"/>
    <w:rsid w:val="11BC011F"/>
    <w:rsid w:val="11BD3153"/>
    <w:rsid w:val="11BF336F"/>
    <w:rsid w:val="11BF511D"/>
    <w:rsid w:val="11C24C0D"/>
    <w:rsid w:val="11C6025A"/>
    <w:rsid w:val="11C646FD"/>
    <w:rsid w:val="11C95F9C"/>
    <w:rsid w:val="11C97D4A"/>
    <w:rsid w:val="11CC3396"/>
    <w:rsid w:val="11CC64D3"/>
    <w:rsid w:val="11D16BFE"/>
    <w:rsid w:val="11D24E50"/>
    <w:rsid w:val="11D439D6"/>
    <w:rsid w:val="11D566EF"/>
    <w:rsid w:val="11D84431"/>
    <w:rsid w:val="11DA1F57"/>
    <w:rsid w:val="11DA5AB3"/>
    <w:rsid w:val="11DE7D34"/>
    <w:rsid w:val="11E20E0C"/>
    <w:rsid w:val="11E52FBC"/>
    <w:rsid w:val="11E61C4B"/>
    <w:rsid w:val="11E626AA"/>
    <w:rsid w:val="11EB5F12"/>
    <w:rsid w:val="11ED1C8A"/>
    <w:rsid w:val="11F03528"/>
    <w:rsid w:val="11F254F3"/>
    <w:rsid w:val="11F33019"/>
    <w:rsid w:val="11F528ED"/>
    <w:rsid w:val="11F76665"/>
    <w:rsid w:val="11F823DD"/>
    <w:rsid w:val="11FA6155"/>
    <w:rsid w:val="11FD79F3"/>
    <w:rsid w:val="11FE3E97"/>
    <w:rsid w:val="12015736"/>
    <w:rsid w:val="12045226"/>
    <w:rsid w:val="12046915"/>
    <w:rsid w:val="12062D4C"/>
    <w:rsid w:val="12064AFA"/>
    <w:rsid w:val="120720BC"/>
    <w:rsid w:val="12080872"/>
    <w:rsid w:val="12096398"/>
    <w:rsid w:val="120B0362"/>
    <w:rsid w:val="120B2110"/>
    <w:rsid w:val="120B3EBE"/>
    <w:rsid w:val="120D40DA"/>
    <w:rsid w:val="120E7E53"/>
    <w:rsid w:val="12103BCB"/>
    <w:rsid w:val="12105979"/>
    <w:rsid w:val="12107727"/>
    <w:rsid w:val="1211524D"/>
    <w:rsid w:val="121216F1"/>
    <w:rsid w:val="12137217"/>
    <w:rsid w:val="12154D3D"/>
    <w:rsid w:val="12176D07"/>
    <w:rsid w:val="12183532"/>
    <w:rsid w:val="121C60CC"/>
    <w:rsid w:val="121E62E8"/>
    <w:rsid w:val="122272CD"/>
    <w:rsid w:val="1222745A"/>
    <w:rsid w:val="12244F80"/>
    <w:rsid w:val="1226519C"/>
    <w:rsid w:val="12274A70"/>
    <w:rsid w:val="12280F14"/>
    <w:rsid w:val="12282CC2"/>
    <w:rsid w:val="12296A3A"/>
    <w:rsid w:val="122B037F"/>
    <w:rsid w:val="122B27B2"/>
    <w:rsid w:val="122B4561"/>
    <w:rsid w:val="122D652B"/>
    <w:rsid w:val="122F22A3"/>
    <w:rsid w:val="12301B77"/>
    <w:rsid w:val="12302D61"/>
    <w:rsid w:val="1230601B"/>
    <w:rsid w:val="12315932"/>
    <w:rsid w:val="123258EF"/>
    <w:rsid w:val="12326DC2"/>
    <w:rsid w:val="123553DF"/>
    <w:rsid w:val="1235718D"/>
    <w:rsid w:val="12371157"/>
    <w:rsid w:val="123840C4"/>
    <w:rsid w:val="123F625E"/>
    <w:rsid w:val="12415B32"/>
    <w:rsid w:val="12464F87"/>
    <w:rsid w:val="12483364"/>
    <w:rsid w:val="12492478"/>
    <w:rsid w:val="124949E7"/>
    <w:rsid w:val="124B4C03"/>
    <w:rsid w:val="124D2729"/>
    <w:rsid w:val="124E024F"/>
    <w:rsid w:val="124F64A1"/>
    <w:rsid w:val="12505D75"/>
    <w:rsid w:val="12527D3F"/>
    <w:rsid w:val="125735A8"/>
    <w:rsid w:val="125A3098"/>
    <w:rsid w:val="125A6BF4"/>
    <w:rsid w:val="125E4936"/>
    <w:rsid w:val="126161D4"/>
    <w:rsid w:val="12641821"/>
    <w:rsid w:val="12661A3D"/>
    <w:rsid w:val="126637EB"/>
    <w:rsid w:val="12665599"/>
    <w:rsid w:val="12671431"/>
    <w:rsid w:val="12681311"/>
    <w:rsid w:val="126857B5"/>
    <w:rsid w:val="12687563"/>
    <w:rsid w:val="126B6F53"/>
    <w:rsid w:val="126D6927"/>
    <w:rsid w:val="12706417"/>
    <w:rsid w:val="12744159"/>
    <w:rsid w:val="12745F08"/>
    <w:rsid w:val="12747CB6"/>
    <w:rsid w:val="127777A6"/>
    <w:rsid w:val="1279351E"/>
    <w:rsid w:val="12797E16"/>
    <w:rsid w:val="127C4DBC"/>
    <w:rsid w:val="127C6B6A"/>
    <w:rsid w:val="127D1368"/>
    <w:rsid w:val="127F665A"/>
    <w:rsid w:val="128123D2"/>
    <w:rsid w:val="1284666A"/>
    <w:rsid w:val="1288550F"/>
    <w:rsid w:val="12887C05"/>
    <w:rsid w:val="128924DC"/>
    <w:rsid w:val="128A53A3"/>
    <w:rsid w:val="128A572B"/>
    <w:rsid w:val="128A74D9"/>
    <w:rsid w:val="128B3251"/>
    <w:rsid w:val="128D0D77"/>
    <w:rsid w:val="128D6FC9"/>
    <w:rsid w:val="129245E0"/>
    <w:rsid w:val="1292638E"/>
    <w:rsid w:val="12940358"/>
    <w:rsid w:val="12942106"/>
    <w:rsid w:val="129475EE"/>
    <w:rsid w:val="12957C2C"/>
    <w:rsid w:val="129640D0"/>
    <w:rsid w:val="1299771C"/>
    <w:rsid w:val="129A088F"/>
    <w:rsid w:val="129B31AF"/>
    <w:rsid w:val="129E2F84"/>
    <w:rsid w:val="12A06CFD"/>
    <w:rsid w:val="12A10CC7"/>
    <w:rsid w:val="12A3059B"/>
    <w:rsid w:val="12A367ED"/>
    <w:rsid w:val="12A61A03"/>
    <w:rsid w:val="12A61E39"/>
    <w:rsid w:val="12AB744F"/>
    <w:rsid w:val="12AC38F3"/>
    <w:rsid w:val="12B04A66"/>
    <w:rsid w:val="12B26A30"/>
    <w:rsid w:val="12B74046"/>
    <w:rsid w:val="12B75DF4"/>
    <w:rsid w:val="12B77FA2"/>
    <w:rsid w:val="12B91B6C"/>
    <w:rsid w:val="12BA6738"/>
    <w:rsid w:val="12BF1E57"/>
    <w:rsid w:val="12C1464A"/>
    <w:rsid w:val="12C329EB"/>
    <w:rsid w:val="12C34799"/>
    <w:rsid w:val="12C60FED"/>
    <w:rsid w:val="12C624DB"/>
    <w:rsid w:val="12C66037"/>
    <w:rsid w:val="12C70D3C"/>
    <w:rsid w:val="12CA1FCB"/>
    <w:rsid w:val="12CA5B28"/>
    <w:rsid w:val="12CC7AF2"/>
    <w:rsid w:val="12CD386A"/>
    <w:rsid w:val="12CD73C6"/>
    <w:rsid w:val="12CF313E"/>
    <w:rsid w:val="12CF75E2"/>
    <w:rsid w:val="12D06EB6"/>
    <w:rsid w:val="12D1335A"/>
    <w:rsid w:val="12D544CC"/>
    <w:rsid w:val="12D6271E"/>
    <w:rsid w:val="12D746E8"/>
    <w:rsid w:val="12D90460"/>
    <w:rsid w:val="12DA08F3"/>
    <w:rsid w:val="12DB5F87"/>
    <w:rsid w:val="12DF6FC3"/>
    <w:rsid w:val="12E0359D"/>
    <w:rsid w:val="12E110C3"/>
    <w:rsid w:val="12E15BF5"/>
    <w:rsid w:val="12E23E98"/>
    <w:rsid w:val="12E27315"/>
    <w:rsid w:val="12E36BE9"/>
    <w:rsid w:val="12E50BB3"/>
    <w:rsid w:val="12E60B70"/>
    <w:rsid w:val="12E666D9"/>
    <w:rsid w:val="12E806A4"/>
    <w:rsid w:val="12E84200"/>
    <w:rsid w:val="12EA61CA"/>
    <w:rsid w:val="12EB1878"/>
    <w:rsid w:val="12EC0194"/>
    <w:rsid w:val="12ED5CBA"/>
    <w:rsid w:val="12EF6AB8"/>
    <w:rsid w:val="12F157AA"/>
    <w:rsid w:val="12F232D0"/>
    <w:rsid w:val="12F26E2C"/>
    <w:rsid w:val="12F40DF6"/>
    <w:rsid w:val="12F5292A"/>
    <w:rsid w:val="12F62DC0"/>
    <w:rsid w:val="12F9465F"/>
    <w:rsid w:val="12F9640D"/>
    <w:rsid w:val="12FB3F33"/>
    <w:rsid w:val="12FC7CAB"/>
    <w:rsid w:val="12FE1C75"/>
    <w:rsid w:val="12FE7EC7"/>
    <w:rsid w:val="13001549"/>
    <w:rsid w:val="130059ED"/>
    <w:rsid w:val="1300779B"/>
    <w:rsid w:val="13023513"/>
    <w:rsid w:val="130354DD"/>
    <w:rsid w:val="13051255"/>
    <w:rsid w:val="13070B2A"/>
    <w:rsid w:val="13076D7C"/>
    <w:rsid w:val="13086650"/>
    <w:rsid w:val="130A061A"/>
    <w:rsid w:val="130A23C8"/>
    <w:rsid w:val="130A686C"/>
    <w:rsid w:val="130D010A"/>
    <w:rsid w:val="130F3E82"/>
    <w:rsid w:val="130F79DE"/>
    <w:rsid w:val="13113593"/>
    <w:rsid w:val="13117BFA"/>
    <w:rsid w:val="13122E2C"/>
    <w:rsid w:val="131507D3"/>
    <w:rsid w:val="1315107B"/>
    <w:rsid w:val="13217712"/>
    <w:rsid w:val="13222DD7"/>
    <w:rsid w:val="132316DC"/>
    <w:rsid w:val="13250FB0"/>
    <w:rsid w:val="13252E99"/>
    <w:rsid w:val="13274D28"/>
    <w:rsid w:val="13280AA0"/>
    <w:rsid w:val="132A0CBC"/>
    <w:rsid w:val="132A4818"/>
    <w:rsid w:val="132C0590"/>
    <w:rsid w:val="132D4308"/>
    <w:rsid w:val="132D60B6"/>
    <w:rsid w:val="132F62D2"/>
    <w:rsid w:val="1331686B"/>
    <w:rsid w:val="133202CF"/>
    <w:rsid w:val="1336140F"/>
    <w:rsid w:val="13386F35"/>
    <w:rsid w:val="133B4C77"/>
    <w:rsid w:val="133D09EF"/>
    <w:rsid w:val="133D1DD0"/>
    <w:rsid w:val="1340228E"/>
    <w:rsid w:val="13416847"/>
    <w:rsid w:val="13421B62"/>
    <w:rsid w:val="13426006"/>
    <w:rsid w:val="13441D7E"/>
    <w:rsid w:val="13446422"/>
    <w:rsid w:val="13473662"/>
    <w:rsid w:val="13477178"/>
    <w:rsid w:val="134A4EBA"/>
    <w:rsid w:val="134A6C68"/>
    <w:rsid w:val="134C29E0"/>
    <w:rsid w:val="134C478E"/>
    <w:rsid w:val="134F0723"/>
    <w:rsid w:val="13533D6F"/>
    <w:rsid w:val="13541895"/>
    <w:rsid w:val="13561AB1"/>
    <w:rsid w:val="1356560D"/>
    <w:rsid w:val="13587176"/>
    <w:rsid w:val="135B2C24"/>
    <w:rsid w:val="135D4BEE"/>
    <w:rsid w:val="135E2714"/>
    <w:rsid w:val="135F0966"/>
    <w:rsid w:val="1360023A"/>
    <w:rsid w:val="136046DE"/>
    <w:rsid w:val="13620456"/>
    <w:rsid w:val="13637D2A"/>
    <w:rsid w:val="13651CF4"/>
    <w:rsid w:val="13655850"/>
    <w:rsid w:val="136B6959"/>
    <w:rsid w:val="136C3083"/>
    <w:rsid w:val="136C3EED"/>
    <w:rsid w:val="136E2957"/>
    <w:rsid w:val="136F1CA1"/>
    <w:rsid w:val="136F4921"/>
    <w:rsid w:val="136F66CF"/>
    <w:rsid w:val="13712447"/>
    <w:rsid w:val="13713CFE"/>
    <w:rsid w:val="137141F5"/>
    <w:rsid w:val="13714381"/>
    <w:rsid w:val="13741F37"/>
    <w:rsid w:val="13750189"/>
    <w:rsid w:val="1376180B"/>
    <w:rsid w:val="13767A5D"/>
    <w:rsid w:val="137837D5"/>
    <w:rsid w:val="13783BD1"/>
    <w:rsid w:val="137912FC"/>
    <w:rsid w:val="137D2B9A"/>
    <w:rsid w:val="137F2DB6"/>
    <w:rsid w:val="13824654"/>
    <w:rsid w:val="13833F28"/>
    <w:rsid w:val="13854144"/>
    <w:rsid w:val="13855EF2"/>
    <w:rsid w:val="13870AF5"/>
    <w:rsid w:val="13877EBC"/>
    <w:rsid w:val="138A52B7"/>
    <w:rsid w:val="138C7281"/>
    <w:rsid w:val="138E4DA7"/>
    <w:rsid w:val="138F0B1F"/>
    <w:rsid w:val="138F7287"/>
    <w:rsid w:val="13904FC3"/>
    <w:rsid w:val="13914897"/>
    <w:rsid w:val="13946135"/>
    <w:rsid w:val="13954387"/>
    <w:rsid w:val="13963C5C"/>
    <w:rsid w:val="13985199"/>
    <w:rsid w:val="139879D4"/>
    <w:rsid w:val="1399374C"/>
    <w:rsid w:val="139B3968"/>
    <w:rsid w:val="139B74C4"/>
    <w:rsid w:val="139E0D62"/>
    <w:rsid w:val="139F5206"/>
    <w:rsid w:val="13A10F7E"/>
    <w:rsid w:val="13A24CF6"/>
    <w:rsid w:val="13A46379"/>
    <w:rsid w:val="13A520F1"/>
    <w:rsid w:val="13A66C4F"/>
    <w:rsid w:val="13A9398F"/>
    <w:rsid w:val="13A97E33"/>
    <w:rsid w:val="13AA5959"/>
    <w:rsid w:val="13AA7707"/>
    <w:rsid w:val="13AB7860"/>
    <w:rsid w:val="13AC347F"/>
    <w:rsid w:val="13AC7923"/>
    <w:rsid w:val="13AD03CF"/>
    <w:rsid w:val="13AF2F6F"/>
    <w:rsid w:val="13B3480E"/>
    <w:rsid w:val="13B54A2A"/>
    <w:rsid w:val="13B63B73"/>
    <w:rsid w:val="13B660AC"/>
    <w:rsid w:val="13BA2040"/>
    <w:rsid w:val="13BA5B9C"/>
    <w:rsid w:val="13BB1914"/>
    <w:rsid w:val="13BF4C25"/>
    <w:rsid w:val="13BF6366"/>
    <w:rsid w:val="13C0517C"/>
    <w:rsid w:val="13C06F2A"/>
    <w:rsid w:val="13C54541"/>
    <w:rsid w:val="13C94031"/>
    <w:rsid w:val="13CA1B57"/>
    <w:rsid w:val="13CB7DA9"/>
    <w:rsid w:val="13CC1D73"/>
    <w:rsid w:val="13CC58CF"/>
    <w:rsid w:val="13CE1647"/>
    <w:rsid w:val="13D053C0"/>
    <w:rsid w:val="13D11138"/>
    <w:rsid w:val="13D749A0"/>
    <w:rsid w:val="13D9039D"/>
    <w:rsid w:val="13DA623E"/>
    <w:rsid w:val="13DB3D64"/>
    <w:rsid w:val="13DD5D2E"/>
    <w:rsid w:val="13DF1AA7"/>
    <w:rsid w:val="13E34020"/>
    <w:rsid w:val="13E40E6B"/>
    <w:rsid w:val="13E56991"/>
    <w:rsid w:val="13E62E35"/>
    <w:rsid w:val="13E64BE3"/>
    <w:rsid w:val="13E72709"/>
    <w:rsid w:val="13EA360C"/>
    <w:rsid w:val="13EA68FF"/>
    <w:rsid w:val="13EB3EF3"/>
    <w:rsid w:val="13EC5383"/>
    <w:rsid w:val="13EC5F71"/>
    <w:rsid w:val="13ED41C3"/>
    <w:rsid w:val="13EE1CEA"/>
    <w:rsid w:val="13EE3A98"/>
    <w:rsid w:val="13F07810"/>
    <w:rsid w:val="13F53078"/>
    <w:rsid w:val="13F54E26"/>
    <w:rsid w:val="13F56435"/>
    <w:rsid w:val="13F82B68"/>
    <w:rsid w:val="13FC4407"/>
    <w:rsid w:val="13FE3E6C"/>
    <w:rsid w:val="13FF5CA5"/>
    <w:rsid w:val="140137CB"/>
    <w:rsid w:val="1405766B"/>
    <w:rsid w:val="14060DE1"/>
    <w:rsid w:val="14092680"/>
    <w:rsid w:val="1409747C"/>
    <w:rsid w:val="140C2170"/>
    <w:rsid w:val="140D6614"/>
    <w:rsid w:val="140E413A"/>
    <w:rsid w:val="140E7C96"/>
    <w:rsid w:val="14103A0E"/>
    <w:rsid w:val="141352AC"/>
    <w:rsid w:val="14151024"/>
    <w:rsid w:val="14172444"/>
    <w:rsid w:val="14186D67"/>
    <w:rsid w:val="141D25CF"/>
    <w:rsid w:val="141D41B0"/>
    <w:rsid w:val="141D437D"/>
    <w:rsid w:val="141D612B"/>
    <w:rsid w:val="141F00F5"/>
    <w:rsid w:val="141F6347"/>
    <w:rsid w:val="14213E6D"/>
    <w:rsid w:val="14215C1B"/>
    <w:rsid w:val="14221993"/>
    <w:rsid w:val="14223741"/>
    <w:rsid w:val="14237BE5"/>
    <w:rsid w:val="1424570B"/>
    <w:rsid w:val="14261483"/>
    <w:rsid w:val="14263231"/>
    <w:rsid w:val="14264FE0"/>
    <w:rsid w:val="14294AD0"/>
    <w:rsid w:val="142A7EF5"/>
    <w:rsid w:val="14305E5E"/>
    <w:rsid w:val="143376FC"/>
    <w:rsid w:val="14342437"/>
    <w:rsid w:val="143516C6"/>
    <w:rsid w:val="1437543F"/>
    <w:rsid w:val="14397409"/>
    <w:rsid w:val="143A4F2F"/>
    <w:rsid w:val="143C4803"/>
    <w:rsid w:val="143F0797"/>
    <w:rsid w:val="143F2545"/>
    <w:rsid w:val="1441006B"/>
    <w:rsid w:val="14410D33"/>
    <w:rsid w:val="14411E19"/>
    <w:rsid w:val="144162BD"/>
    <w:rsid w:val="1444190A"/>
    <w:rsid w:val="14447B5C"/>
    <w:rsid w:val="14496F20"/>
    <w:rsid w:val="144B713C"/>
    <w:rsid w:val="145130A0"/>
    <w:rsid w:val="14522278"/>
    <w:rsid w:val="14575AE1"/>
    <w:rsid w:val="14587163"/>
    <w:rsid w:val="145E6E6F"/>
    <w:rsid w:val="145F4995"/>
    <w:rsid w:val="146124BC"/>
    <w:rsid w:val="14627FE2"/>
    <w:rsid w:val="14634486"/>
    <w:rsid w:val="14661880"/>
    <w:rsid w:val="14681A9C"/>
    <w:rsid w:val="1468384A"/>
    <w:rsid w:val="14697BE6"/>
    <w:rsid w:val="146B6E96"/>
    <w:rsid w:val="146D2C0E"/>
    <w:rsid w:val="146F2E2A"/>
    <w:rsid w:val="147321EF"/>
    <w:rsid w:val="1475249B"/>
    <w:rsid w:val="14755F67"/>
    <w:rsid w:val="14757D15"/>
    <w:rsid w:val="147815B3"/>
    <w:rsid w:val="147A17CF"/>
    <w:rsid w:val="147E4E1C"/>
    <w:rsid w:val="1481490C"/>
    <w:rsid w:val="14826F02"/>
    <w:rsid w:val="148368D6"/>
    <w:rsid w:val="148443FC"/>
    <w:rsid w:val="14890660"/>
    <w:rsid w:val="148A3231"/>
    <w:rsid w:val="148D1503"/>
    <w:rsid w:val="148D32B1"/>
    <w:rsid w:val="148E0DD7"/>
    <w:rsid w:val="14900FF3"/>
    <w:rsid w:val="14902DA1"/>
    <w:rsid w:val="14904B4F"/>
    <w:rsid w:val="14926B19"/>
    <w:rsid w:val="1494463F"/>
    <w:rsid w:val="149503B7"/>
    <w:rsid w:val="14972381"/>
    <w:rsid w:val="1497412F"/>
    <w:rsid w:val="149908D3"/>
    <w:rsid w:val="14997EA7"/>
    <w:rsid w:val="149A3C1F"/>
    <w:rsid w:val="149F3FC7"/>
    <w:rsid w:val="14A02886"/>
    <w:rsid w:val="14A10B0A"/>
    <w:rsid w:val="14A30D26"/>
    <w:rsid w:val="14A625C4"/>
    <w:rsid w:val="14A81E98"/>
    <w:rsid w:val="14A9034B"/>
    <w:rsid w:val="14A95079"/>
    <w:rsid w:val="14AC513B"/>
    <w:rsid w:val="14AD5701"/>
    <w:rsid w:val="14AD74AF"/>
    <w:rsid w:val="14AF1479"/>
    <w:rsid w:val="14B065E0"/>
    <w:rsid w:val="14B30207"/>
    <w:rsid w:val="14B4083D"/>
    <w:rsid w:val="14B52807"/>
    <w:rsid w:val="14B545B5"/>
    <w:rsid w:val="14B720DC"/>
    <w:rsid w:val="14B7657F"/>
    <w:rsid w:val="14B940A6"/>
    <w:rsid w:val="14BA1BCC"/>
    <w:rsid w:val="14BB205F"/>
    <w:rsid w:val="14BB6070"/>
    <w:rsid w:val="14BC3B96"/>
    <w:rsid w:val="14BC5944"/>
    <w:rsid w:val="14BE16BC"/>
    <w:rsid w:val="14C03686"/>
    <w:rsid w:val="14C173FE"/>
    <w:rsid w:val="14C447F8"/>
    <w:rsid w:val="14C842E9"/>
    <w:rsid w:val="14CA62B3"/>
    <w:rsid w:val="14CD18FF"/>
    <w:rsid w:val="14CF1B1B"/>
    <w:rsid w:val="14D0319D"/>
    <w:rsid w:val="14D07641"/>
    <w:rsid w:val="14D233B9"/>
    <w:rsid w:val="14D26F15"/>
    <w:rsid w:val="14D42C8D"/>
    <w:rsid w:val="14D56A06"/>
    <w:rsid w:val="14D700F7"/>
    <w:rsid w:val="14D709D0"/>
    <w:rsid w:val="14DA4B86"/>
    <w:rsid w:val="14DB7F08"/>
    <w:rsid w:val="14DE1D5E"/>
    <w:rsid w:val="14DF1632"/>
    <w:rsid w:val="14E05AD6"/>
    <w:rsid w:val="14E07884"/>
    <w:rsid w:val="14E135FC"/>
    <w:rsid w:val="14E46C49"/>
    <w:rsid w:val="14E54E9B"/>
    <w:rsid w:val="14E55366"/>
    <w:rsid w:val="14E82BDD"/>
    <w:rsid w:val="14E9250C"/>
    <w:rsid w:val="14EA24B1"/>
    <w:rsid w:val="14EA425F"/>
    <w:rsid w:val="14ED1FA1"/>
    <w:rsid w:val="14EF3F6B"/>
    <w:rsid w:val="14F0383F"/>
    <w:rsid w:val="14F055ED"/>
    <w:rsid w:val="14F11A91"/>
    <w:rsid w:val="14F21366"/>
    <w:rsid w:val="14F450DE"/>
    <w:rsid w:val="14F50E56"/>
    <w:rsid w:val="14F670A8"/>
    <w:rsid w:val="14F7697C"/>
    <w:rsid w:val="14F90946"/>
    <w:rsid w:val="14F926F4"/>
    <w:rsid w:val="14FB2910"/>
    <w:rsid w:val="14FE7D0A"/>
    <w:rsid w:val="15003A82"/>
    <w:rsid w:val="15013364"/>
    <w:rsid w:val="150177FB"/>
    <w:rsid w:val="15023C9F"/>
    <w:rsid w:val="15035321"/>
    <w:rsid w:val="15063063"/>
    <w:rsid w:val="15082937"/>
    <w:rsid w:val="150A4416"/>
    <w:rsid w:val="150A66AF"/>
    <w:rsid w:val="150D2643"/>
    <w:rsid w:val="150D619F"/>
    <w:rsid w:val="150F0169"/>
    <w:rsid w:val="15107A3E"/>
    <w:rsid w:val="15115C90"/>
    <w:rsid w:val="15127C5A"/>
    <w:rsid w:val="15145780"/>
    <w:rsid w:val="15152C6A"/>
    <w:rsid w:val="15170DCC"/>
    <w:rsid w:val="15175270"/>
    <w:rsid w:val="1517558A"/>
    <w:rsid w:val="1517701E"/>
    <w:rsid w:val="15190FE8"/>
    <w:rsid w:val="15192D96"/>
    <w:rsid w:val="151B6B0E"/>
    <w:rsid w:val="151C4634"/>
    <w:rsid w:val="151D2886"/>
    <w:rsid w:val="15205ED3"/>
    <w:rsid w:val="1521120D"/>
    <w:rsid w:val="15211C4B"/>
    <w:rsid w:val="152359C3"/>
    <w:rsid w:val="152466FE"/>
    <w:rsid w:val="1525173B"/>
    <w:rsid w:val="152534E9"/>
    <w:rsid w:val="1525798D"/>
    <w:rsid w:val="152624AE"/>
    <w:rsid w:val="15267261"/>
    <w:rsid w:val="15284D87"/>
    <w:rsid w:val="152A4FA3"/>
    <w:rsid w:val="152B4878"/>
    <w:rsid w:val="152C2AC9"/>
    <w:rsid w:val="152D05F0"/>
    <w:rsid w:val="152E0C40"/>
    <w:rsid w:val="15311E8E"/>
    <w:rsid w:val="15325C06"/>
    <w:rsid w:val="15334D63"/>
    <w:rsid w:val="1534197E"/>
    <w:rsid w:val="15355F42"/>
    <w:rsid w:val="15363948"/>
    <w:rsid w:val="153656F6"/>
    <w:rsid w:val="15393438"/>
    <w:rsid w:val="15396F94"/>
    <w:rsid w:val="153B0F5F"/>
    <w:rsid w:val="153C6A85"/>
    <w:rsid w:val="153D2D07"/>
    <w:rsid w:val="153D4CD7"/>
    <w:rsid w:val="153E0A4F"/>
    <w:rsid w:val="153F3306"/>
    <w:rsid w:val="15415E49"/>
    <w:rsid w:val="15436065"/>
    <w:rsid w:val="15455939"/>
    <w:rsid w:val="1546345F"/>
    <w:rsid w:val="15477903"/>
    <w:rsid w:val="154825B0"/>
    <w:rsid w:val="15496F89"/>
    <w:rsid w:val="154B2D39"/>
    <w:rsid w:val="154C4F1A"/>
    <w:rsid w:val="154D2A40"/>
    <w:rsid w:val="155142DE"/>
    <w:rsid w:val="15532C0C"/>
    <w:rsid w:val="15597637"/>
    <w:rsid w:val="155B33AF"/>
    <w:rsid w:val="155B515D"/>
    <w:rsid w:val="155B6F0B"/>
    <w:rsid w:val="155C2C83"/>
    <w:rsid w:val="155D7127"/>
    <w:rsid w:val="155E69FB"/>
    <w:rsid w:val="1560263F"/>
    <w:rsid w:val="15602DA1"/>
    <w:rsid w:val="156264EB"/>
    <w:rsid w:val="1565422D"/>
    <w:rsid w:val="15655FDB"/>
    <w:rsid w:val="15657D89"/>
    <w:rsid w:val="15661082"/>
    <w:rsid w:val="15667941"/>
    <w:rsid w:val="15671D54"/>
    <w:rsid w:val="1568787A"/>
    <w:rsid w:val="15695ACC"/>
    <w:rsid w:val="156965FF"/>
    <w:rsid w:val="156A1844"/>
    <w:rsid w:val="156C1118"/>
    <w:rsid w:val="156E30E2"/>
    <w:rsid w:val="156E7814"/>
    <w:rsid w:val="156F6E5A"/>
    <w:rsid w:val="157224A6"/>
    <w:rsid w:val="15744470"/>
    <w:rsid w:val="15763D45"/>
    <w:rsid w:val="15787ABD"/>
    <w:rsid w:val="157D1577"/>
    <w:rsid w:val="157F3C5A"/>
    <w:rsid w:val="157F52EF"/>
    <w:rsid w:val="15802E15"/>
    <w:rsid w:val="158226E9"/>
    <w:rsid w:val="158521DA"/>
    <w:rsid w:val="15875F52"/>
    <w:rsid w:val="15883A78"/>
    <w:rsid w:val="158A5A42"/>
    <w:rsid w:val="158C3568"/>
    <w:rsid w:val="158E5532"/>
    <w:rsid w:val="159266A5"/>
    <w:rsid w:val="1594066F"/>
    <w:rsid w:val="15995C85"/>
    <w:rsid w:val="159B19FD"/>
    <w:rsid w:val="159D5775"/>
    <w:rsid w:val="159F14ED"/>
    <w:rsid w:val="159F6641"/>
    <w:rsid w:val="15A07014"/>
    <w:rsid w:val="15A10F61"/>
    <w:rsid w:val="15A20FDE"/>
    <w:rsid w:val="15A46B04"/>
    <w:rsid w:val="15A5287C"/>
    <w:rsid w:val="15A563D8"/>
    <w:rsid w:val="15A72150"/>
    <w:rsid w:val="15A9411A"/>
    <w:rsid w:val="15AA1C40"/>
    <w:rsid w:val="15AC3C0A"/>
    <w:rsid w:val="15AC59B8"/>
    <w:rsid w:val="15AE5D77"/>
    <w:rsid w:val="15AE7982"/>
    <w:rsid w:val="15B11221"/>
    <w:rsid w:val="15B12FCF"/>
    <w:rsid w:val="15B40B18"/>
    <w:rsid w:val="15B4486D"/>
    <w:rsid w:val="15B4528F"/>
    <w:rsid w:val="15B605E5"/>
    <w:rsid w:val="15B66837"/>
    <w:rsid w:val="15BA6327"/>
    <w:rsid w:val="15BB3E4D"/>
    <w:rsid w:val="15C01464"/>
    <w:rsid w:val="15C12A23"/>
    <w:rsid w:val="15C22E6B"/>
    <w:rsid w:val="15C22EA0"/>
    <w:rsid w:val="15C2342E"/>
    <w:rsid w:val="15C50828"/>
    <w:rsid w:val="15C70A44"/>
    <w:rsid w:val="15C745A0"/>
    <w:rsid w:val="15C86CDD"/>
    <w:rsid w:val="15C90130"/>
    <w:rsid w:val="15CA4090"/>
    <w:rsid w:val="15CE3B81"/>
    <w:rsid w:val="15CF16A7"/>
    <w:rsid w:val="15CF6FE1"/>
    <w:rsid w:val="15D05B4B"/>
    <w:rsid w:val="15D078F9"/>
    <w:rsid w:val="15D171CD"/>
    <w:rsid w:val="15D373E9"/>
    <w:rsid w:val="15D46CBD"/>
    <w:rsid w:val="15D72771"/>
    <w:rsid w:val="15DA0F00"/>
    <w:rsid w:val="15DA10F2"/>
    <w:rsid w:val="15DB44F0"/>
    <w:rsid w:val="15DD5B72"/>
    <w:rsid w:val="15DE18EA"/>
    <w:rsid w:val="15E11B06"/>
    <w:rsid w:val="15E2762C"/>
    <w:rsid w:val="15E27884"/>
    <w:rsid w:val="15E6711C"/>
    <w:rsid w:val="15E96C0C"/>
    <w:rsid w:val="15EE5FD1"/>
    <w:rsid w:val="15EE7D7F"/>
    <w:rsid w:val="15EF3AF7"/>
    <w:rsid w:val="15F15AC1"/>
    <w:rsid w:val="15F1786F"/>
    <w:rsid w:val="15F5735F"/>
    <w:rsid w:val="15F80BFE"/>
    <w:rsid w:val="15FA2BC8"/>
    <w:rsid w:val="15FD7FC2"/>
    <w:rsid w:val="16013F56"/>
    <w:rsid w:val="16021A7C"/>
    <w:rsid w:val="16070E41"/>
    <w:rsid w:val="160A26DF"/>
    <w:rsid w:val="160C56C2"/>
    <w:rsid w:val="160E21CF"/>
    <w:rsid w:val="16104199"/>
    <w:rsid w:val="16117F11"/>
    <w:rsid w:val="16135A37"/>
    <w:rsid w:val="161672D6"/>
    <w:rsid w:val="16175528"/>
    <w:rsid w:val="16183C65"/>
    <w:rsid w:val="161A0B74"/>
    <w:rsid w:val="161B48EC"/>
    <w:rsid w:val="161B669A"/>
    <w:rsid w:val="161D2412"/>
    <w:rsid w:val="161F618A"/>
    <w:rsid w:val="16213887"/>
    <w:rsid w:val="162172D7"/>
    <w:rsid w:val="16247C45"/>
    <w:rsid w:val="1626576B"/>
    <w:rsid w:val="162714E3"/>
    <w:rsid w:val="16276B81"/>
    <w:rsid w:val="16282019"/>
    <w:rsid w:val="162B20DB"/>
    <w:rsid w:val="162B2D81"/>
    <w:rsid w:val="162D4D4B"/>
    <w:rsid w:val="162E0AC3"/>
    <w:rsid w:val="162F0A5C"/>
    <w:rsid w:val="16302145"/>
    <w:rsid w:val="1631337C"/>
    <w:rsid w:val="16314110"/>
    <w:rsid w:val="16322361"/>
    <w:rsid w:val="16331C36"/>
    <w:rsid w:val="16351E52"/>
    <w:rsid w:val="163559AE"/>
    <w:rsid w:val="163836F0"/>
    <w:rsid w:val="163A2FC4"/>
    <w:rsid w:val="163B0AEA"/>
    <w:rsid w:val="163D2AB4"/>
    <w:rsid w:val="163D4862"/>
    <w:rsid w:val="163F0551"/>
    <w:rsid w:val="163F4A7E"/>
    <w:rsid w:val="164002A0"/>
    <w:rsid w:val="16411730"/>
    <w:rsid w:val="16421E79"/>
    <w:rsid w:val="16442095"/>
    <w:rsid w:val="16465E0D"/>
    <w:rsid w:val="1647748F"/>
    <w:rsid w:val="16486A32"/>
    <w:rsid w:val="164B3423"/>
    <w:rsid w:val="164B53B3"/>
    <w:rsid w:val="164C2CF7"/>
    <w:rsid w:val="164D0F49"/>
    <w:rsid w:val="164E6A70"/>
    <w:rsid w:val="16565924"/>
    <w:rsid w:val="16586527"/>
    <w:rsid w:val="165A18B8"/>
    <w:rsid w:val="165A3666"/>
    <w:rsid w:val="165B2F3A"/>
    <w:rsid w:val="165D4F05"/>
    <w:rsid w:val="165E3157"/>
    <w:rsid w:val="165E4F6A"/>
    <w:rsid w:val="166167A3"/>
    <w:rsid w:val="1663076D"/>
    <w:rsid w:val="16650B2B"/>
    <w:rsid w:val="16664B24"/>
    <w:rsid w:val="166741AC"/>
    <w:rsid w:val="16691AFB"/>
    <w:rsid w:val="16692350"/>
    <w:rsid w:val="166938A9"/>
    <w:rsid w:val="166D1E8E"/>
    <w:rsid w:val="167069E6"/>
    <w:rsid w:val="1672275E"/>
    <w:rsid w:val="16726C02"/>
    <w:rsid w:val="16730284"/>
    <w:rsid w:val="16734728"/>
    <w:rsid w:val="167504A0"/>
    <w:rsid w:val="1675224E"/>
    <w:rsid w:val="16753FFC"/>
    <w:rsid w:val="16774218"/>
    <w:rsid w:val="16775FC6"/>
    <w:rsid w:val="16796819"/>
    <w:rsid w:val="167A5AB7"/>
    <w:rsid w:val="167B4492"/>
    <w:rsid w:val="167C182F"/>
    <w:rsid w:val="167D7355"/>
    <w:rsid w:val="167E2426"/>
    <w:rsid w:val="167E55A7"/>
    <w:rsid w:val="167F30CD"/>
    <w:rsid w:val="16832BBD"/>
    <w:rsid w:val="16845544"/>
    <w:rsid w:val="168626AD"/>
    <w:rsid w:val="1686445B"/>
    <w:rsid w:val="16895CFA"/>
    <w:rsid w:val="168B7CC4"/>
    <w:rsid w:val="168C5417"/>
    <w:rsid w:val="168D3A3C"/>
    <w:rsid w:val="168D7598"/>
    <w:rsid w:val="168E50BE"/>
    <w:rsid w:val="16905228"/>
    <w:rsid w:val="169052DA"/>
    <w:rsid w:val="16921052"/>
    <w:rsid w:val="169326D4"/>
    <w:rsid w:val="1695469E"/>
    <w:rsid w:val="169923E1"/>
    <w:rsid w:val="169C5A2D"/>
    <w:rsid w:val="169C77DB"/>
    <w:rsid w:val="16A20B69"/>
    <w:rsid w:val="16A2521C"/>
    <w:rsid w:val="16A3500D"/>
    <w:rsid w:val="16A4387C"/>
    <w:rsid w:val="16A50D85"/>
    <w:rsid w:val="16A628A9"/>
    <w:rsid w:val="16A668AC"/>
    <w:rsid w:val="16A82624"/>
    <w:rsid w:val="16A91EF8"/>
    <w:rsid w:val="16AA639C"/>
    <w:rsid w:val="16AB5C70"/>
    <w:rsid w:val="16AD19E8"/>
    <w:rsid w:val="16AD7C3A"/>
    <w:rsid w:val="16AE4D45"/>
    <w:rsid w:val="16AE750E"/>
    <w:rsid w:val="16AF1C41"/>
    <w:rsid w:val="16AF39B2"/>
    <w:rsid w:val="16B014D8"/>
    <w:rsid w:val="16B03286"/>
    <w:rsid w:val="16B0772A"/>
    <w:rsid w:val="16B31A52"/>
    <w:rsid w:val="16B44623"/>
    <w:rsid w:val="16B54D41"/>
    <w:rsid w:val="16B56AEF"/>
    <w:rsid w:val="16B81863"/>
    <w:rsid w:val="16B8213B"/>
    <w:rsid w:val="16B9038D"/>
    <w:rsid w:val="16B94831"/>
    <w:rsid w:val="16BA4105"/>
    <w:rsid w:val="16BE59A3"/>
    <w:rsid w:val="16BF171B"/>
    <w:rsid w:val="16C02BC6"/>
    <w:rsid w:val="16C429D7"/>
    <w:rsid w:val="16C537D0"/>
    <w:rsid w:val="16C60CFC"/>
    <w:rsid w:val="16C62AAA"/>
    <w:rsid w:val="16C66A38"/>
    <w:rsid w:val="16C81358"/>
    <w:rsid w:val="16C81D98"/>
    <w:rsid w:val="16C86822"/>
    <w:rsid w:val="16CA07EC"/>
    <w:rsid w:val="16CE7D9B"/>
    <w:rsid w:val="16CF5E02"/>
    <w:rsid w:val="16D056D6"/>
    <w:rsid w:val="16D306DD"/>
    <w:rsid w:val="16D74CB7"/>
    <w:rsid w:val="16D83A1E"/>
    <w:rsid w:val="16D8458B"/>
    <w:rsid w:val="16D90CEA"/>
    <w:rsid w:val="16D9536A"/>
    <w:rsid w:val="16DC22CD"/>
    <w:rsid w:val="16DC407B"/>
    <w:rsid w:val="16DF0D20"/>
    <w:rsid w:val="16E11692"/>
    <w:rsid w:val="16E15B36"/>
    <w:rsid w:val="16E178E4"/>
    <w:rsid w:val="16E318AE"/>
    <w:rsid w:val="16E3365C"/>
    <w:rsid w:val="16E42F30"/>
    <w:rsid w:val="16E82A20"/>
    <w:rsid w:val="16EB0762"/>
    <w:rsid w:val="16EB4B5A"/>
    <w:rsid w:val="16EC0753"/>
    <w:rsid w:val="16ED0036"/>
    <w:rsid w:val="16ED6288"/>
    <w:rsid w:val="16F05D79"/>
    <w:rsid w:val="16F07B27"/>
    <w:rsid w:val="16F119F4"/>
    <w:rsid w:val="16F615E1"/>
    <w:rsid w:val="16F643D6"/>
    <w:rsid w:val="16F72C63"/>
    <w:rsid w:val="16F75359"/>
    <w:rsid w:val="16F77107"/>
    <w:rsid w:val="16F86CF6"/>
    <w:rsid w:val="16FA2753"/>
    <w:rsid w:val="16FA5613"/>
    <w:rsid w:val="16FC64CC"/>
    <w:rsid w:val="16FD16D7"/>
    <w:rsid w:val="16FF3FF7"/>
    <w:rsid w:val="16FF7D6A"/>
    <w:rsid w:val="1700420E"/>
    <w:rsid w:val="17005FBC"/>
    <w:rsid w:val="17033CFE"/>
    <w:rsid w:val="17035AAC"/>
    <w:rsid w:val="17051824"/>
    <w:rsid w:val="17052A3A"/>
    <w:rsid w:val="170535D2"/>
    <w:rsid w:val="1706559C"/>
    <w:rsid w:val="1707535A"/>
    <w:rsid w:val="170A508C"/>
    <w:rsid w:val="170A6E3A"/>
    <w:rsid w:val="170B2BB3"/>
    <w:rsid w:val="170B670F"/>
    <w:rsid w:val="170D06D9"/>
    <w:rsid w:val="170D692B"/>
    <w:rsid w:val="17125CEF"/>
    <w:rsid w:val="17173305"/>
    <w:rsid w:val="171C4DC0"/>
    <w:rsid w:val="171C7831"/>
    <w:rsid w:val="171E28E6"/>
    <w:rsid w:val="171E4025"/>
    <w:rsid w:val="171E4694"/>
    <w:rsid w:val="1720040C"/>
    <w:rsid w:val="17205F01"/>
    <w:rsid w:val="172123D6"/>
    <w:rsid w:val="17215F32"/>
    <w:rsid w:val="17231CAA"/>
    <w:rsid w:val="172577D0"/>
    <w:rsid w:val="172872C1"/>
    <w:rsid w:val="172B0B5F"/>
    <w:rsid w:val="172F064F"/>
    <w:rsid w:val="17316E86"/>
    <w:rsid w:val="17321EED"/>
    <w:rsid w:val="17343EB7"/>
    <w:rsid w:val="173619DD"/>
    <w:rsid w:val="17365E81"/>
    <w:rsid w:val="17377504"/>
    <w:rsid w:val="173B2B09"/>
    <w:rsid w:val="173B3498"/>
    <w:rsid w:val="173C2D6C"/>
    <w:rsid w:val="173D173B"/>
    <w:rsid w:val="173E2BCB"/>
    <w:rsid w:val="173F405B"/>
    <w:rsid w:val="1740285C"/>
    <w:rsid w:val="1740460A"/>
    <w:rsid w:val="17410382"/>
    <w:rsid w:val="17424826"/>
    <w:rsid w:val="17435EA8"/>
    <w:rsid w:val="17451C21"/>
    <w:rsid w:val="1746135D"/>
    <w:rsid w:val="17463BEB"/>
    <w:rsid w:val="174A36DB"/>
    <w:rsid w:val="174C7453"/>
    <w:rsid w:val="174F0F7F"/>
    <w:rsid w:val="175207E1"/>
    <w:rsid w:val="1752258F"/>
    <w:rsid w:val="17546308"/>
    <w:rsid w:val="17563E2E"/>
    <w:rsid w:val="175722E2"/>
    <w:rsid w:val="175C51BC"/>
    <w:rsid w:val="175D4A13"/>
    <w:rsid w:val="175E0F34"/>
    <w:rsid w:val="17602EFE"/>
    <w:rsid w:val="17626C76"/>
    <w:rsid w:val="1763654B"/>
    <w:rsid w:val="17650515"/>
    <w:rsid w:val="17671DD7"/>
    <w:rsid w:val="17680005"/>
    <w:rsid w:val="1768590F"/>
    <w:rsid w:val="176A5B2B"/>
    <w:rsid w:val="176A7017"/>
    <w:rsid w:val="176D1177"/>
    <w:rsid w:val="176D73C9"/>
    <w:rsid w:val="177249E0"/>
    <w:rsid w:val="17742506"/>
    <w:rsid w:val="1776627E"/>
    <w:rsid w:val="17771FF6"/>
    <w:rsid w:val="177B1AE6"/>
    <w:rsid w:val="177B3894"/>
    <w:rsid w:val="177C760C"/>
    <w:rsid w:val="177E005E"/>
    <w:rsid w:val="177F15E7"/>
    <w:rsid w:val="178169D1"/>
    <w:rsid w:val="17822E75"/>
    <w:rsid w:val="17852965"/>
    <w:rsid w:val="178564C1"/>
    <w:rsid w:val="178650AF"/>
    <w:rsid w:val="1787048B"/>
    <w:rsid w:val="178766DD"/>
    <w:rsid w:val="17887D5F"/>
    <w:rsid w:val="178A1D29"/>
    <w:rsid w:val="178A3A30"/>
    <w:rsid w:val="178A3AD7"/>
    <w:rsid w:val="178C5AA1"/>
    <w:rsid w:val="178C784F"/>
    <w:rsid w:val="178D5376"/>
    <w:rsid w:val="178F10EE"/>
    <w:rsid w:val="178F5592"/>
    <w:rsid w:val="178F7340"/>
    <w:rsid w:val="17924101"/>
    <w:rsid w:val="17935082"/>
    <w:rsid w:val="179606CE"/>
    <w:rsid w:val="17984446"/>
    <w:rsid w:val="179B3F36"/>
    <w:rsid w:val="179D1EA6"/>
    <w:rsid w:val="179E3A27"/>
    <w:rsid w:val="17A0154D"/>
    <w:rsid w:val="17A032FB"/>
    <w:rsid w:val="17A252C5"/>
    <w:rsid w:val="17A32A46"/>
    <w:rsid w:val="17A54DB5"/>
    <w:rsid w:val="17A821AF"/>
    <w:rsid w:val="17AA23CB"/>
    <w:rsid w:val="17AA4179"/>
    <w:rsid w:val="17AD5A18"/>
    <w:rsid w:val="17AE4F8E"/>
    <w:rsid w:val="17AE59FC"/>
    <w:rsid w:val="17AF353E"/>
    <w:rsid w:val="17AF6E8C"/>
    <w:rsid w:val="17B2302E"/>
    <w:rsid w:val="17B46DA6"/>
    <w:rsid w:val="17B60D70"/>
    <w:rsid w:val="17B62B1E"/>
    <w:rsid w:val="17B80644"/>
    <w:rsid w:val="17B9260F"/>
    <w:rsid w:val="17B9616B"/>
    <w:rsid w:val="17BB1EE3"/>
    <w:rsid w:val="17BB6387"/>
    <w:rsid w:val="17BD20FF"/>
    <w:rsid w:val="17BD5C5B"/>
    <w:rsid w:val="17BE19D3"/>
    <w:rsid w:val="17BE7C25"/>
    <w:rsid w:val="17BF5E77"/>
    <w:rsid w:val="17C0399D"/>
    <w:rsid w:val="17C074F9"/>
    <w:rsid w:val="17C214C3"/>
    <w:rsid w:val="17C33BC1"/>
    <w:rsid w:val="17C52D61"/>
    <w:rsid w:val="17C76AD9"/>
    <w:rsid w:val="17C84600"/>
    <w:rsid w:val="17C92604"/>
    <w:rsid w:val="17CC40F0"/>
    <w:rsid w:val="17CE60BA"/>
    <w:rsid w:val="17CE7E68"/>
    <w:rsid w:val="17CF1E32"/>
    <w:rsid w:val="17D631C0"/>
    <w:rsid w:val="17D64F6F"/>
    <w:rsid w:val="17DA3589"/>
    <w:rsid w:val="17DA4A5F"/>
    <w:rsid w:val="17DB2585"/>
    <w:rsid w:val="17DD62FD"/>
    <w:rsid w:val="17DE3E23"/>
    <w:rsid w:val="17E01EA2"/>
    <w:rsid w:val="17E21B65"/>
    <w:rsid w:val="17E21D1B"/>
    <w:rsid w:val="17E23913"/>
    <w:rsid w:val="17E256C1"/>
    <w:rsid w:val="17E92EF4"/>
    <w:rsid w:val="17E94CA2"/>
    <w:rsid w:val="17EA0A1A"/>
    <w:rsid w:val="17EC02EE"/>
    <w:rsid w:val="17EC6540"/>
    <w:rsid w:val="17ED6A6A"/>
    <w:rsid w:val="17EE050A"/>
    <w:rsid w:val="17F378CF"/>
    <w:rsid w:val="17F43647"/>
    <w:rsid w:val="17F44130"/>
    <w:rsid w:val="17F453F5"/>
    <w:rsid w:val="17F50191"/>
    <w:rsid w:val="17F65611"/>
    <w:rsid w:val="17F83137"/>
    <w:rsid w:val="17F84EE5"/>
    <w:rsid w:val="17FA6EAF"/>
    <w:rsid w:val="17FB2C27"/>
    <w:rsid w:val="17FD24FB"/>
    <w:rsid w:val="17FD699F"/>
    <w:rsid w:val="18023FB5"/>
    <w:rsid w:val="1804388A"/>
    <w:rsid w:val="180457CB"/>
    <w:rsid w:val="18047D2E"/>
    <w:rsid w:val="18090EA0"/>
    <w:rsid w:val="180A0F27"/>
    <w:rsid w:val="180B10BC"/>
    <w:rsid w:val="180E64B6"/>
    <w:rsid w:val="18100480"/>
    <w:rsid w:val="181141F9"/>
    <w:rsid w:val="18133ACD"/>
    <w:rsid w:val="18147845"/>
    <w:rsid w:val="18167A61"/>
    <w:rsid w:val="1817209B"/>
    <w:rsid w:val="181810E3"/>
    <w:rsid w:val="18187335"/>
    <w:rsid w:val="18194E5B"/>
    <w:rsid w:val="181A30AD"/>
    <w:rsid w:val="181B5077"/>
    <w:rsid w:val="181B6E25"/>
    <w:rsid w:val="182061EA"/>
    <w:rsid w:val="18215D1E"/>
    <w:rsid w:val="18221F62"/>
    <w:rsid w:val="1824217E"/>
    <w:rsid w:val="18243F2C"/>
    <w:rsid w:val="18251A52"/>
    <w:rsid w:val="182643EE"/>
    <w:rsid w:val="18276C33"/>
    <w:rsid w:val="18297794"/>
    <w:rsid w:val="182C1032"/>
    <w:rsid w:val="18300B23"/>
    <w:rsid w:val="18316649"/>
    <w:rsid w:val="18325562"/>
    <w:rsid w:val="183548FE"/>
    <w:rsid w:val="18356139"/>
    <w:rsid w:val="18363C5F"/>
    <w:rsid w:val="18371AF7"/>
    <w:rsid w:val="18381785"/>
    <w:rsid w:val="18383533"/>
    <w:rsid w:val="18392864"/>
    <w:rsid w:val="183A374F"/>
    <w:rsid w:val="183B1275"/>
    <w:rsid w:val="183B3024"/>
    <w:rsid w:val="183C74C7"/>
    <w:rsid w:val="183D6D9C"/>
    <w:rsid w:val="183F48C2"/>
    <w:rsid w:val="18402737"/>
    <w:rsid w:val="18417829"/>
    <w:rsid w:val="18422604"/>
    <w:rsid w:val="18463EA2"/>
    <w:rsid w:val="18495740"/>
    <w:rsid w:val="184C5231"/>
    <w:rsid w:val="184D216A"/>
    <w:rsid w:val="184E2D57"/>
    <w:rsid w:val="18510A99"/>
    <w:rsid w:val="185365BF"/>
    <w:rsid w:val="185508FC"/>
    <w:rsid w:val="18561D8C"/>
    <w:rsid w:val="18567E5D"/>
    <w:rsid w:val="1858727D"/>
    <w:rsid w:val="185A16FC"/>
    <w:rsid w:val="185A5BA0"/>
    <w:rsid w:val="185B5474"/>
    <w:rsid w:val="185C36C6"/>
    <w:rsid w:val="185D11EC"/>
    <w:rsid w:val="185F6D12"/>
    <w:rsid w:val="18626802"/>
    <w:rsid w:val="1864257A"/>
    <w:rsid w:val="18644328"/>
    <w:rsid w:val="18646F61"/>
    <w:rsid w:val="186500A0"/>
    <w:rsid w:val="186503F1"/>
    <w:rsid w:val="18664544"/>
    <w:rsid w:val="18673E19"/>
    <w:rsid w:val="18694035"/>
    <w:rsid w:val="18697B91"/>
    <w:rsid w:val="186C7681"/>
    <w:rsid w:val="186E51A7"/>
    <w:rsid w:val="18702CCD"/>
    <w:rsid w:val="18711565"/>
    <w:rsid w:val="187622AE"/>
    <w:rsid w:val="18770500"/>
    <w:rsid w:val="18786026"/>
    <w:rsid w:val="18787DD4"/>
    <w:rsid w:val="187C3D68"/>
    <w:rsid w:val="187C78C4"/>
    <w:rsid w:val="187D363C"/>
    <w:rsid w:val="187D53EA"/>
    <w:rsid w:val="18820C52"/>
    <w:rsid w:val="18842C1C"/>
    <w:rsid w:val="18844E09"/>
    <w:rsid w:val="18846779"/>
    <w:rsid w:val="18860743"/>
    <w:rsid w:val="188624F1"/>
    <w:rsid w:val="188744BB"/>
    <w:rsid w:val="1888270D"/>
    <w:rsid w:val="188B5D59"/>
    <w:rsid w:val="1890511D"/>
    <w:rsid w:val="18932E60"/>
    <w:rsid w:val="18934C0E"/>
    <w:rsid w:val="189B6FE1"/>
    <w:rsid w:val="189E3CDE"/>
    <w:rsid w:val="189F1804"/>
    <w:rsid w:val="189F35B2"/>
    <w:rsid w:val="18A1732B"/>
    <w:rsid w:val="18A60DE5"/>
    <w:rsid w:val="18A706B9"/>
    <w:rsid w:val="18A84B5D"/>
    <w:rsid w:val="18A961DF"/>
    <w:rsid w:val="18AB63FB"/>
    <w:rsid w:val="18AE1A47"/>
    <w:rsid w:val="18AF5EEB"/>
    <w:rsid w:val="18B2778A"/>
    <w:rsid w:val="18B43502"/>
    <w:rsid w:val="18B52DD6"/>
    <w:rsid w:val="18B74DA0"/>
    <w:rsid w:val="18B90B18"/>
    <w:rsid w:val="18B96638"/>
    <w:rsid w:val="18BC23B6"/>
    <w:rsid w:val="18BC5F12"/>
    <w:rsid w:val="18BD1C8B"/>
    <w:rsid w:val="18C272A1"/>
    <w:rsid w:val="18C33745"/>
    <w:rsid w:val="18C4229C"/>
    <w:rsid w:val="18C474BD"/>
    <w:rsid w:val="18C63235"/>
    <w:rsid w:val="18C70C1D"/>
    <w:rsid w:val="18C748B7"/>
    <w:rsid w:val="18C9062F"/>
    <w:rsid w:val="18CD45C3"/>
    <w:rsid w:val="18CE5C46"/>
    <w:rsid w:val="18D05E62"/>
    <w:rsid w:val="18D21BDA"/>
    <w:rsid w:val="18D23988"/>
    <w:rsid w:val="18D25736"/>
    <w:rsid w:val="18D53221"/>
    <w:rsid w:val="18D646B1"/>
    <w:rsid w:val="18D72D4C"/>
    <w:rsid w:val="18D92F68"/>
    <w:rsid w:val="18DC30F4"/>
    <w:rsid w:val="18DD40DB"/>
    <w:rsid w:val="18DE057F"/>
    <w:rsid w:val="18DE232D"/>
    <w:rsid w:val="18E11E1D"/>
    <w:rsid w:val="18E13BCB"/>
    <w:rsid w:val="18E15979"/>
    <w:rsid w:val="18E37943"/>
    <w:rsid w:val="18E5190D"/>
    <w:rsid w:val="18E611E1"/>
    <w:rsid w:val="18E831AB"/>
    <w:rsid w:val="18E84F59"/>
    <w:rsid w:val="18E86D07"/>
    <w:rsid w:val="18EB4A4A"/>
    <w:rsid w:val="18EE0096"/>
    <w:rsid w:val="18EE3DC8"/>
    <w:rsid w:val="18EF453A"/>
    <w:rsid w:val="18F2402A"/>
    <w:rsid w:val="18F338FE"/>
    <w:rsid w:val="18F34BBA"/>
    <w:rsid w:val="18F51424"/>
    <w:rsid w:val="18F733EE"/>
    <w:rsid w:val="18F953B8"/>
    <w:rsid w:val="18FC0A05"/>
    <w:rsid w:val="18FC0F9D"/>
    <w:rsid w:val="18FE652B"/>
    <w:rsid w:val="18FF4051"/>
    <w:rsid w:val="19017DC9"/>
    <w:rsid w:val="19045B0B"/>
    <w:rsid w:val="190653E0"/>
    <w:rsid w:val="190A1374"/>
    <w:rsid w:val="190B0C48"/>
    <w:rsid w:val="190C5EC1"/>
    <w:rsid w:val="190D49C0"/>
    <w:rsid w:val="190D676E"/>
    <w:rsid w:val="19102702"/>
    <w:rsid w:val="19120228"/>
    <w:rsid w:val="1912647A"/>
    <w:rsid w:val="191331C3"/>
    <w:rsid w:val="19137AFC"/>
    <w:rsid w:val="19157D18"/>
    <w:rsid w:val="191775ED"/>
    <w:rsid w:val="19191C06"/>
    <w:rsid w:val="191A70DD"/>
    <w:rsid w:val="191B532F"/>
    <w:rsid w:val="191C4C03"/>
    <w:rsid w:val="191C59B6"/>
    <w:rsid w:val="191E097B"/>
    <w:rsid w:val="191E4E1F"/>
    <w:rsid w:val="191E6BCD"/>
    <w:rsid w:val="191F46F3"/>
    <w:rsid w:val="191F64A1"/>
    <w:rsid w:val="1921046B"/>
    <w:rsid w:val="192166BD"/>
    <w:rsid w:val="19241D0A"/>
    <w:rsid w:val="19257F5C"/>
    <w:rsid w:val="19263AE7"/>
    <w:rsid w:val="19267830"/>
    <w:rsid w:val="192817FA"/>
    <w:rsid w:val="192835A8"/>
    <w:rsid w:val="192B12EA"/>
    <w:rsid w:val="192B3098"/>
    <w:rsid w:val="192B4E46"/>
    <w:rsid w:val="192D5062"/>
    <w:rsid w:val="192D6E10"/>
    <w:rsid w:val="193006AE"/>
    <w:rsid w:val="1931131D"/>
    <w:rsid w:val="19314B52"/>
    <w:rsid w:val="193208CA"/>
    <w:rsid w:val="1934019F"/>
    <w:rsid w:val="193450CD"/>
    <w:rsid w:val="19353F17"/>
    <w:rsid w:val="19375EE1"/>
    <w:rsid w:val="19377C8F"/>
    <w:rsid w:val="19383A4E"/>
    <w:rsid w:val="193A152D"/>
    <w:rsid w:val="193B3B10"/>
    <w:rsid w:val="193C34F7"/>
    <w:rsid w:val="193C3833"/>
    <w:rsid w:val="193C7053"/>
    <w:rsid w:val="19410B0E"/>
    <w:rsid w:val="1941466A"/>
    <w:rsid w:val="19481E9C"/>
    <w:rsid w:val="194849D3"/>
    <w:rsid w:val="19502AFF"/>
    <w:rsid w:val="19526877"/>
    <w:rsid w:val="1954439D"/>
    <w:rsid w:val="19573E8D"/>
    <w:rsid w:val="195919B3"/>
    <w:rsid w:val="195B1BCF"/>
    <w:rsid w:val="195E346D"/>
    <w:rsid w:val="195F2D42"/>
    <w:rsid w:val="19600F94"/>
    <w:rsid w:val="196321D2"/>
    <w:rsid w:val="19632832"/>
    <w:rsid w:val="19636CD6"/>
    <w:rsid w:val="19640FE0"/>
    <w:rsid w:val="196565AA"/>
    <w:rsid w:val="196640D0"/>
    <w:rsid w:val="196842EC"/>
    <w:rsid w:val="1968609A"/>
    <w:rsid w:val="196A1E12"/>
    <w:rsid w:val="196A3BC0"/>
    <w:rsid w:val="197131A1"/>
    <w:rsid w:val="19722A75"/>
    <w:rsid w:val="1972506F"/>
    <w:rsid w:val="19744A3F"/>
    <w:rsid w:val="197467ED"/>
    <w:rsid w:val="1977452F"/>
    <w:rsid w:val="197B401F"/>
    <w:rsid w:val="197C1B46"/>
    <w:rsid w:val="197D2182"/>
    <w:rsid w:val="197E766C"/>
    <w:rsid w:val="19801D7F"/>
    <w:rsid w:val="19810F0A"/>
    <w:rsid w:val="1981715C"/>
    <w:rsid w:val="19834C82"/>
    <w:rsid w:val="19836A30"/>
    <w:rsid w:val="198804EA"/>
    <w:rsid w:val="198B3B37"/>
    <w:rsid w:val="198C7FDB"/>
    <w:rsid w:val="198D78AF"/>
    <w:rsid w:val="198F3627"/>
    <w:rsid w:val="19915305"/>
    <w:rsid w:val="1993036C"/>
    <w:rsid w:val="1996446A"/>
    <w:rsid w:val="1998697F"/>
    <w:rsid w:val="19996254"/>
    <w:rsid w:val="199B6470"/>
    <w:rsid w:val="199B6E8F"/>
    <w:rsid w:val="199D3F96"/>
    <w:rsid w:val="199E1ABC"/>
    <w:rsid w:val="199E7D0E"/>
    <w:rsid w:val="19A03A86"/>
    <w:rsid w:val="19A1335A"/>
    <w:rsid w:val="19A370D2"/>
    <w:rsid w:val="19A753EF"/>
    <w:rsid w:val="19A846E9"/>
    <w:rsid w:val="19A90B8D"/>
    <w:rsid w:val="19A928E0"/>
    <w:rsid w:val="19AC242B"/>
    <w:rsid w:val="19AD1CFF"/>
    <w:rsid w:val="19AF3CC9"/>
    <w:rsid w:val="19B117EF"/>
    <w:rsid w:val="19B17A41"/>
    <w:rsid w:val="19B60BB4"/>
    <w:rsid w:val="19B65058"/>
    <w:rsid w:val="19B7492C"/>
    <w:rsid w:val="19B80DD0"/>
    <w:rsid w:val="19B906A4"/>
    <w:rsid w:val="19B94B48"/>
    <w:rsid w:val="19B968F6"/>
    <w:rsid w:val="19BB08C0"/>
    <w:rsid w:val="19BB266E"/>
    <w:rsid w:val="19BD63E6"/>
    <w:rsid w:val="19BE215E"/>
    <w:rsid w:val="19C05F96"/>
    <w:rsid w:val="19C07C84"/>
    <w:rsid w:val="19C33487"/>
    <w:rsid w:val="19C71013"/>
    <w:rsid w:val="19C77265"/>
    <w:rsid w:val="19C808E7"/>
    <w:rsid w:val="19C84D8B"/>
    <w:rsid w:val="19CA0B03"/>
    <w:rsid w:val="19CA28B1"/>
    <w:rsid w:val="19CC03D7"/>
    <w:rsid w:val="19CD414F"/>
    <w:rsid w:val="19CF7EC7"/>
    <w:rsid w:val="19D13C3F"/>
    <w:rsid w:val="19D379B8"/>
    <w:rsid w:val="19D43730"/>
    <w:rsid w:val="19D84FCE"/>
    <w:rsid w:val="19D9027E"/>
    <w:rsid w:val="19D90D46"/>
    <w:rsid w:val="19D92AF4"/>
    <w:rsid w:val="19DB061A"/>
    <w:rsid w:val="19DB4ABE"/>
    <w:rsid w:val="19DB686C"/>
    <w:rsid w:val="19DC4392"/>
    <w:rsid w:val="19DD005E"/>
    <w:rsid w:val="19DD0836"/>
    <w:rsid w:val="19DD25E4"/>
    <w:rsid w:val="19DE635C"/>
    <w:rsid w:val="19DF45AE"/>
    <w:rsid w:val="19E020D4"/>
    <w:rsid w:val="19E27EA0"/>
    <w:rsid w:val="19E33973"/>
    <w:rsid w:val="19E33D6F"/>
    <w:rsid w:val="19E41BC5"/>
    <w:rsid w:val="19E46AD2"/>
    <w:rsid w:val="19E716B5"/>
    <w:rsid w:val="19E951A2"/>
    <w:rsid w:val="19E971DB"/>
    <w:rsid w:val="19EA2F53"/>
    <w:rsid w:val="19EB3DD4"/>
    <w:rsid w:val="19EC2827"/>
    <w:rsid w:val="19EC5264"/>
    <w:rsid w:val="19EC6CCB"/>
    <w:rsid w:val="19EF40C6"/>
    <w:rsid w:val="19EF65D1"/>
    <w:rsid w:val="19F16090"/>
    <w:rsid w:val="19F416DC"/>
    <w:rsid w:val="19F4792E"/>
    <w:rsid w:val="19F811CC"/>
    <w:rsid w:val="19F85670"/>
    <w:rsid w:val="19F94F44"/>
    <w:rsid w:val="19FB0CBC"/>
    <w:rsid w:val="19FB53A7"/>
    <w:rsid w:val="19FD4A34"/>
    <w:rsid w:val="19FD67E3"/>
    <w:rsid w:val="1A037B71"/>
    <w:rsid w:val="1A045DC3"/>
    <w:rsid w:val="1A07140F"/>
    <w:rsid w:val="1A083090"/>
    <w:rsid w:val="1A0A0EFF"/>
    <w:rsid w:val="1A0C111B"/>
    <w:rsid w:val="1A0C2EC9"/>
    <w:rsid w:val="1A11228E"/>
    <w:rsid w:val="1A116732"/>
    <w:rsid w:val="1A143B2C"/>
    <w:rsid w:val="1A163D48"/>
    <w:rsid w:val="1A1656B7"/>
    <w:rsid w:val="1A1678A4"/>
    <w:rsid w:val="1A187AC0"/>
    <w:rsid w:val="1A1A5AAF"/>
    <w:rsid w:val="1A1D6E85"/>
    <w:rsid w:val="1A1F0E4F"/>
    <w:rsid w:val="1A231FC1"/>
    <w:rsid w:val="1A237F03"/>
    <w:rsid w:val="1A253F8B"/>
    <w:rsid w:val="1A271AB1"/>
    <w:rsid w:val="1A2C26F6"/>
    <w:rsid w:val="1A2C356C"/>
    <w:rsid w:val="1A2D2445"/>
    <w:rsid w:val="1A2E1092"/>
    <w:rsid w:val="1A2E4BEE"/>
    <w:rsid w:val="1A304E0A"/>
    <w:rsid w:val="1A3146DE"/>
    <w:rsid w:val="1A330456"/>
    <w:rsid w:val="1A332204"/>
    <w:rsid w:val="1A352420"/>
    <w:rsid w:val="1A3537A8"/>
    <w:rsid w:val="1A381F10"/>
    <w:rsid w:val="1A383CBF"/>
    <w:rsid w:val="1A3A17E5"/>
    <w:rsid w:val="1A3B555D"/>
    <w:rsid w:val="1A3F329F"/>
    <w:rsid w:val="1A3F504D"/>
    <w:rsid w:val="1A402B73"/>
    <w:rsid w:val="1A404921"/>
    <w:rsid w:val="1A441E0D"/>
    <w:rsid w:val="1A4563DB"/>
    <w:rsid w:val="1A48697C"/>
    <w:rsid w:val="1A491A28"/>
    <w:rsid w:val="1A497C7A"/>
    <w:rsid w:val="1A4A57A0"/>
    <w:rsid w:val="1A4C1518"/>
    <w:rsid w:val="1A4C59BC"/>
    <w:rsid w:val="1A4E34E2"/>
    <w:rsid w:val="1A4E703E"/>
    <w:rsid w:val="1A4F2DB6"/>
    <w:rsid w:val="1A50725A"/>
    <w:rsid w:val="1A512FD2"/>
    <w:rsid w:val="1A530AF8"/>
    <w:rsid w:val="1A5328A6"/>
    <w:rsid w:val="1A540A63"/>
    <w:rsid w:val="1A562397"/>
    <w:rsid w:val="1A587EBD"/>
    <w:rsid w:val="1A5A1E87"/>
    <w:rsid w:val="1A5A3C35"/>
    <w:rsid w:val="1A5B5BFF"/>
    <w:rsid w:val="1A5D7847"/>
    <w:rsid w:val="1A633C55"/>
    <w:rsid w:val="1A642D06"/>
    <w:rsid w:val="1A6525DA"/>
    <w:rsid w:val="1A654388"/>
    <w:rsid w:val="1A676352"/>
    <w:rsid w:val="1A6920CA"/>
    <w:rsid w:val="1A693E78"/>
    <w:rsid w:val="1A6C3968"/>
    <w:rsid w:val="1A6E76E0"/>
    <w:rsid w:val="1A701A29"/>
    <w:rsid w:val="1A7171D0"/>
    <w:rsid w:val="1A7222BA"/>
    <w:rsid w:val="1A725422"/>
    <w:rsid w:val="1A75281D"/>
    <w:rsid w:val="1A7647E7"/>
    <w:rsid w:val="1A78230D"/>
    <w:rsid w:val="1A7975BC"/>
    <w:rsid w:val="1A7A361D"/>
    <w:rsid w:val="1A7A7E33"/>
    <w:rsid w:val="1A7B1DFD"/>
    <w:rsid w:val="1A7F18ED"/>
    <w:rsid w:val="1A7F5449"/>
    <w:rsid w:val="1A805D4E"/>
    <w:rsid w:val="1A815666"/>
    <w:rsid w:val="1A824F3A"/>
    <w:rsid w:val="1A846F04"/>
    <w:rsid w:val="1A8567D8"/>
    <w:rsid w:val="1A8769F4"/>
    <w:rsid w:val="1A8B19D1"/>
    <w:rsid w:val="1A8B2040"/>
    <w:rsid w:val="1A8E7D82"/>
    <w:rsid w:val="1A8F17E2"/>
    <w:rsid w:val="1A9133CF"/>
    <w:rsid w:val="1A91517D"/>
    <w:rsid w:val="1A951111"/>
    <w:rsid w:val="1A974E89"/>
    <w:rsid w:val="1A9829AF"/>
    <w:rsid w:val="1A9A04D5"/>
    <w:rsid w:val="1A9A6727"/>
    <w:rsid w:val="1A9B5DC1"/>
    <w:rsid w:val="1A9C3DE6"/>
    <w:rsid w:val="1A9D1D74"/>
    <w:rsid w:val="1A9F789A"/>
    <w:rsid w:val="1AA03612"/>
    <w:rsid w:val="1AA17AB6"/>
    <w:rsid w:val="1AA43102"/>
    <w:rsid w:val="1AA44EB0"/>
    <w:rsid w:val="1AA66E7A"/>
    <w:rsid w:val="1AA97B2B"/>
    <w:rsid w:val="1AAA63EA"/>
    <w:rsid w:val="1AAB26E2"/>
    <w:rsid w:val="1AAE21D3"/>
    <w:rsid w:val="1AAE793C"/>
    <w:rsid w:val="1AB05F4B"/>
    <w:rsid w:val="1AB21836"/>
    <w:rsid w:val="1AB44C3E"/>
    <w:rsid w:val="1AB5530F"/>
    <w:rsid w:val="1AB62E35"/>
    <w:rsid w:val="1AB64BE3"/>
    <w:rsid w:val="1AB7310B"/>
    <w:rsid w:val="1AB772D9"/>
    <w:rsid w:val="1AB8095B"/>
    <w:rsid w:val="1ABA2925"/>
    <w:rsid w:val="1ABD2416"/>
    <w:rsid w:val="1ABD36C6"/>
    <w:rsid w:val="1AC437A4"/>
    <w:rsid w:val="1AC52FF2"/>
    <w:rsid w:val="1AC612CA"/>
    <w:rsid w:val="1AC75042"/>
    <w:rsid w:val="1AC90DBB"/>
    <w:rsid w:val="1AC9700C"/>
    <w:rsid w:val="1ACB68E1"/>
    <w:rsid w:val="1ACD08AB"/>
    <w:rsid w:val="1AD03EF7"/>
    <w:rsid w:val="1AD11A1D"/>
    <w:rsid w:val="1AD25EC1"/>
    <w:rsid w:val="1AD31C39"/>
    <w:rsid w:val="1AD339E7"/>
    <w:rsid w:val="1AD87250"/>
    <w:rsid w:val="1ADA02D8"/>
    <w:rsid w:val="1ADA3D88"/>
    <w:rsid w:val="1ADC289C"/>
    <w:rsid w:val="1ADD03C2"/>
    <w:rsid w:val="1ADF413A"/>
    <w:rsid w:val="1AE14356"/>
    <w:rsid w:val="1AE23C2A"/>
    <w:rsid w:val="1AE31E7C"/>
    <w:rsid w:val="1AE41750"/>
    <w:rsid w:val="1AE6196C"/>
    <w:rsid w:val="1AEB0D31"/>
    <w:rsid w:val="1AEB6F83"/>
    <w:rsid w:val="1AED2CFB"/>
    <w:rsid w:val="1AEE25CF"/>
    <w:rsid w:val="1AF04599"/>
    <w:rsid w:val="1AF20311"/>
    <w:rsid w:val="1AF37BE5"/>
    <w:rsid w:val="1AF53561"/>
    <w:rsid w:val="1AF71484"/>
    <w:rsid w:val="1AF775C2"/>
    <w:rsid w:val="1AF916A0"/>
    <w:rsid w:val="1AFC1190"/>
    <w:rsid w:val="1B040045"/>
    <w:rsid w:val="1B061915"/>
    <w:rsid w:val="1B09565B"/>
    <w:rsid w:val="1B0B3181"/>
    <w:rsid w:val="1B0B4F2F"/>
    <w:rsid w:val="1B0B72D0"/>
    <w:rsid w:val="1B0E2C71"/>
    <w:rsid w:val="1B0E4A1F"/>
    <w:rsid w:val="1B0F0EC3"/>
    <w:rsid w:val="1B0F349B"/>
    <w:rsid w:val="1B102545"/>
    <w:rsid w:val="1B124510"/>
    <w:rsid w:val="1B13565A"/>
    <w:rsid w:val="1B140288"/>
    <w:rsid w:val="1B1464DA"/>
    <w:rsid w:val="1B161832"/>
    <w:rsid w:val="1B18764C"/>
    <w:rsid w:val="1B19589E"/>
    <w:rsid w:val="1B1A1616"/>
    <w:rsid w:val="1B1A7868"/>
    <w:rsid w:val="1B1C713C"/>
    <w:rsid w:val="1B1D12DD"/>
    <w:rsid w:val="1B1E1106"/>
    <w:rsid w:val="1B1E2EB4"/>
    <w:rsid w:val="1B1E3089"/>
    <w:rsid w:val="1B1F6C2C"/>
    <w:rsid w:val="1B20508D"/>
    <w:rsid w:val="1B214753"/>
    <w:rsid w:val="1B21651D"/>
    <w:rsid w:val="1B245FF1"/>
    <w:rsid w:val="1B252495"/>
    <w:rsid w:val="1B285AE1"/>
    <w:rsid w:val="1B28788F"/>
    <w:rsid w:val="1B2C3630"/>
    <w:rsid w:val="1B2D759B"/>
    <w:rsid w:val="1B2E0A8D"/>
    <w:rsid w:val="1B2E0C1E"/>
    <w:rsid w:val="1B2E6E70"/>
    <w:rsid w:val="1B320932"/>
    <w:rsid w:val="1B326960"/>
    <w:rsid w:val="1B333503"/>
    <w:rsid w:val="1B34092A"/>
    <w:rsid w:val="1B395F40"/>
    <w:rsid w:val="1B3A75C2"/>
    <w:rsid w:val="1B3C77DE"/>
    <w:rsid w:val="1B401413"/>
    <w:rsid w:val="1B4072CF"/>
    <w:rsid w:val="1B412001"/>
    <w:rsid w:val="1B414DF5"/>
    <w:rsid w:val="1B415D06"/>
    <w:rsid w:val="1B416BA3"/>
    <w:rsid w:val="1B430B6D"/>
    <w:rsid w:val="1B432FF8"/>
    <w:rsid w:val="1B4346C9"/>
    <w:rsid w:val="1B440441"/>
    <w:rsid w:val="1B4548E5"/>
    <w:rsid w:val="1B495729"/>
    <w:rsid w:val="1B4A3CA9"/>
    <w:rsid w:val="1B4B7A22"/>
    <w:rsid w:val="1B4D379A"/>
    <w:rsid w:val="1B4D5548"/>
    <w:rsid w:val="1B4E306E"/>
    <w:rsid w:val="1B4F12C0"/>
    <w:rsid w:val="1B4F7512"/>
    <w:rsid w:val="1B5055FC"/>
    <w:rsid w:val="1B513EBB"/>
    <w:rsid w:val="1B520DB0"/>
    <w:rsid w:val="1B522B5E"/>
    <w:rsid w:val="1B532AED"/>
    <w:rsid w:val="1B570174"/>
    <w:rsid w:val="1B5763C6"/>
    <w:rsid w:val="1B590D06"/>
    <w:rsid w:val="1B5B127F"/>
    <w:rsid w:val="1B6034CD"/>
    <w:rsid w:val="1B612DA1"/>
    <w:rsid w:val="1B617245"/>
    <w:rsid w:val="1B634D6B"/>
    <w:rsid w:val="1B636B19"/>
    <w:rsid w:val="1B66485B"/>
    <w:rsid w:val="1B682381"/>
    <w:rsid w:val="1B6A434C"/>
    <w:rsid w:val="1B6C3693"/>
    <w:rsid w:val="1B6D7998"/>
    <w:rsid w:val="1B70572B"/>
    <w:rsid w:val="1B707488"/>
    <w:rsid w:val="1B720792"/>
    <w:rsid w:val="1B721452"/>
    <w:rsid w:val="1B740D26"/>
    <w:rsid w:val="1B746F78"/>
    <w:rsid w:val="1B754A9E"/>
    <w:rsid w:val="1B75684C"/>
    <w:rsid w:val="1B762CF0"/>
    <w:rsid w:val="1B783377"/>
    <w:rsid w:val="1B7900EB"/>
    <w:rsid w:val="1B7927E1"/>
    <w:rsid w:val="1B7B7127"/>
    <w:rsid w:val="1B7E7DF7"/>
    <w:rsid w:val="1B7F1479"/>
    <w:rsid w:val="1B7F6F38"/>
    <w:rsid w:val="1B811695"/>
    <w:rsid w:val="1B811858"/>
    <w:rsid w:val="1B813443"/>
    <w:rsid w:val="1B826FFA"/>
    <w:rsid w:val="1B842DF4"/>
    <w:rsid w:val="1B851185"/>
    <w:rsid w:val="1B854CE1"/>
    <w:rsid w:val="1B862808"/>
    <w:rsid w:val="1B866CAC"/>
    <w:rsid w:val="1B886580"/>
    <w:rsid w:val="1B8A054A"/>
    <w:rsid w:val="1B8A22F8"/>
    <w:rsid w:val="1B8C2514"/>
    <w:rsid w:val="1B8D003A"/>
    <w:rsid w:val="1B8D1DE8"/>
    <w:rsid w:val="1B8F3DB2"/>
    <w:rsid w:val="1B91134D"/>
    <w:rsid w:val="1B9413C8"/>
    <w:rsid w:val="1B99253B"/>
    <w:rsid w:val="1B997ADF"/>
    <w:rsid w:val="1B9C027D"/>
    <w:rsid w:val="1B9C64CF"/>
    <w:rsid w:val="1BA07D6D"/>
    <w:rsid w:val="1BA3785E"/>
    <w:rsid w:val="1BA50EE0"/>
    <w:rsid w:val="1BA809D0"/>
    <w:rsid w:val="1BA84E74"/>
    <w:rsid w:val="1BA875D4"/>
    <w:rsid w:val="1BAA299A"/>
    <w:rsid w:val="1BAA4748"/>
    <w:rsid w:val="1BAC6712"/>
    <w:rsid w:val="1BAD248A"/>
    <w:rsid w:val="1BAD4238"/>
    <w:rsid w:val="1BAF6202"/>
    <w:rsid w:val="1BB11F7A"/>
    <w:rsid w:val="1BB21DC7"/>
    <w:rsid w:val="1BB42683"/>
    <w:rsid w:val="1BB43819"/>
    <w:rsid w:val="1BB455C7"/>
    <w:rsid w:val="1BB630ED"/>
    <w:rsid w:val="1BB67591"/>
    <w:rsid w:val="1BB76E65"/>
    <w:rsid w:val="1BB90E2F"/>
    <w:rsid w:val="1BBA19E9"/>
    <w:rsid w:val="1BBA312A"/>
    <w:rsid w:val="1BBB4BA7"/>
    <w:rsid w:val="1BBC26CD"/>
    <w:rsid w:val="1BBC447B"/>
    <w:rsid w:val="1BBD091F"/>
    <w:rsid w:val="1BBE01F3"/>
    <w:rsid w:val="1BBE1FA1"/>
    <w:rsid w:val="1BC17CE4"/>
    <w:rsid w:val="1BC31CAE"/>
    <w:rsid w:val="1BC51582"/>
    <w:rsid w:val="1BC86F86"/>
    <w:rsid w:val="1BCC553F"/>
    <w:rsid w:val="1BCD6688"/>
    <w:rsid w:val="1BD21EF1"/>
    <w:rsid w:val="1BD57D32"/>
    <w:rsid w:val="1BD611C2"/>
    <w:rsid w:val="1BD619E1"/>
    <w:rsid w:val="1BD73063"/>
    <w:rsid w:val="1BDB0DA5"/>
    <w:rsid w:val="1BE0016A"/>
    <w:rsid w:val="1BE0460E"/>
    <w:rsid w:val="1BE13EE2"/>
    <w:rsid w:val="1BE22134"/>
    <w:rsid w:val="1BE37C5A"/>
    <w:rsid w:val="1BE51C24"/>
    <w:rsid w:val="1BE614F8"/>
    <w:rsid w:val="1BE7774A"/>
    <w:rsid w:val="1BEA0FE8"/>
    <w:rsid w:val="1BEA2D97"/>
    <w:rsid w:val="1BEC33E8"/>
    <w:rsid w:val="1BED2887"/>
    <w:rsid w:val="1BEF2AA3"/>
    <w:rsid w:val="1BF105C9"/>
    <w:rsid w:val="1BF27E9D"/>
    <w:rsid w:val="1BF34341"/>
    <w:rsid w:val="1BF6798D"/>
    <w:rsid w:val="1BF9122C"/>
    <w:rsid w:val="1BF956CF"/>
    <w:rsid w:val="1BFB4FA4"/>
    <w:rsid w:val="1BFD0D1C"/>
    <w:rsid w:val="1BFE4A94"/>
    <w:rsid w:val="1C006A5E"/>
    <w:rsid w:val="1C024584"/>
    <w:rsid w:val="1C026332"/>
    <w:rsid w:val="1C0320AA"/>
    <w:rsid w:val="1C054074"/>
    <w:rsid w:val="1C0876C1"/>
    <w:rsid w:val="1C093B64"/>
    <w:rsid w:val="1C0A3439"/>
    <w:rsid w:val="1C0C5403"/>
    <w:rsid w:val="1C0C71B1"/>
    <w:rsid w:val="1C0F6CA1"/>
    <w:rsid w:val="1C1147C7"/>
    <w:rsid w:val="1C1153B4"/>
    <w:rsid w:val="1C1222ED"/>
    <w:rsid w:val="1C122D10"/>
    <w:rsid w:val="1C13053F"/>
    <w:rsid w:val="1C142509"/>
    <w:rsid w:val="1C1C24C7"/>
    <w:rsid w:val="1C1C589D"/>
    <w:rsid w:val="1C1F0E48"/>
    <w:rsid w:val="1C2344FA"/>
    <w:rsid w:val="1C236088"/>
    <w:rsid w:val="1C250273"/>
    <w:rsid w:val="1C252021"/>
    <w:rsid w:val="1C25283A"/>
    <w:rsid w:val="1C27223D"/>
    <w:rsid w:val="1C273FEB"/>
    <w:rsid w:val="1C275D99"/>
    <w:rsid w:val="1C281B11"/>
    <w:rsid w:val="1C2838BF"/>
    <w:rsid w:val="1C297D63"/>
    <w:rsid w:val="1C2A3ADB"/>
    <w:rsid w:val="1C2A5F5B"/>
    <w:rsid w:val="1C2C33AF"/>
    <w:rsid w:val="1C2D7127"/>
    <w:rsid w:val="1C30068C"/>
    <w:rsid w:val="1C33298F"/>
    <w:rsid w:val="1C381D54"/>
    <w:rsid w:val="1C3B7A96"/>
    <w:rsid w:val="1C406E5A"/>
    <w:rsid w:val="1C420E24"/>
    <w:rsid w:val="1C4241E2"/>
    <w:rsid w:val="1C424981"/>
    <w:rsid w:val="1C44694B"/>
    <w:rsid w:val="1C471F7E"/>
    <w:rsid w:val="1C47468D"/>
    <w:rsid w:val="1C475483"/>
    <w:rsid w:val="1C4806F3"/>
    <w:rsid w:val="1C482575"/>
    <w:rsid w:val="1C4921B3"/>
    <w:rsid w:val="1C4A3E04"/>
    <w:rsid w:val="1C4A5F2B"/>
    <w:rsid w:val="1C4C1CA3"/>
    <w:rsid w:val="1C4E1577"/>
    <w:rsid w:val="1C4E5A1B"/>
    <w:rsid w:val="1C4E77C9"/>
    <w:rsid w:val="1C4F3541"/>
    <w:rsid w:val="1C4F50A5"/>
    <w:rsid w:val="1C4F709D"/>
    <w:rsid w:val="1C511068"/>
    <w:rsid w:val="1C512E16"/>
    <w:rsid w:val="1C542906"/>
    <w:rsid w:val="1C550F17"/>
    <w:rsid w:val="1C556DAA"/>
    <w:rsid w:val="1C56042C"/>
    <w:rsid w:val="1C563AE8"/>
    <w:rsid w:val="1C56667E"/>
    <w:rsid w:val="1C5841A4"/>
    <w:rsid w:val="1C597F1C"/>
    <w:rsid w:val="1C5A616E"/>
    <w:rsid w:val="1C6012AB"/>
    <w:rsid w:val="1C625023"/>
    <w:rsid w:val="1C632B49"/>
    <w:rsid w:val="1C63351B"/>
    <w:rsid w:val="1C64757C"/>
    <w:rsid w:val="1C654B13"/>
    <w:rsid w:val="1C6568C1"/>
    <w:rsid w:val="1C67088B"/>
    <w:rsid w:val="1C6963B1"/>
    <w:rsid w:val="1C6C5EA1"/>
    <w:rsid w:val="1C6E4E91"/>
    <w:rsid w:val="1C6E5776"/>
    <w:rsid w:val="1C6E7E6B"/>
    <w:rsid w:val="1C6F14EE"/>
    <w:rsid w:val="1C6F7740"/>
    <w:rsid w:val="1C715266"/>
    <w:rsid w:val="1C730FDE"/>
    <w:rsid w:val="1C737BD1"/>
    <w:rsid w:val="1C744D1F"/>
    <w:rsid w:val="1C746B04"/>
    <w:rsid w:val="1C752FA8"/>
    <w:rsid w:val="1C766D20"/>
    <w:rsid w:val="1C7859F2"/>
    <w:rsid w:val="1C7B4336"/>
    <w:rsid w:val="1C7D1E5D"/>
    <w:rsid w:val="1C7F5BD5"/>
    <w:rsid w:val="1C821221"/>
    <w:rsid w:val="1C832B05"/>
    <w:rsid w:val="1C8431EB"/>
    <w:rsid w:val="1C8651B5"/>
    <w:rsid w:val="1C874A89"/>
    <w:rsid w:val="1C88198D"/>
    <w:rsid w:val="1C897E07"/>
    <w:rsid w:val="1C8C02F2"/>
    <w:rsid w:val="1C8F393E"/>
    <w:rsid w:val="1C913B5A"/>
    <w:rsid w:val="1C9378D2"/>
    <w:rsid w:val="1C962F1E"/>
    <w:rsid w:val="1C994D2B"/>
    <w:rsid w:val="1C9A47BD"/>
    <w:rsid w:val="1C9B0535"/>
    <w:rsid w:val="1C9C6787"/>
    <w:rsid w:val="1C9F0025"/>
    <w:rsid w:val="1C9F0B9D"/>
    <w:rsid w:val="1CA05B4B"/>
    <w:rsid w:val="1CA078F9"/>
    <w:rsid w:val="1CA218C3"/>
    <w:rsid w:val="1CA4563B"/>
    <w:rsid w:val="1CA63842"/>
    <w:rsid w:val="1CA70C88"/>
    <w:rsid w:val="1CA7512B"/>
    <w:rsid w:val="1CAA0778"/>
    <w:rsid w:val="1CAA0881"/>
    <w:rsid w:val="1CAB69CA"/>
    <w:rsid w:val="1CAC2742"/>
    <w:rsid w:val="1CAD5509"/>
    <w:rsid w:val="1CAE0268"/>
    <w:rsid w:val="1CAE2016"/>
    <w:rsid w:val="1CAE64BA"/>
    <w:rsid w:val="1CB14442"/>
    <w:rsid w:val="1CB33AD0"/>
    <w:rsid w:val="1CB3587E"/>
    <w:rsid w:val="1CB533A4"/>
    <w:rsid w:val="1CBB2985"/>
    <w:rsid w:val="1CBC0BD7"/>
    <w:rsid w:val="1CBC2C96"/>
    <w:rsid w:val="1CC13F37"/>
    <w:rsid w:val="1CC21F65"/>
    <w:rsid w:val="1CC25AC1"/>
    <w:rsid w:val="1CC41839"/>
    <w:rsid w:val="1CC45CDD"/>
    <w:rsid w:val="1CC57360"/>
    <w:rsid w:val="1CC655B2"/>
    <w:rsid w:val="1CC72A4C"/>
    <w:rsid w:val="1CC932F4"/>
    <w:rsid w:val="1CCB706C"/>
    <w:rsid w:val="1CCB7BBA"/>
    <w:rsid w:val="1CCC06EE"/>
    <w:rsid w:val="1CCC6940"/>
    <w:rsid w:val="1CCE090A"/>
    <w:rsid w:val="1CD001DE"/>
    <w:rsid w:val="1CD04682"/>
    <w:rsid w:val="1CD13F56"/>
    <w:rsid w:val="1CD37A8D"/>
    <w:rsid w:val="1CD423AD"/>
    <w:rsid w:val="1CD501DC"/>
    <w:rsid w:val="1CD557F5"/>
    <w:rsid w:val="1CD6156D"/>
    <w:rsid w:val="1CD75A11"/>
    <w:rsid w:val="1CD83537"/>
    <w:rsid w:val="1CD852E5"/>
    <w:rsid w:val="1CD921BE"/>
    <w:rsid w:val="1CDA2E0B"/>
    <w:rsid w:val="1CDA364E"/>
    <w:rsid w:val="1CDC4DD5"/>
    <w:rsid w:val="1CDF48C5"/>
    <w:rsid w:val="1CE04199"/>
    <w:rsid w:val="1CE4012E"/>
    <w:rsid w:val="1CE41EA1"/>
    <w:rsid w:val="1CE43C8A"/>
    <w:rsid w:val="1CE617B0"/>
    <w:rsid w:val="1CE67A02"/>
    <w:rsid w:val="1CE7377A"/>
    <w:rsid w:val="1CE912A0"/>
    <w:rsid w:val="1CE91CB2"/>
    <w:rsid w:val="1CEA3142"/>
    <w:rsid w:val="1CEB45D2"/>
    <w:rsid w:val="1CEC0D90"/>
    <w:rsid w:val="1CEC2B3E"/>
    <w:rsid w:val="1CEE2D5A"/>
    <w:rsid w:val="1CEE5B24"/>
    <w:rsid w:val="1CEF6FB4"/>
    <w:rsid w:val="1CF00880"/>
    <w:rsid w:val="1CF0262F"/>
    <w:rsid w:val="1CF2597D"/>
    <w:rsid w:val="1CF30371"/>
    <w:rsid w:val="1CF55E97"/>
    <w:rsid w:val="1CF77E61"/>
    <w:rsid w:val="1CF814E3"/>
    <w:rsid w:val="1CF87735"/>
    <w:rsid w:val="1CFA34AD"/>
    <w:rsid w:val="1CFB5557"/>
    <w:rsid w:val="1CFD5264"/>
    <w:rsid w:val="1CFE2A48"/>
    <w:rsid w:val="1CFF6D16"/>
    <w:rsid w:val="1D01483C"/>
    <w:rsid w:val="1D0460DA"/>
    <w:rsid w:val="1D047E88"/>
    <w:rsid w:val="1D05291B"/>
    <w:rsid w:val="1D0600A4"/>
    <w:rsid w:val="1D077978"/>
    <w:rsid w:val="1D085BCA"/>
    <w:rsid w:val="1D0C4F8F"/>
    <w:rsid w:val="1D0D31E0"/>
    <w:rsid w:val="1D0E6F59"/>
    <w:rsid w:val="1D1327C1"/>
    <w:rsid w:val="1D13456F"/>
    <w:rsid w:val="1D134F1F"/>
    <w:rsid w:val="1D156539"/>
    <w:rsid w:val="1D165AF0"/>
    <w:rsid w:val="1D1861C0"/>
    <w:rsid w:val="1D197650"/>
    <w:rsid w:val="1D1E53EE"/>
    <w:rsid w:val="1D1F2F14"/>
    <w:rsid w:val="1D214EDE"/>
    <w:rsid w:val="1D222A1E"/>
    <w:rsid w:val="1D2247B2"/>
    <w:rsid w:val="1D232A04"/>
    <w:rsid w:val="1D24052A"/>
    <w:rsid w:val="1D2422D8"/>
    <w:rsid w:val="1D244763"/>
    <w:rsid w:val="1D2642A2"/>
    <w:rsid w:val="1D266050"/>
    <w:rsid w:val="1D28626C"/>
    <w:rsid w:val="1D293D92"/>
    <w:rsid w:val="1D2B1A65"/>
    <w:rsid w:val="1D2B7B0B"/>
    <w:rsid w:val="1D2C5AC6"/>
    <w:rsid w:val="1D2E13A9"/>
    <w:rsid w:val="1D2E3157"/>
    <w:rsid w:val="1D2F75FB"/>
    <w:rsid w:val="1D302D06"/>
    <w:rsid w:val="1D316D67"/>
    <w:rsid w:val="1D3249F5"/>
    <w:rsid w:val="1D3369BF"/>
    <w:rsid w:val="1D352737"/>
    <w:rsid w:val="1D3764AF"/>
    <w:rsid w:val="1D384069"/>
    <w:rsid w:val="1D3A1AFC"/>
    <w:rsid w:val="1D3A7D4E"/>
    <w:rsid w:val="1D3C1D18"/>
    <w:rsid w:val="1D3C3AC6"/>
    <w:rsid w:val="1D3D339A"/>
    <w:rsid w:val="1D3F7112"/>
    <w:rsid w:val="1D41732E"/>
    <w:rsid w:val="1D434E54"/>
    <w:rsid w:val="1D436C02"/>
    <w:rsid w:val="1D470F8D"/>
    <w:rsid w:val="1D4806BC"/>
    <w:rsid w:val="1D48246B"/>
    <w:rsid w:val="1D484219"/>
    <w:rsid w:val="1D491D3F"/>
    <w:rsid w:val="1D4B5AB7"/>
    <w:rsid w:val="1D4D0670"/>
    <w:rsid w:val="1D4D24F3"/>
    <w:rsid w:val="1D4D5CD3"/>
    <w:rsid w:val="1D4D7A81"/>
    <w:rsid w:val="1D4E37F9"/>
    <w:rsid w:val="1D4E4F63"/>
    <w:rsid w:val="1D4F1A4B"/>
    <w:rsid w:val="1D50131F"/>
    <w:rsid w:val="1D507571"/>
    <w:rsid w:val="1D5232E9"/>
    <w:rsid w:val="1D554B87"/>
    <w:rsid w:val="1D556936"/>
    <w:rsid w:val="1D5675F2"/>
    <w:rsid w:val="1D5726AE"/>
    <w:rsid w:val="1D594678"/>
    <w:rsid w:val="1D5C3464"/>
    <w:rsid w:val="1D5C7CC4"/>
    <w:rsid w:val="1D5E1C8E"/>
    <w:rsid w:val="1D5E5D84"/>
    <w:rsid w:val="1D5F7214"/>
    <w:rsid w:val="1D6152DA"/>
    <w:rsid w:val="1D630766"/>
    <w:rsid w:val="1D631052"/>
    <w:rsid w:val="1D644DCB"/>
    <w:rsid w:val="1D646B79"/>
    <w:rsid w:val="1D65301C"/>
    <w:rsid w:val="1D6D0123"/>
    <w:rsid w:val="1D70551D"/>
    <w:rsid w:val="1D736B1A"/>
    <w:rsid w:val="1D790876"/>
    <w:rsid w:val="1D79309A"/>
    <w:rsid w:val="1D7940CD"/>
    <w:rsid w:val="1D796AC8"/>
    <w:rsid w:val="1D7A639C"/>
    <w:rsid w:val="1D7C2114"/>
    <w:rsid w:val="1D7F36F4"/>
    <w:rsid w:val="1D8316F5"/>
    <w:rsid w:val="1D840FC9"/>
    <w:rsid w:val="1D84721B"/>
    <w:rsid w:val="1D8B7415"/>
    <w:rsid w:val="1D8E4E63"/>
    <w:rsid w:val="1D8F1E47"/>
    <w:rsid w:val="1D9236E6"/>
    <w:rsid w:val="1D927B8A"/>
    <w:rsid w:val="1D940CD5"/>
    <w:rsid w:val="1D9531D6"/>
    <w:rsid w:val="1D96353B"/>
    <w:rsid w:val="1D9A07EC"/>
    <w:rsid w:val="1DA022A7"/>
    <w:rsid w:val="1DA11B7B"/>
    <w:rsid w:val="1DA23161"/>
    <w:rsid w:val="1DA358F3"/>
    <w:rsid w:val="1DA84CB7"/>
    <w:rsid w:val="1DAA6C81"/>
    <w:rsid w:val="1DAB438B"/>
    <w:rsid w:val="1DAB47A7"/>
    <w:rsid w:val="1DAC0C4B"/>
    <w:rsid w:val="1DAC622F"/>
    <w:rsid w:val="1DAD49C3"/>
    <w:rsid w:val="1DAD6CAB"/>
    <w:rsid w:val="1DB00010"/>
    <w:rsid w:val="1DB06D6D"/>
    <w:rsid w:val="1DB16262"/>
    <w:rsid w:val="1DB4365C"/>
    <w:rsid w:val="1DB6149E"/>
    <w:rsid w:val="1DB63878"/>
    <w:rsid w:val="1DB775F0"/>
    <w:rsid w:val="1DB93368"/>
    <w:rsid w:val="1DB96EC4"/>
    <w:rsid w:val="1DBC0763"/>
    <w:rsid w:val="1DBE44DB"/>
    <w:rsid w:val="1DC13FCB"/>
    <w:rsid w:val="1DC165B1"/>
    <w:rsid w:val="1DC31AF1"/>
    <w:rsid w:val="1DC835AB"/>
    <w:rsid w:val="1DC839D2"/>
    <w:rsid w:val="1DC85359"/>
    <w:rsid w:val="1DCA10D2"/>
    <w:rsid w:val="1DCA2E80"/>
    <w:rsid w:val="1DCA7323"/>
    <w:rsid w:val="1DCC6295"/>
    <w:rsid w:val="1DCD2970"/>
    <w:rsid w:val="1DCF3786"/>
    <w:rsid w:val="1DD12460"/>
    <w:rsid w:val="1DD43CFE"/>
    <w:rsid w:val="1DD67347"/>
    <w:rsid w:val="1DD71A40"/>
    <w:rsid w:val="1DD7559C"/>
    <w:rsid w:val="1DD91315"/>
    <w:rsid w:val="1DD968F2"/>
    <w:rsid w:val="1DE101C9"/>
    <w:rsid w:val="1DE57CB9"/>
    <w:rsid w:val="1DEB181E"/>
    <w:rsid w:val="1DEB7D24"/>
    <w:rsid w:val="1DEC729A"/>
    <w:rsid w:val="1DED3012"/>
    <w:rsid w:val="1DED4DC0"/>
    <w:rsid w:val="1DEF28E6"/>
    <w:rsid w:val="1DF24184"/>
    <w:rsid w:val="1DF44011"/>
    <w:rsid w:val="1DF4614E"/>
    <w:rsid w:val="1DF93765"/>
    <w:rsid w:val="1DFB572F"/>
    <w:rsid w:val="1DFE0D7B"/>
    <w:rsid w:val="1DFE521F"/>
    <w:rsid w:val="1E002D45"/>
    <w:rsid w:val="1E01086B"/>
    <w:rsid w:val="1E016476"/>
    <w:rsid w:val="1E022D68"/>
    <w:rsid w:val="1E032835"/>
    <w:rsid w:val="1E0A7720"/>
    <w:rsid w:val="1E0C793C"/>
    <w:rsid w:val="1E0D0FBE"/>
    <w:rsid w:val="1E0F11DA"/>
    <w:rsid w:val="1E114F52"/>
    <w:rsid w:val="1E116D00"/>
    <w:rsid w:val="1E124827"/>
    <w:rsid w:val="1E141EBA"/>
    <w:rsid w:val="1E14234D"/>
    <w:rsid w:val="1E165F1B"/>
    <w:rsid w:val="1E1660C5"/>
    <w:rsid w:val="1E181CCB"/>
    <w:rsid w:val="1E1C7453"/>
    <w:rsid w:val="1E1E31CB"/>
    <w:rsid w:val="1E1E4F79"/>
    <w:rsid w:val="1E1F6FCD"/>
    <w:rsid w:val="1E200CF1"/>
    <w:rsid w:val="1E205195"/>
    <w:rsid w:val="1E206F43"/>
    <w:rsid w:val="1E220F0E"/>
    <w:rsid w:val="1E256308"/>
    <w:rsid w:val="1E276C97"/>
    <w:rsid w:val="1E285DF8"/>
    <w:rsid w:val="1E287A7A"/>
    <w:rsid w:val="1E295CF2"/>
    <w:rsid w:val="1E2A7DC2"/>
    <w:rsid w:val="1E2C58E8"/>
    <w:rsid w:val="1E2F7187"/>
    <w:rsid w:val="1E301693"/>
    <w:rsid w:val="1E320A25"/>
    <w:rsid w:val="1E334EC9"/>
    <w:rsid w:val="1E340C41"/>
    <w:rsid w:val="1E34479D"/>
    <w:rsid w:val="1E360515"/>
    <w:rsid w:val="1E37428D"/>
    <w:rsid w:val="1E380731"/>
    <w:rsid w:val="1E392745"/>
    <w:rsid w:val="1E396257"/>
    <w:rsid w:val="1E3D7AF5"/>
    <w:rsid w:val="1E450758"/>
    <w:rsid w:val="1E4569AA"/>
    <w:rsid w:val="1E472722"/>
    <w:rsid w:val="1E4744D0"/>
    <w:rsid w:val="1E482C7E"/>
    <w:rsid w:val="1E48649A"/>
    <w:rsid w:val="1E4946EC"/>
    <w:rsid w:val="1E4C1AE7"/>
    <w:rsid w:val="1E4C5FEA"/>
    <w:rsid w:val="1E4F5A7B"/>
    <w:rsid w:val="1E50753C"/>
    <w:rsid w:val="1E5135A1"/>
    <w:rsid w:val="1E522E75"/>
    <w:rsid w:val="1E535EBD"/>
    <w:rsid w:val="1E543091"/>
    <w:rsid w:val="1E54734D"/>
    <w:rsid w:val="1E566E09"/>
    <w:rsid w:val="1E5866DD"/>
    <w:rsid w:val="1E5905ED"/>
    <w:rsid w:val="1E591D2E"/>
    <w:rsid w:val="1E592455"/>
    <w:rsid w:val="1E5B7F7C"/>
    <w:rsid w:val="1E5C06AF"/>
    <w:rsid w:val="1E5D0198"/>
    <w:rsid w:val="1E5D3CF4"/>
    <w:rsid w:val="1E6728CC"/>
    <w:rsid w:val="1E6A4663"/>
    <w:rsid w:val="1E6C3F37"/>
    <w:rsid w:val="1E71154D"/>
    <w:rsid w:val="1E74103D"/>
    <w:rsid w:val="1E761259"/>
    <w:rsid w:val="1E773D2F"/>
    <w:rsid w:val="1E7828DC"/>
    <w:rsid w:val="1E7B24F7"/>
    <w:rsid w:val="1E7B3C38"/>
    <w:rsid w:val="1E7D6144"/>
    <w:rsid w:val="1E803E86"/>
    <w:rsid w:val="1E831280"/>
    <w:rsid w:val="1E845724"/>
    <w:rsid w:val="1E8474D2"/>
    <w:rsid w:val="1E890F8D"/>
    <w:rsid w:val="1E8C282B"/>
    <w:rsid w:val="1E8C4BBD"/>
    <w:rsid w:val="1E8F40C9"/>
    <w:rsid w:val="1E90200F"/>
    <w:rsid w:val="1E90328D"/>
    <w:rsid w:val="1E917E41"/>
    <w:rsid w:val="1E94348E"/>
    <w:rsid w:val="1E9516DF"/>
    <w:rsid w:val="1E967206"/>
    <w:rsid w:val="1E9D0594"/>
    <w:rsid w:val="1E9E5891"/>
    <w:rsid w:val="1E9F255E"/>
    <w:rsid w:val="1EA2204E"/>
    <w:rsid w:val="1EA25BAA"/>
    <w:rsid w:val="1EA41923"/>
    <w:rsid w:val="1EA47B74"/>
    <w:rsid w:val="1EA5569B"/>
    <w:rsid w:val="1EA57449"/>
    <w:rsid w:val="1EA638ED"/>
    <w:rsid w:val="1EA90CE7"/>
    <w:rsid w:val="1EA96F39"/>
    <w:rsid w:val="1EAC4C7B"/>
    <w:rsid w:val="1EAF02C7"/>
    <w:rsid w:val="1EB1403F"/>
    <w:rsid w:val="1EB4768C"/>
    <w:rsid w:val="1EB51D82"/>
    <w:rsid w:val="1EB53B30"/>
    <w:rsid w:val="1EB853CE"/>
    <w:rsid w:val="1EBA1146"/>
    <w:rsid w:val="1EBA2EF4"/>
    <w:rsid w:val="1EBA7398"/>
    <w:rsid w:val="1EBB6C6C"/>
    <w:rsid w:val="1EBD0C36"/>
    <w:rsid w:val="1EBF49AE"/>
    <w:rsid w:val="1EBF675C"/>
    <w:rsid w:val="1EC04283"/>
    <w:rsid w:val="1EC75611"/>
    <w:rsid w:val="1EC80AFE"/>
    <w:rsid w:val="1EC84CD2"/>
    <w:rsid w:val="1EC93137"/>
    <w:rsid w:val="1ECC0E79"/>
    <w:rsid w:val="1ECE074D"/>
    <w:rsid w:val="1ECE699F"/>
    <w:rsid w:val="1ECF44C6"/>
    <w:rsid w:val="1ED00720"/>
    <w:rsid w:val="1ED0096A"/>
    <w:rsid w:val="1ED16490"/>
    <w:rsid w:val="1ED3045A"/>
    <w:rsid w:val="1ED55F80"/>
    <w:rsid w:val="1EDA5344"/>
    <w:rsid w:val="1EDB2E6A"/>
    <w:rsid w:val="1EE00481"/>
    <w:rsid w:val="1EE05F17"/>
    <w:rsid w:val="1EE12B77"/>
    <w:rsid w:val="1EE14925"/>
    <w:rsid w:val="1EE2244B"/>
    <w:rsid w:val="1EE35706"/>
    <w:rsid w:val="1EE461C3"/>
    <w:rsid w:val="1EE73F05"/>
    <w:rsid w:val="1EE75CB3"/>
    <w:rsid w:val="1EE77A61"/>
    <w:rsid w:val="1EE91A2B"/>
    <w:rsid w:val="1EE97E3D"/>
    <w:rsid w:val="1EEA12FF"/>
    <w:rsid w:val="1EEA4952"/>
    <w:rsid w:val="1EEC32CA"/>
    <w:rsid w:val="1EED151B"/>
    <w:rsid w:val="1EF05139"/>
    <w:rsid w:val="1EF26B32"/>
    <w:rsid w:val="1EF81C6E"/>
    <w:rsid w:val="1EFA59E6"/>
    <w:rsid w:val="1EFA7794"/>
    <w:rsid w:val="1EFB350D"/>
    <w:rsid w:val="1EFB52BB"/>
    <w:rsid w:val="1EFD7285"/>
    <w:rsid w:val="1EFF124F"/>
    <w:rsid w:val="1EFF4DAB"/>
    <w:rsid w:val="1F0028D1"/>
    <w:rsid w:val="1F010B23"/>
    <w:rsid w:val="1F026649"/>
    <w:rsid w:val="1F0335AF"/>
    <w:rsid w:val="1F070103"/>
    <w:rsid w:val="1F071EB1"/>
    <w:rsid w:val="1F095C2A"/>
    <w:rsid w:val="1F0979D8"/>
    <w:rsid w:val="1F0B3750"/>
    <w:rsid w:val="1F0B7BF4"/>
    <w:rsid w:val="1F0C74C8"/>
    <w:rsid w:val="1F0E3240"/>
    <w:rsid w:val="1F105BB3"/>
    <w:rsid w:val="1F106FB8"/>
    <w:rsid w:val="1F121C14"/>
    <w:rsid w:val="1F130856"/>
    <w:rsid w:val="1F132604"/>
    <w:rsid w:val="1F152820"/>
    <w:rsid w:val="1F1545CE"/>
    <w:rsid w:val="1F15637C"/>
    <w:rsid w:val="1F1E2D88"/>
    <w:rsid w:val="1F1F4C79"/>
    <w:rsid w:val="1F204D21"/>
    <w:rsid w:val="1F240CB5"/>
    <w:rsid w:val="1F242A63"/>
    <w:rsid w:val="1F26058A"/>
    <w:rsid w:val="1F2667DB"/>
    <w:rsid w:val="1F28557B"/>
    <w:rsid w:val="1F29007A"/>
    <w:rsid w:val="1F291E28"/>
    <w:rsid w:val="1F2952CA"/>
    <w:rsid w:val="1F2962CC"/>
    <w:rsid w:val="1F2B2044"/>
    <w:rsid w:val="1F2B5BA0"/>
    <w:rsid w:val="1F2C1918"/>
    <w:rsid w:val="1F2D6C14"/>
    <w:rsid w:val="1F2E38E2"/>
    <w:rsid w:val="1F2E5690"/>
    <w:rsid w:val="1F330EF8"/>
    <w:rsid w:val="1F332CA6"/>
    <w:rsid w:val="1F3507CD"/>
    <w:rsid w:val="1F354C71"/>
    <w:rsid w:val="1F356A1F"/>
    <w:rsid w:val="1F3C1B5B"/>
    <w:rsid w:val="1F3C5FFF"/>
    <w:rsid w:val="1F3C7DAD"/>
    <w:rsid w:val="1F3D58D3"/>
    <w:rsid w:val="1F3D6311"/>
    <w:rsid w:val="1F417171"/>
    <w:rsid w:val="1F443106"/>
    <w:rsid w:val="1F444EB4"/>
    <w:rsid w:val="1F464788"/>
    <w:rsid w:val="1F4673C3"/>
    <w:rsid w:val="1F494278"/>
    <w:rsid w:val="1F4B4494"/>
    <w:rsid w:val="1F4B71D4"/>
    <w:rsid w:val="1F4B7FF0"/>
    <w:rsid w:val="1F4C5B16"/>
    <w:rsid w:val="1F4E188E"/>
    <w:rsid w:val="1F503858"/>
    <w:rsid w:val="1F511F82"/>
    <w:rsid w:val="1F5211D5"/>
    <w:rsid w:val="1F525822"/>
    <w:rsid w:val="1F525966"/>
    <w:rsid w:val="1F5275D0"/>
    <w:rsid w:val="1F574BE7"/>
    <w:rsid w:val="1F58270D"/>
    <w:rsid w:val="1F59095F"/>
    <w:rsid w:val="1F5A6485"/>
    <w:rsid w:val="1F5A6CC9"/>
    <w:rsid w:val="1F5C044F"/>
    <w:rsid w:val="1F5E5F75"/>
    <w:rsid w:val="1F5F3A9B"/>
    <w:rsid w:val="1F5F6ADA"/>
    <w:rsid w:val="1F615A66"/>
    <w:rsid w:val="1F6317DE"/>
    <w:rsid w:val="1F6323A5"/>
    <w:rsid w:val="1F6410B2"/>
    <w:rsid w:val="1F645556"/>
    <w:rsid w:val="1F65294C"/>
    <w:rsid w:val="1F65551D"/>
    <w:rsid w:val="1F66307C"/>
    <w:rsid w:val="1F686DF4"/>
    <w:rsid w:val="1F6B0692"/>
    <w:rsid w:val="1F6B41EE"/>
    <w:rsid w:val="1F6D440A"/>
    <w:rsid w:val="1F6F6B0B"/>
    <w:rsid w:val="1F702630"/>
    <w:rsid w:val="1F707A57"/>
    <w:rsid w:val="1F7312F5"/>
    <w:rsid w:val="1F737B21"/>
    <w:rsid w:val="1F742441"/>
    <w:rsid w:val="1F745799"/>
    <w:rsid w:val="1F751511"/>
    <w:rsid w:val="1F7532BF"/>
    <w:rsid w:val="1F7664A2"/>
    <w:rsid w:val="1F770DE5"/>
    <w:rsid w:val="1F78690B"/>
    <w:rsid w:val="1F7A08D5"/>
    <w:rsid w:val="1F7A2683"/>
    <w:rsid w:val="1F7C289F"/>
    <w:rsid w:val="1F7C464D"/>
    <w:rsid w:val="1F7D3F22"/>
    <w:rsid w:val="1F7E03C6"/>
    <w:rsid w:val="1F7F413E"/>
    <w:rsid w:val="1F7F5EEC"/>
    <w:rsid w:val="1F8117D8"/>
    <w:rsid w:val="1F811C64"/>
    <w:rsid w:val="1F817EB6"/>
    <w:rsid w:val="1F822F73"/>
    <w:rsid w:val="1F832F21"/>
    <w:rsid w:val="1F83778A"/>
    <w:rsid w:val="1F84433B"/>
    <w:rsid w:val="1F8452B0"/>
    <w:rsid w:val="1F861028"/>
    <w:rsid w:val="1F86727A"/>
    <w:rsid w:val="1F875CE6"/>
    <w:rsid w:val="1F881244"/>
    <w:rsid w:val="1F882FF2"/>
    <w:rsid w:val="1F884DA0"/>
    <w:rsid w:val="1F8A78EA"/>
    <w:rsid w:val="1F8B2AE2"/>
    <w:rsid w:val="1F8B5AF7"/>
    <w:rsid w:val="1F8D0609"/>
    <w:rsid w:val="1F8D10C6"/>
    <w:rsid w:val="1F8D1CC6"/>
    <w:rsid w:val="1F8F25D3"/>
    <w:rsid w:val="1F8F4478"/>
    <w:rsid w:val="1F903C55"/>
    <w:rsid w:val="1F90634B"/>
    <w:rsid w:val="1F920C16"/>
    <w:rsid w:val="1F933745"/>
    <w:rsid w:val="1F96434B"/>
    <w:rsid w:val="1F973235"/>
    <w:rsid w:val="1F976B40"/>
    <w:rsid w:val="1F9951FF"/>
    <w:rsid w:val="1F996FAD"/>
    <w:rsid w:val="1F9A2D26"/>
    <w:rsid w:val="1F9D164D"/>
    <w:rsid w:val="1F9D6372"/>
    <w:rsid w:val="1F9E45C4"/>
    <w:rsid w:val="1F9F033C"/>
    <w:rsid w:val="1FA12306"/>
    <w:rsid w:val="1FA37E2C"/>
    <w:rsid w:val="1FA45952"/>
    <w:rsid w:val="1FA63478"/>
    <w:rsid w:val="1FA6791C"/>
    <w:rsid w:val="1FA927C1"/>
    <w:rsid w:val="1FA94D17"/>
    <w:rsid w:val="1FAB0A8F"/>
    <w:rsid w:val="1FAE25D2"/>
    <w:rsid w:val="1FAF3A62"/>
    <w:rsid w:val="1FB42039"/>
    <w:rsid w:val="1FB54F45"/>
    <w:rsid w:val="1FB621F4"/>
    <w:rsid w:val="1FB65DB1"/>
    <w:rsid w:val="1FB75686"/>
    <w:rsid w:val="1FB93013"/>
    <w:rsid w:val="1FB931AC"/>
    <w:rsid w:val="1FBA5176"/>
    <w:rsid w:val="1FBB33C8"/>
    <w:rsid w:val="1FBE6A14"/>
    <w:rsid w:val="1FBF453A"/>
    <w:rsid w:val="1FC049E7"/>
    <w:rsid w:val="1FC05E77"/>
    <w:rsid w:val="1FC102B2"/>
    <w:rsid w:val="1FC10A48"/>
    <w:rsid w:val="1FC63724"/>
    <w:rsid w:val="1FC81641"/>
    <w:rsid w:val="1FCA53B9"/>
    <w:rsid w:val="1FCB1131"/>
    <w:rsid w:val="1FCB46CB"/>
    <w:rsid w:val="1FCD4EA9"/>
    <w:rsid w:val="1FCF29CF"/>
    <w:rsid w:val="1FCF6E73"/>
    <w:rsid w:val="1FD2426D"/>
    <w:rsid w:val="1FD55B0C"/>
    <w:rsid w:val="1FD75269"/>
    <w:rsid w:val="1FDA1374"/>
    <w:rsid w:val="1FDB5818"/>
    <w:rsid w:val="1FDB75C6"/>
    <w:rsid w:val="1FDC333E"/>
    <w:rsid w:val="1FDC50EC"/>
    <w:rsid w:val="1FDC6E9A"/>
    <w:rsid w:val="1FDE0E64"/>
    <w:rsid w:val="1FDF698A"/>
    <w:rsid w:val="1FE03E2B"/>
    <w:rsid w:val="1FE12702"/>
    <w:rsid w:val="1FE346CD"/>
    <w:rsid w:val="1FE43DE1"/>
    <w:rsid w:val="1FE50445"/>
    <w:rsid w:val="1FE521F3"/>
    <w:rsid w:val="1FE67D19"/>
    <w:rsid w:val="1FE741BD"/>
    <w:rsid w:val="1FE81CE3"/>
    <w:rsid w:val="1FE83A91"/>
    <w:rsid w:val="1FED10A7"/>
    <w:rsid w:val="1FED554B"/>
    <w:rsid w:val="1FEF3071"/>
    <w:rsid w:val="1FEF4E1F"/>
    <w:rsid w:val="1FF13814"/>
    <w:rsid w:val="1FF16DE9"/>
    <w:rsid w:val="1FF30D05"/>
    <w:rsid w:val="1FF32470"/>
    <w:rsid w:val="1FF54D66"/>
    <w:rsid w:val="1FF57F5C"/>
    <w:rsid w:val="1FF71F26"/>
    <w:rsid w:val="1FF73CD4"/>
    <w:rsid w:val="1FF81FA6"/>
    <w:rsid w:val="1FFB1A16"/>
    <w:rsid w:val="1FFB37C4"/>
    <w:rsid w:val="1FFE5E18"/>
    <w:rsid w:val="20000DDB"/>
    <w:rsid w:val="20052895"/>
    <w:rsid w:val="20084133"/>
    <w:rsid w:val="20085EE1"/>
    <w:rsid w:val="20087C8F"/>
    <w:rsid w:val="200C59D1"/>
    <w:rsid w:val="200D1749"/>
    <w:rsid w:val="200F54C2"/>
    <w:rsid w:val="200F7270"/>
    <w:rsid w:val="20102DFE"/>
    <w:rsid w:val="2011123A"/>
    <w:rsid w:val="20112FE8"/>
    <w:rsid w:val="20142AD8"/>
    <w:rsid w:val="20166850"/>
    <w:rsid w:val="20176124"/>
    <w:rsid w:val="20196340"/>
    <w:rsid w:val="201C198C"/>
    <w:rsid w:val="201E5705"/>
    <w:rsid w:val="2020147D"/>
    <w:rsid w:val="20210D51"/>
    <w:rsid w:val="20250841"/>
    <w:rsid w:val="20254CE5"/>
    <w:rsid w:val="202645B9"/>
    <w:rsid w:val="20266765"/>
    <w:rsid w:val="2027280B"/>
    <w:rsid w:val="20286583"/>
    <w:rsid w:val="202A22FB"/>
    <w:rsid w:val="202A39A5"/>
    <w:rsid w:val="202A40A9"/>
    <w:rsid w:val="202B1BD0"/>
    <w:rsid w:val="202B7A06"/>
    <w:rsid w:val="202C0E96"/>
    <w:rsid w:val="202C6073"/>
    <w:rsid w:val="202D76F6"/>
    <w:rsid w:val="202E4EF7"/>
    <w:rsid w:val="20313878"/>
    <w:rsid w:val="203171E6"/>
    <w:rsid w:val="20340A84"/>
    <w:rsid w:val="203647FC"/>
    <w:rsid w:val="203767C6"/>
    <w:rsid w:val="20384A18"/>
    <w:rsid w:val="203942EC"/>
    <w:rsid w:val="203A4BB0"/>
    <w:rsid w:val="203B1E13"/>
    <w:rsid w:val="203B62B7"/>
    <w:rsid w:val="203B74FB"/>
    <w:rsid w:val="203C5B8B"/>
    <w:rsid w:val="203E5DA7"/>
    <w:rsid w:val="204333BD"/>
    <w:rsid w:val="204607B7"/>
    <w:rsid w:val="20484530"/>
    <w:rsid w:val="204C04C4"/>
    <w:rsid w:val="204F58BE"/>
    <w:rsid w:val="204F5971"/>
    <w:rsid w:val="20511636"/>
    <w:rsid w:val="20515ADA"/>
    <w:rsid w:val="20517888"/>
    <w:rsid w:val="205253AE"/>
    <w:rsid w:val="20542ED4"/>
    <w:rsid w:val="20547378"/>
    <w:rsid w:val="205630F0"/>
    <w:rsid w:val="205729C5"/>
    <w:rsid w:val="2059498F"/>
    <w:rsid w:val="205B24B5"/>
    <w:rsid w:val="205B4263"/>
    <w:rsid w:val="205D622D"/>
    <w:rsid w:val="205E1FA5"/>
    <w:rsid w:val="205E3D53"/>
    <w:rsid w:val="20623843"/>
    <w:rsid w:val="2063580D"/>
    <w:rsid w:val="20672C08"/>
    <w:rsid w:val="20684BD2"/>
    <w:rsid w:val="206C021E"/>
    <w:rsid w:val="20711CD8"/>
    <w:rsid w:val="20717F2A"/>
    <w:rsid w:val="207215AC"/>
    <w:rsid w:val="207277FE"/>
    <w:rsid w:val="20743577"/>
    <w:rsid w:val="20745325"/>
    <w:rsid w:val="2076109D"/>
    <w:rsid w:val="207672EF"/>
    <w:rsid w:val="207812B9"/>
    <w:rsid w:val="20783067"/>
    <w:rsid w:val="207B2B57"/>
    <w:rsid w:val="207B4905"/>
    <w:rsid w:val="207D067D"/>
    <w:rsid w:val="207D242B"/>
    <w:rsid w:val="2080016D"/>
    <w:rsid w:val="20825C93"/>
    <w:rsid w:val="20831A0C"/>
    <w:rsid w:val="208337BA"/>
    <w:rsid w:val="208539D6"/>
    <w:rsid w:val="208732AA"/>
    <w:rsid w:val="208A0422"/>
    <w:rsid w:val="208C266E"/>
    <w:rsid w:val="208F6602"/>
    <w:rsid w:val="20914128"/>
    <w:rsid w:val="20915ED7"/>
    <w:rsid w:val="20922EC5"/>
    <w:rsid w:val="209239FD"/>
    <w:rsid w:val="20932C15"/>
    <w:rsid w:val="20937EA1"/>
    <w:rsid w:val="20943C19"/>
    <w:rsid w:val="20967991"/>
    <w:rsid w:val="20971013"/>
    <w:rsid w:val="20994D8B"/>
    <w:rsid w:val="209A67D6"/>
    <w:rsid w:val="209B0B03"/>
    <w:rsid w:val="209B4FA7"/>
    <w:rsid w:val="209D0D1F"/>
    <w:rsid w:val="20A025BE"/>
    <w:rsid w:val="20A420AE"/>
    <w:rsid w:val="20A51982"/>
    <w:rsid w:val="20A664BA"/>
    <w:rsid w:val="20A94E3B"/>
    <w:rsid w:val="20A953AC"/>
    <w:rsid w:val="20AE082C"/>
    <w:rsid w:val="20AE6A88"/>
    <w:rsid w:val="20AF2801"/>
    <w:rsid w:val="20B322F1"/>
    <w:rsid w:val="20B35EED"/>
    <w:rsid w:val="20B41BC5"/>
    <w:rsid w:val="20B6593D"/>
    <w:rsid w:val="20B87907"/>
    <w:rsid w:val="20B9542D"/>
    <w:rsid w:val="20B971DB"/>
    <w:rsid w:val="20BA367F"/>
    <w:rsid w:val="20BA5DC0"/>
    <w:rsid w:val="20BB2F53"/>
    <w:rsid w:val="20BD316F"/>
    <w:rsid w:val="20BD6CCC"/>
    <w:rsid w:val="20BF0C96"/>
    <w:rsid w:val="20BF7061"/>
    <w:rsid w:val="20C130C2"/>
    <w:rsid w:val="20C444FE"/>
    <w:rsid w:val="20C52024"/>
    <w:rsid w:val="20C53DD2"/>
    <w:rsid w:val="20C757F3"/>
    <w:rsid w:val="20C75D9C"/>
    <w:rsid w:val="20C77B4A"/>
    <w:rsid w:val="20C95670"/>
    <w:rsid w:val="20CA3197"/>
    <w:rsid w:val="20CC33B3"/>
    <w:rsid w:val="20CC5161"/>
    <w:rsid w:val="20D109C9"/>
    <w:rsid w:val="20D34741"/>
    <w:rsid w:val="20D364EF"/>
    <w:rsid w:val="20D44015"/>
    <w:rsid w:val="20D504B9"/>
    <w:rsid w:val="20D83B05"/>
    <w:rsid w:val="20D858B3"/>
    <w:rsid w:val="20D96025"/>
    <w:rsid w:val="20DA787E"/>
    <w:rsid w:val="20DB35F6"/>
    <w:rsid w:val="20DD111C"/>
    <w:rsid w:val="20E029BA"/>
    <w:rsid w:val="20E06E5E"/>
    <w:rsid w:val="20E34258"/>
    <w:rsid w:val="20E424AA"/>
    <w:rsid w:val="20E56222"/>
    <w:rsid w:val="20E93F65"/>
    <w:rsid w:val="20E976FD"/>
    <w:rsid w:val="20EA48E7"/>
    <w:rsid w:val="20EE157B"/>
    <w:rsid w:val="20EF6140"/>
    <w:rsid w:val="20F070A1"/>
    <w:rsid w:val="20F16975"/>
    <w:rsid w:val="20F326ED"/>
    <w:rsid w:val="20F502CC"/>
    <w:rsid w:val="20F546B7"/>
    <w:rsid w:val="20F57E45"/>
    <w:rsid w:val="20F6042F"/>
    <w:rsid w:val="20F63F8C"/>
    <w:rsid w:val="20F871F2"/>
    <w:rsid w:val="20FB5A46"/>
    <w:rsid w:val="20FC3C98"/>
    <w:rsid w:val="20FD17BE"/>
    <w:rsid w:val="20FD356C"/>
    <w:rsid w:val="20FF72E4"/>
    <w:rsid w:val="2100305C"/>
    <w:rsid w:val="210448FA"/>
    <w:rsid w:val="210743EB"/>
    <w:rsid w:val="210963B5"/>
    <w:rsid w:val="210A1607"/>
    <w:rsid w:val="210A7A37"/>
    <w:rsid w:val="210B5C89"/>
    <w:rsid w:val="210C71F3"/>
    <w:rsid w:val="210E7527"/>
    <w:rsid w:val="210F504D"/>
    <w:rsid w:val="2110329F"/>
    <w:rsid w:val="21133DFA"/>
    <w:rsid w:val="21162880"/>
    <w:rsid w:val="2116462E"/>
    <w:rsid w:val="211867DC"/>
    <w:rsid w:val="21197C6C"/>
    <w:rsid w:val="211A2370"/>
    <w:rsid w:val="211D3C0E"/>
    <w:rsid w:val="211F1734"/>
    <w:rsid w:val="211F7986"/>
    <w:rsid w:val="212136FE"/>
    <w:rsid w:val="212154AC"/>
    <w:rsid w:val="2122245F"/>
    <w:rsid w:val="21224D81"/>
    <w:rsid w:val="21247AE2"/>
    <w:rsid w:val="21254871"/>
    <w:rsid w:val="212862D1"/>
    <w:rsid w:val="212B00D9"/>
    <w:rsid w:val="212D20A3"/>
    <w:rsid w:val="212E1977"/>
    <w:rsid w:val="212E3725"/>
    <w:rsid w:val="212E7BC9"/>
    <w:rsid w:val="213351E0"/>
    <w:rsid w:val="21354AB4"/>
    <w:rsid w:val="21366A7E"/>
    <w:rsid w:val="213B4094"/>
    <w:rsid w:val="213D605E"/>
    <w:rsid w:val="213D7E0C"/>
    <w:rsid w:val="213F386A"/>
    <w:rsid w:val="213F5933"/>
    <w:rsid w:val="214116AB"/>
    <w:rsid w:val="21415B4F"/>
    <w:rsid w:val="21423675"/>
    <w:rsid w:val="2144119B"/>
    <w:rsid w:val="21472A39"/>
    <w:rsid w:val="2149055F"/>
    <w:rsid w:val="214967B1"/>
    <w:rsid w:val="214A6A99"/>
    <w:rsid w:val="214C62A1"/>
    <w:rsid w:val="214E3DC8"/>
    <w:rsid w:val="21515666"/>
    <w:rsid w:val="215552ED"/>
    <w:rsid w:val="21556F04"/>
    <w:rsid w:val="21562C7C"/>
    <w:rsid w:val="21577C0D"/>
    <w:rsid w:val="21584C46"/>
    <w:rsid w:val="215A09BE"/>
    <w:rsid w:val="215A451A"/>
    <w:rsid w:val="215B7A1E"/>
    <w:rsid w:val="215D04AF"/>
    <w:rsid w:val="215D400B"/>
    <w:rsid w:val="215F7D83"/>
    <w:rsid w:val="21617F9F"/>
    <w:rsid w:val="21674E89"/>
    <w:rsid w:val="21690C01"/>
    <w:rsid w:val="216B2BCB"/>
    <w:rsid w:val="216C24A0"/>
    <w:rsid w:val="21701F90"/>
    <w:rsid w:val="217159A4"/>
    <w:rsid w:val="21717AB6"/>
    <w:rsid w:val="21725D08"/>
    <w:rsid w:val="217377F1"/>
    <w:rsid w:val="217505C5"/>
    <w:rsid w:val="21751354"/>
    <w:rsid w:val="21771570"/>
    <w:rsid w:val="217750CC"/>
    <w:rsid w:val="21780E44"/>
    <w:rsid w:val="217A4BBD"/>
    <w:rsid w:val="217C6B87"/>
    <w:rsid w:val="217E28FF"/>
    <w:rsid w:val="217F6E19"/>
    <w:rsid w:val="21815F4B"/>
    <w:rsid w:val="21821CC3"/>
    <w:rsid w:val="21822BC9"/>
    <w:rsid w:val="21843C8D"/>
    <w:rsid w:val="21893052"/>
    <w:rsid w:val="218B0B78"/>
    <w:rsid w:val="218B501C"/>
    <w:rsid w:val="218B6DCA"/>
    <w:rsid w:val="218B7820"/>
    <w:rsid w:val="218D2B42"/>
    <w:rsid w:val="218E0668"/>
    <w:rsid w:val="218E547E"/>
    <w:rsid w:val="21920158"/>
    <w:rsid w:val="21933B4E"/>
    <w:rsid w:val="21933ED0"/>
    <w:rsid w:val="219519F6"/>
    <w:rsid w:val="219537A4"/>
    <w:rsid w:val="21983295"/>
    <w:rsid w:val="21992591"/>
    <w:rsid w:val="219A700D"/>
    <w:rsid w:val="219C0FD7"/>
    <w:rsid w:val="219D77D1"/>
    <w:rsid w:val="219E6AFD"/>
    <w:rsid w:val="219F0AC7"/>
    <w:rsid w:val="219F2875"/>
    <w:rsid w:val="219F4623"/>
    <w:rsid w:val="219F63D1"/>
    <w:rsid w:val="21A1039B"/>
    <w:rsid w:val="21A25EC1"/>
    <w:rsid w:val="21A32365"/>
    <w:rsid w:val="21A41C3A"/>
    <w:rsid w:val="21A63C04"/>
    <w:rsid w:val="21A734D8"/>
    <w:rsid w:val="21A954A2"/>
    <w:rsid w:val="21AA36F4"/>
    <w:rsid w:val="21AB121A"/>
    <w:rsid w:val="21AB2FC8"/>
    <w:rsid w:val="21AD0AEE"/>
    <w:rsid w:val="21AD6D40"/>
    <w:rsid w:val="21AE4866"/>
    <w:rsid w:val="21AF0D0A"/>
    <w:rsid w:val="21B06830"/>
    <w:rsid w:val="21B21CA8"/>
    <w:rsid w:val="21B26104"/>
    <w:rsid w:val="21B31E7D"/>
    <w:rsid w:val="21B6306A"/>
    <w:rsid w:val="21B631AA"/>
    <w:rsid w:val="21BA18CA"/>
    <w:rsid w:val="21BE024B"/>
    <w:rsid w:val="21BE0F4D"/>
    <w:rsid w:val="21BE719F"/>
    <w:rsid w:val="21BF4CC5"/>
    <w:rsid w:val="21BF6A73"/>
    <w:rsid w:val="21C12EC1"/>
    <w:rsid w:val="21C1459A"/>
    <w:rsid w:val="21C422DC"/>
    <w:rsid w:val="21C5052E"/>
    <w:rsid w:val="21C67E02"/>
    <w:rsid w:val="21C80F30"/>
    <w:rsid w:val="21C83B7A"/>
    <w:rsid w:val="21C85928"/>
    <w:rsid w:val="21C978F2"/>
    <w:rsid w:val="21CA5B44"/>
    <w:rsid w:val="21CD1190"/>
    <w:rsid w:val="21CF4F08"/>
    <w:rsid w:val="21D00C81"/>
    <w:rsid w:val="21D267A7"/>
    <w:rsid w:val="21D4251F"/>
    <w:rsid w:val="21D544E9"/>
    <w:rsid w:val="21D57C13"/>
    <w:rsid w:val="21D818E3"/>
    <w:rsid w:val="21D839C3"/>
    <w:rsid w:val="21D95D87"/>
    <w:rsid w:val="21DA0EB4"/>
    <w:rsid w:val="21DA1AFF"/>
    <w:rsid w:val="21DA565B"/>
    <w:rsid w:val="21DE15EF"/>
    <w:rsid w:val="21DF0EC4"/>
    <w:rsid w:val="21DF2155"/>
    <w:rsid w:val="21DF2C72"/>
    <w:rsid w:val="21E035E5"/>
    <w:rsid w:val="21E32762"/>
    <w:rsid w:val="21E4046E"/>
    <w:rsid w:val="21E44A43"/>
    <w:rsid w:val="21E5472C"/>
    <w:rsid w:val="21E87D78"/>
    <w:rsid w:val="21EA09A9"/>
    <w:rsid w:val="21EA1D42"/>
    <w:rsid w:val="21EB5ABA"/>
    <w:rsid w:val="21ED1832"/>
    <w:rsid w:val="21F030D1"/>
    <w:rsid w:val="21F04E7F"/>
    <w:rsid w:val="21F20BF7"/>
    <w:rsid w:val="21F229A5"/>
    <w:rsid w:val="21F42BC1"/>
    <w:rsid w:val="21F4496F"/>
    <w:rsid w:val="21F4671D"/>
    <w:rsid w:val="21F506E7"/>
    <w:rsid w:val="21FA7AAB"/>
    <w:rsid w:val="21FB3F4F"/>
    <w:rsid w:val="21FD424E"/>
    <w:rsid w:val="21FE57EE"/>
    <w:rsid w:val="21FE759C"/>
    <w:rsid w:val="21FF50C2"/>
    <w:rsid w:val="22001566"/>
    <w:rsid w:val="2201708C"/>
    <w:rsid w:val="220426D8"/>
    <w:rsid w:val="22053E70"/>
    <w:rsid w:val="220628F4"/>
    <w:rsid w:val="2208041A"/>
    <w:rsid w:val="220B1CB9"/>
    <w:rsid w:val="220B3A67"/>
    <w:rsid w:val="220C5A35"/>
    <w:rsid w:val="220D3C83"/>
    <w:rsid w:val="220F79FB"/>
    <w:rsid w:val="22110F83"/>
    <w:rsid w:val="22124DF5"/>
    <w:rsid w:val="22146DBF"/>
    <w:rsid w:val="22171F6F"/>
    <w:rsid w:val="2217240B"/>
    <w:rsid w:val="221768AF"/>
    <w:rsid w:val="22186A29"/>
    <w:rsid w:val="22192627"/>
    <w:rsid w:val="221943D6"/>
    <w:rsid w:val="22196184"/>
    <w:rsid w:val="221B63A0"/>
    <w:rsid w:val="221C5C74"/>
    <w:rsid w:val="221E19EC"/>
    <w:rsid w:val="221E379A"/>
    <w:rsid w:val="22200A78"/>
    <w:rsid w:val="22205764"/>
    <w:rsid w:val="22211F08"/>
    <w:rsid w:val="2221772E"/>
    <w:rsid w:val="222334A6"/>
    <w:rsid w:val="22235254"/>
    <w:rsid w:val="222473F9"/>
    <w:rsid w:val="22252D7A"/>
    <w:rsid w:val="2225345A"/>
    <w:rsid w:val="22274D44"/>
    <w:rsid w:val="2228286B"/>
    <w:rsid w:val="22284619"/>
    <w:rsid w:val="222A213F"/>
    <w:rsid w:val="222D6672"/>
    <w:rsid w:val="223119FD"/>
    <w:rsid w:val="22317971"/>
    <w:rsid w:val="223236E9"/>
    <w:rsid w:val="22327245"/>
    <w:rsid w:val="22342FBD"/>
    <w:rsid w:val="223631D9"/>
    <w:rsid w:val="22370D00"/>
    <w:rsid w:val="2237485C"/>
    <w:rsid w:val="223905D4"/>
    <w:rsid w:val="22396826"/>
    <w:rsid w:val="223B6DC1"/>
    <w:rsid w:val="223C6316"/>
    <w:rsid w:val="223E208E"/>
    <w:rsid w:val="223E5BEA"/>
    <w:rsid w:val="22421B7E"/>
    <w:rsid w:val="22460F43"/>
    <w:rsid w:val="22462CF1"/>
    <w:rsid w:val="224A34F3"/>
    <w:rsid w:val="224A458F"/>
    <w:rsid w:val="224B0307"/>
    <w:rsid w:val="224D11D6"/>
    <w:rsid w:val="224D22D1"/>
    <w:rsid w:val="224D6A78"/>
    <w:rsid w:val="224F1BA5"/>
    <w:rsid w:val="224F429B"/>
    <w:rsid w:val="22533907"/>
    <w:rsid w:val="22574EFE"/>
    <w:rsid w:val="225E003A"/>
    <w:rsid w:val="225E44DE"/>
    <w:rsid w:val="225F35EB"/>
    <w:rsid w:val="22600256"/>
    <w:rsid w:val="22602004"/>
    <w:rsid w:val="2262063B"/>
    <w:rsid w:val="22623FCE"/>
    <w:rsid w:val="22665141"/>
    <w:rsid w:val="22685DDE"/>
    <w:rsid w:val="226A2E83"/>
    <w:rsid w:val="226C6BFB"/>
    <w:rsid w:val="226D4721"/>
    <w:rsid w:val="226D64CF"/>
    <w:rsid w:val="226F30E0"/>
    <w:rsid w:val="22710E72"/>
    <w:rsid w:val="22723AE6"/>
    <w:rsid w:val="22737F8A"/>
    <w:rsid w:val="2274785E"/>
    <w:rsid w:val="22761828"/>
    <w:rsid w:val="227635D6"/>
    <w:rsid w:val="227710FC"/>
    <w:rsid w:val="227B0BEC"/>
    <w:rsid w:val="227B5090"/>
    <w:rsid w:val="227B6E3E"/>
    <w:rsid w:val="227C4964"/>
    <w:rsid w:val="228026A7"/>
    <w:rsid w:val="22806203"/>
    <w:rsid w:val="22821F7B"/>
    <w:rsid w:val="22827E15"/>
    <w:rsid w:val="22833F45"/>
    <w:rsid w:val="228C2DF9"/>
    <w:rsid w:val="228D0920"/>
    <w:rsid w:val="228D6669"/>
    <w:rsid w:val="22904DF6"/>
    <w:rsid w:val="229121BE"/>
    <w:rsid w:val="22925F36"/>
    <w:rsid w:val="22947F00"/>
    <w:rsid w:val="22965A26"/>
    <w:rsid w:val="229677D4"/>
    <w:rsid w:val="229879F0"/>
    <w:rsid w:val="229C0B63"/>
    <w:rsid w:val="229D6DB5"/>
    <w:rsid w:val="229E0D7F"/>
    <w:rsid w:val="229E2B2D"/>
    <w:rsid w:val="229E5EAD"/>
    <w:rsid w:val="22A2261D"/>
    <w:rsid w:val="22A46395"/>
    <w:rsid w:val="22A77C33"/>
    <w:rsid w:val="22A87507"/>
    <w:rsid w:val="22A939AB"/>
    <w:rsid w:val="22AA14D2"/>
    <w:rsid w:val="22AA3280"/>
    <w:rsid w:val="22AC524A"/>
    <w:rsid w:val="22AC6FF8"/>
    <w:rsid w:val="22AD2D70"/>
    <w:rsid w:val="22AE0EB4"/>
    <w:rsid w:val="22AF4D3A"/>
    <w:rsid w:val="22AF6AE8"/>
    <w:rsid w:val="22B365D8"/>
    <w:rsid w:val="22B67E76"/>
    <w:rsid w:val="22B755C4"/>
    <w:rsid w:val="22B81E40"/>
    <w:rsid w:val="22B8599C"/>
    <w:rsid w:val="22B91715"/>
    <w:rsid w:val="22BB36DF"/>
    <w:rsid w:val="22BF31CF"/>
    <w:rsid w:val="22C00CF5"/>
    <w:rsid w:val="22C205C9"/>
    <w:rsid w:val="22C5455D"/>
    <w:rsid w:val="22C75BE0"/>
    <w:rsid w:val="22C76548"/>
    <w:rsid w:val="22C925A9"/>
    <w:rsid w:val="22C97BAA"/>
    <w:rsid w:val="22CA1009"/>
    <w:rsid w:val="22CA3922"/>
    <w:rsid w:val="22CC769A"/>
    <w:rsid w:val="22CD3AFB"/>
    <w:rsid w:val="22CD6F6E"/>
    <w:rsid w:val="22CE3412"/>
    <w:rsid w:val="22CF718A"/>
    <w:rsid w:val="22D14CB0"/>
    <w:rsid w:val="22D221CB"/>
    <w:rsid w:val="22D24584"/>
    <w:rsid w:val="22D64BAD"/>
    <w:rsid w:val="22D7777E"/>
    <w:rsid w:val="22D816FD"/>
    <w:rsid w:val="22DB51CC"/>
    <w:rsid w:val="22DE117B"/>
    <w:rsid w:val="22DF73CD"/>
    <w:rsid w:val="22E06CA1"/>
    <w:rsid w:val="22E20C6B"/>
    <w:rsid w:val="22E22A19"/>
    <w:rsid w:val="22E5075C"/>
    <w:rsid w:val="22E5250A"/>
    <w:rsid w:val="22E61AD1"/>
    <w:rsid w:val="22E744D4"/>
    <w:rsid w:val="22E83DA8"/>
    <w:rsid w:val="22E9024C"/>
    <w:rsid w:val="22EC3898"/>
    <w:rsid w:val="22F10EAE"/>
    <w:rsid w:val="22F17100"/>
    <w:rsid w:val="22F32E79"/>
    <w:rsid w:val="22F4274D"/>
    <w:rsid w:val="22F71167"/>
    <w:rsid w:val="22F95FB5"/>
    <w:rsid w:val="22FA4207"/>
    <w:rsid w:val="22FB1D2D"/>
    <w:rsid w:val="22FB7F7F"/>
    <w:rsid w:val="22FF35CB"/>
    <w:rsid w:val="23005249"/>
    <w:rsid w:val="23005595"/>
    <w:rsid w:val="23027B69"/>
    <w:rsid w:val="2305495A"/>
    <w:rsid w:val="2307254B"/>
    <w:rsid w:val="23076924"/>
    <w:rsid w:val="230C3F3A"/>
    <w:rsid w:val="230C5CE8"/>
    <w:rsid w:val="230E380E"/>
    <w:rsid w:val="231057D9"/>
    <w:rsid w:val="23111551"/>
    <w:rsid w:val="23130AEE"/>
    <w:rsid w:val="231352C9"/>
    <w:rsid w:val="2317348D"/>
    <w:rsid w:val="2318468D"/>
    <w:rsid w:val="231A6657"/>
    <w:rsid w:val="231B23CF"/>
    <w:rsid w:val="231B417D"/>
    <w:rsid w:val="231D7EF5"/>
    <w:rsid w:val="231E77CA"/>
    <w:rsid w:val="23203542"/>
    <w:rsid w:val="232079E6"/>
    <w:rsid w:val="2322375E"/>
    <w:rsid w:val="232474D6"/>
    <w:rsid w:val="23250B58"/>
    <w:rsid w:val="23264FFC"/>
    <w:rsid w:val="23270D74"/>
    <w:rsid w:val="2329689A"/>
    <w:rsid w:val="232B0864"/>
    <w:rsid w:val="232C0139"/>
    <w:rsid w:val="232E7BA6"/>
    <w:rsid w:val="23305E7B"/>
    <w:rsid w:val="23307C29"/>
    <w:rsid w:val="233174FD"/>
    <w:rsid w:val="233314C7"/>
    <w:rsid w:val="2335523F"/>
    <w:rsid w:val="2338088B"/>
    <w:rsid w:val="23386ADD"/>
    <w:rsid w:val="233A0AA7"/>
    <w:rsid w:val="233A2855"/>
    <w:rsid w:val="233E5662"/>
    <w:rsid w:val="23405992"/>
    <w:rsid w:val="23411E36"/>
    <w:rsid w:val="23424FFC"/>
    <w:rsid w:val="2342795C"/>
    <w:rsid w:val="23445482"/>
    <w:rsid w:val="23447230"/>
    <w:rsid w:val="234731C4"/>
    <w:rsid w:val="234809A7"/>
    <w:rsid w:val="234813CA"/>
    <w:rsid w:val="234A5215"/>
    <w:rsid w:val="234C07DB"/>
    <w:rsid w:val="234C0C7F"/>
    <w:rsid w:val="234E00AF"/>
    <w:rsid w:val="234E4553"/>
    <w:rsid w:val="234E6170"/>
    <w:rsid w:val="234E6301"/>
    <w:rsid w:val="235002CB"/>
    <w:rsid w:val="235356C5"/>
    <w:rsid w:val="23543F83"/>
    <w:rsid w:val="23551FE3"/>
    <w:rsid w:val="235558E1"/>
    <w:rsid w:val="2355768F"/>
    <w:rsid w:val="235651B5"/>
    <w:rsid w:val="23566F63"/>
    <w:rsid w:val="235A6A54"/>
    <w:rsid w:val="235B7F06"/>
    <w:rsid w:val="235D4796"/>
    <w:rsid w:val="235F22BC"/>
    <w:rsid w:val="235F406A"/>
    <w:rsid w:val="23607DE2"/>
    <w:rsid w:val="23623B5A"/>
    <w:rsid w:val="23627FFE"/>
    <w:rsid w:val="23675615"/>
    <w:rsid w:val="236773C3"/>
    <w:rsid w:val="2369138D"/>
    <w:rsid w:val="2369313B"/>
    <w:rsid w:val="236C49D9"/>
    <w:rsid w:val="236E2B89"/>
    <w:rsid w:val="236E69A3"/>
    <w:rsid w:val="2373013C"/>
    <w:rsid w:val="23735D67"/>
    <w:rsid w:val="23737B15"/>
    <w:rsid w:val="23745791"/>
    <w:rsid w:val="23775858"/>
    <w:rsid w:val="237815D0"/>
    <w:rsid w:val="237A0EA4"/>
    <w:rsid w:val="237B69CA"/>
    <w:rsid w:val="237D2742"/>
    <w:rsid w:val="237F470C"/>
    <w:rsid w:val="238166D6"/>
    <w:rsid w:val="23871813"/>
    <w:rsid w:val="23892362"/>
    <w:rsid w:val="23897339"/>
    <w:rsid w:val="238B1303"/>
    <w:rsid w:val="238B4E5F"/>
    <w:rsid w:val="238E0DF3"/>
    <w:rsid w:val="239006C7"/>
    <w:rsid w:val="239161EE"/>
    <w:rsid w:val="2392443F"/>
    <w:rsid w:val="239301B8"/>
    <w:rsid w:val="2396792F"/>
    <w:rsid w:val="23971A56"/>
    <w:rsid w:val="23991E57"/>
    <w:rsid w:val="239927CD"/>
    <w:rsid w:val="239A32F4"/>
    <w:rsid w:val="239B4274"/>
    <w:rsid w:val="23A033E3"/>
    <w:rsid w:val="23A10B26"/>
    <w:rsid w:val="23A221A9"/>
    <w:rsid w:val="23A45F21"/>
    <w:rsid w:val="23A61C99"/>
    <w:rsid w:val="23A7445B"/>
    <w:rsid w:val="23A841AA"/>
    <w:rsid w:val="23A93537"/>
    <w:rsid w:val="23A979DB"/>
    <w:rsid w:val="23AB3753"/>
    <w:rsid w:val="23AB5501"/>
    <w:rsid w:val="23AC477C"/>
    <w:rsid w:val="23AE0B4E"/>
    <w:rsid w:val="23B00D6A"/>
    <w:rsid w:val="23B048C6"/>
    <w:rsid w:val="23B26890"/>
    <w:rsid w:val="23B46A5F"/>
    <w:rsid w:val="23B51EDC"/>
    <w:rsid w:val="23B56380"/>
    <w:rsid w:val="23B57EEF"/>
    <w:rsid w:val="23B720F8"/>
    <w:rsid w:val="23B87C1E"/>
    <w:rsid w:val="23B95E70"/>
    <w:rsid w:val="23B97D00"/>
    <w:rsid w:val="23BA3996"/>
    <w:rsid w:val="23BC770E"/>
    <w:rsid w:val="23BD6FE3"/>
    <w:rsid w:val="23BE2382"/>
    <w:rsid w:val="23C12F77"/>
    <w:rsid w:val="23C245F9"/>
    <w:rsid w:val="23C30A9D"/>
    <w:rsid w:val="23C40371"/>
    <w:rsid w:val="23C6233B"/>
    <w:rsid w:val="23C91E2B"/>
    <w:rsid w:val="23C93BD9"/>
    <w:rsid w:val="23C95987"/>
    <w:rsid w:val="23CE0A96"/>
    <w:rsid w:val="23D031BA"/>
    <w:rsid w:val="23D26F32"/>
    <w:rsid w:val="23D34A58"/>
    <w:rsid w:val="23D5257E"/>
    <w:rsid w:val="23D60969"/>
    <w:rsid w:val="23D700A4"/>
    <w:rsid w:val="23D74548"/>
    <w:rsid w:val="23D83E1C"/>
    <w:rsid w:val="23DA5DE6"/>
    <w:rsid w:val="23DD1433"/>
    <w:rsid w:val="23DE58D7"/>
    <w:rsid w:val="23DF164F"/>
    <w:rsid w:val="23DF33FD"/>
    <w:rsid w:val="23DF51AB"/>
    <w:rsid w:val="23E26A49"/>
    <w:rsid w:val="23E32F6D"/>
    <w:rsid w:val="23E629DD"/>
    <w:rsid w:val="23E7405F"/>
    <w:rsid w:val="23E80503"/>
    <w:rsid w:val="23E822B1"/>
    <w:rsid w:val="23EC2B8F"/>
    <w:rsid w:val="23EE3640"/>
    <w:rsid w:val="23EF1892"/>
    <w:rsid w:val="23F01166"/>
    <w:rsid w:val="23F0560A"/>
    <w:rsid w:val="23F24EDE"/>
    <w:rsid w:val="23F431AA"/>
    <w:rsid w:val="23F4422E"/>
    <w:rsid w:val="23F549CE"/>
    <w:rsid w:val="23F650D1"/>
    <w:rsid w:val="23F724F4"/>
    <w:rsid w:val="23F8626D"/>
    <w:rsid w:val="23FA0237"/>
    <w:rsid w:val="23FA1FE5"/>
    <w:rsid w:val="23FA6623"/>
    <w:rsid w:val="23FC3FAF"/>
    <w:rsid w:val="23FE1AD5"/>
    <w:rsid w:val="23FE7D27"/>
    <w:rsid w:val="23FF75FB"/>
    <w:rsid w:val="24000D54"/>
    <w:rsid w:val="240115C5"/>
    <w:rsid w:val="24024DB5"/>
    <w:rsid w:val="24027986"/>
    <w:rsid w:val="24030E16"/>
    <w:rsid w:val="240422A6"/>
    <w:rsid w:val="24042E63"/>
    <w:rsid w:val="24044C11"/>
    <w:rsid w:val="24062738"/>
    <w:rsid w:val="24077797"/>
    <w:rsid w:val="240B2444"/>
    <w:rsid w:val="240C0A38"/>
    <w:rsid w:val="240F3CE2"/>
    <w:rsid w:val="240F5A90"/>
    <w:rsid w:val="24141D9B"/>
    <w:rsid w:val="24150BCD"/>
    <w:rsid w:val="24155071"/>
    <w:rsid w:val="24170DE9"/>
    <w:rsid w:val="24193B0C"/>
    <w:rsid w:val="241A61E3"/>
    <w:rsid w:val="241C1F5B"/>
    <w:rsid w:val="241D19BD"/>
    <w:rsid w:val="241F6EAE"/>
    <w:rsid w:val="2421127C"/>
    <w:rsid w:val="242157C3"/>
    <w:rsid w:val="242203FC"/>
    <w:rsid w:val="242332EA"/>
    <w:rsid w:val="2423778D"/>
    <w:rsid w:val="24262DDA"/>
    <w:rsid w:val="24280900"/>
    <w:rsid w:val="24294678"/>
    <w:rsid w:val="242A0B1C"/>
    <w:rsid w:val="242A28CA"/>
    <w:rsid w:val="242F6132"/>
    <w:rsid w:val="24305BD3"/>
    <w:rsid w:val="243112C3"/>
    <w:rsid w:val="24311EAA"/>
    <w:rsid w:val="24343749"/>
    <w:rsid w:val="2435301D"/>
    <w:rsid w:val="24390D5F"/>
    <w:rsid w:val="243A6885"/>
    <w:rsid w:val="243C43AB"/>
    <w:rsid w:val="243D0DA0"/>
    <w:rsid w:val="243E2436"/>
    <w:rsid w:val="24415E66"/>
    <w:rsid w:val="24424E18"/>
    <w:rsid w:val="24431BDE"/>
    <w:rsid w:val="2443573A"/>
    <w:rsid w:val="244362A8"/>
    <w:rsid w:val="24474C29"/>
    <w:rsid w:val="24482D50"/>
    <w:rsid w:val="244A4D1A"/>
    <w:rsid w:val="244A6AC8"/>
    <w:rsid w:val="244B4A3A"/>
    <w:rsid w:val="244D0A9B"/>
    <w:rsid w:val="244D65B8"/>
    <w:rsid w:val="244F6E34"/>
    <w:rsid w:val="245331CC"/>
    <w:rsid w:val="2455546D"/>
    <w:rsid w:val="24590191"/>
    <w:rsid w:val="24596D0B"/>
    <w:rsid w:val="245A2A83"/>
    <w:rsid w:val="245B2DEE"/>
    <w:rsid w:val="2460453E"/>
    <w:rsid w:val="246057D0"/>
    <w:rsid w:val="246062EC"/>
    <w:rsid w:val="24612064"/>
    <w:rsid w:val="24616C60"/>
    <w:rsid w:val="24621831"/>
    <w:rsid w:val="24637B8A"/>
    <w:rsid w:val="24653902"/>
    <w:rsid w:val="246758CC"/>
    <w:rsid w:val="246833F2"/>
    <w:rsid w:val="246851A0"/>
    <w:rsid w:val="246B6A3F"/>
    <w:rsid w:val="246C2EE2"/>
    <w:rsid w:val="246D0A09"/>
    <w:rsid w:val="246D27B7"/>
    <w:rsid w:val="246D6C5B"/>
    <w:rsid w:val="246F4114"/>
    <w:rsid w:val="247022A7"/>
    <w:rsid w:val="247104F9"/>
    <w:rsid w:val="2472601F"/>
    <w:rsid w:val="24727BE5"/>
    <w:rsid w:val="247327B6"/>
    <w:rsid w:val="24741D97"/>
    <w:rsid w:val="24765B0F"/>
    <w:rsid w:val="24771887"/>
    <w:rsid w:val="24773635"/>
    <w:rsid w:val="247D4CF8"/>
    <w:rsid w:val="247E49C4"/>
    <w:rsid w:val="2480073C"/>
    <w:rsid w:val="24803679"/>
    <w:rsid w:val="24804DBA"/>
    <w:rsid w:val="248144B4"/>
    <w:rsid w:val="24816262"/>
    <w:rsid w:val="24833D88"/>
    <w:rsid w:val="2483647E"/>
    <w:rsid w:val="24853FA4"/>
    <w:rsid w:val="24855D52"/>
    <w:rsid w:val="24863878"/>
    <w:rsid w:val="248A3369"/>
    <w:rsid w:val="248A5117"/>
    <w:rsid w:val="248C70E1"/>
    <w:rsid w:val="248D2E59"/>
    <w:rsid w:val="248E5C7D"/>
    <w:rsid w:val="249064A5"/>
    <w:rsid w:val="2492046F"/>
    <w:rsid w:val="249266C1"/>
    <w:rsid w:val="249661B1"/>
    <w:rsid w:val="249828C7"/>
    <w:rsid w:val="249917FE"/>
    <w:rsid w:val="249A33A6"/>
    <w:rsid w:val="249B0281"/>
    <w:rsid w:val="249B5576"/>
    <w:rsid w:val="249B7324"/>
    <w:rsid w:val="249D12EE"/>
    <w:rsid w:val="24A106B2"/>
    <w:rsid w:val="24A26904"/>
    <w:rsid w:val="24A30154"/>
    <w:rsid w:val="24A3267C"/>
    <w:rsid w:val="24A361D8"/>
    <w:rsid w:val="24A402F9"/>
    <w:rsid w:val="24A501A2"/>
    <w:rsid w:val="24A51F50"/>
    <w:rsid w:val="24A563F4"/>
    <w:rsid w:val="24A65CC9"/>
    <w:rsid w:val="24A66AD5"/>
    <w:rsid w:val="24A813F5"/>
    <w:rsid w:val="24A85EE5"/>
    <w:rsid w:val="24A87C93"/>
    <w:rsid w:val="24A948B4"/>
    <w:rsid w:val="24AB32DF"/>
    <w:rsid w:val="24AD7057"/>
    <w:rsid w:val="24AE34FB"/>
    <w:rsid w:val="24B14D99"/>
    <w:rsid w:val="24B228BF"/>
    <w:rsid w:val="24B23EBF"/>
    <w:rsid w:val="24B410D9"/>
    <w:rsid w:val="24B44889"/>
    <w:rsid w:val="24B65F0C"/>
    <w:rsid w:val="24B91EA0"/>
    <w:rsid w:val="24BE74B6"/>
    <w:rsid w:val="24C0322E"/>
    <w:rsid w:val="24C113DB"/>
    <w:rsid w:val="24C148B0"/>
    <w:rsid w:val="24C50845"/>
    <w:rsid w:val="24C6497E"/>
    <w:rsid w:val="24C841E5"/>
    <w:rsid w:val="24CA19B7"/>
    <w:rsid w:val="24CD14A7"/>
    <w:rsid w:val="24CD76F9"/>
    <w:rsid w:val="24CE4851"/>
    <w:rsid w:val="24CF3471"/>
    <w:rsid w:val="24CF521F"/>
    <w:rsid w:val="24CF6FCD"/>
    <w:rsid w:val="24D10F97"/>
    <w:rsid w:val="24D6035C"/>
    <w:rsid w:val="24D80578"/>
    <w:rsid w:val="24D82326"/>
    <w:rsid w:val="24D942F0"/>
    <w:rsid w:val="24D9609E"/>
    <w:rsid w:val="24DB0068"/>
    <w:rsid w:val="24DB5972"/>
    <w:rsid w:val="24DD793C"/>
    <w:rsid w:val="24E231A5"/>
    <w:rsid w:val="24E30CCB"/>
    <w:rsid w:val="24E46A77"/>
    <w:rsid w:val="24EA3E07"/>
    <w:rsid w:val="24EC4023"/>
    <w:rsid w:val="24EC5DD1"/>
    <w:rsid w:val="24EC7B7F"/>
    <w:rsid w:val="24EF141E"/>
    <w:rsid w:val="24EF58C2"/>
    <w:rsid w:val="24F1107B"/>
    <w:rsid w:val="24F5112A"/>
    <w:rsid w:val="24F609FE"/>
    <w:rsid w:val="24F6231C"/>
    <w:rsid w:val="24F627AC"/>
    <w:rsid w:val="24F9229C"/>
    <w:rsid w:val="24FB4CFE"/>
    <w:rsid w:val="24FE5668"/>
    <w:rsid w:val="24FF3D57"/>
    <w:rsid w:val="24FF6206"/>
    <w:rsid w:val="25010B70"/>
    <w:rsid w:val="25021151"/>
    <w:rsid w:val="250255F5"/>
    <w:rsid w:val="2503311B"/>
    <w:rsid w:val="250427AB"/>
    <w:rsid w:val="25050C41"/>
    <w:rsid w:val="25070E5D"/>
    <w:rsid w:val="250732A1"/>
    <w:rsid w:val="250749B9"/>
    <w:rsid w:val="25076767"/>
    <w:rsid w:val="250A6257"/>
    <w:rsid w:val="250C6474"/>
    <w:rsid w:val="25113A8A"/>
    <w:rsid w:val="251315B0"/>
    <w:rsid w:val="251470D6"/>
    <w:rsid w:val="25156844"/>
    <w:rsid w:val="251610A0"/>
    <w:rsid w:val="25161906"/>
    <w:rsid w:val="25164BFC"/>
    <w:rsid w:val="25166D35"/>
    <w:rsid w:val="25180A16"/>
    <w:rsid w:val="25184E18"/>
    <w:rsid w:val="2519649B"/>
    <w:rsid w:val="251A0287"/>
    <w:rsid w:val="251A0B90"/>
    <w:rsid w:val="251A293E"/>
    <w:rsid w:val="251A6B46"/>
    <w:rsid w:val="251B2213"/>
    <w:rsid w:val="251B2BA7"/>
    <w:rsid w:val="251D41DD"/>
    <w:rsid w:val="25213E48"/>
    <w:rsid w:val="252427C9"/>
    <w:rsid w:val="252512E3"/>
    <w:rsid w:val="252613FB"/>
    <w:rsid w:val="25284930"/>
    <w:rsid w:val="252D66FD"/>
    <w:rsid w:val="252F101D"/>
    <w:rsid w:val="252F3F10"/>
    <w:rsid w:val="25311A36"/>
    <w:rsid w:val="25333A00"/>
    <w:rsid w:val="2533755C"/>
    <w:rsid w:val="2536529E"/>
    <w:rsid w:val="2536704D"/>
    <w:rsid w:val="25381017"/>
    <w:rsid w:val="253820CF"/>
    <w:rsid w:val="25396B3D"/>
    <w:rsid w:val="253B28B5"/>
    <w:rsid w:val="253B4663"/>
    <w:rsid w:val="253F4153"/>
    <w:rsid w:val="254259F1"/>
    <w:rsid w:val="25453243"/>
    <w:rsid w:val="25455E14"/>
    <w:rsid w:val="254646D3"/>
    <w:rsid w:val="254D19D5"/>
    <w:rsid w:val="254E25E8"/>
    <w:rsid w:val="254E4396"/>
    <w:rsid w:val="254F010E"/>
    <w:rsid w:val="2551032A"/>
    <w:rsid w:val="25513E86"/>
    <w:rsid w:val="25535E50"/>
    <w:rsid w:val="25536CD7"/>
    <w:rsid w:val="25551BC9"/>
    <w:rsid w:val="25553977"/>
    <w:rsid w:val="255816B9"/>
    <w:rsid w:val="25592D3B"/>
    <w:rsid w:val="255A71DF"/>
    <w:rsid w:val="255B3BD6"/>
    <w:rsid w:val="255B4D05"/>
    <w:rsid w:val="255D0A7D"/>
    <w:rsid w:val="255D6CCF"/>
    <w:rsid w:val="255F2A47"/>
    <w:rsid w:val="255F69BB"/>
    <w:rsid w:val="2560231B"/>
    <w:rsid w:val="25602E2F"/>
    <w:rsid w:val="25627E42"/>
    <w:rsid w:val="2564005E"/>
    <w:rsid w:val="256636BB"/>
    <w:rsid w:val="25665B84"/>
    <w:rsid w:val="256718FC"/>
    <w:rsid w:val="256736AA"/>
    <w:rsid w:val="25697422"/>
    <w:rsid w:val="256A520F"/>
    <w:rsid w:val="256B13EC"/>
    <w:rsid w:val="256D3B90"/>
    <w:rsid w:val="256E2C8A"/>
    <w:rsid w:val="256E67E6"/>
    <w:rsid w:val="256F255E"/>
    <w:rsid w:val="257302A1"/>
    <w:rsid w:val="2573204F"/>
    <w:rsid w:val="25733DFD"/>
    <w:rsid w:val="25781413"/>
    <w:rsid w:val="25783B09"/>
    <w:rsid w:val="257A518B"/>
    <w:rsid w:val="257B0F03"/>
    <w:rsid w:val="257C53A7"/>
    <w:rsid w:val="257F09F3"/>
    <w:rsid w:val="258129BE"/>
    <w:rsid w:val="25822292"/>
    <w:rsid w:val="2584600A"/>
    <w:rsid w:val="25853B30"/>
    <w:rsid w:val="258778A8"/>
    <w:rsid w:val="25897AC4"/>
    <w:rsid w:val="258C3110"/>
    <w:rsid w:val="25900E53"/>
    <w:rsid w:val="25956469"/>
    <w:rsid w:val="2596165B"/>
    <w:rsid w:val="2596422C"/>
    <w:rsid w:val="25965D3D"/>
    <w:rsid w:val="25981AB5"/>
    <w:rsid w:val="25983863"/>
    <w:rsid w:val="25987D07"/>
    <w:rsid w:val="259A3A7F"/>
    <w:rsid w:val="259A582D"/>
    <w:rsid w:val="259B28FC"/>
    <w:rsid w:val="259D531E"/>
    <w:rsid w:val="259F2E44"/>
    <w:rsid w:val="259F4BF2"/>
    <w:rsid w:val="25A0096A"/>
    <w:rsid w:val="25A16BBC"/>
    <w:rsid w:val="25A227CF"/>
    <w:rsid w:val="25A4045A"/>
    <w:rsid w:val="25A42208"/>
    <w:rsid w:val="25A46830"/>
    <w:rsid w:val="25A641D2"/>
    <w:rsid w:val="25A725E0"/>
    <w:rsid w:val="25A83A70"/>
    <w:rsid w:val="25A95A70"/>
    <w:rsid w:val="25AB3597"/>
    <w:rsid w:val="25AE3087"/>
    <w:rsid w:val="25AE752B"/>
    <w:rsid w:val="25B032A3"/>
    <w:rsid w:val="25B05051"/>
    <w:rsid w:val="25B34B41"/>
    <w:rsid w:val="25B54415"/>
    <w:rsid w:val="25B6018D"/>
    <w:rsid w:val="25B74631"/>
    <w:rsid w:val="25B82157"/>
    <w:rsid w:val="25BA2536"/>
    <w:rsid w:val="25BC57A4"/>
    <w:rsid w:val="25BD151C"/>
    <w:rsid w:val="25BD776E"/>
    <w:rsid w:val="25C428AA"/>
    <w:rsid w:val="25C44658"/>
    <w:rsid w:val="25C61BC9"/>
    <w:rsid w:val="25C66622"/>
    <w:rsid w:val="25C91C6F"/>
    <w:rsid w:val="25CB1E8B"/>
    <w:rsid w:val="25CB3C39"/>
    <w:rsid w:val="25CC175F"/>
    <w:rsid w:val="25CC1C2B"/>
    <w:rsid w:val="25CD79B1"/>
    <w:rsid w:val="25CE3729"/>
    <w:rsid w:val="25D30D3F"/>
    <w:rsid w:val="25D32AED"/>
    <w:rsid w:val="25D6438C"/>
    <w:rsid w:val="25D80104"/>
    <w:rsid w:val="25D845A8"/>
    <w:rsid w:val="25D86356"/>
    <w:rsid w:val="25DF5CBB"/>
    <w:rsid w:val="25E1345C"/>
    <w:rsid w:val="25E35426"/>
    <w:rsid w:val="25E371D4"/>
    <w:rsid w:val="25E42F4C"/>
    <w:rsid w:val="25E46AA9"/>
    <w:rsid w:val="25E62821"/>
    <w:rsid w:val="25E90563"/>
    <w:rsid w:val="25EA5D3C"/>
    <w:rsid w:val="25ED0053"/>
    <w:rsid w:val="25ED1E01"/>
    <w:rsid w:val="25ED4D74"/>
    <w:rsid w:val="25EE3C7D"/>
    <w:rsid w:val="25EE7927"/>
    <w:rsid w:val="25EF3DCB"/>
    <w:rsid w:val="25F27417"/>
    <w:rsid w:val="25F27756"/>
    <w:rsid w:val="25F413E1"/>
    <w:rsid w:val="25F50CB6"/>
    <w:rsid w:val="25F51927"/>
    <w:rsid w:val="25F5515A"/>
    <w:rsid w:val="25F56F08"/>
    <w:rsid w:val="25F63DD5"/>
    <w:rsid w:val="25FC3DF2"/>
    <w:rsid w:val="25FD7B6A"/>
    <w:rsid w:val="26003524"/>
    <w:rsid w:val="2601765A"/>
    <w:rsid w:val="26020369"/>
    <w:rsid w:val="260333D3"/>
    <w:rsid w:val="26062EC3"/>
    <w:rsid w:val="26094761"/>
    <w:rsid w:val="2609650F"/>
    <w:rsid w:val="260B04D9"/>
    <w:rsid w:val="260B2287"/>
    <w:rsid w:val="260B672B"/>
    <w:rsid w:val="2610184F"/>
    <w:rsid w:val="2612416F"/>
    <w:rsid w:val="26127ABA"/>
    <w:rsid w:val="261750D0"/>
    <w:rsid w:val="261849A4"/>
    <w:rsid w:val="26190E48"/>
    <w:rsid w:val="26192BF6"/>
    <w:rsid w:val="261979F1"/>
    <w:rsid w:val="261A696E"/>
    <w:rsid w:val="261C4494"/>
    <w:rsid w:val="261D1FBA"/>
    <w:rsid w:val="261E020C"/>
    <w:rsid w:val="261E645E"/>
    <w:rsid w:val="261F21D6"/>
    <w:rsid w:val="261F5032"/>
    <w:rsid w:val="26256CDC"/>
    <w:rsid w:val="26263565"/>
    <w:rsid w:val="262670C1"/>
    <w:rsid w:val="26284BE7"/>
    <w:rsid w:val="26290CB5"/>
    <w:rsid w:val="26297825"/>
    <w:rsid w:val="262A4E03"/>
    <w:rsid w:val="262E04D9"/>
    <w:rsid w:val="26322018"/>
    <w:rsid w:val="26323CB8"/>
    <w:rsid w:val="26336079"/>
    <w:rsid w:val="26350999"/>
    <w:rsid w:val="26357304"/>
    <w:rsid w:val="2637307C"/>
    <w:rsid w:val="263927A0"/>
    <w:rsid w:val="26396DF4"/>
    <w:rsid w:val="263A2B6C"/>
    <w:rsid w:val="263A491A"/>
    <w:rsid w:val="263B480B"/>
    <w:rsid w:val="2641214D"/>
    <w:rsid w:val="26413EFB"/>
    <w:rsid w:val="26431A21"/>
    <w:rsid w:val="2645048E"/>
    <w:rsid w:val="2647597F"/>
    <w:rsid w:val="264A1001"/>
    <w:rsid w:val="264A7253"/>
    <w:rsid w:val="264D0AF2"/>
    <w:rsid w:val="264D464E"/>
    <w:rsid w:val="26502390"/>
    <w:rsid w:val="26527EB6"/>
    <w:rsid w:val="26543C2E"/>
    <w:rsid w:val="26597496"/>
    <w:rsid w:val="265A320F"/>
    <w:rsid w:val="265A4FBD"/>
    <w:rsid w:val="265C0D35"/>
    <w:rsid w:val="265C2AE3"/>
    <w:rsid w:val="265E4AAD"/>
    <w:rsid w:val="265F25D3"/>
    <w:rsid w:val="266320C3"/>
    <w:rsid w:val="26633E71"/>
    <w:rsid w:val="26655E3B"/>
    <w:rsid w:val="26683828"/>
    <w:rsid w:val="266876DA"/>
    <w:rsid w:val="26695200"/>
    <w:rsid w:val="266A16A4"/>
    <w:rsid w:val="266B541C"/>
    <w:rsid w:val="266D4CF0"/>
    <w:rsid w:val="266D6A9E"/>
    <w:rsid w:val="266F0A68"/>
    <w:rsid w:val="266F1FBA"/>
    <w:rsid w:val="266F33E0"/>
    <w:rsid w:val="267267AA"/>
    <w:rsid w:val="2674499C"/>
    <w:rsid w:val="2674607E"/>
    <w:rsid w:val="26773DC1"/>
    <w:rsid w:val="26775B6F"/>
    <w:rsid w:val="267918E7"/>
    <w:rsid w:val="26793695"/>
    <w:rsid w:val="267A11BB"/>
    <w:rsid w:val="267A740D"/>
    <w:rsid w:val="267B565F"/>
    <w:rsid w:val="267D5E9B"/>
    <w:rsid w:val="26804A23"/>
    <w:rsid w:val="26806E98"/>
    <w:rsid w:val="268143CF"/>
    <w:rsid w:val="26832765"/>
    <w:rsid w:val="268362C1"/>
    <w:rsid w:val="26844491"/>
    <w:rsid w:val="26855921"/>
    <w:rsid w:val="268564DD"/>
    <w:rsid w:val="268A7650"/>
    <w:rsid w:val="268C786C"/>
    <w:rsid w:val="268D6C84"/>
    <w:rsid w:val="268F2EB8"/>
    <w:rsid w:val="268F4C66"/>
    <w:rsid w:val="26914E82"/>
    <w:rsid w:val="26920BFA"/>
    <w:rsid w:val="269229A8"/>
    <w:rsid w:val="26926505"/>
    <w:rsid w:val="269404CF"/>
    <w:rsid w:val="26964247"/>
    <w:rsid w:val="26983D97"/>
    <w:rsid w:val="269B185D"/>
    <w:rsid w:val="269C3827"/>
    <w:rsid w:val="269E30FB"/>
    <w:rsid w:val="269E759F"/>
    <w:rsid w:val="26A050C5"/>
    <w:rsid w:val="26A5092E"/>
    <w:rsid w:val="26A526DC"/>
    <w:rsid w:val="26A60202"/>
    <w:rsid w:val="26A61FB0"/>
    <w:rsid w:val="26AA7CF2"/>
    <w:rsid w:val="26AC0ACC"/>
    <w:rsid w:val="26AE33EC"/>
    <w:rsid w:val="26AF70B6"/>
    <w:rsid w:val="26B40B71"/>
    <w:rsid w:val="26B446CD"/>
    <w:rsid w:val="26B50445"/>
    <w:rsid w:val="26B66697"/>
    <w:rsid w:val="26B741BD"/>
    <w:rsid w:val="26B91CE3"/>
    <w:rsid w:val="26B97F35"/>
    <w:rsid w:val="26BB1EFF"/>
    <w:rsid w:val="26BB3CAD"/>
    <w:rsid w:val="26BB5A5B"/>
    <w:rsid w:val="26BC17D3"/>
    <w:rsid w:val="26BE19EF"/>
    <w:rsid w:val="26BE72FA"/>
    <w:rsid w:val="26C1503C"/>
    <w:rsid w:val="26C30DB4"/>
    <w:rsid w:val="26C32B62"/>
    <w:rsid w:val="26C37006"/>
    <w:rsid w:val="26C568DA"/>
    <w:rsid w:val="26C62652"/>
    <w:rsid w:val="26C8461C"/>
    <w:rsid w:val="26CA0394"/>
    <w:rsid w:val="26CA3EF0"/>
    <w:rsid w:val="26CC5EBA"/>
    <w:rsid w:val="26CD1C32"/>
    <w:rsid w:val="26CD39E1"/>
    <w:rsid w:val="26CF1507"/>
    <w:rsid w:val="26D14496"/>
    <w:rsid w:val="26D1527F"/>
    <w:rsid w:val="26D27249"/>
    <w:rsid w:val="26D302D5"/>
    <w:rsid w:val="26D60AE7"/>
    <w:rsid w:val="26D62895"/>
    <w:rsid w:val="26D7660D"/>
    <w:rsid w:val="26D964A5"/>
    <w:rsid w:val="26DB60FD"/>
    <w:rsid w:val="26DE174A"/>
    <w:rsid w:val="26E01966"/>
    <w:rsid w:val="26E054C2"/>
    <w:rsid w:val="26E34A53"/>
    <w:rsid w:val="26E34FB2"/>
    <w:rsid w:val="26E66850"/>
    <w:rsid w:val="26E72CF4"/>
    <w:rsid w:val="26E8081A"/>
    <w:rsid w:val="26E921AF"/>
    <w:rsid w:val="26EC20B9"/>
    <w:rsid w:val="26ED5E31"/>
    <w:rsid w:val="26ED73EF"/>
    <w:rsid w:val="26EF1BA9"/>
    <w:rsid w:val="26EF3957"/>
    <w:rsid w:val="26EF7DFB"/>
    <w:rsid w:val="26F31699"/>
    <w:rsid w:val="26F61189"/>
    <w:rsid w:val="26F61BE2"/>
    <w:rsid w:val="26FB67A0"/>
    <w:rsid w:val="26FD42C6"/>
    <w:rsid w:val="26FE003E"/>
    <w:rsid w:val="2702368A"/>
    <w:rsid w:val="27037402"/>
    <w:rsid w:val="270513CC"/>
    <w:rsid w:val="270A1B67"/>
    <w:rsid w:val="270A253F"/>
    <w:rsid w:val="270C275B"/>
    <w:rsid w:val="270C3E08"/>
    <w:rsid w:val="270D202F"/>
    <w:rsid w:val="270F5DA7"/>
    <w:rsid w:val="271138CD"/>
    <w:rsid w:val="27117D71"/>
    <w:rsid w:val="271213BB"/>
    <w:rsid w:val="27165388"/>
    <w:rsid w:val="27167136"/>
    <w:rsid w:val="27181100"/>
    <w:rsid w:val="271B0BF0"/>
    <w:rsid w:val="271B474C"/>
    <w:rsid w:val="271C2272"/>
    <w:rsid w:val="271C2980"/>
    <w:rsid w:val="271C503E"/>
    <w:rsid w:val="271D04C4"/>
    <w:rsid w:val="271E248E"/>
    <w:rsid w:val="271F55C1"/>
    <w:rsid w:val="27225ADA"/>
    <w:rsid w:val="27232340"/>
    <w:rsid w:val="27247AA4"/>
    <w:rsid w:val="27270A10"/>
    <w:rsid w:val="272916F4"/>
    <w:rsid w:val="272C0707"/>
    <w:rsid w:val="272C33F1"/>
    <w:rsid w:val="272C4BAB"/>
    <w:rsid w:val="272D447F"/>
    <w:rsid w:val="273121C1"/>
    <w:rsid w:val="27313F6F"/>
    <w:rsid w:val="27315D1D"/>
    <w:rsid w:val="27351CB2"/>
    <w:rsid w:val="27394565"/>
    <w:rsid w:val="273B094A"/>
    <w:rsid w:val="273B4DEE"/>
    <w:rsid w:val="273B6B9C"/>
    <w:rsid w:val="273D0B66"/>
    <w:rsid w:val="273F48DE"/>
    <w:rsid w:val="27433CA3"/>
    <w:rsid w:val="27455C6D"/>
    <w:rsid w:val="274719E5"/>
    <w:rsid w:val="27475541"/>
    <w:rsid w:val="27483067"/>
    <w:rsid w:val="2749750B"/>
    <w:rsid w:val="274A3283"/>
    <w:rsid w:val="274A5031"/>
    <w:rsid w:val="274A6DDF"/>
    <w:rsid w:val="274C2B57"/>
    <w:rsid w:val="274F2647"/>
    <w:rsid w:val="275163C0"/>
    <w:rsid w:val="2753038A"/>
    <w:rsid w:val="27533EE6"/>
    <w:rsid w:val="27541A0C"/>
    <w:rsid w:val="275859A0"/>
    <w:rsid w:val="2758774E"/>
    <w:rsid w:val="27594FDF"/>
    <w:rsid w:val="275B0FEC"/>
    <w:rsid w:val="275D2FB6"/>
    <w:rsid w:val="275D4D64"/>
    <w:rsid w:val="275D6B12"/>
    <w:rsid w:val="27613771"/>
    <w:rsid w:val="276205CD"/>
    <w:rsid w:val="27622FFE"/>
    <w:rsid w:val="276500BD"/>
    <w:rsid w:val="27651E6B"/>
    <w:rsid w:val="27653582"/>
    <w:rsid w:val="27653C19"/>
    <w:rsid w:val="27693709"/>
    <w:rsid w:val="276A122F"/>
    <w:rsid w:val="276A2196"/>
    <w:rsid w:val="276A7481"/>
    <w:rsid w:val="276B56D3"/>
    <w:rsid w:val="276E31A4"/>
    <w:rsid w:val="276E51C4"/>
    <w:rsid w:val="277125BE"/>
    <w:rsid w:val="277327DA"/>
    <w:rsid w:val="27753EE4"/>
    <w:rsid w:val="27764078"/>
    <w:rsid w:val="2778394C"/>
    <w:rsid w:val="27787DF0"/>
    <w:rsid w:val="277976C4"/>
    <w:rsid w:val="277A3B68"/>
    <w:rsid w:val="277B343D"/>
    <w:rsid w:val="277B4318"/>
    <w:rsid w:val="277D0F63"/>
    <w:rsid w:val="277D5407"/>
    <w:rsid w:val="277F2F2D"/>
    <w:rsid w:val="27802801"/>
    <w:rsid w:val="278204EE"/>
    <w:rsid w:val="27826579"/>
    <w:rsid w:val="278422F1"/>
    <w:rsid w:val="27846795"/>
    <w:rsid w:val="27893DAB"/>
    <w:rsid w:val="278C564A"/>
    <w:rsid w:val="278E13C2"/>
    <w:rsid w:val="279369D8"/>
    <w:rsid w:val="279462AC"/>
    <w:rsid w:val="27963AF1"/>
    <w:rsid w:val="27985D9D"/>
    <w:rsid w:val="279B3ADF"/>
    <w:rsid w:val="279B7038"/>
    <w:rsid w:val="279B763B"/>
    <w:rsid w:val="279E3FA3"/>
    <w:rsid w:val="279F3713"/>
    <w:rsid w:val="27A24E6D"/>
    <w:rsid w:val="27A40BE5"/>
    <w:rsid w:val="27A72484"/>
    <w:rsid w:val="27A74232"/>
    <w:rsid w:val="27A91D58"/>
    <w:rsid w:val="27A961FC"/>
    <w:rsid w:val="27AC3146"/>
    <w:rsid w:val="27AC35F6"/>
    <w:rsid w:val="27AC5CEC"/>
    <w:rsid w:val="27AC7A9A"/>
    <w:rsid w:val="27AE736E"/>
    <w:rsid w:val="27AF30E6"/>
    <w:rsid w:val="27B16E5E"/>
    <w:rsid w:val="27B23302"/>
    <w:rsid w:val="27B4707A"/>
    <w:rsid w:val="27B54BA0"/>
    <w:rsid w:val="27B5694E"/>
    <w:rsid w:val="27B64475"/>
    <w:rsid w:val="27BE35F0"/>
    <w:rsid w:val="27BF3329"/>
    <w:rsid w:val="27C052F3"/>
    <w:rsid w:val="27C070A1"/>
    <w:rsid w:val="27C272BD"/>
    <w:rsid w:val="27C748D4"/>
    <w:rsid w:val="27C923FA"/>
    <w:rsid w:val="27C941A8"/>
    <w:rsid w:val="27CD5050"/>
    <w:rsid w:val="27CE17BE"/>
    <w:rsid w:val="27CE5C62"/>
    <w:rsid w:val="27CE7A10"/>
    <w:rsid w:val="27D25752"/>
    <w:rsid w:val="27D70CD3"/>
    <w:rsid w:val="27D74B17"/>
    <w:rsid w:val="27DC0AE4"/>
    <w:rsid w:val="27DC212D"/>
    <w:rsid w:val="27E15995"/>
    <w:rsid w:val="27E234BC"/>
    <w:rsid w:val="27E2526A"/>
    <w:rsid w:val="27E40FE2"/>
    <w:rsid w:val="27E45486"/>
    <w:rsid w:val="27E67338"/>
    <w:rsid w:val="27E92A9C"/>
    <w:rsid w:val="27E965F8"/>
    <w:rsid w:val="27EC05D9"/>
    <w:rsid w:val="27EC7E96"/>
    <w:rsid w:val="27F12FBB"/>
    <w:rsid w:val="27F31225"/>
    <w:rsid w:val="27F51441"/>
    <w:rsid w:val="27F751B9"/>
    <w:rsid w:val="27F82CDF"/>
    <w:rsid w:val="27F84A8D"/>
    <w:rsid w:val="27FA6A57"/>
    <w:rsid w:val="27FC27CF"/>
    <w:rsid w:val="27FD20A3"/>
    <w:rsid w:val="27FE6547"/>
    <w:rsid w:val="27FF406E"/>
    <w:rsid w:val="28001620"/>
    <w:rsid w:val="28011B94"/>
    <w:rsid w:val="28013942"/>
    <w:rsid w:val="2802590C"/>
    <w:rsid w:val="28041684"/>
    <w:rsid w:val="28043432"/>
    <w:rsid w:val="28054CD9"/>
    <w:rsid w:val="28060F58"/>
    <w:rsid w:val="28090A48"/>
    <w:rsid w:val="280B2A12"/>
    <w:rsid w:val="280B47C0"/>
    <w:rsid w:val="280B656E"/>
    <w:rsid w:val="280E2503"/>
    <w:rsid w:val="280E42B1"/>
    <w:rsid w:val="281178FD"/>
    <w:rsid w:val="281573ED"/>
    <w:rsid w:val="28173165"/>
    <w:rsid w:val="28180C8B"/>
    <w:rsid w:val="281C4C20"/>
    <w:rsid w:val="281E3468"/>
    <w:rsid w:val="281F64BE"/>
    <w:rsid w:val="28212236"/>
    <w:rsid w:val="28215D92"/>
    <w:rsid w:val="28221DE9"/>
    <w:rsid w:val="28243AD4"/>
    <w:rsid w:val="28245882"/>
    <w:rsid w:val="2826784C"/>
    <w:rsid w:val="282723FE"/>
    <w:rsid w:val="282B09BF"/>
    <w:rsid w:val="282B6C11"/>
    <w:rsid w:val="282D2989"/>
    <w:rsid w:val="28327F9F"/>
    <w:rsid w:val="28341F69"/>
    <w:rsid w:val="2838132E"/>
    <w:rsid w:val="283830DC"/>
    <w:rsid w:val="28397580"/>
    <w:rsid w:val="283A32F8"/>
    <w:rsid w:val="283A50A6"/>
    <w:rsid w:val="283C2BCC"/>
    <w:rsid w:val="283F446A"/>
    <w:rsid w:val="28405372"/>
    <w:rsid w:val="28433CF3"/>
    <w:rsid w:val="28433F5A"/>
    <w:rsid w:val="28445F24"/>
    <w:rsid w:val="28463A4A"/>
    <w:rsid w:val="284B2E0F"/>
    <w:rsid w:val="284B72B3"/>
    <w:rsid w:val="284C3915"/>
    <w:rsid w:val="28506677"/>
    <w:rsid w:val="28520641"/>
    <w:rsid w:val="285223EF"/>
    <w:rsid w:val="28546167"/>
    <w:rsid w:val="28551EE0"/>
    <w:rsid w:val="28577A06"/>
    <w:rsid w:val="2859377E"/>
    <w:rsid w:val="285A12A4"/>
    <w:rsid w:val="285A5748"/>
    <w:rsid w:val="285C501C"/>
    <w:rsid w:val="285C6DCA"/>
    <w:rsid w:val="28610884"/>
    <w:rsid w:val="286363AA"/>
    <w:rsid w:val="28643ED1"/>
    <w:rsid w:val="28650375"/>
    <w:rsid w:val="28667663"/>
    <w:rsid w:val="28687E65"/>
    <w:rsid w:val="286A598B"/>
    <w:rsid w:val="286C5AD0"/>
    <w:rsid w:val="286D547B"/>
    <w:rsid w:val="28700AC7"/>
    <w:rsid w:val="28722A91"/>
    <w:rsid w:val="287405B8"/>
    <w:rsid w:val="28744262"/>
    <w:rsid w:val="287560DE"/>
    <w:rsid w:val="28771E56"/>
    <w:rsid w:val="287A36F4"/>
    <w:rsid w:val="287E1436"/>
    <w:rsid w:val="287E4F92"/>
    <w:rsid w:val="288051AE"/>
    <w:rsid w:val="28810F26"/>
    <w:rsid w:val="28812CD5"/>
    <w:rsid w:val="288307FB"/>
    <w:rsid w:val="288325A9"/>
    <w:rsid w:val="28836A4D"/>
    <w:rsid w:val="28846321"/>
    <w:rsid w:val="2886653D"/>
    <w:rsid w:val="288726D8"/>
    <w:rsid w:val="288B3B53"/>
    <w:rsid w:val="288C24E9"/>
    <w:rsid w:val="288E6299"/>
    <w:rsid w:val="288F53F1"/>
    <w:rsid w:val="288F7729"/>
    <w:rsid w:val="2890116A"/>
    <w:rsid w:val="28920A3E"/>
    <w:rsid w:val="2894210B"/>
    <w:rsid w:val="28942A08"/>
    <w:rsid w:val="289447B6"/>
    <w:rsid w:val="28960AB2"/>
    <w:rsid w:val="289742A6"/>
    <w:rsid w:val="28991763"/>
    <w:rsid w:val="289A2E7C"/>
    <w:rsid w:val="289C366A"/>
    <w:rsid w:val="289E5635"/>
    <w:rsid w:val="289F315B"/>
    <w:rsid w:val="28A075FF"/>
    <w:rsid w:val="28A16ED3"/>
    <w:rsid w:val="28A349F9"/>
    <w:rsid w:val="28A47E0D"/>
    <w:rsid w:val="28A6098D"/>
    <w:rsid w:val="28A644E9"/>
    <w:rsid w:val="28AA3FD9"/>
    <w:rsid w:val="28AC5FA3"/>
    <w:rsid w:val="28AD5878"/>
    <w:rsid w:val="28AF15F0"/>
    <w:rsid w:val="28B12D73"/>
    <w:rsid w:val="28B44E58"/>
    <w:rsid w:val="28B45007"/>
    <w:rsid w:val="28B704A4"/>
    <w:rsid w:val="28B9246E"/>
    <w:rsid w:val="28B9421C"/>
    <w:rsid w:val="28BA1D43"/>
    <w:rsid w:val="28BA7F95"/>
    <w:rsid w:val="28BC5ABB"/>
    <w:rsid w:val="28BE5CD7"/>
    <w:rsid w:val="28C17575"/>
    <w:rsid w:val="28C66939"/>
    <w:rsid w:val="28C826B1"/>
    <w:rsid w:val="28C97E37"/>
    <w:rsid w:val="28CA642A"/>
    <w:rsid w:val="28CB3F50"/>
    <w:rsid w:val="28CB64EB"/>
    <w:rsid w:val="28CD1A76"/>
    <w:rsid w:val="28CF1C92"/>
    <w:rsid w:val="28D040CB"/>
    <w:rsid w:val="28D0604B"/>
    <w:rsid w:val="28D15A0A"/>
    <w:rsid w:val="28D177B8"/>
    <w:rsid w:val="28D21782"/>
    <w:rsid w:val="28D23530"/>
    <w:rsid w:val="28D56B7C"/>
    <w:rsid w:val="28D70B46"/>
    <w:rsid w:val="28D728F5"/>
    <w:rsid w:val="28D9666D"/>
    <w:rsid w:val="28DB0637"/>
    <w:rsid w:val="28DC43AF"/>
    <w:rsid w:val="28DC615D"/>
    <w:rsid w:val="28DE0127"/>
    <w:rsid w:val="28DE1ED5"/>
    <w:rsid w:val="28DF46B0"/>
    <w:rsid w:val="28E105D4"/>
    <w:rsid w:val="28E31299"/>
    <w:rsid w:val="28E3573D"/>
    <w:rsid w:val="28E441EA"/>
    <w:rsid w:val="28E45951"/>
    <w:rsid w:val="28E514B5"/>
    <w:rsid w:val="28E60D8A"/>
    <w:rsid w:val="28E62B38"/>
    <w:rsid w:val="28E90333"/>
    <w:rsid w:val="28EA2F04"/>
    <w:rsid w:val="28EA6ACC"/>
    <w:rsid w:val="28EB63A0"/>
    <w:rsid w:val="28EC2844"/>
    <w:rsid w:val="28EC45F2"/>
    <w:rsid w:val="28ED2118"/>
    <w:rsid w:val="28EE0144"/>
    <w:rsid w:val="28EF40E2"/>
    <w:rsid w:val="28F039B6"/>
    <w:rsid w:val="28F11C08"/>
    <w:rsid w:val="28F32B26"/>
    <w:rsid w:val="28F65471"/>
    <w:rsid w:val="28F86998"/>
    <w:rsid w:val="28FB65E3"/>
    <w:rsid w:val="28FC05AD"/>
    <w:rsid w:val="28FC235B"/>
    <w:rsid w:val="28FD67FF"/>
    <w:rsid w:val="28FE2577"/>
    <w:rsid w:val="29000BAE"/>
    <w:rsid w:val="29017971"/>
    <w:rsid w:val="29051210"/>
    <w:rsid w:val="2907142C"/>
    <w:rsid w:val="29086F52"/>
    <w:rsid w:val="290C36CD"/>
    <w:rsid w:val="290C6A42"/>
    <w:rsid w:val="290F02E0"/>
    <w:rsid w:val="290F208E"/>
    <w:rsid w:val="290F6532"/>
    <w:rsid w:val="291122AA"/>
    <w:rsid w:val="2912392D"/>
    <w:rsid w:val="29155EC0"/>
    <w:rsid w:val="2916341D"/>
    <w:rsid w:val="291678C1"/>
    <w:rsid w:val="29171B75"/>
    <w:rsid w:val="29194841"/>
    <w:rsid w:val="291B4ED7"/>
    <w:rsid w:val="291B6C85"/>
    <w:rsid w:val="2920429C"/>
    <w:rsid w:val="2920604A"/>
    <w:rsid w:val="292518B2"/>
    <w:rsid w:val="292559B5"/>
    <w:rsid w:val="29257B04"/>
    <w:rsid w:val="2927562A"/>
    <w:rsid w:val="292813A2"/>
    <w:rsid w:val="292875F4"/>
    <w:rsid w:val="292A6EC8"/>
    <w:rsid w:val="292D69B8"/>
    <w:rsid w:val="292F1638"/>
    <w:rsid w:val="293146FB"/>
    <w:rsid w:val="29325D7D"/>
    <w:rsid w:val="29361D11"/>
    <w:rsid w:val="29387837"/>
    <w:rsid w:val="2939710B"/>
    <w:rsid w:val="293B10D5"/>
    <w:rsid w:val="293B131C"/>
    <w:rsid w:val="293D24FB"/>
    <w:rsid w:val="293D309F"/>
    <w:rsid w:val="293E0BC6"/>
    <w:rsid w:val="293E7D5A"/>
    <w:rsid w:val="2940049A"/>
    <w:rsid w:val="294025BD"/>
    <w:rsid w:val="294176B3"/>
    <w:rsid w:val="294206B6"/>
    <w:rsid w:val="29430F3E"/>
    <w:rsid w:val="2944442E"/>
    <w:rsid w:val="29471828"/>
    <w:rsid w:val="2949443E"/>
    <w:rsid w:val="294A1318"/>
    <w:rsid w:val="294A57BC"/>
    <w:rsid w:val="294C5091"/>
    <w:rsid w:val="294D1FF0"/>
    <w:rsid w:val="294F2DD3"/>
    <w:rsid w:val="295108F9"/>
    <w:rsid w:val="29514455"/>
    <w:rsid w:val="295201CD"/>
    <w:rsid w:val="29565F0F"/>
    <w:rsid w:val="2959155B"/>
    <w:rsid w:val="295D104C"/>
    <w:rsid w:val="295D729E"/>
    <w:rsid w:val="295E4DC4"/>
    <w:rsid w:val="296118F6"/>
    <w:rsid w:val="296244C7"/>
    <w:rsid w:val="2964687E"/>
    <w:rsid w:val="2967011C"/>
    <w:rsid w:val="296879F1"/>
    <w:rsid w:val="296A19BB"/>
    <w:rsid w:val="296A3769"/>
    <w:rsid w:val="296A5517"/>
    <w:rsid w:val="296C5733"/>
    <w:rsid w:val="296F6ACB"/>
    <w:rsid w:val="296F6FD1"/>
    <w:rsid w:val="2970130A"/>
    <w:rsid w:val="29707226"/>
    <w:rsid w:val="29752839"/>
    <w:rsid w:val="2975293D"/>
    <w:rsid w:val="2976210D"/>
    <w:rsid w:val="297840D8"/>
    <w:rsid w:val="29791BFE"/>
    <w:rsid w:val="297939AC"/>
    <w:rsid w:val="297D16EE"/>
    <w:rsid w:val="297D524A"/>
    <w:rsid w:val="29804D3A"/>
    <w:rsid w:val="29834F41"/>
    <w:rsid w:val="298505A2"/>
    <w:rsid w:val="29852351"/>
    <w:rsid w:val="298567F4"/>
    <w:rsid w:val="29862181"/>
    <w:rsid w:val="29891E41"/>
    <w:rsid w:val="298C36DF"/>
    <w:rsid w:val="298C7710"/>
    <w:rsid w:val="298D7483"/>
    <w:rsid w:val="298F1421"/>
    <w:rsid w:val="298F4F7D"/>
    <w:rsid w:val="29905E04"/>
    <w:rsid w:val="29915199"/>
    <w:rsid w:val="29932CBF"/>
    <w:rsid w:val="299407E6"/>
    <w:rsid w:val="29946A38"/>
    <w:rsid w:val="2996455E"/>
    <w:rsid w:val="299802D6"/>
    <w:rsid w:val="29986528"/>
    <w:rsid w:val="299A22A0"/>
    <w:rsid w:val="299B6018"/>
    <w:rsid w:val="299B7DC6"/>
    <w:rsid w:val="299D161D"/>
    <w:rsid w:val="299D769A"/>
    <w:rsid w:val="299E3412"/>
    <w:rsid w:val="299F1664"/>
    <w:rsid w:val="299F1898"/>
    <w:rsid w:val="29A0362E"/>
    <w:rsid w:val="29A053DC"/>
    <w:rsid w:val="29A13FDE"/>
    <w:rsid w:val="29A46C7B"/>
    <w:rsid w:val="29A749BD"/>
    <w:rsid w:val="29A84037"/>
    <w:rsid w:val="29A924E3"/>
    <w:rsid w:val="29A94291"/>
    <w:rsid w:val="29AE18A7"/>
    <w:rsid w:val="29AE7AF9"/>
    <w:rsid w:val="29B13146"/>
    <w:rsid w:val="29B3119E"/>
    <w:rsid w:val="29B42C36"/>
    <w:rsid w:val="29B6075C"/>
    <w:rsid w:val="29B844D4"/>
    <w:rsid w:val="29B9024C"/>
    <w:rsid w:val="29BA64A0"/>
    <w:rsid w:val="29BF5862"/>
    <w:rsid w:val="29C015DB"/>
    <w:rsid w:val="29C25353"/>
    <w:rsid w:val="29C27101"/>
    <w:rsid w:val="29C54E43"/>
    <w:rsid w:val="29C70BBB"/>
    <w:rsid w:val="29C76E0D"/>
    <w:rsid w:val="29C9048F"/>
    <w:rsid w:val="29CA2459"/>
    <w:rsid w:val="29CC7F7F"/>
    <w:rsid w:val="29CE1F49"/>
    <w:rsid w:val="29CF48E5"/>
    <w:rsid w:val="29D05CC2"/>
    <w:rsid w:val="29D07A70"/>
    <w:rsid w:val="29D11A3A"/>
    <w:rsid w:val="29D272F8"/>
    <w:rsid w:val="29D3071B"/>
    <w:rsid w:val="29D55086"/>
    <w:rsid w:val="29D55BDF"/>
    <w:rsid w:val="29D60DFE"/>
    <w:rsid w:val="29D62BAC"/>
    <w:rsid w:val="29D8316A"/>
    <w:rsid w:val="29D84B76"/>
    <w:rsid w:val="29DC2F7B"/>
    <w:rsid w:val="29DD03DE"/>
    <w:rsid w:val="29DE589B"/>
    <w:rsid w:val="29E057D9"/>
    <w:rsid w:val="29E4095D"/>
    <w:rsid w:val="29E4351B"/>
    <w:rsid w:val="29E51041"/>
    <w:rsid w:val="29EB7E9F"/>
    <w:rsid w:val="29EC23D0"/>
    <w:rsid w:val="29EF3C6E"/>
    <w:rsid w:val="29F00112"/>
    <w:rsid w:val="29F179E6"/>
    <w:rsid w:val="29F23E8A"/>
    <w:rsid w:val="29F342D4"/>
    <w:rsid w:val="29F37C02"/>
    <w:rsid w:val="29F411BD"/>
    <w:rsid w:val="29F51284"/>
    <w:rsid w:val="29F55728"/>
    <w:rsid w:val="29F64FFC"/>
    <w:rsid w:val="29F714A0"/>
    <w:rsid w:val="29FB0865"/>
    <w:rsid w:val="29FB2613"/>
    <w:rsid w:val="29FB4DC3"/>
    <w:rsid w:val="29FC6AB7"/>
    <w:rsid w:val="2A005ACD"/>
    <w:rsid w:val="2A021BF3"/>
    <w:rsid w:val="2A027E45"/>
    <w:rsid w:val="2A04596B"/>
    <w:rsid w:val="2A047719"/>
    <w:rsid w:val="2A0616E3"/>
    <w:rsid w:val="2A07545B"/>
    <w:rsid w:val="2A092F82"/>
    <w:rsid w:val="2A097F53"/>
    <w:rsid w:val="2A0E2346"/>
    <w:rsid w:val="2A102562"/>
    <w:rsid w:val="2A15310C"/>
    <w:rsid w:val="2A16744D"/>
    <w:rsid w:val="2A17569E"/>
    <w:rsid w:val="2A187669"/>
    <w:rsid w:val="2A1C074A"/>
    <w:rsid w:val="2A1C2CB5"/>
    <w:rsid w:val="2A1D6A2D"/>
    <w:rsid w:val="2A1E7AAD"/>
    <w:rsid w:val="2A1F0E3A"/>
    <w:rsid w:val="2A207891"/>
    <w:rsid w:val="2A224043"/>
    <w:rsid w:val="2A225DF1"/>
    <w:rsid w:val="2A261D85"/>
    <w:rsid w:val="2A27294F"/>
    <w:rsid w:val="2A2953D2"/>
    <w:rsid w:val="2A2B2EF8"/>
    <w:rsid w:val="2A2C0A1E"/>
    <w:rsid w:val="2A2C6C70"/>
    <w:rsid w:val="2A306760"/>
    <w:rsid w:val="2A314286"/>
    <w:rsid w:val="2A336250"/>
    <w:rsid w:val="2A351A23"/>
    <w:rsid w:val="2A355B25"/>
    <w:rsid w:val="2A363B85"/>
    <w:rsid w:val="2A375D41"/>
    <w:rsid w:val="2A383867"/>
    <w:rsid w:val="2A385615"/>
    <w:rsid w:val="2A391AB9"/>
    <w:rsid w:val="2A3A0DC5"/>
    <w:rsid w:val="2A3B4E26"/>
    <w:rsid w:val="2A3C62B6"/>
    <w:rsid w:val="2A3E70CF"/>
    <w:rsid w:val="2A3F4BF5"/>
    <w:rsid w:val="2A407808"/>
    <w:rsid w:val="2A420242"/>
    <w:rsid w:val="2A44220C"/>
    <w:rsid w:val="2A473AAA"/>
    <w:rsid w:val="2A4915D0"/>
    <w:rsid w:val="2A4C2E6E"/>
    <w:rsid w:val="2A4D7312"/>
    <w:rsid w:val="2A4E308A"/>
    <w:rsid w:val="2A4E6BE6"/>
    <w:rsid w:val="2A500BB0"/>
    <w:rsid w:val="2A5306A1"/>
    <w:rsid w:val="2A53244F"/>
    <w:rsid w:val="2A5341FD"/>
    <w:rsid w:val="2A554419"/>
    <w:rsid w:val="2A557F75"/>
    <w:rsid w:val="2A573CED"/>
    <w:rsid w:val="2A5A1A2F"/>
    <w:rsid w:val="2A5A558B"/>
    <w:rsid w:val="2A5D507B"/>
    <w:rsid w:val="2A5E32CD"/>
    <w:rsid w:val="2A622692"/>
    <w:rsid w:val="2A6401B8"/>
    <w:rsid w:val="2A64640A"/>
    <w:rsid w:val="2A661523"/>
    <w:rsid w:val="2A68414C"/>
    <w:rsid w:val="2A685EFA"/>
    <w:rsid w:val="2A691C72"/>
    <w:rsid w:val="2A6B1546"/>
    <w:rsid w:val="2A6C52BE"/>
    <w:rsid w:val="2A6D1762"/>
    <w:rsid w:val="2A6D50E4"/>
    <w:rsid w:val="2A720B27"/>
    <w:rsid w:val="2A725283"/>
    <w:rsid w:val="2A73489F"/>
    <w:rsid w:val="2A742AF1"/>
    <w:rsid w:val="2A753876"/>
    <w:rsid w:val="2A77613D"/>
    <w:rsid w:val="2A783C63"/>
    <w:rsid w:val="2A790107"/>
    <w:rsid w:val="2A7A5326"/>
    <w:rsid w:val="2A7C7BF7"/>
    <w:rsid w:val="2A7D74CC"/>
    <w:rsid w:val="2A7F3244"/>
    <w:rsid w:val="2A810D6A"/>
    <w:rsid w:val="2A81520E"/>
    <w:rsid w:val="2A834AE2"/>
    <w:rsid w:val="2A854AAC"/>
    <w:rsid w:val="2A8645D2"/>
    <w:rsid w:val="2A866380"/>
    <w:rsid w:val="2A8940C2"/>
    <w:rsid w:val="2A8A2314"/>
    <w:rsid w:val="2A8B7E3A"/>
    <w:rsid w:val="2A8D46CE"/>
    <w:rsid w:val="2A8F792B"/>
    <w:rsid w:val="2A900FAD"/>
    <w:rsid w:val="2A905451"/>
    <w:rsid w:val="2A922F77"/>
    <w:rsid w:val="2A924D25"/>
    <w:rsid w:val="2A992557"/>
    <w:rsid w:val="2A994305"/>
    <w:rsid w:val="2A9B42F6"/>
    <w:rsid w:val="2A9C3DF6"/>
    <w:rsid w:val="2A9C5BA4"/>
    <w:rsid w:val="2A9E191C"/>
    <w:rsid w:val="2A9F38E6"/>
    <w:rsid w:val="2A9F7442"/>
    <w:rsid w:val="2AA1140C"/>
    <w:rsid w:val="2AA3048F"/>
    <w:rsid w:val="2AA35184"/>
    <w:rsid w:val="2AA50EFC"/>
    <w:rsid w:val="2AA66A22"/>
    <w:rsid w:val="2AA812D6"/>
    <w:rsid w:val="2AA8279A"/>
    <w:rsid w:val="2AA902C1"/>
    <w:rsid w:val="2AA9206F"/>
    <w:rsid w:val="2AAA6513"/>
    <w:rsid w:val="2AAB228B"/>
    <w:rsid w:val="2AAB5DE7"/>
    <w:rsid w:val="2AAC10E7"/>
    <w:rsid w:val="2AAD6003"/>
    <w:rsid w:val="2AAF1D7B"/>
    <w:rsid w:val="2AB033FD"/>
    <w:rsid w:val="2AB23619"/>
    <w:rsid w:val="2AB253C7"/>
    <w:rsid w:val="2AB27175"/>
    <w:rsid w:val="2AB4113F"/>
    <w:rsid w:val="2ABB0720"/>
    <w:rsid w:val="2ABC6246"/>
    <w:rsid w:val="2ABE3D6C"/>
    <w:rsid w:val="2ABE5B1A"/>
    <w:rsid w:val="2AC05D36"/>
    <w:rsid w:val="2AC1560A"/>
    <w:rsid w:val="2AC31382"/>
    <w:rsid w:val="2AC33130"/>
    <w:rsid w:val="2AC33E99"/>
    <w:rsid w:val="2AC450FA"/>
    <w:rsid w:val="2AC51F3F"/>
    <w:rsid w:val="2AC61C8E"/>
    <w:rsid w:val="2AC84BEB"/>
    <w:rsid w:val="2ACB46DB"/>
    <w:rsid w:val="2ACD0453"/>
    <w:rsid w:val="2ACD2201"/>
    <w:rsid w:val="2ACD3FAF"/>
    <w:rsid w:val="2ACE1AD5"/>
    <w:rsid w:val="2ACF7D27"/>
    <w:rsid w:val="2AD03A9F"/>
    <w:rsid w:val="2AD21972"/>
    <w:rsid w:val="2AD25A69"/>
    <w:rsid w:val="2AD27817"/>
    <w:rsid w:val="2AD35BB0"/>
    <w:rsid w:val="2AD4533E"/>
    <w:rsid w:val="2AD73080"/>
    <w:rsid w:val="2AD74E2E"/>
    <w:rsid w:val="2AD76BDC"/>
    <w:rsid w:val="2AD92954"/>
    <w:rsid w:val="2ADA66CC"/>
    <w:rsid w:val="2ADB491E"/>
    <w:rsid w:val="2ADC2444"/>
    <w:rsid w:val="2ADC46CE"/>
    <w:rsid w:val="2ADE440E"/>
    <w:rsid w:val="2ADE61BC"/>
    <w:rsid w:val="2AE13EFE"/>
    <w:rsid w:val="2AE17A5A"/>
    <w:rsid w:val="2AE632C3"/>
    <w:rsid w:val="2AE82B97"/>
    <w:rsid w:val="2AEB2687"/>
    <w:rsid w:val="2AED28A3"/>
    <w:rsid w:val="2AF163C6"/>
    <w:rsid w:val="2AF17728"/>
    <w:rsid w:val="2AF223EC"/>
    <w:rsid w:val="2AF459E0"/>
    <w:rsid w:val="2AFC2AE6"/>
    <w:rsid w:val="2AFC606F"/>
    <w:rsid w:val="2AFD492E"/>
    <w:rsid w:val="2AFF2270"/>
    <w:rsid w:val="2B0025D7"/>
    <w:rsid w:val="2B02634F"/>
    <w:rsid w:val="2B0379D1"/>
    <w:rsid w:val="2B057BED"/>
    <w:rsid w:val="2B067A32"/>
    <w:rsid w:val="2B097498"/>
    <w:rsid w:val="2B0A5203"/>
    <w:rsid w:val="2B0B4AD7"/>
    <w:rsid w:val="2B0D0850"/>
    <w:rsid w:val="2B0D4CF3"/>
    <w:rsid w:val="2B0F6376"/>
    <w:rsid w:val="2B1020EE"/>
    <w:rsid w:val="2B110340"/>
    <w:rsid w:val="2B12230A"/>
    <w:rsid w:val="2B141BDE"/>
    <w:rsid w:val="2B14398C"/>
    <w:rsid w:val="2B146082"/>
    <w:rsid w:val="2B151462"/>
    <w:rsid w:val="2B163BA8"/>
    <w:rsid w:val="2B1B11BE"/>
    <w:rsid w:val="2B1C4F36"/>
    <w:rsid w:val="2B200583"/>
    <w:rsid w:val="2B2142FB"/>
    <w:rsid w:val="2B2168FA"/>
    <w:rsid w:val="2B231E21"/>
    <w:rsid w:val="2B25203D"/>
    <w:rsid w:val="2B253DEB"/>
    <w:rsid w:val="2B2636BF"/>
    <w:rsid w:val="2B2838DB"/>
    <w:rsid w:val="2B2924BB"/>
    <w:rsid w:val="2B2A7653"/>
    <w:rsid w:val="2B2C517A"/>
    <w:rsid w:val="2B2D2CA0"/>
    <w:rsid w:val="2B2F4C6A"/>
    <w:rsid w:val="2B2F6A18"/>
    <w:rsid w:val="2B30453E"/>
    <w:rsid w:val="2B33475A"/>
    <w:rsid w:val="2B34402E"/>
    <w:rsid w:val="2B367DA6"/>
    <w:rsid w:val="2B3758CC"/>
    <w:rsid w:val="2B3E30FF"/>
    <w:rsid w:val="2B4104F9"/>
    <w:rsid w:val="2B430715"/>
    <w:rsid w:val="2B430804"/>
    <w:rsid w:val="2B4324C3"/>
    <w:rsid w:val="2B46309E"/>
    <w:rsid w:val="2B487ADA"/>
    <w:rsid w:val="2B4A5600"/>
    <w:rsid w:val="2B4E5917"/>
    <w:rsid w:val="2B4F70BA"/>
    <w:rsid w:val="2B501978"/>
    <w:rsid w:val="2B522706"/>
    <w:rsid w:val="2B524298"/>
    <w:rsid w:val="2B5302F9"/>
    <w:rsid w:val="2B536BAA"/>
    <w:rsid w:val="2B563FA5"/>
    <w:rsid w:val="2B575539"/>
    <w:rsid w:val="2B597F39"/>
    <w:rsid w:val="2B5B15BB"/>
    <w:rsid w:val="2B5B6A8B"/>
    <w:rsid w:val="2B5E244D"/>
    <w:rsid w:val="2B606BD1"/>
    <w:rsid w:val="2B6111BC"/>
    <w:rsid w:val="2B634913"/>
    <w:rsid w:val="2B65243A"/>
    <w:rsid w:val="2B663B9E"/>
    <w:rsid w:val="2B69017C"/>
    <w:rsid w:val="2B6A39AF"/>
    <w:rsid w:val="2B6A3EF4"/>
    <w:rsid w:val="2B6C1A1A"/>
    <w:rsid w:val="2B6C37C8"/>
    <w:rsid w:val="2B6D775F"/>
    <w:rsid w:val="2B6F5066"/>
    <w:rsid w:val="2B715282"/>
    <w:rsid w:val="2B726905"/>
    <w:rsid w:val="2B764647"/>
    <w:rsid w:val="2B7803BF"/>
    <w:rsid w:val="2B786611"/>
    <w:rsid w:val="2B7963FB"/>
    <w:rsid w:val="2B7D59D5"/>
    <w:rsid w:val="2B7E174D"/>
    <w:rsid w:val="2B7E34FB"/>
    <w:rsid w:val="2B830B12"/>
    <w:rsid w:val="2B852ADC"/>
    <w:rsid w:val="2B876854"/>
    <w:rsid w:val="2B886128"/>
    <w:rsid w:val="2B8A6344"/>
    <w:rsid w:val="2B8C5C18"/>
    <w:rsid w:val="2B9176D3"/>
    <w:rsid w:val="2B920D55"/>
    <w:rsid w:val="2B93404B"/>
    <w:rsid w:val="2B9351F9"/>
    <w:rsid w:val="2B936FA7"/>
    <w:rsid w:val="2B960845"/>
    <w:rsid w:val="2B964CE9"/>
    <w:rsid w:val="2B966230"/>
    <w:rsid w:val="2B966A97"/>
    <w:rsid w:val="2B97636B"/>
    <w:rsid w:val="2B980A61"/>
    <w:rsid w:val="2B996587"/>
    <w:rsid w:val="2B9B22FF"/>
    <w:rsid w:val="2B9B40AD"/>
    <w:rsid w:val="2B9D7E25"/>
    <w:rsid w:val="2B9F3B9D"/>
    <w:rsid w:val="2BA14AC6"/>
    <w:rsid w:val="2BA2368E"/>
    <w:rsid w:val="2BA32F62"/>
    <w:rsid w:val="2BA54F2C"/>
    <w:rsid w:val="2BA56CDA"/>
    <w:rsid w:val="2BA72A52"/>
    <w:rsid w:val="2BA74800"/>
    <w:rsid w:val="2BAA42F0"/>
    <w:rsid w:val="2BAD6332"/>
    <w:rsid w:val="2BAE2033"/>
    <w:rsid w:val="2BAF7B59"/>
    <w:rsid w:val="2BB33634"/>
    <w:rsid w:val="2BB41EF3"/>
    <w:rsid w:val="2BB60EE7"/>
    <w:rsid w:val="2BB67139"/>
    <w:rsid w:val="2BB807BB"/>
    <w:rsid w:val="2BB92785"/>
    <w:rsid w:val="2BB94533"/>
    <w:rsid w:val="2BBA09D7"/>
    <w:rsid w:val="2BBD72B7"/>
    <w:rsid w:val="2BC2163A"/>
    <w:rsid w:val="2BC415B4"/>
    <w:rsid w:val="2BC70369"/>
    <w:rsid w:val="2BC90C1A"/>
    <w:rsid w:val="2BC929C8"/>
    <w:rsid w:val="2BCA04EF"/>
    <w:rsid w:val="2BCA4992"/>
    <w:rsid w:val="2BCB017A"/>
    <w:rsid w:val="2BCE4483"/>
    <w:rsid w:val="2BCF1FA9"/>
    <w:rsid w:val="2BCF20EE"/>
    <w:rsid w:val="2BD1187D"/>
    <w:rsid w:val="2BD13FEC"/>
    <w:rsid w:val="2BD15D21"/>
    <w:rsid w:val="2BD61589"/>
    <w:rsid w:val="2BD77E5E"/>
    <w:rsid w:val="2BD945E5"/>
    <w:rsid w:val="2BDD6474"/>
    <w:rsid w:val="2BDF043E"/>
    <w:rsid w:val="2BDF11C1"/>
    <w:rsid w:val="2BDF65F0"/>
    <w:rsid w:val="2BE05F64"/>
    <w:rsid w:val="2BE07D12"/>
    <w:rsid w:val="2BE21CDC"/>
    <w:rsid w:val="2BE23A8A"/>
    <w:rsid w:val="2BE36401"/>
    <w:rsid w:val="2BE94E19"/>
    <w:rsid w:val="2BEB6DE3"/>
    <w:rsid w:val="2BF10171"/>
    <w:rsid w:val="2BF437BD"/>
    <w:rsid w:val="2BF64877"/>
    <w:rsid w:val="2BF67536"/>
    <w:rsid w:val="2BF832AE"/>
    <w:rsid w:val="2BF91D68"/>
    <w:rsid w:val="2BFA0DD4"/>
    <w:rsid w:val="2BFE23E7"/>
    <w:rsid w:val="2C002162"/>
    <w:rsid w:val="2C02237E"/>
    <w:rsid w:val="2C02412C"/>
    <w:rsid w:val="2C041C52"/>
    <w:rsid w:val="2C043A01"/>
    <w:rsid w:val="2C057779"/>
    <w:rsid w:val="2C064EB5"/>
    <w:rsid w:val="2C0954BB"/>
    <w:rsid w:val="2C0B560D"/>
    <w:rsid w:val="2C0C4FAB"/>
    <w:rsid w:val="2C0C6063"/>
    <w:rsid w:val="2C0C6D59"/>
    <w:rsid w:val="2C106849"/>
    <w:rsid w:val="2C11611D"/>
    <w:rsid w:val="2C153E60"/>
    <w:rsid w:val="2C183950"/>
    <w:rsid w:val="2C1856FE"/>
    <w:rsid w:val="2C186781"/>
    <w:rsid w:val="2C197C11"/>
    <w:rsid w:val="2C1A1476"/>
    <w:rsid w:val="2C1A3224"/>
    <w:rsid w:val="2C1C3440"/>
    <w:rsid w:val="2C1C51EE"/>
    <w:rsid w:val="2C1F6A8C"/>
    <w:rsid w:val="2C210A56"/>
    <w:rsid w:val="2C2422F5"/>
    <w:rsid w:val="2C251BC9"/>
    <w:rsid w:val="2C2555DD"/>
    <w:rsid w:val="2C267E1B"/>
    <w:rsid w:val="2C2979A7"/>
    <w:rsid w:val="2C2A71DF"/>
    <w:rsid w:val="2C2B2026"/>
    <w:rsid w:val="2C2C11A9"/>
    <w:rsid w:val="2C2C2F57"/>
    <w:rsid w:val="2C2E0A7D"/>
    <w:rsid w:val="2C300C99"/>
    <w:rsid w:val="2C305E98"/>
    <w:rsid w:val="2C317328"/>
    <w:rsid w:val="2C33078A"/>
    <w:rsid w:val="2C332538"/>
    <w:rsid w:val="2C351E0C"/>
    <w:rsid w:val="2C363DD6"/>
    <w:rsid w:val="2C3C763E"/>
    <w:rsid w:val="2C3D6F12"/>
    <w:rsid w:val="2C4209CD"/>
    <w:rsid w:val="2C464019"/>
    <w:rsid w:val="2C466C2E"/>
    <w:rsid w:val="2C471B3F"/>
    <w:rsid w:val="2C493B09"/>
    <w:rsid w:val="2C4B7881"/>
    <w:rsid w:val="2C4E7372"/>
    <w:rsid w:val="2C4F1421"/>
    <w:rsid w:val="2C5028B1"/>
    <w:rsid w:val="2C520C10"/>
    <w:rsid w:val="2C526E62"/>
    <w:rsid w:val="2C550700"/>
    <w:rsid w:val="2C5524AE"/>
    <w:rsid w:val="2C555293"/>
    <w:rsid w:val="2C567BB3"/>
    <w:rsid w:val="2C5801F0"/>
    <w:rsid w:val="2C5867E5"/>
    <w:rsid w:val="2C5A1872"/>
    <w:rsid w:val="2C5D1363"/>
    <w:rsid w:val="2C5D5807"/>
    <w:rsid w:val="2C5E1B0F"/>
    <w:rsid w:val="2C5F332D"/>
    <w:rsid w:val="2C5F50DB"/>
    <w:rsid w:val="2C602C01"/>
    <w:rsid w:val="2C610F9B"/>
    <w:rsid w:val="2C622E1D"/>
    <w:rsid w:val="2C624BCB"/>
    <w:rsid w:val="2C627897"/>
    <w:rsid w:val="2C632468"/>
    <w:rsid w:val="2C640943"/>
    <w:rsid w:val="2C6421B7"/>
    <w:rsid w:val="2C680433"/>
    <w:rsid w:val="2C695F59"/>
    <w:rsid w:val="2C697F3C"/>
    <w:rsid w:val="2C6B7F24"/>
    <w:rsid w:val="2C6D6E86"/>
    <w:rsid w:val="2C6E3570"/>
    <w:rsid w:val="2C701E9B"/>
    <w:rsid w:val="2C7072E8"/>
    <w:rsid w:val="2C7212B2"/>
    <w:rsid w:val="2C73502A"/>
    <w:rsid w:val="2C736DD8"/>
    <w:rsid w:val="2C7645CC"/>
    <w:rsid w:val="2C7768C8"/>
    <w:rsid w:val="2C7843EE"/>
    <w:rsid w:val="2C792640"/>
    <w:rsid w:val="2C7A0167"/>
    <w:rsid w:val="2C7A1F15"/>
    <w:rsid w:val="2C7A3CC3"/>
    <w:rsid w:val="2C7C5C8D"/>
    <w:rsid w:val="2C7D37B3"/>
    <w:rsid w:val="2C7F39CF"/>
    <w:rsid w:val="2C8132A3"/>
    <w:rsid w:val="2C820DC9"/>
    <w:rsid w:val="2C844B41"/>
    <w:rsid w:val="2C860086"/>
    <w:rsid w:val="2C8608B9"/>
    <w:rsid w:val="2C864D5D"/>
    <w:rsid w:val="2C86731B"/>
    <w:rsid w:val="2C882884"/>
    <w:rsid w:val="2C884632"/>
    <w:rsid w:val="2C8903AA"/>
    <w:rsid w:val="2C8B2374"/>
    <w:rsid w:val="2C8C13C3"/>
    <w:rsid w:val="2C8D1C48"/>
    <w:rsid w:val="2C8D7E9A"/>
    <w:rsid w:val="2C91311A"/>
    <w:rsid w:val="2C947B55"/>
    <w:rsid w:val="2C9505CE"/>
    <w:rsid w:val="2C954FA0"/>
    <w:rsid w:val="2C956D4E"/>
    <w:rsid w:val="2C9A25B7"/>
    <w:rsid w:val="2C9C1E8B"/>
    <w:rsid w:val="2C9C632F"/>
    <w:rsid w:val="2CA0240A"/>
    <w:rsid w:val="2CA23219"/>
    <w:rsid w:val="2CA536AB"/>
    <w:rsid w:val="2CA64B3B"/>
    <w:rsid w:val="2CA9202C"/>
    <w:rsid w:val="2CAA5840"/>
    <w:rsid w:val="2CAB3FB4"/>
    <w:rsid w:val="2CB05936"/>
    <w:rsid w:val="2CB216AE"/>
    <w:rsid w:val="2CB2481F"/>
    <w:rsid w:val="2CB25B52"/>
    <w:rsid w:val="2CB30B1E"/>
    <w:rsid w:val="2CB43679"/>
    <w:rsid w:val="2CB505CF"/>
    <w:rsid w:val="2CB52F4D"/>
    <w:rsid w:val="2CB573F1"/>
    <w:rsid w:val="2CBC077F"/>
    <w:rsid w:val="2CBE2DC2"/>
    <w:rsid w:val="2CC17B44"/>
    <w:rsid w:val="2CC31B0E"/>
    <w:rsid w:val="2CC3566A"/>
    <w:rsid w:val="2CC47634"/>
    <w:rsid w:val="2CC6515A"/>
    <w:rsid w:val="2CC87124"/>
    <w:rsid w:val="2CC94C4A"/>
    <w:rsid w:val="2CCB09C2"/>
    <w:rsid w:val="2CCB451E"/>
    <w:rsid w:val="2CCC6856"/>
    <w:rsid w:val="2CCD64E8"/>
    <w:rsid w:val="2CD11238"/>
    <w:rsid w:val="2CD23AFF"/>
    <w:rsid w:val="2CD258AD"/>
    <w:rsid w:val="2CD45AC9"/>
    <w:rsid w:val="2CD47877"/>
    <w:rsid w:val="2CD51841"/>
    <w:rsid w:val="2CD535EF"/>
    <w:rsid w:val="2CD5539D"/>
    <w:rsid w:val="2CD71115"/>
    <w:rsid w:val="2CD755B9"/>
    <w:rsid w:val="2CD94E8D"/>
    <w:rsid w:val="2CDA0C05"/>
    <w:rsid w:val="2CDA29B3"/>
    <w:rsid w:val="2CDA6C35"/>
    <w:rsid w:val="2CDF383C"/>
    <w:rsid w:val="2CDF7FCA"/>
    <w:rsid w:val="2CE101E6"/>
    <w:rsid w:val="2CE35D0C"/>
    <w:rsid w:val="2CE37ABA"/>
    <w:rsid w:val="2CE43832"/>
    <w:rsid w:val="2CE55F6D"/>
    <w:rsid w:val="2CE675AA"/>
    <w:rsid w:val="2CE83322"/>
    <w:rsid w:val="2CED0939"/>
    <w:rsid w:val="2CED6B8B"/>
    <w:rsid w:val="2CEE645F"/>
    <w:rsid w:val="2CF11610"/>
    <w:rsid w:val="2CF31A01"/>
    <w:rsid w:val="2CF41CC7"/>
    <w:rsid w:val="2CF77A09"/>
    <w:rsid w:val="2CFA3055"/>
    <w:rsid w:val="2CFC0B7C"/>
    <w:rsid w:val="2CFE48F4"/>
    <w:rsid w:val="2CFF066C"/>
    <w:rsid w:val="2CFF241A"/>
    <w:rsid w:val="2D03015C"/>
    <w:rsid w:val="2D031F0A"/>
    <w:rsid w:val="2D047A30"/>
    <w:rsid w:val="2D067C4C"/>
    <w:rsid w:val="2D072A48"/>
    <w:rsid w:val="2D0A773C"/>
    <w:rsid w:val="2D0B0DBF"/>
    <w:rsid w:val="2D0B7011"/>
    <w:rsid w:val="2D0D4B37"/>
    <w:rsid w:val="2D0F6B01"/>
    <w:rsid w:val="2D104627"/>
    <w:rsid w:val="2D1063D5"/>
    <w:rsid w:val="2D12039F"/>
    <w:rsid w:val="2D1265F1"/>
    <w:rsid w:val="2D145EC5"/>
    <w:rsid w:val="2D1A7254"/>
    <w:rsid w:val="2D1C7470"/>
    <w:rsid w:val="2D1E0AF2"/>
    <w:rsid w:val="2D1F486A"/>
    <w:rsid w:val="2D214A86"/>
    <w:rsid w:val="2D225600"/>
    <w:rsid w:val="2D2307FE"/>
    <w:rsid w:val="2D235F0E"/>
    <w:rsid w:val="2D287BC3"/>
    <w:rsid w:val="2D297497"/>
    <w:rsid w:val="2D2B320F"/>
    <w:rsid w:val="2D2D6F87"/>
    <w:rsid w:val="2D2F0F51"/>
    <w:rsid w:val="2D300512"/>
    <w:rsid w:val="2D306A77"/>
    <w:rsid w:val="2D3130E3"/>
    <w:rsid w:val="2D314CC9"/>
    <w:rsid w:val="2D320A41"/>
    <w:rsid w:val="2D327144"/>
    <w:rsid w:val="2D3447B9"/>
    <w:rsid w:val="2D346567"/>
    <w:rsid w:val="2D355E3C"/>
    <w:rsid w:val="2D3622E0"/>
    <w:rsid w:val="2D371BB4"/>
    <w:rsid w:val="2D3B78F6"/>
    <w:rsid w:val="2D3C541C"/>
    <w:rsid w:val="2D3C71CA"/>
    <w:rsid w:val="2D3E1194"/>
    <w:rsid w:val="2D3E73E6"/>
    <w:rsid w:val="2D436988"/>
    <w:rsid w:val="2D452523"/>
    <w:rsid w:val="2D460049"/>
    <w:rsid w:val="2D486799"/>
    <w:rsid w:val="2D4A3C8A"/>
    <w:rsid w:val="2D4A5D8B"/>
    <w:rsid w:val="2D4B38B1"/>
    <w:rsid w:val="2D4F514F"/>
    <w:rsid w:val="2D502C75"/>
    <w:rsid w:val="2D510EC7"/>
    <w:rsid w:val="2D522E91"/>
    <w:rsid w:val="2D5664DE"/>
    <w:rsid w:val="2D597D7C"/>
    <w:rsid w:val="2D5B3AF4"/>
    <w:rsid w:val="2D5C161A"/>
    <w:rsid w:val="2D5D2C91"/>
    <w:rsid w:val="2D621327"/>
    <w:rsid w:val="2D636E4D"/>
    <w:rsid w:val="2D662499"/>
    <w:rsid w:val="2D6706EB"/>
    <w:rsid w:val="2D686211"/>
    <w:rsid w:val="2D6A01DB"/>
    <w:rsid w:val="2D6C3F53"/>
    <w:rsid w:val="2D6D7CCB"/>
    <w:rsid w:val="2D720E3E"/>
    <w:rsid w:val="2D722E96"/>
    <w:rsid w:val="2D76092E"/>
    <w:rsid w:val="2D7746A6"/>
    <w:rsid w:val="2D776454"/>
    <w:rsid w:val="2D796670"/>
    <w:rsid w:val="2D7B23E8"/>
    <w:rsid w:val="2D7B4196"/>
    <w:rsid w:val="2D7B5F44"/>
    <w:rsid w:val="2D7B7CF2"/>
    <w:rsid w:val="2D7C1CBC"/>
    <w:rsid w:val="2D7E5A35"/>
    <w:rsid w:val="2D80355B"/>
    <w:rsid w:val="2D8469EC"/>
    <w:rsid w:val="2D850B71"/>
    <w:rsid w:val="2D855015"/>
    <w:rsid w:val="2D8748E9"/>
    <w:rsid w:val="2D88240F"/>
    <w:rsid w:val="2D8A111D"/>
    <w:rsid w:val="2D8D5C78"/>
    <w:rsid w:val="2D8D7A26"/>
    <w:rsid w:val="2D917516"/>
    <w:rsid w:val="2D920278"/>
    <w:rsid w:val="2D9214E0"/>
    <w:rsid w:val="2D922480"/>
    <w:rsid w:val="2D947006"/>
    <w:rsid w:val="2D957971"/>
    <w:rsid w:val="2D99461C"/>
    <w:rsid w:val="2D9B0395"/>
    <w:rsid w:val="2D9B2143"/>
    <w:rsid w:val="2D9B65E7"/>
    <w:rsid w:val="2D9E7E85"/>
    <w:rsid w:val="2DA01E4F"/>
    <w:rsid w:val="2DA134D1"/>
    <w:rsid w:val="2DA42D6D"/>
    <w:rsid w:val="2DA52FC1"/>
    <w:rsid w:val="2DA74F8B"/>
    <w:rsid w:val="2DA84860"/>
    <w:rsid w:val="2DAA682A"/>
    <w:rsid w:val="2DAC25A2"/>
    <w:rsid w:val="2DAE631A"/>
    <w:rsid w:val="2DB31B82"/>
    <w:rsid w:val="2DB33930"/>
    <w:rsid w:val="2DB651CE"/>
    <w:rsid w:val="2DB7013A"/>
    <w:rsid w:val="2DB80F46"/>
    <w:rsid w:val="2DB87198"/>
    <w:rsid w:val="2DB96A6D"/>
    <w:rsid w:val="2DBB27E5"/>
    <w:rsid w:val="2DBD030B"/>
    <w:rsid w:val="2DBD47AF"/>
    <w:rsid w:val="2DBE4083"/>
    <w:rsid w:val="2DC0604D"/>
    <w:rsid w:val="2DC07DFB"/>
    <w:rsid w:val="2DC23B73"/>
    <w:rsid w:val="2DC31699"/>
    <w:rsid w:val="2DC378EB"/>
    <w:rsid w:val="2DC45B3D"/>
    <w:rsid w:val="2DC7118A"/>
    <w:rsid w:val="2DC773DC"/>
    <w:rsid w:val="2DC86CB0"/>
    <w:rsid w:val="2DCC2611"/>
    <w:rsid w:val="2DCC2C44"/>
    <w:rsid w:val="2DCC55E9"/>
    <w:rsid w:val="2DCF003E"/>
    <w:rsid w:val="2DCF44E2"/>
    <w:rsid w:val="2DCF6290"/>
    <w:rsid w:val="2DCF7851"/>
    <w:rsid w:val="2DD35D80"/>
    <w:rsid w:val="2DD45655"/>
    <w:rsid w:val="2DD613CD"/>
    <w:rsid w:val="2DD9710F"/>
    <w:rsid w:val="2DDB2E87"/>
    <w:rsid w:val="2DE03FF9"/>
    <w:rsid w:val="2DE33AEA"/>
    <w:rsid w:val="2DE47F8D"/>
    <w:rsid w:val="2DE57862"/>
    <w:rsid w:val="2DE735DA"/>
    <w:rsid w:val="2DE75388"/>
    <w:rsid w:val="2DE81B39"/>
    <w:rsid w:val="2DEA131C"/>
    <w:rsid w:val="2DEA4459"/>
    <w:rsid w:val="2DEC0BF0"/>
    <w:rsid w:val="2DEC299E"/>
    <w:rsid w:val="2DEF06E0"/>
    <w:rsid w:val="2DF14458"/>
    <w:rsid w:val="2DF16206"/>
    <w:rsid w:val="2DF301D1"/>
    <w:rsid w:val="2DF33D2D"/>
    <w:rsid w:val="2DF4181D"/>
    <w:rsid w:val="2DF53F49"/>
    <w:rsid w:val="2DF61A6F"/>
    <w:rsid w:val="2DF857E7"/>
    <w:rsid w:val="2DF87595"/>
    <w:rsid w:val="2DF950BB"/>
    <w:rsid w:val="2DFA3F4E"/>
    <w:rsid w:val="2DFB04A0"/>
    <w:rsid w:val="2DFB52D7"/>
    <w:rsid w:val="2DFB7085"/>
    <w:rsid w:val="2E023E21"/>
    <w:rsid w:val="2E0252B1"/>
    <w:rsid w:val="2E036741"/>
    <w:rsid w:val="2E04418C"/>
    <w:rsid w:val="2E045F3A"/>
    <w:rsid w:val="2E051CB2"/>
    <w:rsid w:val="2E081123"/>
    <w:rsid w:val="2E0979E2"/>
    <w:rsid w:val="2E0B376C"/>
    <w:rsid w:val="2E0C3040"/>
    <w:rsid w:val="2E0C58A5"/>
    <w:rsid w:val="2E0E6DB8"/>
    <w:rsid w:val="2E0F2B31"/>
    <w:rsid w:val="2E100D83"/>
    <w:rsid w:val="2E110657"/>
    <w:rsid w:val="2E132621"/>
    <w:rsid w:val="2E162111"/>
    <w:rsid w:val="2E163727"/>
    <w:rsid w:val="2E173476"/>
    <w:rsid w:val="2E1819E5"/>
    <w:rsid w:val="2E183793"/>
    <w:rsid w:val="2E190967"/>
    <w:rsid w:val="2E1B14D5"/>
    <w:rsid w:val="2E1B3283"/>
    <w:rsid w:val="2E1B7727"/>
    <w:rsid w:val="2E1E4B22"/>
    <w:rsid w:val="2E232138"/>
    <w:rsid w:val="2E29045C"/>
    <w:rsid w:val="2E2959A0"/>
    <w:rsid w:val="2E2A34C6"/>
    <w:rsid w:val="2E2B44BD"/>
    <w:rsid w:val="2E2C5491"/>
    <w:rsid w:val="2E30575E"/>
    <w:rsid w:val="2E312AA7"/>
    <w:rsid w:val="2E314855"/>
    <w:rsid w:val="2E334A71"/>
    <w:rsid w:val="2E3440DF"/>
    <w:rsid w:val="2E344345"/>
    <w:rsid w:val="2E352597"/>
    <w:rsid w:val="2E3600BD"/>
    <w:rsid w:val="2E36630F"/>
    <w:rsid w:val="2E382087"/>
    <w:rsid w:val="2E382CD4"/>
    <w:rsid w:val="2E3B56D4"/>
    <w:rsid w:val="2E3D58F0"/>
    <w:rsid w:val="2E3F3DC3"/>
    <w:rsid w:val="2E41718E"/>
    <w:rsid w:val="2E426A62"/>
    <w:rsid w:val="2E440A2C"/>
    <w:rsid w:val="2E4427DA"/>
    <w:rsid w:val="2E450300"/>
    <w:rsid w:val="2E456552"/>
    <w:rsid w:val="2E4647A4"/>
    <w:rsid w:val="2E467984"/>
    <w:rsid w:val="2E4B1DBB"/>
    <w:rsid w:val="2E4C168F"/>
    <w:rsid w:val="2E505623"/>
    <w:rsid w:val="2E5073D1"/>
    <w:rsid w:val="2E541F88"/>
    <w:rsid w:val="2E573904"/>
    <w:rsid w:val="2E5C3FC8"/>
    <w:rsid w:val="2E5F7614"/>
    <w:rsid w:val="2E60513A"/>
    <w:rsid w:val="2E6115DE"/>
    <w:rsid w:val="2E61338C"/>
    <w:rsid w:val="2E625356"/>
    <w:rsid w:val="2E627104"/>
    <w:rsid w:val="2E642E7C"/>
    <w:rsid w:val="2E6469D8"/>
    <w:rsid w:val="2E652751"/>
    <w:rsid w:val="2E666BF4"/>
    <w:rsid w:val="2E67296D"/>
    <w:rsid w:val="2E682BD0"/>
    <w:rsid w:val="2E6966E5"/>
    <w:rsid w:val="2E6A7D67"/>
    <w:rsid w:val="2E6B420B"/>
    <w:rsid w:val="2E6E3CFB"/>
    <w:rsid w:val="2E6E5AA9"/>
    <w:rsid w:val="2E6F6B90"/>
    <w:rsid w:val="2E7110F5"/>
    <w:rsid w:val="2E7330BF"/>
    <w:rsid w:val="2E750BE6"/>
    <w:rsid w:val="2E755089"/>
    <w:rsid w:val="2E76670C"/>
    <w:rsid w:val="2E782484"/>
    <w:rsid w:val="2E786928"/>
    <w:rsid w:val="2E7A26A0"/>
    <w:rsid w:val="2E7B3D22"/>
    <w:rsid w:val="2E7C6418"/>
    <w:rsid w:val="2E7C6A4A"/>
    <w:rsid w:val="2E7D5CEC"/>
    <w:rsid w:val="2E7E348A"/>
    <w:rsid w:val="2E7F1256"/>
    <w:rsid w:val="2E7F1A64"/>
    <w:rsid w:val="2E7F7CB6"/>
    <w:rsid w:val="2E813A2E"/>
    <w:rsid w:val="2E82718A"/>
    <w:rsid w:val="2E864BA1"/>
    <w:rsid w:val="2E884DBD"/>
    <w:rsid w:val="2E894691"/>
    <w:rsid w:val="2E8A4CD4"/>
    <w:rsid w:val="2E8A6368"/>
    <w:rsid w:val="2E8D23D3"/>
    <w:rsid w:val="2E8E4CE9"/>
    <w:rsid w:val="2E8E614B"/>
    <w:rsid w:val="2E905A1F"/>
    <w:rsid w:val="2E9077CD"/>
    <w:rsid w:val="2E913546"/>
    <w:rsid w:val="2E921798"/>
    <w:rsid w:val="2E930B5B"/>
    <w:rsid w:val="2E9372BE"/>
    <w:rsid w:val="2E9774DC"/>
    <w:rsid w:val="2E98096C"/>
    <w:rsid w:val="2E980D78"/>
    <w:rsid w:val="2E9848D4"/>
    <w:rsid w:val="2E9A064C"/>
    <w:rsid w:val="2E9B6172"/>
    <w:rsid w:val="2E9D013C"/>
    <w:rsid w:val="2E9E309D"/>
    <w:rsid w:val="2E9F5308"/>
    <w:rsid w:val="2EA15E7F"/>
    <w:rsid w:val="2EA25753"/>
    <w:rsid w:val="2EA27501"/>
    <w:rsid w:val="2EA41AE0"/>
    <w:rsid w:val="2EA63495"/>
    <w:rsid w:val="2EA66FF1"/>
    <w:rsid w:val="2EA80FBB"/>
    <w:rsid w:val="2EA8720D"/>
    <w:rsid w:val="2EAB0AAB"/>
    <w:rsid w:val="2EAD65D1"/>
    <w:rsid w:val="2EAE5EA6"/>
    <w:rsid w:val="2EB060C2"/>
    <w:rsid w:val="2EB15996"/>
    <w:rsid w:val="2EB23BE8"/>
    <w:rsid w:val="2EB57E94"/>
    <w:rsid w:val="2EB62AF4"/>
    <w:rsid w:val="2EBA6F40"/>
    <w:rsid w:val="2EBC7D67"/>
    <w:rsid w:val="2EBF00B3"/>
    <w:rsid w:val="2EC102CF"/>
    <w:rsid w:val="2EC27BA3"/>
    <w:rsid w:val="2EC35DF5"/>
    <w:rsid w:val="2EC4391B"/>
    <w:rsid w:val="2EC456C9"/>
    <w:rsid w:val="2EC61441"/>
    <w:rsid w:val="2EC622A9"/>
    <w:rsid w:val="2EC8340B"/>
    <w:rsid w:val="2EC931E6"/>
    <w:rsid w:val="2ECB2EFB"/>
    <w:rsid w:val="2ECB4CA9"/>
    <w:rsid w:val="2ECE479A"/>
    <w:rsid w:val="2ED00512"/>
    <w:rsid w:val="2ED0406E"/>
    <w:rsid w:val="2ED2428A"/>
    <w:rsid w:val="2ED31DB0"/>
    <w:rsid w:val="2ED35FEE"/>
    <w:rsid w:val="2ED51684"/>
    <w:rsid w:val="2EDD678B"/>
    <w:rsid w:val="2EDF0755"/>
    <w:rsid w:val="2EDF2503"/>
    <w:rsid w:val="2EDF69A7"/>
    <w:rsid w:val="2EE144CD"/>
    <w:rsid w:val="2EE1627B"/>
    <w:rsid w:val="2EE30245"/>
    <w:rsid w:val="2EE43FBD"/>
    <w:rsid w:val="2EE46F73"/>
    <w:rsid w:val="2EE6563F"/>
    <w:rsid w:val="2EE67D35"/>
    <w:rsid w:val="2EE713B8"/>
    <w:rsid w:val="2EE8585B"/>
    <w:rsid w:val="2EE87609"/>
    <w:rsid w:val="2EEB70FA"/>
    <w:rsid w:val="2EED10C4"/>
    <w:rsid w:val="2EED2E72"/>
    <w:rsid w:val="2EEF6BEA"/>
    <w:rsid w:val="2EF04710"/>
    <w:rsid w:val="2EF34775"/>
    <w:rsid w:val="2EF44200"/>
    <w:rsid w:val="2EF51D26"/>
    <w:rsid w:val="2EF53AD4"/>
    <w:rsid w:val="2EF55327"/>
    <w:rsid w:val="2EF57F78"/>
    <w:rsid w:val="2EF97A69"/>
    <w:rsid w:val="2EFA10EB"/>
    <w:rsid w:val="2EFA733D"/>
    <w:rsid w:val="2EFC30B5"/>
    <w:rsid w:val="2EFE507F"/>
    <w:rsid w:val="2EFE6E2D"/>
    <w:rsid w:val="2F012479"/>
    <w:rsid w:val="2F05640D"/>
    <w:rsid w:val="2F065CE2"/>
    <w:rsid w:val="2F07230D"/>
    <w:rsid w:val="2F0957D2"/>
    <w:rsid w:val="2F097580"/>
    <w:rsid w:val="2F0B154A"/>
    <w:rsid w:val="2F0B211E"/>
    <w:rsid w:val="2F0B32F8"/>
    <w:rsid w:val="2F0B779C"/>
    <w:rsid w:val="2F0D0E1E"/>
    <w:rsid w:val="2F0E5ECE"/>
    <w:rsid w:val="2F0F103A"/>
    <w:rsid w:val="2F106B60"/>
    <w:rsid w:val="2F120B2A"/>
    <w:rsid w:val="2F1228D8"/>
    <w:rsid w:val="2F127420"/>
    <w:rsid w:val="2F1308B0"/>
    <w:rsid w:val="2F154177"/>
    <w:rsid w:val="2F1877C3"/>
    <w:rsid w:val="2F1A353B"/>
    <w:rsid w:val="2F1A79DF"/>
    <w:rsid w:val="2F1C5505"/>
    <w:rsid w:val="2F1C72B3"/>
    <w:rsid w:val="2F1F0B51"/>
    <w:rsid w:val="2F1F6DA3"/>
    <w:rsid w:val="2F210D6D"/>
    <w:rsid w:val="2F2303A5"/>
    <w:rsid w:val="2F25085E"/>
    <w:rsid w:val="2F260132"/>
    <w:rsid w:val="2F283EAA"/>
    <w:rsid w:val="2F285C58"/>
    <w:rsid w:val="2F2A7C22"/>
    <w:rsid w:val="2F2D14C0"/>
    <w:rsid w:val="2F2D7712"/>
    <w:rsid w:val="2F2F5238"/>
    <w:rsid w:val="2F326AD7"/>
    <w:rsid w:val="2F34284F"/>
    <w:rsid w:val="2F3445FD"/>
    <w:rsid w:val="2F391C13"/>
    <w:rsid w:val="2F397E65"/>
    <w:rsid w:val="2F3A3A5B"/>
    <w:rsid w:val="2F3B1E2F"/>
    <w:rsid w:val="2F3B4EEB"/>
    <w:rsid w:val="2F3C1703"/>
    <w:rsid w:val="2F3C5BA7"/>
    <w:rsid w:val="2F3E386C"/>
    <w:rsid w:val="2F3E547B"/>
    <w:rsid w:val="2F436F36"/>
    <w:rsid w:val="2F45373F"/>
    <w:rsid w:val="2F4607D4"/>
    <w:rsid w:val="2F4A02C4"/>
    <w:rsid w:val="2F4B1946"/>
    <w:rsid w:val="2F4B5DEA"/>
    <w:rsid w:val="2F4B75B1"/>
    <w:rsid w:val="2F4D1B62"/>
    <w:rsid w:val="2F57478F"/>
    <w:rsid w:val="2F5922B5"/>
    <w:rsid w:val="2F594063"/>
    <w:rsid w:val="2F5A7DDB"/>
    <w:rsid w:val="2F5C3B54"/>
    <w:rsid w:val="2F5C7FF7"/>
    <w:rsid w:val="2F6117D7"/>
    <w:rsid w:val="2F633134"/>
    <w:rsid w:val="2F666780"/>
    <w:rsid w:val="2F68074A"/>
    <w:rsid w:val="2F68699C"/>
    <w:rsid w:val="2F6910C6"/>
    <w:rsid w:val="2F6916AA"/>
    <w:rsid w:val="2F6A001E"/>
    <w:rsid w:val="2F6A6270"/>
    <w:rsid w:val="2F6B545A"/>
    <w:rsid w:val="2F6F3887"/>
    <w:rsid w:val="2F6F7D2B"/>
    <w:rsid w:val="2F7013AD"/>
    <w:rsid w:val="2F707E3C"/>
    <w:rsid w:val="2F713AA3"/>
    <w:rsid w:val="2F745341"/>
    <w:rsid w:val="2F77098D"/>
    <w:rsid w:val="2F794705"/>
    <w:rsid w:val="2F7964B4"/>
    <w:rsid w:val="2F7B222C"/>
    <w:rsid w:val="2F7B66D0"/>
    <w:rsid w:val="2F7C41F6"/>
    <w:rsid w:val="2F7F38D0"/>
    <w:rsid w:val="2F807842"/>
    <w:rsid w:val="2F8337D6"/>
    <w:rsid w:val="2F837332"/>
    <w:rsid w:val="2F854E58"/>
    <w:rsid w:val="2F856001"/>
    <w:rsid w:val="2F860BD0"/>
    <w:rsid w:val="2F860BD2"/>
    <w:rsid w:val="2F8A246F"/>
    <w:rsid w:val="2F8A6913"/>
    <w:rsid w:val="2F8C268B"/>
    <w:rsid w:val="2F8C4439"/>
    <w:rsid w:val="2F8D6403"/>
    <w:rsid w:val="2F8F1C84"/>
    <w:rsid w:val="2F8F3F29"/>
    <w:rsid w:val="2F911A4F"/>
    <w:rsid w:val="2F920605"/>
    <w:rsid w:val="2F923A19"/>
    <w:rsid w:val="2F94153F"/>
    <w:rsid w:val="2F947791"/>
    <w:rsid w:val="2F955AF6"/>
    <w:rsid w:val="2F972DDE"/>
    <w:rsid w:val="2F974B8C"/>
    <w:rsid w:val="2F990904"/>
    <w:rsid w:val="2F994DA8"/>
    <w:rsid w:val="2F9A6D97"/>
    <w:rsid w:val="2F9B0B20"/>
    <w:rsid w:val="2F9B4741"/>
    <w:rsid w:val="2F9C03F4"/>
    <w:rsid w:val="2F9C21A2"/>
    <w:rsid w:val="2F9C6646"/>
    <w:rsid w:val="2F9E23BE"/>
    <w:rsid w:val="2FA15A0A"/>
    <w:rsid w:val="2FA23C5C"/>
    <w:rsid w:val="2FA31782"/>
    <w:rsid w:val="2FA5374C"/>
    <w:rsid w:val="2FA774C5"/>
    <w:rsid w:val="2FA8323D"/>
    <w:rsid w:val="2FA83F6C"/>
    <w:rsid w:val="2FA84FEB"/>
    <w:rsid w:val="2FAA48BF"/>
    <w:rsid w:val="2FAC28ED"/>
    <w:rsid w:val="2FAF0127"/>
    <w:rsid w:val="2FB13E9F"/>
    <w:rsid w:val="2FB3107F"/>
    <w:rsid w:val="2FB41BE1"/>
    <w:rsid w:val="2FB43990"/>
    <w:rsid w:val="2FB67708"/>
    <w:rsid w:val="2FB76FDC"/>
    <w:rsid w:val="2FB92D54"/>
    <w:rsid w:val="2FBC45F2"/>
    <w:rsid w:val="2FBD0A5E"/>
    <w:rsid w:val="2FBE65BC"/>
    <w:rsid w:val="2FC33BD3"/>
    <w:rsid w:val="2FC35981"/>
    <w:rsid w:val="2FC57923"/>
    <w:rsid w:val="2FC64924"/>
    <w:rsid w:val="2FC75471"/>
    <w:rsid w:val="2FC811E9"/>
    <w:rsid w:val="2FC8743B"/>
    <w:rsid w:val="2FCA6D0F"/>
    <w:rsid w:val="2FCC6F2B"/>
    <w:rsid w:val="2FCD4A51"/>
    <w:rsid w:val="2FCF07C9"/>
    <w:rsid w:val="2FCF2577"/>
    <w:rsid w:val="2FD14541"/>
    <w:rsid w:val="2FD22068"/>
    <w:rsid w:val="2FD47B8E"/>
    <w:rsid w:val="2FD61B58"/>
    <w:rsid w:val="2FD858D0"/>
    <w:rsid w:val="2FDB6DFB"/>
    <w:rsid w:val="2FDD2EE6"/>
    <w:rsid w:val="2FDD4C94"/>
    <w:rsid w:val="2FE029D7"/>
    <w:rsid w:val="2FE30C1E"/>
    <w:rsid w:val="2FE34275"/>
    <w:rsid w:val="2FE51D9B"/>
    <w:rsid w:val="2FE853E7"/>
    <w:rsid w:val="2FE8682E"/>
    <w:rsid w:val="2FE9188B"/>
    <w:rsid w:val="2FEA115F"/>
    <w:rsid w:val="2FEA5603"/>
    <w:rsid w:val="2FEC4ED7"/>
    <w:rsid w:val="2FEE3B30"/>
    <w:rsid w:val="2FEE50F3"/>
    <w:rsid w:val="2FEE6EA1"/>
    <w:rsid w:val="2FEF6701"/>
    <w:rsid w:val="2FF005B4"/>
    <w:rsid w:val="2FF10740"/>
    <w:rsid w:val="2FF124EE"/>
    <w:rsid w:val="2FF26266"/>
    <w:rsid w:val="2FF41FDE"/>
    <w:rsid w:val="2FF67B04"/>
    <w:rsid w:val="2FF81ACE"/>
    <w:rsid w:val="2FF87D20"/>
    <w:rsid w:val="2FFA3A98"/>
    <w:rsid w:val="2FFB4CA4"/>
    <w:rsid w:val="2FFB63E5"/>
    <w:rsid w:val="2FFE2E5D"/>
    <w:rsid w:val="30000983"/>
    <w:rsid w:val="30004E27"/>
    <w:rsid w:val="30007685"/>
    <w:rsid w:val="30010B15"/>
    <w:rsid w:val="300466C5"/>
    <w:rsid w:val="300541EB"/>
    <w:rsid w:val="30055F99"/>
    <w:rsid w:val="30073ABF"/>
    <w:rsid w:val="30087837"/>
    <w:rsid w:val="300C37CC"/>
    <w:rsid w:val="300C557A"/>
    <w:rsid w:val="300F506A"/>
    <w:rsid w:val="30134B5A"/>
    <w:rsid w:val="30136908"/>
    <w:rsid w:val="30182170"/>
    <w:rsid w:val="30185CCC"/>
    <w:rsid w:val="301917A7"/>
    <w:rsid w:val="30197C97"/>
    <w:rsid w:val="301B756B"/>
    <w:rsid w:val="301C02EE"/>
    <w:rsid w:val="301C5917"/>
    <w:rsid w:val="301E705B"/>
    <w:rsid w:val="301F34FF"/>
    <w:rsid w:val="301F52AD"/>
    <w:rsid w:val="30233EAF"/>
    <w:rsid w:val="30240B15"/>
    <w:rsid w:val="302428C3"/>
    <w:rsid w:val="302503E9"/>
    <w:rsid w:val="30275401"/>
    <w:rsid w:val="3029612C"/>
    <w:rsid w:val="302C79CA"/>
    <w:rsid w:val="302D729E"/>
    <w:rsid w:val="302D7B32"/>
    <w:rsid w:val="302E3742"/>
    <w:rsid w:val="302F2452"/>
    <w:rsid w:val="303074BA"/>
    <w:rsid w:val="30330D58"/>
    <w:rsid w:val="3034062C"/>
    <w:rsid w:val="3034687E"/>
    <w:rsid w:val="30354AD0"/>
    <w:rsid w:val="30360848"/>
    <w:rsid w:val="30360E95"/>
    <w:rsid w:val="303625F7"/>
    <w:rsid w:val="303845C1"/>
    <w:rsid w:val="30395C43"/>
    <w:rsid w:val="303B19BB"/>
    <w:rsid w:val="303B7C0D"/>
    <w:rsid w:val="303D1BD7"/>
    <w:rsid w:val="30420F9B"/>
    <w:rsid w:val="3045283A"/>
    <w:rsid w:val="30467249"/>
    <w:rsid w:val="30474804"/>
    <w:rsid w:val="304765B2"/>
    <w:rsid w:val="3049232A"/>
    <w:rsid w:val="304A7E50"/>
    <w:rsid w:val="304C5976"/>
    <w:rsid w:val="304E16EE"/>
    <w:rsid w:val="304E5B92"/>
    <w:rsid w:val="3050190A"/>
    <w:rsid w:val="305111DE"/>
    <w:rsid w:val="30515682"/>
    <w:rsid w:val="30536D05"/>
    <w:rsid w:val="305667F5"/>
    <w:rsid w:val="305807BF"/>
    <w:rsid w:val="30590093"/>
    <w:rsid w:val="305A4537"/>
    <w:rsid w:val="305D4027"/>
    <w:rsid w:val="305E54D0"/>
    <w:rsid w:val="305E56A9"/>
    <w:rsid w:val="305F1B4D"/>
    <w:rsid w:val="305F38FB"/>
    <w:rsid w:val="30607673"/>
    <w:rsid w:val="306233EC"/>
    <w:rsid w:val="306727B0"/>
    <w:rsid w:val="3069477A"/>
    <w:rsid w:val="3069608C"/>
    <w:rsid w:val="306A22A0"/>
    <w:rsid w:val="306B5A20"/>
    <w:rsid w:val="306E1D90"/>
    <w:rsid w:val="306F78B6"/>
    <w:rsid w:val="30766E97"/>
    <w:rsid w:val="307A24E3"/>
    <w:rsid w:val="307E5F4A"/>
    <w:rsid w:val="307F3F9D"/>
    <w:rsid w:val="30801FAB"/>
    <w:rsid w:val="30817D16"/>
    <w:rsid w:val="30823A8E"/>
    <w:rsid w:val="3082583C"/>
    <w:rsid w:val="308275EA"/>
    <w:rsid w:val="308570DA"/>
    <w:rsid w:val="30874C00"/>
    <w:rsid w:val="30896BCA"/>
    <w:rsid w:val="308A649E"/>
    <w:rsid w:val="308B2942"/>
    <w:rsid w:val="308C0468"/>
    <w:rsid w:val="308C2216"/>
    <w:rsid w:val="308C66BA"/>
    <w:rsid w:val="30901D07"/>
    <w:rsid w:val="30915A7F"/>
    <w:rsid w:val="3091782D"/>
    <w:rsid w:val="309243C0"/>
    <w:rsid w:val="3098505F"/>
    <w:rsid w:val="30986E0D"/>
    <w:rsid w:val="309A0DD7"/>
    <w:rsid w:val="309A3FE2"/>
    <w:rsid w:val="309A4933"/>
    <w:rsid w:val="309C4B4F"/>
    <w:rsid w:val="309D2676"/>
    <w:rsid w:val="30A27C8C"/>
    <w:rsid w:val="30A413A6"/>
    <w:rsid w:val="30A6777C"/>
    <w:rsid w:val="30A92647"/>
    <w:rsid w:val="30A9726C"/>
    <w:rsid w:val="30AB4D93"/>
    <w:rsid w:val="30AC63F7"/>
    <w:rsid w:val="30AE03DF"/>
    <w:rsid w:val="30AE2458"/>
    <w:rsid w:val="30AE6631"/>
    <w:rsid w:val="30B023A9"/>
    <w:rsid w:val="30B04157"/>
    <w:rsid w:val="30B17ECF"/>
    <w:rsid w:val="30B31E99"/>
    <w:rsid w:val="30B33C47"/>
    <w:rsid w:val="30B55C11"/>
    <w:rsid w:val="30BA3228"/>
    <w:rsid w:val="30BD4AC6"/>
    <w:rsid w:val="30BF083E"/>
    <w:rsid w:val="30BF25EC"/>
    <w:rsid w:val="30BF439A"/>
    <w:rsid w:val="30C23E8A"/>
    <w:rsid w:val="30C61BCC"/>
    <w:rsid w:val="30C6397A"/>
    <w:rsid w:val="30C65728"/>
    <w:rsid w:val="30C714A1"/>
    <w:rsid w:val="30C95219"/>
    <w:rsid w:val="30CA2FAE"/>
    <w:rsid w:val="30CA30C1"/>
    <w:rsid w:val="30D065A7"/>
    <w:rsid w:val="30D20571"/>
    <w:rsid w:val="30D342E9"/>
    <w:rsid w:val="30D37E45"/>
    <w:rsid w:val="30D50061"/>
    <w:rsid w:val="30D616E4"/>
    <w:rsid w:val="30D77936"/>
    <w:rsid w:val="30D836AE"/>
    <w:rsid w:val="30D86B55"/>
    <w:rsid w:val="30DA11D4"/>
    <w:rsid w:val="30DA5678"/>
    <w:rsid w:val="30DA7426"/>
    <w:rsid w:val="30DC4F4C"/>
    <w:rsid w:val="30DD6F16"/>
    <w:rsid w:val="30DE7DF6"/>
    <w:rsid w:val="30E12562"/>
    <w:rsid w:val="30E262DA"/>
    <w:rsid w:val="30E3277E"/>
    <w:rsid w:val="30E43E01"/>
    <w:rsid w:val="30E91417"/>
    <w:rsid w:val="30E97669"/>
    <w:rsid w:val="30EC0F07"/>
    <w:rsid w:val="30ED4FD4"/>
    <w:rsid w:val="30EE2ED1"/>
    <w:rsid w:val="30F009F7"/>
    <w:rsid w:val="30F027A5"/>
    <w:rsid w:val="30F06C49"/>
    <w:rsid w:val="30F1626C"/>
    <w:rsid w:val="30F229C1"/>
    <w:rsid w:val="30F32296"/>
    <w:rsid w:val="30F878AC"/>
    <w:rsid w:val="30FA1876"/>
    <w:rsid w:val="30FA3624"/>
    <w:rsid w:val="30FE1366"/>
    <w:rsid w:val="30FE6114"/>
    <w:rsid w:val="30FF50DE"/>
    <w:rsid w:val="310048D1"/>
    <w:rsid w:val="31012C04"/>
    <w:rsid w:val="31030681"/>
    <w:rsid w:val="310426F5"/>
    <w:rsid w:val="31077AEF"/>
    <w:rsid w:val="31097D0B"/>
    <w:rsid w:val="310B3A83"/>
    <w:rsid w:val="310B75DF"/>
    <w:rsid w:val="310D3357"/>
    <w:rsid w:val="310D77FB"/>
    <w:rsid w:val="310E0E7D"/>
    <w:rsid w:val="310E70CF"/>
    <w:rsid w:val="310E70FE"/>
    <w:rsid w:val="31130176"/>
    <w:rsid w:val="311346E6"/>
    <w:rsid w:val="3115220C"/>
    <w:rsid w:val="311741D6"/>
    <w:rsid w:val="311A5A74"/>
    <w:rsid w:val="311B2CAC"/>
    <w:rsid w:val="311C359A"/>
    <w:rsid w:val="311E5564"/>
    <w:rsid w:val="312406A1"/>
    <w:rsid w:val="31244B45"/>
    <w:rsid w:val="312468F3"/>
    <w:rsid w:val="3126133E"/>
    <w:rsid w:val="31271F3F"/>
    <w:rsid w:val="31280191"/>
    <w:rsid w:val="312863E3"/>
    <w:rsid w:val="31295CB7"/>
    <w:rsid w:val="312A215B"/>
    <w:rsid w:val="312A382C"/>
    <w:rsid w:val="312B1A2F"/>
    <w:rsid w:val="312D57A8"/>
    <w:rsid w:val="31321010"/>
    <w:rsid w:val="31336B36"/>
    <w:rsid w:val="31342080"/>
    <w:rsid w:val="31350B00"/>
    <w:rsid w:val="3135465C"/>
    <w:rsid w:val="313703D4"/>
    <w:rsid w:val="3138414C"/>
    <w:rsid w:val="3139239E"/>
    <w:rsid w:val="313B7382"/>
    <w:rsid w:val="313C59EB"/>
    <w:rsid w:val="313E1763"/>
    <w:rsid w:val="313E39FB"/>
    <w:rsid w:val="313F54DB"/>
    <w:rsid w:val="31411253"/>
    <w:rsid w:val="31413001"/>
    <w:rsid w:val="3143321D"/>
    <w:rsid w:val="31440D43"/>
    <w:rsid w:val="31460307"/>
    <w:rsid w:val="31464ABB"/>
    <w:rsid w:val="31466869"/>
    <w:rsid w:val="31480833"/>
    <w:rsid w:val="31490108"/>
    <w:rsid w:val="314E3AA7"/>
    <w:rsid w:val="31523460"/>
    <w:rsid w:val="31540F86"/>
    <w:rsid w:val="3155147F"/>
    <w:rsid w:val="31552F50"/>
    <w:rsid w:val="31572824"/>
    <w:rsid w:val="31576CC8"/>
    <w:rsid w:val="315A0567"/>
    <w:rsid w:val="315A40C3"/>
    <w:rsid w:val="315E1E05"/>
    <w:rsid w:val="315E3BB3"/>
    <w:rsid w:val="315F3BAC"/>
    <w:rsid w:val="3163741B"/>
    <w:rsid w:val="31644E4D"/>
    <w:rsid w:val="3166515D"/>
    <w:rsid w:val="31682C84"/>
    <w:rsid w:val="316867E0"/>
    <w:rsid w:val="316A07AA"/>
    <w:rsid w:val="316A69FC"/>
    <w:rsid w:val="316B62D0"/>
    <w:rsid w:val="316D029A"/>
    <w:rsid w:val="316D3DF6"/>
    <w:rsid w:val="316E7B6E"/>
    <w:rsid w:val="31701B38"/>
    <w:rsid w:val="31713AE0"/>
    <w:rsid w:val="31716439"/>
    <w:rsid w:val="317258B0"/>
    <w:rsid w:val="3172765E"/>
    <w:rsid w:val="31745184"/>
    <w:rsid w:val="31750EFD"/>
    <w:rsid w:val="3177759D"/>
    <w:rsid w:val="31796C3F"/>
    <w:rsid w:val="317A6513"/>
    <w:rsid w:val="317C04DD"/>
    <w:rsid w:val="317E6003"/>
    <w:rsid w:val="31807FCD"/>
    <w:rsid w:val="31813D45"/>
    <w:rsid w:val="31816F45"/>
    <w:rsid w:val="318178A1"/>
    <w:rsid w:val="31833619"/>
    <w:rsid w:val="31880C30"/>
    <w:rsid w:val="318850D4"/>
    <w:rsid w:val="318A0E4C"/>
    <w:rsid w:val="318A2BFA"/>
    <w:rsid w:val="318A3A01"/>
    <w:rsid w:val="318C4BC4"/>
    <w:rsid w:val="318C5799"/>
    <w:rsid w:val="318D26EA"/>
    <w:rsid w:val="318F411A"/>
    <w:rsid w:val="31905D36"/>
    <w:rsid w:val="31916A3A"/>
    <w:rsid w:val="31921AAF"/>
    <w:rsid w:val="31927D00"/>
    <w:rsid w:val="31943A79"/>
    <w:rsid w:val="31943F01"/>
    <w:rsid w:val="319475D5"/>
    <w:rsid w:val="3195334D"/>
    <w:rsid w:val="31975317"/>
    <w:rsid w:val="319770C5"/>
    <w:rsid w:val="31994BEB"/>
    <w:rsid w:val="319B26BD"/>
    <w:rsid w:val="319B4E07"/>
    <w:rsid w:val="319B6BB5"/>
    <w:rsid w:val="319E66A5"/>
    <w:rsid w:val="319F5F79"/>
    <w:rsid w:val="31A041CB"/>
    <w:rsid w:val="31A0720A"/>
    <w:rsid w:val="31A11CF2"/>
    <w:rsid w:val="31A16195"/>
    <w:rsid w:val="31A35A6A"/>
    <w:rsid w:val="31A6555A"/>
    <w:rsid w:val="31A737AC"/>
    <w:rsid w:val="31A812D2"/>
    <w:rsid w:val="31A83080"/>
    <w:rsid w:val="31AC0DC2"/>
    <w:rsid w:val="31AD0696"/>
    <w:rsid w:val="31AD68E8"/>
    <w:rsid w:val="31AE76A3"/>
    <w:rsid w:val="31AF440F"/>
    <w:rsid w:val="31B1462B"/>
    <w:rsid w:val="31B22151"/>
    <w:rsid w:val="31B41DD4"/>
    <w:rsid w:val="31B53264"/>
    <w:rsid w:val="31B5579D"/>
    <w:rsid w:val="31B616AB"/>
    <w:rsid w:val="31B61C41"/>
    <w:rsid w:val="31B646F4"/>
    <w:rsid w:val="31B672C5"/>
    <w:rsid w:val="31B71E96"/>
    <w:rsid w:val="31BB7257"/>
    <w:rsid w:val="31BC0B24"/>
    <w:rsid w:val="31BE0AF5"/>
    <w:rsid w:val="31BE4652"/>
    <w:rsid w:val="31C12394"/>
    <w:rsid w:val="31C14142"/>
    <w:rsid w:val="31C205E6"/>
    <w:rsid w:val="31C4449A"/>
    <w:rsid w:val="31C53C32"/>
    <w:rsid w:val="31C66DBA"/>
    <w:rsid w:val="31C81974"/>
    <w:rsid w:val="31C94E9A"/>
    <w:rsid w:val="31CA1248"/>
    <w:rsid w:val="31CB6D6E"/>
    <w:rsid w:val="31CC3212"/>
    <w:rsid w:val="31D245A1"/>
    <w:rsid w:val="31D40319"/>
    <w:rsid w:val="31D420C7"/>
    <w:rsid w:val="31D67BED"/>
    <w:rsid w:val="31D71BB7"/>
    <w:rsid w:val="31D9592F"/>
    <w:rsid w:val="31DB16A7"/>
    <w:rsid w:val="31DB5204"/>
    <w:rsid w:val="31DC0FE0"/>
    <w:rsid w:val="31DE224C"/>
    <w:rsid w:val="31DE3900"/>
    <w:rsid w:val="31DE6AA2"/>
    <w:rsid w:val="31E00A6C"/>
    <w:rsid w:val="31E0281A"/>
    <w:rsid w:val="31E06CBE"/>
    <w:rsid w:val="31E247E4"/>
    <w:rsid w:val="31E3055C"/>
    <w:rsid w:val="31E3230A"/>
    <w:rsid w:val="31E56082"/>
    <w:rsid w:val="31EC5663"/>
    <w:rsid w:val="31EF0CAF"/>
    <w:rsid w:val="31EF5FC6"/>
    <w:rsid w:val="31F0593E"/>
    <w:rsid w:val="31F07456"/>
    <w:rsid w:val="31F2079F"/>
    <w:rsid w:val="31F462C5"/>
    <w:rsid w:val="31F664E1"/>
    <w:rsid w:val="31F75DB5"/>
    <w:rsid w:val="31F77B64"/>
    <w:rsid w:val="31F84007"/>
    <w:rsid w:val="31F97D80"/>
    <w:rsid w:val="31FB3AF8"/>
    <w:rsid w:val="31FB7654"/>
    <w:rsid w:val="31FC33CC"/>
    <w:rsid w:val="31FE7D7D"/>
    <w:rsid w:val="320003DB"/>
    <w:rsid w:val="3200110E"/>
    <w:rsid w:val="32004C6A"/>
    <w:rsid w:val="3202443C"/>
    <w:rsid w:val="32024E86"/>
    <w:rsid w:val="320329AC"/>
    <w:rsid w:val="3203418B"/>
    <w:rsid w:val="3207249C"/>
    <w:rsid w:val="320C1861"/>
    <w:rsid w:val="320D7387"/>
    <w:rsid w:val="320F6A40"/>
    <w:rsid w:val="3212499D"/>
    <w:rsid w:val="32186458"/>
    <w:rsid w:val="321921D0"/>
    <w:rsid w:val="32193F7E"/>
    <w:rsid w:val="32195D2C"/>
    <w:rsid w:val="321C75CA"/>
    <w:rsid w:val="321E1594"/>
    <w:rsid w:val="321E77E6"/>
    <w:rsid w:val="322272D6"/>
    <w:rsid w:val="32244DFC"/>
    <w:rsid w:val="32290665"/>
    <w:rsid w:val="322A2424"/>
    <w:rsid w:val="322C1F03"/>
    <w:rsid w:val="322D17D7"/>
    <w:rsid w:val="322E0888"/>
    <w:rsid w:val="322F72FD"/>
    <w:rsid w:val="32313075"/>
    <w:rsid w:val="32317519"/>
    <w:rsid w:val="32326DEE"/>
    <w:rsid w:val="32333292"/>
    <w:rsid w:val="323341BE"/>
    <w:rsid w:val="323808A8"/>
    <w:rsid w:val="3239017C"/>
    <w:rsid w:val="323B0398"/>
    <w:rsid w:val="323B2146"/>
    <w:rsid w:val="323E5792"/>
    <w:rsid w:val="3240150B"/>
    <w:rsid w:val="324234D5"/>
    <w:rsid w:val="32432DA9"/>
    <w:rsid w:val="3244724D"/>
    <w:rsid w:val="32456B21"/>
    <w:rsid w:val="32472899"/>
    <w:rsid w:val="32496611"/>
    <w:rsid w:val="324A6920"/>
    <w:rsid w:val="324C4353"/>
    <w:rsid w:val="324C7EAF"/>
    <w:rsid w:val="324D69E2"/>
    <w:rsid w:val="324F5BF1"/>
    <w:rsid w:val="3253123E"/>
    <w:rsid w:val="32543208"/>
    <w:rsid w:val="32555606"/>
    <w:rsid w:val="32582CF8"/>
    <w:rsid w:val="32584AA6"/>
    <w:rsid w:val="325925CC"/>
    <w:rsid w:val="325B4596"/>
    <w:rsid w:val="325D20BC"/>
    <w:rsid w:val="325E7BE3"/>
    <w:rsid w:val="325F4087"/>
    <w:rsid w:val="325F5E35"/>
    <w:rsid w:val="3260395B"/>
    <w:rsid w:val="32607DFF"/>
    <w:rsid w:val="32625925"/>
    <w:rsid w:val="3264344B"/>
    <w:rsid w:val="32674CE9"/>
    <w:rsid w:val="32676A97"/>
    <w:rsid w:val="32690A61"/>
    <w:rsid w:val="32696CB3"/>
    <w:rsid w:val="326C67A3"/>
    <w:rsid w:val="326E7E26"/>
    <w:rsid w:val="32700042"/>
    <w:rsid w:val="327318E0"/>
    <w:rsid w:val="32737B32"/>
    <w:rsid w:val="327411B4"/>
    <w:rsid w:val="3278199E"/>
    <w:rsid w:val="327D62BB"/>
    <w:rsid w:val="327F64D7"/>
    <w:rsid w:val="3281224F"/>
    <w:rsid w:val="32813259"/>
    <w:rsid w:val="328533C1"/>
    <w:rsid w:val="32866B73"/>
    <w:rsid w:val="32892EB1"/>
    <w:rsid w:val="328A09D8"/>
    <w:rsid w:val="328D2AE5"/>
    <w:rsid w:val="32904240"/>
    <w:rsid w:val="3291620A"/>
    <w:rsid w:val="32931F82"/>
    <w:rsid w:val="32933D30"/>
    <w:rsid w:val="32951856"/>
    <w:rsid w:val="32963820"/>
    <w:rsid w:val="32990C1B"/>
    <w:rsid w:val="329A50BF"/>
    <w:rsid w:val="329A6E6D"/>
    <w:rsid w:val="329B0E37"/>
    <w:rsid w:val="329B2BE5"/>
    <w:rsid w:val="329B4993"/>
    <w:rsid w:val="329D4BAF"/>
    <w:rsid w:val="329E36B9"/>
    <w:rsid w:val="329F26D5"/>
    <w:rsid w:val="32A001FB"/>
    <w:rsid w:val="32A0771A"/>
    <w:rsid w:val="32A25D21"/>
    <w:rsid w:val="32A46599"/>
    <w:rsid w:val="32A55811"/>
    <w:rsid w:val="32A73338"/>
    <w:rsid w:val="32A75EAC"/>
    <w:rsid w:val="32A8733C"/>
    <w:rsid w:val="32AB72CC"/>
    <w:rsid w:val="32AC094E"/>
    <w:rsid w:val="32AC4DF2"/>
    <w:rsid w:val="32B06690"/>
    <w:rsid w:val="32B0720F"/>
    <w:rsid w:val="32B12408"/>
    <w:rsid w:val="32B16170"/>
    <w:rsid w:val="32B32FBF"/>
    <w:rsid w:val="32B67A1F"/>
    <w:rsid w:val="32B83797"/>
    <w:rsid w:val="32BA12BD"/>
    <w:rsid w:val="32BB5035"/>
    <w:rsid w:val="32BB6DE3"/>
    <w:rsid w:val="32C4213C"/>
    <w:rsid w:val="32C57C62"/>
    <w:rsid w:val="32CB34CA"/>
    <w:rsid w:val="32CB5278"/>
    <w:rsid w:val="32CC7242"/>
    <w:rsid w:val="32CE6B16"/>
    <w:rsid w:val="32D0288E"/>
    <w:rsid w:val="32D103B5"/>
    <w:rsid w:val="32D14858"/>
    <w:rsid w:val="32D16665"/>
    <w:rsid w:val="32D22AAA"/>
    <w:rsid w:val="32D305D1"/>
    <w:rsid w:val="32D3237F"/>
    <w:rsid w:val="32D54349"/>
    <w:rsid w:val="32D61E6F"/>
    <w:rsid w:val="32D83E39"/>
    <w:rsid w:val="32D87995"/>
    <w:rsid w:val="32DA195F"/>
    <w:rsid w:val="32DA54BB"/>
    <w:rsid w:val="32DC365B"/>
    <w:rsid w:val="32DF2AD1"/>
    <w:rsid w:val="32E0684A"/>
    <w:rsid w:val="32E20814"/>
    <w:rsid w:val="32E427DE"/>
    <w:rsid w:val="32E60304"/>
    <w:rsid w:val="32E620B2"/>
    <w:rsid w:val="32E93950"/>
    <w:rsid w:val="32EB3B6C"/>
    <w:rsid w:val="32EC51EE"/>
    <w:rsid w:val="32F36749"/>
    <w:rsid w:val="32F50547"/>
    <w:rsid w:val="32F522F5"/>
    <w:rsid w:val="32F56799"/>
    <w:rsid w:val="32F80037"/>
    <w:rsid w:val="32FA5B5D"/>
    <w:rsid w:val="32FB3683"/>
    <w:rsid w:val="32FC7B27"/>
    <w:rsid w:val="32FD564D"/>
    <w:rsid w:val="32FE389F"/>
    <w:rsid w:val="32FF4F22"/>
    <w:rsid w:val="33022C64"/>
    <w:rsid w:val="33030EB6"/>
    <w:rsid w:val="33044C2E"/>
    <w:rsid w:val="330469DC"/>
    <w:rsid w:val="33062754"/>
    <w:rsid w:val="3310254A"/>
    <w:rsid w:val="331035D3"/>
    <w:rsid w:val="3310712F"/>
    <w:rsid w:val="331236CF"/>
    <w:rsid w:val="331309CD"/>
    <w:rsid w:val="33142830"/>
    <w:rsid w:val="33154745"/>
    <w:rsid w:val="331704BD"/>
    <w:rsid w:val="33184235"/>
    <w:rsid w:val="331A1D5C"/>
    <w:rsid w:val="331A7FAD"/>
    <w:rsid w:val="331B765D"/>
    <w:rsid w:val="331C1F78"/>
    <w:rsid w:val="331D35FA"/>
    <w:rsid w:val="331F55C4"/>
    <w:rsid w:val="3321133C"/>
    <w:rsid w:val="3321758E"/>
    <w:rsid w:val="332309C0"/>
    <w:rsid w:val="33233306"/>
    <w:rsid w:val="33244988"/>
    <w:rsid w:val="33245604"/>
    <w:rsid w:val="33247ABA"/>
    <w:rsid w:val="33260700"/>
    <w:rsid w:val="33264BA4"/>
    <w:rsid w:val="33266952"/>
    <w:rsid w:val="332930F1"/>
    <w:rsid w:val="33294694"/>
    <w:rsid w:val="332B21BB"/>
    <w:rsid w:val="332B3F69"/>
    <w:rsid w:val="332B5D17"/>
    <w:rsid w:val="332D1A72"/>
    <w:rsid w:val="332E5807"/>
    <w:rsid w:val="3330157F"/>
    <w:rsid w:val="333077D1"/>
    <w:rsid w:val="33323549"/>
    <w:rsid w:val="3333106F"/>
    <w:rsid w:val="33332E1D"/>
    <w:rsid w:val="333472C1"/>
    <w:rsid w:val="33352DD5"/>
    <w:rsid w:val="333948D8"/>
    <w:rsid w:val="333C43C8"/>
    <w:rsid w:val="333C7F24"/>
    <w:rsid w:val="333D3C9C"/>
    <w:rsid w:val="333F5C66"/>
    <w:rsid w:val="333F7A14"/>
    <w:rsid w:val="3341553A"/>
    <w:rsid w:val="33423060"/>
    <w:rsid w:val="33437504"/>
    <w:rsid w:val="33446DD8"/>
    <w:rsid w:val="33462B51"/>
    <w:rsid w:val="334868C9"/>
    <w:rsid w:val="334943EF"/>
    <w:rsid w:val="334B63B9"/>
    <w:rsid w:val="334E50BD"/>
    <w:rsid w:val="33550FE6"/>
    <w:rsid w:val="33552D94"/>
    <w:rsid w:val="3355548A"/>
    <w:rsid w:val="33582884"/>
    <w:rsid w:val="33593D45"/>
    <w:rsid w:val="33596D28"/>
    <w:rsid w:val="335A2AA0"/>
    <w:rsid w:val="335A484E"/>
    <w:rsid w:val="335C05C6"/>
    <w:rsid w:val="335D7E9A"/>
    <w:rsid w:val="335E433E"/>
    <w:rsid w:val="335F3C12"/>
    <w:rsid w:val="3361798A"/>
    <w:rsid w:val="33661445"/>
    <w:rsid w:val="33680D19"/>
    <w:rsid w:val="336851BD"/>
    <w:rsid w:val="336A2CE3"/>
    <w:rsid w:val="336B0809"/>
    <w:rsid w:val="336B25B7"/>
    <w:rsid w:val="336D632F"/>
    <w:rsid w:val="336F654B"/>
    <w:rsid w:val="337201A6"/>
    <w:rsid w:val="337376BE"/>
    <w:rsid w:val="33762F10"/>
    <w:rsid w:val="33775400"/>
    <w:rsid w:val="33784CD4"/>
    <w:rsid w:val="33791178"/>
    <w:rsid w:val="33792F26"/>
    <w:rsid w:val="337C2A16"/>
    <w:rsid w:val="337C47C4"/>
    <w:rsid w:val="337C6572"/>
    <w:rsid w:val="337E053C"/>
    <w:rsid w:val="337F42B4"/>
    <w:rsid w:val="33802506"/>
    <w:rsid w:val="3381002D"/>
    <w:rsid w:val="33837901"/>
    <w:rsid w:val="33865643"/>
    <w:rsid w:val="33883169"/>
    <w:rsid w:val="33884F17"/>
    <w:rsid w:val="33890C8F"/>
    <w:rsid w:val="338A5133"/>
    <w:rsid w:val="338B2C59"/>
    <w:rsid w:val="338D69D1"/>
    <w:rsid w:val="3390201E"/>
    <w:rsid w:val="33953AD8"/>
    <w:rsid w:val="33977850"/>
    <w:rsid w:val="33997124"/>
    <w:rsid w:val="339A2E9C"/>
    <w:rsid w:val="339A4C4A"/>
    <w:rsid w:val="339D48A3"/>
    <w:rsid w:val="33A04957"/>
    <w:rsid w:val="33A06705"/>
    <w:rsid w:val="33A1422B"/>
    <w:rsid w:val="33A31D51"/>
    <w:rsid w:val="33A37FA3"/>
    <w:rsid w:val="33A51F6D"/>
    <w:rsid w:val="33A61841"/>
    <w:rsid w:val="33A8380B"/>
    <w:rsid w:val="33A930DF"/>
    <w:rsid w:val="33AD038E"/>
    <w:rsid w:val="33AD0E22"/>
    <w:rsid w:val="33AD497E"/>
    <w:rsid w:val="33AD7074"/>
    <w:rsid w:val="33B0446E"/>
    <w:rsid w:val="33B2468A"/>
    <w:rsid w:val="33B26438"/>
    <w:rsid w:val="33B51A84"/>
    <w:rsid w:val="33B52B2A"/>
    <w:rsid w:val="33B57CD6"/>
    <w:rsid w:val="33B95A18"/>
    <w:rsid w:val="33BA709B"/>
    <w:rsid w:val="33BC2E13"/>
    <w:rsid w:val="33BE4DDD"/>
    <w:rsid w:val="33C00B55"/>
    <w:rsid w:val="33C06DA7"/>
    <w:rsid w:val="33C148CD"/>
    <w:rsid w:val="33C1667B"/>
    <w:rsid w:val="33C30645"/>
    <w:rsid w:val="33C323F3"/>
    <w:rsid w:val="33C65A3F"/>
    <w:rsid w:val="33C80FA0"/>
    <w:rsid w:val="33C817B8"/>
    <w:rsid w:val="33C83B71"/>
    <w:rsid w:val="33C87A09"/>
    <w:rsid w:val="33CA3782"/>
    <w:rsid w:val="33CB12A8"/>
    <w:rsid w:val="33CB74FA"/>
    <w:rsid w:val="33CB7921"/>
    <w:rsid w:val="33CC574C"/>
    <w:rsid w:val="33CF0D98"/>
    <w:rsid w:val="33CF6FEA"/>
    <w:rsid w:val="33D068BE"/>
    <w:rsid w:val="33D44600"/>
    <w:rsid w:val="33D53ED4"/>
    <w:rsid w:val="33D75E9F"/>
    <w:rsid w:val="33D77C4D"/>
    <w:rsid w:val="33D91C17"/>
    <w:rsid w:val="33D91F25"/>
    <w:rsid w:val="33DE4907"/>
    <w:rsid w:val="33DE722D"/>
    <w:rsid w:val="33E10ACB"/>
    <w:rsid w:val="33E30779"/>
    <w:rsid w:val="33E365F1"/>
    <w:rsid w:val="33E52369"/>
    <w:rsid w:val="33E660E2"/>
    <w:rsid w:val="33E74334"/>
    <w:rsid w:val="33EA3E24"/>
    <w:rsid w:val="33EA7980"/>
    <w:rsid w:val="33ED121E"/>
    <w:rsid w:val="33ED56C2"/>
    <w:rsid w:val="33ED7470"/>
    <w:rsid w:val="33EF31E8"/>
    <w:rsid w:val="33F00D0E"/>
    <w:rsid w:val="33F151B2"/>
    <w:rsid w:val="33F20F2A"/>
    <w:rsid w:val="33F22ACC"/>
    <w:rsid w:val="33F22CD8"/>
    <w:rsid w:val="33F56325"/>
    <w:rsid w:val="33F6144D"/>
    <w:rsid w:val="33F7209D"/>
    <w:rsid w:val="33FB7DDF"/>
    <w:rsid w:val="33FC5905"/>
    <w:rsid w:val="33FE167D"/>
    <w:rsid w:val="340071A3"/>
    <w:rsid w:val="34012F1B"/>
    <w:rsid w:val="3402116D"/>
    <w:rsid w:val="34030A42"/>
    <w:rsid w:val="34034EE6"/>
    <w:rsid w:val="34036C94"/>
    <w:rsid w:val="340500D9"/>
    <w:rsid w:val="34050C5E"/>
    <w:rsid w:val="34052A0C"/>
    <w:rsid w:val="34060532"/>
    <w:rsid w:val="34076784"/>
    <w:rsid w:val="340824FC"/>
    <w:rsid w:val="340877E3"/>
    <w:rsid w:val="340D18C0"/>
    <w:rsid w:val="340F388A"/>
    <w:rsid w:val="340F73E6"/>
    <w:rsid w:val="34110C26"/>
    <w:rsid w:val="341113B0"/>
    <w:rsid w:val="3411315F"/>
    <w:rsid w:val="34120C85"/>
    <w:rsid w:val="34125129"/>
    <w:rsid w:val="34133546"/>
    <w:rsid w:val="341449D6"/>
    <w:rsid w:val="34160775"/>
    <w:rsid w:val="34164C19"/>
    <w:rsid w:val="341B222F"/>
    <w:rsid w:val="341B3FDD"/>
    <w:rsid w:val="341D5FA7"/>
    <w:rsid w:val="342015F4"/>
    <w:rsid w:val="342033A2"/>
    <w:rsid w:val="34221BAB"/>
    <w:rsid w:val="34232E92"/>
    <w:rsid w:val="34237336"/>
    <w:rsid w:val="34254E5C"/>
    <w:rsid w:val="34264730"/>
    <w:rsid w:val="34270BD4"/>
    <w:rsid w:val="34272982"/>
    <w:rsid w:val="3428494C"/>
    <w:rsid w:val="342A2FF1"/>
    <w:rsid w:val="342F5CDB"/>
    <w:rsid w:val="34311A53"/>
    <w:rsid w:val="343230D5"/>
    <w:rsid w:val="3434509F"/>
    <w:rsid w:val="34356023"/>
    <w:rsid w:val="34367069"/>
    <w:rsid w:val="3437693D"/>
    <w:rsid w:val="34383DD1"/>
    <w:rsid w:val="34390907"/>
    <w:rsid w:val="343926B5"/>
    <w:rsid w:val="343A2DE5"/>
    <w:rsid w:val="343A7E32"/>
    <w:rsid w:val="343C3F54"/>
    <w:rsid w:val="344165C4"/>
    <w:rsid w:val="34433534"/>
    <w:rsid w:val="34441786"/>
    <w:rsid w:val="34442374"/>
    <w:rsid w:val="3445105A"/>
    <w:rsid w:val="34473024"/>
    <w:rsid w:val="34474DD2"/>
    <w:rsid w:val="344A041F"/>
    <w:rsid w:val="344A2B14"/>
    <w:rsid w:val="344A48C2"/>
    <w:rsid w:val="344C063B"/>
    <w:rsid w:val="344D6161"/>
    <w:rsid w:val="344F3C87"/>
    <w:rsid w:val="345117AD"/>
    <w:rsid w:val="345179FF"/>
    <w:rsid w:val="34545741"/>
    <w:rsid w:val="34563267"/>
    <w:rsid w:val="34565015"/>
    <w:rsid w:val="345D465C"/>
    <w:rsid w:val="345E3ECA"/>
    <w:rsid w:val="34605E94"/>
    <w:rsid w:val="34607C42"/>
    <w:rsid w:val="34613C76"/>
    <w:rsid w:val="34621C0C"/>
    <w:rsid w:val="346239BA"/>
    <w:rsid w:val="346314E0"/>
    <w:rsid w:val="34667283"/>
    <w:rsid w:val="34670FD0"/>
    <w:rsid w:val="34675474"/>
    <w:rsid w:val="34677222"/>
    <w:rsid w:val="346911EC"/>
    <w:rsid w:val="346A286F"/>
    <w:rsid w:val="346A7ECD"/>
    <w:rsid w:val="346C2A8B"/>
    <w:rsid w:val="346E6803"/>
    <w:rsid w:val="346F60D7"/>
    <w:rsid w:val="346F6A70"/>
    <w:rsid w:val="347100A1"/>
    <w:rsid w:val="34727975"/>
    <w:rsid w:val="34733E19"/>
    <w:rsid w:val="34796F56"/>
    <w:rsid w:val="347B2CCE"/>
    <w:rsid w:val="347B7BE4"/>
    <w:rsid w:val="347D07F4"/>
    <w:rsid w:val="347D2504"/>
    <w:rsid w:val="347D6A46"/>
    <w:rsid w:val="347E3994"/>
    <w:rsid w:val="347F6565"/>
    <w:rsid w:val="348002E4"/>
    <w:rsid w:val="34806536"/>
    <w:rsid w:val="348222AE"/>
    <w:rsid w:val="348576A9"/>
    <w:rsid w:val="34867BA4"/>
    <w:rsid w:val="348778C5"/>
    <w:rsid w:val="34880F47"/>
    <w:rsid w:val="3489363D"/>
    <w:rsid w:val="348A15EA"/>
    <w:rsid w:val="348C73E1"/>
    <w:rsid w:val="348E3489"/>
    <w:rsid w:val="348E47AF"/>
    <w:rsid w:val="348F0527"/>
    <w:rsid w:val="3492329A"/>
    <w:rsid w:val="34936269"/>
    <w:rsid w:val="34945B3E"/>
    <w:rsid w:val="3494637E"/>
    <w:rsid w:val="34983880"/>
    <w:rsid w:val="34993154"/>
    <w:rsid w:val="349A13A6"/>
    <w:rsid w:val="349B3370"/>
    <w:rsid w:val="349B511E"/>
    <w:rsid w:val="349D49F2"/>
    <w:rsid w:val="34A00986"/>
    <w:rsid w:val="34A02734"/>
    <w:rsid w:val="34A044E2"/>
    <w:rsid w:val="34A55F9D"/>
    <w:rsid w:val="34AC2E87"/>
    <w:rsid w:val="34AE4E51"/>
    <w:rsid w:val="34B00F04"/>
    <w:rsid w:val="34B05393"/>
    <w:rsid w:val="34B1049E"/>
    <w:rsid w:val="34B306BA"/>
    <w:rsid w:val="34B41D3C"/>
    <w:rsid w:val="34B47F8E"/>
    <w:rsid w:val="34B57BC0"/>
    <w:rsid w:val="34B65AB4"/>
    <w:rsid w:val="34B73B25"/>
    <w:rsid w:val="34B8182C"/>
    <w:rsid w:val="34BA1A48"/>
    <w:rsid w:val="34BA2757"/>
    <w:rsid w:val="34BA37F6"/>
    <w:rsid w:val="34C04B85"/>
    <w:rsid w:val="34C06933"/>
    <w:rsid w:val="34C06A19"/>
    <w:rsid w:val="34C12DD7"/>
    <w:rsid w:val="34C33809"/>
    <w:rsid w:val="34C463DA"/>
    <w:rsid w:val="34C53F49"/>
    <w:rsid w:val="34C603ED"/>
    <w:rsid w:val="34C60CFA"/>
    <w:rsid w:val="34C91C8B"/>
    <w:rsid w:val="34C93A39"/>
    <w:rsid w:val="34C9767B"/>
    <w:rsid w:val="34CA155F"/>
    <w:rsid w:val="34CB5A03"/>
    <w:rsid w:val="34CE72A2"/>
    <w:rsid w:val="34CF6B76"/>
    <w:rsid w:val="34D16D92"/>
    <w:rsid w:val="34D36666"/>
    <w:rsid w:val="34D4418C"/>
    <w:rsid w:val="34D523DE"/>
    <w:rsid w:val="34D643A8"/>
    <w:rsid w:val="34D67F04"/>
    <w:rsid w:val="34D81ECE"/>
    <w:rsid w:val="34D83C7C"/>
    <w:rsid w:val="34DA0600"/>
    <w:rsid w:val="34DA5C46"/>
    <w:rsid w:val="34DA79F4"/>
    <w:rsid w:val="34DC5AF1"/>
    <w:rsid w:val="34DD1293"/>
    <w:rsid w:val="34DD43B0"/>
    <w:rsid w:val="34DF14AF"/>
    <w:rsid w:val="34DF500B"/>
    <w:rsid w:val="34E02B31"/>
    <w:rsid w:val="34E17695"/>
    <w:rsid w:val="34E24AFB"/>
    <w:rsid w:val="34E268A9"/>
    <w:rsid w:val="34E46AC5"/>
    <w:rsid w:val="34E70363"/>
    <w:rsid w:val="34E873EC"/>
    <w:rsid w:val="34E96C65"/>
    <w:rsid w:val="34EA39B0"/>
    <w:rsid w:val="34EB7E53"/>
    <w:rsid w:val="34EE16F2"/>
    <w:rsid w:val="34EE524E"/>
    <w:rsid w:val="34EE7F06"/>
    <w:rsid w:val="34EF0FC6"/>
    <w:rsid w:val="34F14D3E"/>
    <w:rsid w:val="34F565DC"/>
    <w:rsid w:val="34F605A6"/>
    <w:rsid w:val="34F767F8"/>
    <w:rsid w:val="34F8431E"/>
    <w:rsid w:val="34F860CC"/>
    <w:rsid w:val="34FA0097"/>
    <w:rsid w:val="34FA1E45"/>
    <w:rsid w:val="34FD1935"/>
    <w:rsid w:val="34FD7B87"/>
    <w:rsid w:val="34FF56AD"/>
    <w:rsid w:val="34FF745B"/>
    <w:rsid w:val="35011425"/>
    <w:rsid w:val="35064C8D"/>
    <w:rsid w:val="3507761D"/>
    <w:rsid w:val="350B22A4"/>
    <w:rsid w:val="350E58F0"/>
    <w:rsid w:val="35101668"/>
    <w:rsid w:val="35134CB4"/>
    <w:rsid w:val="35154ED0"/>
    <w:rsid w:val="351849C1"/>
    <w:rsid w:val="3518676F"/>
    <w:rsid w:val="351D5B33"/>
    <w:rsid w:val="351F6D34"/>
    <w:rsid w:val="35215623"/>
    <w:rsid w:val="3522139B"/>
    <w:rsid w:val="35260E8C"/>
    <w:rsid w:val="35262C3A"/>
    <w:rsid w:val="35270760"/>
    <w:rsid w:val="3529272A"/>
    <w:rsid w:val="352B64A2"/>
    <w:rsid w:val="352D16BF"/>
    <w:rsid w:val="352E1AEE"/>
    <w:rsid w:val="35305866"/>
    <w:rsid w:val="35325A82"/>
    <w:rsid w:val="353335A8"/>
    <w:rsid w:val="35335357"/>
    <w:rsid w:val="35337F82"/>
    <w:rsid w:val="35382942"/>
    <w:rsid w:val="353978DB"/>
    <w:rsid w:val="353C06AF"/>
    <w:rsid w:val="353F1F4D"/>
    <w:rsid w:val="353F3CFB"/>
    <w:rsid w:val="35411821"/>
    <w:rsid w:val="35417A73"/>
    <w:rsid w:val="35431A3E"/>
    <w:rsid w:val="35461EDF"/>
    <w:rsid w:val="3546508A"/>
    <w:rsid w:val="35466E38"/>
    <w:rsid w:val="35472BB0"/>
    <w:rsid w:val="35487054"/>
    <w:rsid w:val="35494B7A"/>
    <w:rsid w:val="354B26A0"/>
    <w:rsid w:val="354B48C1"/>
    <w:rsid w:val="354C01C6"/>
    <w:rsid w:val="3550415A"/>
    <w:rsid w:val="35507CB7"/>
    <w:rsid w:val="35521C81"/>
    <w:rsid w:val="35523A2F"/>
    <w:rsid w:val="355377A7"/>
    <w:rsid w:val="355470B4"/>
    <w:rsid w:val="3555351F"/>
    <w:rsid w:val="355552CD"/>
    <w:rsid w:val="35575A35"/>
    <w:rsid w:val="355A28E3"/>
    <w:rsid w:val="355A6D87"/>
    <w:rsid w:val="355C2AFF"/>
    <w:rsid w:val="355C48AD"/>
    <w:rsid w:val="355C665B"/>
    <w:rsid w:val="355E0166"/>
    <w:rsid w:val="355E0625"/>
    <w:rsid w:val="35610116"/>
    <w:rsid w:val="35611EC4"/>
    <w:rsid w:val="356244AB"/>
    <w:rsid w:val="35633E8E"/>
    <w:rsid w:val="35643762"/>
    <w:rsid w:val="35683252"/>
    <w:rsid w:val="3569521C"/>
    <w:rsid w:val="35696FCA"/>
    <w:rsid w:val="356B276A"/>
    <w:rsid w:val="356B689E"/>
    <w:rsid w:val="35731BF7"/>
    <w:rsid w:val="35747E49"/>
    <w:rsid w:val="3575771D"/>
    <w:rsid w:val="35773495"/>
    <w:rsid w:val="3578720D"/>
    <w:rsid w:val="357A11D7"/>
    <w:rsid w:val="357A2F85"/>
    <w:rsid w:val="357C4F4F"/>
    <w:rsid w:val="357D65D2"/>
    <w:rsid w:val="357E2A76"/>
    <w:rsid w:val="35814314"/>
    <w:rsid w:val="358160C2"/>
    <w:rsid w:val="35831E3A"/>
    <w:rsid w:val="35847960"/>
    <w:rsid w:val="35855EE2"/>
    <w:rsid w:val="3586192A"/>
    <w:rsid w:val="358636D8"/>
    <w:rsid w:val="35867372"/>
    <w:rsid w:val="358833D3"/>
    <w:rsid w:val="358856A2"/>
    <w:rsid w:val="358A766C"/>
    <w:rsid w:val="358B6F41"/>
    <w:rsid w:val="358C5DB5"/>
    <w:rsid w:val="358D0F0B"/>
    <w:rsid w:val="358E6A31"/>
    <w:rsid w:val="359009FB"/>
    <w:rsid w:val="359027A9"/>
    <w:rsid w:val="35935DF5"/>
    <w:rsid w:val="35942299"/>
    <w:rsid w:val="359C114E"/>
    <w:rsid w:val="359D0A22"/>
    <w:rsid w:val="359F29EC"/>
    <w:rsid w:val="35A149B6"/>
    <w:rsid w:val="35A26038"/>
    <w:rsid w:val="35A324DC"/>
    <w:rsid w:val="35A3428A"/>
    <w:rsid w:val="35A34E37"/>
    <w:rsid w:val="35A41DB0"/>
    <w:rsid w:val="35A46254"/>
    <w:rsid w:val="35A61FCC"/>
    <w:rsid w:val="35A65B28"/>
    <w:rsid w:val="35A818A1"/>
    <w:rsid w:val="35A85D44"/>
    <w:rsid w:val="35AB1391"/>
    <w:rsid w:val="35AB2FB9"/>
    <w:rsid w:val="35AB313F"/>
    <w:rsid w:val="35AC108D"/>
    <w:rsid w:val="35AD5109"/>
    <w:rsid w:val="35AD6EB7"/>
    <w:rsid w:val="35AE2C2F"/>
    <w:rsid w:val="35AF0E81"/>
    <w:rsid w:val="35B04BF9"/>
    <w:rsid w:val="35B75F88"/>
    <w:rsid w:val="35B91D00"/>
    <w:rsid w:val="35B93AAE"/>
    <w:rsid w:val="35B9585C"/>
    <w:rsid w:val="35BA15D4"/>
    <w:rsid w:val="35BA6F50"/>
    <w:rsid w:val="35BC22C3"/>
    <w:rsid w:val="35BC534C"/>
    <w:rsid w:val="35BC70FA"/>
    <w:rsid w:val="35BE7316"/>
    <w:rsid w:val="35C12962"/>
    <w:rsid w:val="35C30488"/>
    <w:rsid w:val="35C3492C"/>
    <w:rsid w:val="35C35E84"/>
    <w:rsid w:val="35C41EE5"/>
    <w:rsid w:val="35C42453"/>
    <w:rsid w:val="35C506A4"/>
    <w:rsid w:val="35C6441D"/>
    <w:rsid w:val="35C67F79"/>
    <w:rsid w:val="35C91817"/>
    <w:rsid w:val="35C97A69"/>
    <w:rsid w:val="35CA5CBB"/>
    <w:rsid w:val="35CB1A33"/>
    <w:rsid w:val="35CB558F"/>
    <w:rsid w:val="35CC0677"/>
    <w:rsid w:val="35CE2F97"/>
    <w:rsid w:val="35CF1523"/>
    <w:rsid w:val="35D07049"/>
    <w:rsid w:val="35D24B6F"/>
    <w:rsid w:val="35D642FA"/>
    <w:rsid w:val="35D703D8"/>
    <w:rsid w:val="35D97CAC"/>
    <w:rsid w:val="35DA1C76"/>
    <w:rsid w:val="35E054DE"/>
    <w:rsid w:val="35E11256"/>
    <w:rsid w:val="35E11C95"/>
    <w:rsid w:val="35E13004"/>
    <w:rsid w:val="35E14DB3"/>
    <w:rsid w:val="35E328D9"/>
    <w:rsid w:val="35E63DEE"/>
    <w:rsid w:val="35E671EE"/>
    <w:rsid w:val="35E77E4F"/>
    <w:rsid w:val="35E84393"/>
    <w:rsid w:val="35E86141"/>
    <w:rsid w:val="35EB5C31"/>
    <w:rsid w:val="35EB79DF"/>
    <w:rsid w:val="35F26FC0"/>
    <w:rsid w:val="35F40F8A"/>
    <w:rsid w:val="35F50D12"/>
    <w:rsid w:val="35F5709E"/>
    <w:rsid w:val="35F76384"/>
    <w:rsid w:val="35F920FC"/>
    <w:rsid w:val="35F965A0"/>
    <w:rsid w:val="35FA5E74"/>
    <w:rsid w:val="35FC1BEC"/>
    <w:rsid w:val="35FD0BE5"/>
    <w:rsid w:val="3600792F"/>
    <w:rsid w:val="36032F7B"/>
    <w:rsid w:val="36035EE7"/>
    <w:rsid w:val="360569D5"/>
    <w:rsid w:val="36064819"/>
    <w:rsid w:val="36096403"/>
    <w:rsid w:val="360A255B"/>
    <w:rsid w:val="360B1E2F"/>
    <w:rsid w:val="360C783C"/>
    <w:rsid w:val="360D204B"/>
    <w:rsid w:val="360F7B72"/>
    <w:rsid w:val="36107446"/>
    <w:rsid w:val="36121410"/>
    <w:rsid w:val="36127662"/>
    <w:rsid w:val="361433DA"/>
    <w:rsid w:val="36146F36"/>
    <w:rsid w:val="36160F00"/>
    <w:rsid w:val="36176A26"/>
    <w:rsid w:val="3619454C"/>
    <w:rsid w:val="361B63CE"/>
    <w:rsid w:val="361E6007"/>
    <w:rsid w:val="361F13AE"/>
    <w:rsid w:val="36203B2D"/>
    <w:rsid w:val="3620540F"/>
    <w:rsid w:val="36252EF1"/>
    <w:rsid w:val="36257395"/>
    <w:rsid w:val="36260A17"/>
    <w:rsid w:val="36266C69"/>
    <w:rsid w:val="3627310D"/>
    <w:rsid w:val="36286772"/>
    <w:rsid w:val="36297C02"/>
    <w:rsid w:val="362A49AB"/>
    <w:rsid w:val="362B4280"/>
    <w:rsid w:val="362C24D2"/>
    <w:rsid w:val="362D1DA6"/>
    <w:rsid w:val="362D7FF8"/>
    <w:rsid w:val="362E7A13"/>
    <w:rsid w:val="362F1FC2"/>
    <w:rsid w:val="362F3D70"/>
    <w:rsid w:val="36301896"/>
    <w:rsid w:val="36317AE8"/>
    <w:rsid w:val="36330CB4"/>
    <w:rsid w:val="36344D15"/>
    <w:rsid w:val="363475D8"/>
    <w:rsid w:val="36356EAC"/>
    <w:rsid w:val="363A4F58"/>
    <w:rsid w:val="363E3FB3"/>
    <w:rsid w:val="364041CF"/>
    <w:rsid w:val="36415851"/>
    <w:rsid w:val="3643337A"/>
    <w:rsid w:val="3643781B"/>
    <w:rsid w:val="364517E5"/>
    <w:rsid w:val="36462E68"/>
    <w:rsid w:val="36471ED0"/>
    <w:rsid w:val="3647730B"/>
    <w:rsid w:val="364827E6"/>
    <w:rsid w:val="364A0BAA"/>
    <w:rsid w:val="364C2B74"/>
    <w:rsid w:val="364C4922"/>
    <w:rsid w:val="364D41F6"/>
    <w:rsid w:val="364E048D"/>
    <w:rsid w:val="364E58BC"/>
    <w:rsid w:val="3651018A"/>
    <w:rsid w:val="36533F02"/>
    <w:rsid w:val="36541A28"/>
    <w:rsid w:val="36564C7E"/>
    <w:rsid w:val="365732C7"/>
    <w:rsid w:val="36592B9B"/>
    <w:rsid w:val="3659703F"/>
    <w:rsid w:val="365B2DB7"/>
    <w:rsid w:val="365D6B2F"/>
    <w:rsid w:val="36624145"/>
    <w:rsid w:val="36657792"/>
    <w:rsid w:val="366652B8"/>
    <w:rsid w:val="3667175C"/>
    <w:rsid w:val="366854D4"/>
    <w:rsid w:val="36685FE6"/>
    <w:rsid w:val="366A2FFA"/>
    <w:rsid w:val="366C4FC4"/>
    <w:rsid w:val="366D3A16"/>
    <w:rsid w:val="366D4898"/>
    <w:rsid w:val="366D6646"/>
    <w:rsid w:val="366E2AEA"/>
    <w:rsid w:val="366F318F"/>
    <w:rsid w:val="366F6862"/>
    <w:rsid w:val="36716136"/>
    <w:rsid w:val="36767BF1"/>
    <w:rsid w:val="367774C5"/>
    <w:rsid w:val="36780B29"/>
    <w:rsid w:val="3679323D"/>
    <w:rsid w:val="367B5207"/>
    <w:rsid w:val="367B6FB5"/>
    <w:rsid w:val="367D0F7F"/>
    <w:rsid w:val="367D2D2D"/>
    <w:rsid w:val="367E0853"/>
    <w:rsid w:val="367F4CF7"/>
    <w:rsid w:val="368045CB"/>
    <w:rsid w:val="36826596"/>
    <w:rsid w:val="36877708"/>
    <w:rsid w:val="3688061E"/>
    <w:rsid w:val="368816D2"/>
    <w:rsid w:val="368C4D1E"/>
    <w:rsid w:val="3690566F"/>
    <w:rsid w:val="36940077"/>
    <w:rsid w:val="369462C9"/>
    <w:rsid w:val="36963DEF"/>
    <w:rsid w:val="369736C3"/>
    <w:rsid w:val="3699568D"/>
    <w:rsid w:val="369D33CF"/>
    <w:rsid w:val="36A06A1C"/>
    <w:rsid w:val="36A07D35"/>
    <w:rsid w:val="36A13EF1"/>
    <w:rsid w:val="36A33AE5"/>
    <w:rsid w:val="36A4650C"/>
    <w:rsid w:val="36A57B46"/>
    <w:rsid w:val="36A91D74"/>
    <w:rsid w:val="36AC62D8"/>
    <w:rsid w:val="36AC716F"/>
    <w:rsid w:val="36AD0EA9"/>
    <w:rsid w:val="36AD2EE7"/>
    <w:rsid w:val="36AE738B"/>
    <w:rsid w:val="36AF4EB1"/>
    <w:rsid w:val="36B44275"/>
    <w:rsid w:val="36B44A6A"/>
    <w:rsid w:val="36B83D65"/>
    <w:rsid w:val="36B85B13"/>
    <w:rsid w:val="36BB5604"/>
    <w:rsid w:val="36BE1E2E"/>
    <w:rsid w:val="36C02C1A"/>
    <w:rsid w:val="36C4095C"/>
    <w:rsid w:val="36C46BAE"/>
    <w:rsid w:val="36C50230"/>
    <w:rsid w:val="36C56482"/>
    <w:rsid w:val="36C6536A"/>
    <w:rsid w:val="36C7044C"/>
    <w:rsid w:val="36C721FA"/>
    <w:rsid w:val="36C73FA8"/>
    <w:rsid w:val="36C85AB1"/>
    <w:rsid w:val="36C95F72"/>
    <w:rsid w:val="36CA5847"/>
    <w:rsid w:val="36CC15BF"/>
    <w:rsid w:val="36CC5A63"/>
    <w:rsid w:val="36CE3589"/>
    <w:rsid w:val="36CF347B"/>
    <w:rsid w:val="36D466C5"/>
    <w:rsid w:val="36D668E1"/>
    <w:rsid w:val="36D729D5"/>
    <w:rsid w:val="36D77E04"/>
    <w:rsid w:val="36DC3C76"/>
    <w:rsid w:val="36DD37CC"/>
    <w:rsid w:val="36DE7CD7"/>
    <w:rsid w:val="36DF7544"/>
    <w:rsid w:val="36E36908"/>
    <w:rsid w:val="36E508D2"/>
    <w:rsid w:val="36E52680"/>
    <w:rsid w:val="36E7289C"/>
    <w:rsid w:val="36E7464B"/>
    <w:rsid w:val="36E83F1F"/>
    <w:rsid w:val="36E91AB8"/>
    <w:rsid w:val="36EC1C61"/>
    <w:rsid w:val="36EC7EB3"/>
    <w:rsid w:val="36ED4BFB"/>
    <w:rsid w:val="36F17277"/>
    <w:rsid w:val="36F32FEF"/>
    <w:rsid w:val="36F4363E"/>
    <w:rsid w:val="36F54FB9"/>
    <w:rsid w:val="36F56D67"/>
    <w:rsid w:val="36FA0940"/>
    <w:rsid w:val="36FA25D0"/>
    <w:rsid w:val="37021484"/>
    <w:rsid w:val="370276D6"/>
    <w:rsid w:val="37040D59"/>
    <w:rsid w:val="370451FC"/>
    <w:rsid w:val="37052D23"/>
    <w:rsid w:val="37052E82"/>
    <w:rsid w:val="370943D4"/>
    <w:rsid w:val="3709636F"/>
    <w:rsid w:val="370C40B1"/>
    <w:rsid w:val="370E1BD7"/>
    <w:rsid w:val="370E7E29"/>
    <w:rsid w:val="37103BA1"/>
    <w:rsid w:val="37117919"/>
    <w:rsid w:val="371371EE"/>
    <w:rsid w:val="37144D14"/>
    <w:rsid w:val="37152977"/>
    <w:rsid w:val="37152F66"/>
    <w:rsid w:val="37160A8C"/>
    <w:rsid w:val="37164F30"/>
    <w:rsid w:val="371A4A20"/>
    <w:rsid w:val="371B2546"/>
    <w:rsid w:val="372238D5"/>
    <w:rsid w:val="3724764D"/>
    <w:rsid w:val="37256F21"/>
    <w:rsid w:val="37265173"/>
    <w:rsid w:val="372B2789"/>
    <w:rsid w:val="372C02AF"/>
    <w:rsid w:val="372C4753"/>
    <w:rsid w:val="372E5DD5"/>
    <w:rsid w:val="37307DA0"/>
    <w:rsid w:val="37321D6A"/>
    <w:rsid w:val="37335AE2"/>
    <w:rsid w:val="37353608"/>
    <w:rsid w:val="373553B6"/>
    <w:rsid w:val="37362EDC"/>
    <w:rsid w:val="373A3202"/>
    <w:rsid w:val="373D070E"/>
    <w:rsid w:val="373D426B"/>
    <w:rsid w:val="373F4487"/>
    <w:rsid w:val="37403D5B"/>
    <w:rsid w:val="374101FF"/>
    <w:rsid w:val="37410504"/>
    <w:rsid w:val="37421881"/>
    <w:rsid w:val="37425D25"/>
    <w:rsid w:val="374455F9"/>
    <w:rsid w:val="37460314"/>
    <w:rsid w:val="3747333B"/>
    <w:rsid w:val="374C01E8"/>
    <w:rsid w:val="374C0952"/>
    <w:rsid w:val="37533A8E"/>
    <w:rsid w:val="37555A58"/>
    <w:rsid w:val="3756532C"/>
    <w:rsid w:val="375717D0"/>
    <w:rsid w:val="3757357E"/>
    <w:rsid w:val="375A12C0"/>
    <w:rsid w:val="375A4E1C"/>
    <w:rsid w:val="375A6BCB"/>
    <w:rsid w:val="375D490D"/>
    <w:rsid w:val="375F0685"/>
    <w:rsid w:val="375F68D7"/>
    <w:rsid w:val="37680BE7"/>
    <w:rsid w:val="376B702A"/>
    <w:rsid w:val="376C68FE"/>
    <w:rsid w:val="376D0FF4"/>
    <w:rsid w:val="37704640"/>
    <w:rsid w:val="377063EE"/>
    <w:rsid w:val="37712166"/>
    <w:rsid w:val="37733392"/>
    <w:rsid w:val="37753A04"/>
    <w:rsid w:val="37781747"/>
    <w:rsid w:val="377834F5"/>
    <w:rsid w:val="377A101B"/>
    <w:rsid w:val="377E4FAF"/>
    <w:rsid w:val="377F0D27"/>
    <w:rsid w:val="377F2AD5"/>
    <w:rsid w:val="377F4883"/>
    <w:rsid w:val="37804506"/>
    <w:rsid w:val="378123A9"/>
    <w:rsid w:val="378325C5"/>
    <w:rsid w:val="37841E99"/>
    <w:rsid w:val="3787198A"/>
    <w:rsid w:val="37873738"/>
    <w:rsid w:val="37887BDC"/>
    <w:rsid w:val="37893954"/>
    <w:rsid w:val="378C0D4E"/>
    <w:rsid w:val="378E0F6A"/>
    <w:rsid w:val="37904CE2"/>
    <w:rsid w:val="37906A90"/>
    <w:rsid w:val="37932094"/>
    <w:rsid w:val="379320DC"/>
    <w:rsid w:val="379540A7"/>
    <w:rsid w:val="37956E2E"/>
    <w:rsid w:val="379876F3"/>
    <w:rsid w:val="37991DE9"/>
    <w:rsid w:val="379A16BD"/>
    <w:rsid w:val="379C3687"/>
    <w:rsid w:val="37A10C9D"/>
    <w:rsid w:val="37A147F9"/>
    <w:rsid w:val="37A20571"/>
    <w:rsid w:val="37A367C3"/>
    <w:rsid w:val="37A4253C"/>
    <w:rsid w:val="37A60062"/>
    <w:rsid w:val="37A83DDA"/>
    <w:rsid w:val="37AA1F5E"/>
    <w:rsid w:val="37AB38CA"/>
    <w:rsid w:val="37AB5678"/>
    <w:rsid w:val="37AD7642"/>
    <w:rsid w:val="37B07132"/>
    <w:rsid w:val="37B30825"/>
    <w:rsid w:val="37B3452D"/>
    <w:rsid w:val="37B502A5"/>
    <w:rsid w:val="37B564F7"/>
    <w:rsid w:val="37B704C1"/>
    <w:rsid w:val="37BA1D5F"/>
    <w:rsid w:val="37BA3B0D"/>
    <w:rsid w:val="37BA58BB"/>
    <w:rsid w:val="37BC5AD7"/>
    <w:rsid w:val="37BC7885"/>
    <w:rsid w:val="37C4673A"/>
    <w:rsid w:val="37C624B2"/>
    <w:rsid w:val="37C93D50"/>
    <w:rsid w:val="37CB1876"/>
    <w:rsid w:val="37CD13CC"/>
    <w:rsid w:val="37CD1A92"/>
    <w:rsid w:val="37CD55EE"/>
    <w:rsid w:val="37CF68BD"/>
    <w:rsid w:val="37D050DF"/>
    <w:rsid w:val="37D16521"/>
    <w:rsid w:val="37D22C05"/>
    <w:rsid w:val="37D42E21"/>
    <w:rsid w:val="37D44BCF"/>
    <w:rsid w:val="37D50947"/>
    <w:rsid w:val="37D526F5"/>
    <w:rsid w:val="37D83F93"/>
    <w:rsid w:val="37DA41AF"/>
    <w:rsid w:val="37DF5322"/>
    <w:rsid w:val="37E1109A"/>
    <w:rsid w:val="37E361C3"/>
    <w:rsid w:val="37E40B8A"/>
    <w:rsid w:val="37E62B54"/>
    <w:rsid w:val="37EB3CC7"/>
    <w:rsid w:val="37EB7526"/>
    <w:rsid w:val="37ED7A3F"/>
    <w:rsid w:val="37EF202C"/>
    <w:rsid w:val="37F039D3"/>
    <w:rsid w:val="37F107C7"/>
    <w:rsid w:val="37F232A7"/>
    <w:rsid w:val="37F30DCD"/>
    <w:rsid w:val="37F52D97"/>
    <w:rsid w:val="37F54B45"/>
    <w:rsid w:val="37F7266B"/>
    <w:rsid w:val="37F903E9"/>
    <w:rsid w:val="37F93E62"/>
    <w:rsid w:val="37F963E3"/>
    <w:rsid w:val="37FF7772"/>
    <w:rsid w:val="38003C16"/>
    <w:rsid w:val="38042FDA"/>
    <w:rsid w:val="380454FC"/>
    <w:rsid w:val="38060B00"/>
    <w:rsid w:val="38064FA4"/>
    <w:rsid w:val="38080D1C"/>
    <w:rsid w:val="3809239F"/>
    <w:rsid w:val="380A05F1"/>
    <w:rsid w:val="380A6843"/>
    <w:rsid w:val="380B3F3F"/>
    <w:rsid w:val="380B6117"/>
    <w:rsid w:val="380D1430"/>
    <w:rsid w:val="380F20AB"/>
    <w:rsid w:val="380F5C07"/>
    <w:rsid w:val="381051E0"/>
    <w:rsid w:val="38123949"/>
    <w:rsid w:val="38156F95"/>
    <w:rsid w:val="38192198"/>
    <w:rsid w:val="38194CD8"/>
    <w:rsid w:val="381E23B5"/>
    <w:rsid w:val="381F1BC2"/>
    <w:rsid w:val="38211DDE"/>
    <w:rsid w:val="38233460"/>
    <w:rsid w:val="3825542A"/>
    <w:rsid w:val="382611A3"/>
    <w:rsid w:val="38267406"/>
    <w:rsid w:val="38286CC9"/>
    <w:rsid w:val="382A7217"/>
    <w:rsid w:val="382F44FB"/>
    <w:rsid w:val="38305B7D"/>
    <w:rsid w:val="38314519"/>
    <w:rsid w:val="38325D99"/>
    <w:rsid w:val="38367638"/>
    <w:rsid w:val="383733B0"/>
    <w:rsid w:val="38376F0C"/>
    <w:rsid w:val="383843EC"/>
    <w:rsid w:val="38390ED6"/>
    <w:rsid w:val="38392C84"/>
    <w:rsid w:val="383B18DD"/>
    <w:rsid w:val="383B2EA0"/>
    <w:rsid w:val="383C09C6"/>
    <w:rsid w:val="383E64EC"/>
    <w:rsid w:val="383F16EE"/>
    <w:rsid w:val="38417D8A"/>
    <w:rsid w:val="3842422E"/>
    <w:rsid w:val="3843006F"/>
    <w:rsid w:val="38433B03"/>
    <w:rsid w:val="38481119"/>
    <w:rsid w:val="38483193"/>
    <w:rsid w:val="3848736B"/>
    <w:rsid w:val="384A4E91"/>
    <w:rsid w:val="384D2BD3"/>
    <w:rsid w:val="384F11E3"/>
    <w:rsid w:val="38502673"/>
    <w:rsid w:val="3851621F"/>
    <w:rsid w:val="38523D46"/>
    <w:rsid w:val="38543F62"/>
    <w:rsid w:val="38545D10"/>
    <w:rsid w:val="38547ABE"/>
    <w:rsid w:val="385555E4"/>
    <w:rsid w:val="38561A88"/>
    <w:rsid w:val="38563836"/>
    <w:rsid w:val="386046B4"/>
    <w:rsid w:val="38606463"/>
    <w:rsid w:val="386121DB"/>
    <w:rsid w:val="3862042D"/>
    <w:rsid w:val="386341A5"/>
    <w:rsid w:val="38635F53"/>
    <w:rsid w:val="38637D01"/>
    <w:rsid w:val="38653A79"/>
    <w:rsid w:val="38683569"/>
    <w:rsid w:val="386A108F"/>
    <w:rsid w:val="386A5533"/>
    <w:rsid w:val="386A5DEB"/>
    <w:rsid w:val="386F48F8"/>
    <w:rsid w:val="38701C5D"/>
    <w:rsid w:val="387168C2"/>
    <w:rsid w:val="3872263A"/>
    <w:rsid w:val="38726196"/>
    <w:rsid w:val="38741F0E"/>
    <w:rsid w:val="38765C86"/>
    <w:rsid w:val="38787C50"/>
    <w:rsid w:val="38795776"/>
    <w:rsid w:val="38797524"/>
    <w:rsid w:val="387C7014"/>
    <w:rsid w:val="387D4261"/>
    <w:rsid w:val="387D5266"/>
    <w:rsid w:val="387E4B3B"/>
    <w:rsid w:val="3880277B"/>
    <w:rsid w:val="38806B05"/>
    <w:rsid w:val="38832151"/>
    <w:rsid w:val="388365F5"/>
    <w:rsid w:val="38871C41"/>
    <w:rsid w:val="38877E93"/>
    <w:rsid w:val="388C65B4"/>
    <w:rsid w:val="388F0AF6"/>
    <w:rsid w:val="3891486E"/>
    <w:rsid w:val="389205E6"/>
    <w:rsid w:val="38926838"/>
    <w:rsid w:val="389425B0"/>
    <w:rsid w:val="389524E8"/>
    <w:rsid w:val="38974E08"/>
    <w:rsid w:val="38991974"/>
    <w:rsid w:val="389A0BB8"/>
    <w:rsid w:val="389B4C19"/>
    <w:rsid w:val="389C3213"/>
    <w:rsid w:val="389D1465"/>
    <w:rsid w:val="389E6F8B"/>
    <w:rsid w:val="38A00F55"/>
    <w:rsid w:val="38A04AB1"/>
    <w:rsid w:val="38A24CCD"/>
    <w:rsid w:val="38A327F3"/>
    <w:rsid w:val="38A33B97"/>
    <w:rsid w:val="38A5656B"/>
    <w:rsid w:val="38A65E3F"/>
    <w:rsid w:val="38A74091"/>
    <w:rsid w:val="38AA1DD4"/>
    <w:rsid w:val="38AC78FA"/>
    <w:rsid w:val="38AD5420"/>
    <w:rsid w:val="38AE3672"/>
    <w:rsid w:val="38B13162"/>
    <w:rsid w:val="38B30C88"/>
    <w:rsid w:val="38B36EDA"/>
    <w:rsid w:val="38B44330"/>
    <w:rsid w:val="38B44A00"/>
    <w:rsid w:val="38B60778"/>
    <w:rsid w:val="38B642D4"/>
    <w:rsid w:val="38B92017"/>
    <w:rsid w:val="38BA1632"/>
    <w:rsid w:val="38BD38B5"/>
    <w:rsid w:val="38BD5663"/>
    <w:rsid w:val="38C05153"/>
    <w:rsid w:val="38C06F01"/>
    <w:rsid w:val="38C22C79"/>
    <w:rsid w:val="38C34C43"/>
    <w:rsid w:val="38C42E95"/>
    <w:rsid w:val="38C5276A"/>
    <w:rsid w:val="38CA4224"/>
    <w:rsid w:val="38CC1D4A"/>
    <w:rsid w:val="38CC58A6"/>
    <w:rsid w:val="38CD7870"/>
    <w:rsid w:val="38CF183A"/>
    <w:rsid w:val="38CF5396"/>
    <w:rsid w:val="38D023C8"/>
    <w:rsid w:val="38D1110E"/>
    <w:rsid w:val="38D155B2"/>
    <w:rsid w:val="38D26C34"/>
    <w:rsid w:val="38D429AD"/>
    <w:rsid w:val="38D56239"/>
    <w:rsid w:val="38D70B59"/>
    <w:rsid w:val="38D8249D"/>
    <w:rsid w:val="38E075A3"/>
    <w:rsid w:val="38E2156D"/>
    <w:rsid w:val="38E3083D"/>
    <w:rsid w:val="38E47094"/>
    <w:rsid w:val="38E54BBA"/>
    <w:rsid w:val="38E76B84"/>
    <w:rsid w:val="38E8321F"/>
    <w:rsid w:val="38E946AA"/>
    <w:rsid w:val="38F142D1"/>
    <w:rsid w:val="38F44DFD"/>
    <w:rsid w:val="38F60B75"/>
    <w:rsid w:val="38F66DC7"/>
    <w:rsid w:val="38F80D91"/>
    <w:rsid w:val="38F82B3F"/>
    <w:rsid w:val="38FA68B7"/>
    <w:rsid w:val="38FB262F"/>
    <w:rsid w:val="38FD1F03"/>
    <w:rsid w:val="38FE5C7B"/>
    <w:rsid w:val="39021315"/>
    <w:rsid w:val="3902576C"/>
    <w:rsid w:val="3902751A"/>
    <w:rsid w:val="390414E4"/>
    <w:rsid w:val="39047736"/>
    <w:rsid w:val="39065067"/>
    <w:rsid w:val="39074B30"/>
    <w:rsid w:val="39077C38"/>
    <w:rsid w:val="39094D4C"/>
    <w:rsid w:val="390A4620"/>
    <w:rsid w:val="390B0AC4"/>
    <w:rsid w:val="390B61D0"/>
    <w:rsid w:val="390C0398"/>
    <w:rsid w:val="390C261A"/>
    <w:rsid w:val="390C65EA"/>
    <w:rsid w:val="390E2362"/>
    <w:rsid w:val="391060DB"/>
    <w:rsid w:val="39113C01"/>
    <w:rsid w:val="391159AF"/>
    <w:rsid w:val="39124D4B"/>
    <w:rsid w:val="39131727"/>
    <w:rsid w:val="39137979"/>
    <w:rsid w:val="3914766B"/>
    <w:rsid w:val="39162FC5"/>
    <w:rsid w:val="39167469"/>
    <w:rsid w:val="391E4A2F"/>
    <w:rsid w:val="391F00CC"/>
    <w:rsid w:val="39205BF2"/>
    <w:rsid w:val="39225E0E"/>
    <w:rsid w:val="39237490"/>
    <w:rsid w:val="39243934"/>
    <w:rsid w:val="392456E2"/>
    <w:rsid w:val="39292CF8"/>
    <w:rsid w:val="392B4CC2"/>
    <w:rsid w:val="392C0A3B"/>
    <w:rsid w:val="392E6561"/>
    <w:rsid w:val="392F4087"/>
    <w:rsid w:val="39335925"/>
    <w:rsid w:val="3934169D"/>
    <w:rsid w:val="39355B41"/>
    <w:rsid w:val="393578EF"/>
    <w:rsid w:val="393618B9"/>
    <w:rsid w:val="39363667"/>
    <w:rsid w:val="393671C3"/>
    <w:rsid w:val="393873DF"/>
    <w:rsid w:val="393A3157"/>
    <w:rsid w:val="393A4F06"/>
    <w:rsid w:val="393B0C7E"/>
    <w:rsid w:val="393C73E5"/>
    <w:rsid w:val="393C7FB8"/>
    <w:rsid w:val="393D2C48"/>
    <w:rsid w:val="393D49F6"/>
    <w:rsid w:val="393F076E"/>
    <w:rsid w:val="393F42CA"/>
    <w:rsid w:val="39406294"/>
    <w:rsid w:val="394418E0"/>
    <w:rsid w:val="39447B32"/>
    <w:rsid w:val="39495149"/>
    <w:rsid w:val="394A0EC1"/>
    <w:rsid w:val="394A2C6F"/>
    <w:rsid w:val="394C69E7"/>
    <w:rsid w:val="394E09B1"/>
    <w:rsid w:val="394E275F"/>
    <w:rsid w:val="394F2D2E"/>
    <w:rsid w:val="3950297B"/>
    <w:rsid w:val="39557F91"/>
    <w:rsid w:val="39581830"/>
    <w:rsid w:val="3958538C"/>
    <w:rsid w:val="395A7356"/>
    <w:rsid w:val="395F2BBE"/>
    <w:rsid w:val="395F496C"/>
    <w:rsid w:val="395F671A"/>
    <w:rsid w:val="396106E4"/>
    <w:rsid w:val="3962445C"/>
    <w:rsid w:val="39641F82"/>
    <w:rsid w:val="39663F4D"/>
    <w:rsid w:val="39673821"/>
    <w:rsid w:val="39677CC5"/>
    <w:rsid w:val="39691347"/>
    <w:rsid w:val="39697599"/>
    <w:rsid w:val="396C7089"/>
    <w:rsid w:val="396D6DE6"/>
    <w:rsid w:val="396E0276"/>
    <w:rsid w:val="396E2E01"/>
    <w:rsid w:val="396F26D5"/>
    <w:rsid w:val="39706B79"/>
    <w:rsid w:val="3971469F"/>
    <w:rsid w:val="397228F1"/>
    <w:rsid w:val="39736669"/>
    <w:rsid w:val="397615D9"/>
    <w:rsid w:val="3976441A"/>
    <w:rsid w:val="39785A2E"/>
    <w:rsid w:val="397A17A6"/>
    <w:rsid w:val="397A3554"/>
    <w:rsid w:val="397B107A"/>
    <w:rsid w:val="397D4DF2"/>
    <w:rsid w:val="397F500E"/>
    <w:rsid w:val="398048E2"/>
    <w:rsid w:val="39810D86"/>
    <w:rsid w:val="398166EC"/>
    <w:rsid w:val="3982065B"/>
    <w:rsid w:val="39842625"/>
    <w:rsid w:val="39861EF9"/>
    <w:rsid w:val="3986798D"/>
    <w:rsid w:val="39873EC3"/>
    <w:rsid w:val="39897C3B"/>
    <w:rsid w:val="398B5761"/>
    <w:rsid w:val="398D772B"/>
    <w:rsid w:val="3995038E"/>
    <w:rsid w:val="399565E0"/>
    <w:rsid w:val="39964C0C"/>
    <w:rsid w:val="39972053"/>
    <w:rsid w:val="39981C2C"/>
    <w:rsid w:val="399B1E64"/>
    <w:rsid w:val="399B34CA"/>
    <w:rsid w:val="399C0723"/>
    <w:rsid w:val="399F120C"/>
    <w:rsid w:val="399F2FBB"/>
    <w:rsid w:val="39A131D7"/>
    <w:rsid w:val="39A20CFD"/>
    <w:rsid w:val="39A22AAB"/>
    <w:rsid w:val="39A35056"/>
    <w:rsid w:val="39A43E9E"/>
    <w:rsid w:val="39A44A75"/>
    <w:rsid w:val="39A700C1"/>
    <w:rsid w:val="39A71E6F"/>
    <w:rsid w:val="39A84565"/>
    <w:rsid w:val="39AB5E03"/>
    <w:rsid w:val="39AC16A8"/>
    <w:rsid w:val="39AD1B7B"/>
    <w:rsid w:val="39B0341A"/>
    <w:rsid w:val="39B051C8"/>
    <w:rsid w:val="39B06F76"/>
    <w:rsid w:val="39B12CEE"/>
    <w:rsid w:val="39B20F40"/>
    <w:rsid w:val="39B50A30"/>
    <w:rsid w:val="39B5458C"/>
    <w:rsid w:val="39B747A8"/>
    <w:rsid w:val="39B76556"/>
    <w:rsid w:val="39BD1693"/>
    <w:rsid w:val="39BE5B37"/>
    <w:rsid w:val="39BF365D"/>
    <w:rsid w:val="39C173D5"/>
    <w:rsid w:val="39C26CA9"/>
    <w:rsid w:val="39C42A21"/>
    <w:rsid w:val="39C62C3D"/>
    <w:rsid w:val="39C649EB"/>
    <w:rsid w:val="39C73159"/>
    <w:rsid w:val="39C80763"/>
    <w:rsid w:val="39C90037"/>
    <w:rsid w:val="39CB2DDC"/>
    <w:rsid w:val="39CD5D7A"/>
    <w:rsid w:val="39CE7FD9"/>
    <w:rsid w:val="39D13674"/>
    <w:rsid w:val="39D37108"/>
    <w:rsid w:val="39D709A6"/>
    <w:rsid w:val="39D864CC"/>
    <w:rsid w:val="39D87235"/>
    <w:rsid w:val="39DB4349"/>
    <w:rsid w:val="39DC5FBD"/>
    <w:rsid w:val="39DC7D6B"/>
    <w:rsid w:val="39DF785B"/>
    <w:rsid w:val="39E135D3"/>
    <w:rsid w:val="39E210F9"/>
    <w:rsid w:val="39E6440A"/>
    <w:rsid w:val="39E66E3B"/>
    <w:rsid w:val="39E906DA"/>
    <w:rsid w:val="39E92488"/>
    <w:rsid w:val="39EA2D8B"/>
    <w:rsid w:val="39EB4452"/>
    <w:rsid w:val="39EB6200"/>
    <w:rsid w:val="39EE5CF0"/>
    <w:rsid w:val="39EF3F42"/>
    <w:rsid w:val="39F01A68"/>
    <w:rsid w:val="39F23A32"/>
    <w:rsid w:val="39F96B6F"/>
    <w:rsid w:val="39FA4695"/>
    <w:rsid w:val="39FA6443"/>
    <w:rsid w:val="39FC040D"/>
    <w:rsid w:val="39FC665F"/>
    <w:rsid w:val="39FE4185"/>
    <w:rsid w:val="3A00614F"/>
    <w:rsid w:val="3A015A23"/>
    <w:rsid w:val="3A0379ED"/>
    <w:rsid w:val="3A056252"/>
    <w:rsid w:val="3A06128C"/>
    <w:rsid w:val="3A0722B3"/>
    <w:rsid w:val="3A080B60"/>
    <w:rsid w:val="3A086DB2"/>
    <w:rsid w:val="3A0A0D7C"/>
    <w:rsid w:val="3A0B4AF4"/>
    <w:rsid w:val="3A0B68A2"/>
    <w:rsid w:val="3A0D43C8"/>
    <w:rsid w:val="3A103EB8"/>
    <w:rsid w:val="3A105C66"/>
    <w:rsid w:val="3A125E82"/>
    <w:rsid w:val="3A1439A9"/>
    <w:rsid w:val="3A15327D"/>
    <w:rsid w:val="3A175247"/>
    <w:rsid w:val="3A176FF5"/>
    <w:rsid w:val="3A1A6AE5"/>
    <w:rsid w:val="3A1C0AAF"/>
    <w:rsid w:val="3A1C460B"/>
    <w:rsid w:val="3A1F234D"/>
    <w:rsid w:val="3A20459B"/>
    <w:rsid w:val="3A231E3E"/>
    <w:rsid w:val="3A23599A"/>
    <w:rsid w:val="3A241712"/>
    <w:rsid w:val="3A244B12"/>
    <w:rsid w:val="3A282FB0"/>
    <w:rsid w:val="3A296D28"/>
    <w:rsid w:val="3A2B0CF2"/>
    <w:rsid w:val="3A2D4A6A"/>
    <w:rsid w:val="3A30455A"/>
    <w:rsid w:val="3A306308"/>
    <w:rsid w:val="3A32526F"/>
    <w:rsid w:val="3A3312D0"/>
    <w:rsid w:val="3A347BA7"/>
    <w:rsid w:val="3A35391F"/>
    <w:rsid w:val="3A3758E9"/>
    <w:rsid w:val="3A396F6B"/>
    <w:rsid w:val="3A3C0EF2"/>
    <w:rsid w:val="3A3C2EFF"/>
    <w:rsid w:val="3A3E7B24"/>
    <w:rsid w:val="3A4122C4"/>
    <w:rsid w:val="3A414072"/>
    <w:rsid w:val="3A424D64"/>
    <w:rsid w:val="3A443B62"/>
    <w:rsid w:val="3A4536E5"/>
    <w:rsid w:val="3A4818A4"/>
    <w:rsid w:val="3A483652"/>
    <w:rsid w:val="3A485400"/>
    <w:rsid w:val="3A4A561C"/>
    <w:rsid w:val="3A4B3142"/>
    <w:rsid w:val="3A4B6C9E"/>
    <w:rsid w:val="3A4F2C33"/>
    <w:rsid w:val="3A500759"/>
    <w:rsid w:val="3A501F38"/>
    <w:rsid w:val="3A502507"/>
    <w:rsid w:val="3A5244D1"/>
    <w:rsid w:val="3A52668E"/>
    <w:rsid w:val="3A541FF7"/>
    <w:rsid w:val="3A547FC6"/>
    <w:rsid w:val="3A573895"/>
    <w:rsid w:val="3A5A5BBB"/>
    <w:rsid w:val="3A5C0EAC"/>
    <w:rsid w:val="3A60099C"/>
    <w:rsid w:val="3A61177C"/>
    <w:rsid w:val="3A614714"/>
    <w:rsid w:val="3A617AD4"/>
    <w:rsid w:val="3A63223A"/>
    <w:rsid w:val="3A6366DE"/>
    <w:rsid w:val="3A642D11"/>
    <w:rsid w:val="3A6467EB"/>
    <w:rsid w:val="3A667F7C"/>
    <w:rsid w:val="3A687850"/>
    <w:rsid w:val="3A692ADF"/>
    <w:rsid w:val="3A695377"/>
    <w:rsid w:val="3A6A181A"/>
    <w:rsid w:val="3A6A7A6C"/>
    <w:rsid w:val="3A6C5593"/>
    <w:rsid w:val="3A6D1460"/>
    <w:rsid w:val="3A6D30B9"/>
    <w:rsid w:val="3A704957"/>
    <w:rsid w:val="3A706705"/>
    <w:rsid w:val="3A726921"/>
    <w:rsid w:val="3A744447"/>
    <w:rsid w:val="3A79380C"/>
    <w:rsid w:val="3A7B3A28"/>
    <w:rsid w:val="3A80103E"/>
    <w:rsid w:val="3A816B64"/>
    <w:rsid w:val="3A824DB6"/>
    <w:rsid w:val="3A8328DC"/>
    <w:rsid w:val="3A83468A"/>
    <w:rsid w:val="3A865F28"/>
    <w:rsid w:val="3A886145"/>
    <w:rsid w:val="3A8A77C7"/>
    <w:rsid w:val="3A8B353F"/>
    <w:rsid w:val="3A8C79E3"/>
    <w:rsid w:val="3A8D375B"/>
    <w:rsid w:val="3A8D5509"/>
    <w:rsid w:val="3A8F74D3"/>
    <w:rsid w:val="3A900B55"/>
    <w:rsid w:val="3A9073CB"/>
    <w:rsid w:val="3A914FF9"/>
    <w:rsid w:val="3A940645"/>
    <w:rsid w:val="3A944AE9"/>
    <w:rsid w:val="3A946897"/>
    <w:rsid w:val="3A960861"/>
    <w:rsid w:val="3A993EAE"/>
    <w:rsid w:val="3A9C574C"/>
    <w:rsid w:val="3A9C74FA"/>
    <w:rsid w:val="3A9E3272"/>
    <w:rsid w:val="3A9E7716"/>
    <w:rsid w:val="3AA0523C"/>
    <w:rsid w:val="3AA06FEA"/>
    <w:rsid w:val="3AA27206"/>
    <w:rsid w:val="3AA30888"/>
    <w:rsid w:val="3AA34D2C"/>
    <w:rsid w:val="3AA35841"/>
    <w:rsid w:val="3AA36ADA"/>
    <w:rsid w:val="3AA50AA5"/>
    <w:rsid w:val="3AA82343"/>
    <w:rsid w:val="3AAA1402"/>
    <w:rsid w:val="3AAA60BB"/>
    <w:rsid w:val="3AAC1E33"/>
    <w:rsid w:val="3AAC3BE1"/>
    <w:rsid w:val="3AAD5BAB"/>
    <w:rsid w:val="3AAE2954"/>
    <w:rsid w:val="3AAF1923"/>
    <w:rsid w:val="3AAF547F"/>
    <w:rsid w:val="3AB02FA5"/>
    <w:rsid w:val="3AB17449"/>
    <w:rsid w:val="3AB42A96"/>
    <w:rsid w:val="3AB46F3A"/>
    <w:rsid w:val="3AB74334"/>
    <w:rsid w:val="3AB75147"/>
    <w:rsid w:val="3AB807D8"/>
    <w:rsid w:val="3AB900AC"/>
    <w:rsid w:val="3AB962FE"/>
    <w:rsid w:val="3ABB02C8"/>
    <w:rsid w:val="3ABB2387"/>
    <w:rsid w:val="3ABB3E24"/>
    <w:rsid w:val="3ABE56C2"/>
    <w:rsid w:val="3ABF38D9"/>
    <w:rsid w:val="3AC16F61"/>
    <w:rsid w:val="3AC21656"/>
    <w:rsid w:val="3AC239F8"/>
    <w:rsid w:val="3AC32CD9"/>
    <w:rsid w:val="3AC54CA3"/>
    <w:rsid w:val="3AC70A1B"/>
    <w:rsid w:val="3ACC5EDD"/>
    <w:rsid w:val="3ACC6031"/>
    <w:rsid w:val="3ACC7DDF"/>
    <w:rsid w:val="3ACF78CF"/>
    <w:rsid w:val="3AD13648"/>
    <w:rsid w:val="3AD153F6"/>
    <w:rsid w:val="3AD44EE6"/>
    <w:rsid w:val="3AD46C94"/>
    <w:rsid w:val="3AD62A0C"/>
    <w:rsid w:val="3AD66EB0"/>
    <w:rsid w:val="3AD76784"/>
    <w:rsid w:val="3AD969A0"/>
    <w:rsid w:val="3ADA04E1"/>
    <w:rsid w:val="3ADB44C6"/>
    <w:rsid w:val="3ADB6274"/>
    <w:rsid w:val="3ADC3D9A"/>
    <w:rsid w:val="3AE113B1"/>
    <w:rsid w:val="3AE3337B"/>
    <w:rsid w:val="3AE50EA1"/>
    <w:rsid w:val="3AE710BD"/>
    <w:rsid w:val="3AE74C19"/>
    <w:rsid w:val="3AE80991"/>
    <w:rsid w:val="3AEA64B7"/>
    <w:rsid w:val="3AEA6895"/>
    <w:rsid w:val="3AEE244B"/>
    <w:rsid w:val="3AEF7F72"/>
    <w:rsid w:val="3AF13CEA"/>
    <w:rsid w:val="3AF235BE"/>
    <w:rsid w:val="3AF31088"/>
    <w:rsid w:val="3AF45588"/>
    <w:rsid w:val="3AFA0DF0"/>
    <w:rsid w:val="3AFC1B33"/>
    <w:rsid w:val="3AFD443D"/>
    <w:rsid w:val="3AFD61EB"/>
    <w:rsid w:val="3AFE01B5"/>
    <w:rsid w:val="3B005CDB"/>
    <w:rsid w:val="3B0357CB"/>
    <w:rsid w:val="3B037579"/>
    <w:rsid w:val="3B051543"/>
    <w:rsid w:val="3B0532F1"/>
    <w:rsid w:val="3B06606E"/>
    <w:rsid w:val="3B0678CC"/>
    <w:rsid w:val="3B07350D"/>
    <w:rsid w:val="3B0741BF"/>
    <w:rsid w:val="3B0A6B5A"/>
    <w:rsid w:val="3B0D1C2F"/>
    <w:rsid w:val="3B0E03F8"/>
    <w:rsid w:val="3B0F5F1E"/>
    <w:rsid w:val="3B113181"/>
    <w:rsid w:val="3B141786"/>
    <w:rsid w:val="3B1479D8"/>
    <w:rsid w:val="3B181276"/>
    <w:rsid w:val="3B183024"/>
    <w:rsid w:val="3B190B4B"/>
    <w:rsid w:val="3B196D9D"/>
    <w:rsid w:val="3B1B0D67"/>
    <w:rsid w:val="3B1D063B"/>
    <w:rsid w:val="3B1D688D"/>
    <w:rsid w:val="3B1F5D8D"/>
    <w:rsid w:val="3B1F6C15"/>
    <w:rsid w:val="3B2220F5"/>
    <w:rsid w:val="3B245E6D"/>
    <w:rsid w:val="3B255741"/>
    <w:rsid w:val="3B274A2D"/>
    <w:rsid w:val="3B2C6648"/>
    <w:rsid w:val="3B2C7D89"/>
    <w:rsid w:val="3B2D45F6"/>
    <w:rsid w:val="3B2F65C0"/>
    <w:rsid w:val="3B304812"/>
    <w:rsid w:val="3B334302"/>
    <w:rsid w:val="3B3360B0"/>
    <w:rsid w:val="3B343BD6"/>
    <w:rsid w:val="3B345984"/>
    <w:rsid w:val="3B351E28"/>
    <w:rsid w:val="3B365BAF"/>
    <w:rsid w:val="3B366E5F"/>
    <w:rsid w:val="3B3A743F"/>
    <w:rsid w:val="3B3B31B7"/>
    <w:rsid w:val="3B3F4ABE"/>
    <w:rsid w:val="3B410B1F"/>
    <w:rsid w:val="3B4262F3"/>
    <w:rsid w:val="3B44206B"/>
    <w:rsid w:val="3B451940"/>
    <w:rsid w:val="3B457B92"/>
    <w:rsid w:val="3B464036"/>
    <w:rsid w:val="3B4756B8"/>
    <w:rsid w:val="3B475965"/>
    <w:rsid w:val="3B4A33FA"/>
    <w:rsid w:val="3B4C0F20"/>
    <w:rsid w:val="3B4C7172"/>
    <w:rsid w:val="3B4E4C98"/>
    <w:rsid w:val="3B514788"/>
    <w:rsid w:val="3B516536"/>
    <w:rsid w:val="3B547DD5"/>
    <w:rsid w:val="3B596DA6"/>
    <w:rsid w:val="3B5A188F"/>
    <w:rsid w:val="3B5A363D"/>
    <w:rsid w:val="3B5A4C6C"/>
    <w:rsid w:val="3B60677A"/>
    <w:rsid w:val="3B6444BC"/>
    <w:rsid w:val="3B677B08"/>
    <w:rsid w:val="3B6A75F8"/>
    <w:rsid w:val="3B6B584A"/>
    <w:rsid w:val="3B7010B2"/>
    <w:rsid w:val="3B7038EC"/>
    <w:rsid w:val="3B716BD9"/>
    <w:rsid w:val="3B7364AD"/>
    <w:rsid w:val="3B7641EF"/>
    <w:rsid w:val="3B765F9D"/>
    <w:rsid w:val="3B781D15"/>
    <w:rsid w:val="3B787F67"/>
    <w:rsid w:val="3B7A783B"/>
    <w:rsid w:val="3B7D37CF"/>
    <w:rsid w:val="3B7F12F6"/>
    <w:rsid w:val="3B824942"/>
    <w:rsid w:val="3B84690C"/>
    <w:rsid w:val="3B8561E0"/>
    <w:rsid w:val="3B892174"/>
    <w:rsid w:val="3B893F22"/>
    <w:rsid w:val="3B8B1A48"/>
    <w:rsid w:val="3B8B7C9A"/>
    <w:rsid w:val="3B8C259F"/>
    <w:rsid w:val="3B8C3A12"/>
    <w:rsid w:val="3B8E1539"/>
    <w:rsid w:val="3B90705F"/>
    <w:rsid w:val="3B912DD7"/>
    <w:rsid w:val="3B9257F6"/>
    <w:rsid w:val="3B9603ED"/>
    <w:rsid w:val="3B9823B7"/>
    <w:rsid w:val="3B982DA9"/>
    <w:rsid w:val="3B9B5A04"/>
    <w:rsid w:val="3B9D352A"/>
    <w:rsid w:val="3B9F54F4"/>
    <w:rsid w:val="3BA07DFA"/>
    <w:rsid w:val="3BA1126C"/>
    <w:rsid w:val="3BA24FE4"/>
    <w:rsid w:val="3BA26D92"/>
    <w:rsid w:val="3BA3677B"/>
    <w:rsid w:val="3BA50630"/>
    <w:rsid w:val="3BA527DC"/>
    <w:rsid w:val="3BA66882"/>
    <w:rsid w:val="3BAB20EB"/>
    <w:rsid w:val="3BAC7C11"/>
    <w:rsid w:val="3BB014AF"/>
    <w:rsid w:val="3BB32D4D"/>
    <w:rsid w:val="3BB40E41"/>
    <w:rsid w:val="3BB53761"/>
    <w:rsid w:val="3BB54D17"/>
    <w:rsid w:val="3BB56AC5"/>
    <w:rsid w:val="3BBA40DC"/>
    <w:rsid w:val="3BBE4AC4"/>
    <w:rsid w:val="3BBF5B96"/>
    <w:rsid w:val="3BC211E2"/>
    <w:rsid w:val="3BC27434"/>
    <w:rsid w:val="3BC35686"/>
    <w:rsid w:val="3BC62A80"/>
    <w:rsid w:val="3BC96A15"/>
    <w:rsid w:val="3BCB0097"/>
    <w:rsid w:val="3BCB453B"/>
    <w:rsid w:val="3BCB62E9"/>
    <w:rsid w:val="3BCC6E16"/>
    <w:rsid w:val="3BCD02B3"/>
    <w:rsid w:val="3BCD19E7"/>
    <w:rsid w:val="3BCE2E77"/>
    <w:rsid w:val="3BCE7B87"/>
    <w:rsid w:val="3BCF4307"/>
    <w:rsid w:val="3BD038FF"/>
    <w:rsid w:val="3BD056AD"/>
    <w:rsid w:val="3BD553B9"/>
    <w:rsid w:val="3BDC6748"/>
    <w:rsid w:val="3BDD601C"/>
    <w:rsid w:val="3BDF1D94"/>
    <w:rsid w:val="3BE03C86"/>
    <w:rsid w:val="3BE15B0C"/>
    <w:rsid w:val="3BE23632"/>
    <w:rsid w:val="3BE41159"/>
    <w:rsid w:val="3BE455FD"/>
    <w:rsid w:val="3BE850ED"/>
    <w:rsid w:val="3BE949C1"/>
    <w:rsid w:val="3BEB698B"/>
    <w:rsid w:val="3BEC625F"/>
    <w:rsid w:val="3BED44B1"/>
    <w:rsid w:val="3BEE647B"/>
    <w:rsid w:val="3BF05D4F"/>
    <w:rsid w:val="3BF13876"/>
    <w:rsid w:val="3BF176A1"/>
    <w:rsid w:val="3BF24C1B"/>
    <w:rsid w:val="3BF515B8"/>
    <w:rsid w:val="3BF53366"/>
    <w:rsid w:val="3BF770DE"/>
    <w:rsid w:val="3BFC46F4"/>
    <w:rsid w:val="3BFC64A2"/>
    <w:rsid w:val="3BFD046C"/>
    <w:rsid w:val="3BFD221A"/>
    <w:rsid w:val="3BFF2436"/>
    <w:rsid w:val="3C047A4D"/>
    <w:rsid w:val="3C066FA7"/>
    <w:rsid w:val="3C067321"/>
    <w:rsid w:val="3C074E47"/>
    <w:rsid w:val="3C097EF0"/>
    <w:rsid w:val="3C0B0DDB"/>
    <w:rsid w:val="3C0B455A"/>
    <w:rsid w:val="3C0E61D6"/>
    <w:rsid w:val="3C1063F2"/>
    <w:rsid w:val="3C145EE2"/>
    <w:rsid w:val="3C153A08"/>
    <w:rsid w:val="3C15560C"/>
    <w:rsid w:val="3C1557B6"/>
    <w:rsid w:val="3C172AFD"/>
    <w:rsid w:val="3C177780"/>
    <w:rsid w:val="3C1934F8"/>
    <w:rsid w:val="3C1A7270"/>
    <w:rsid w:val="3C1A7FEE"/>
    <w:rsid w:val="3C1C4D96"/>
    <w:rsid w:val="3C1C6B44"/>
    <w:rsid w:val="3C1D466B"/>
    <w:rsid w:val="3C1F03E3"/>
    <w:rsid w:val="3C1F4887"/>
    <w:rsid w:val="3C221C81"/>
    <w:rsid w:val="3C236125"/>
    <w:rsid w:val="3C241E9D"/>
    <w:rsid w:val="3C2564BB"/>
    <w:rsid w:val="3C265C15"/>
    <w:rsid w:val="3C2679C3"/>
    <w:rsid w:val="3C28373B"/>
    <w:rsid w:val="3C2854E9"/>
    <w:rsid w:val="3C29300F"/>
    <w:rsid w:val="3C2B322B"/>
    <w:rsid w:val="3C3245BA"/>
    <w:rsid w:val="3C333252"/>
    <w:rsid w:val="3C342025"/>
    <w:rsid w:val="3C355E58"/>
    <w:rsid w:val="3C37572C"/>
    <w:rsid w:val="3C381E36"/>
    <w:rsid w:val="3C395948"/>
    <w:rsid w:val="3C3976F6"/>
    <w:rsid w:val="3C3A4A57"/>
    <w:rsid w:val="3C3A521C"/>
    <w:rsid w:val="3C3C2D43"/>
    <w:rsid w:val="3C3E2F5F"/>
    <w:rsid w:val="3C3F7138"/>
    <w:rsid w:val="3C4147FD"/>
    <w:rsid w:val="3C495460"/>
    <w:rsid w:val="3C4A1903"/>
    <w:rsid w:val="3C4A424B"/>
    <w:rsid w:val="3C4A598C"/>
    <w:rsid w:val="3C4B11D8"/>
    <w:rsid w:val="3C4C2E7D"/>
    <w:rsid w:val="3C4D4F50"/>
    <w:rsid w:val="3C4E0CC8"/>
    <w:rsid w:val="3C53008C"/>
    <w:rsid w:val="3C5502A8"/>
    <w:rsid w:val="3C552056"/>
    <w:rsid w:val="3C553E04"/>
    <w:rsid w:val="3C5938F5"/>
    <w:rsid w:val="3C597D99"/>
    <w:rsid w:val="3C5A141B"/>
    <w:rsid w:val="3C5A766D"/>
    <w:rsid w:val="3C5B7DA1"/>
    <w:rsid w:val="3C5C5193"/>
    <w:rsid w:val="3C5E53AF"/>
    <w:rsid w:val="3C5E715D"/>
    <w:rsid w:val="3C616C4D"/>
    <w:rsid w:val="3C6224D2"/>
    <w:rsid w:val="3C6329C5"/>
    <w:rsid w:val="3C6504EB"/>
    <w:rsid w:val="3C65673D"/>
    <w:rsid w:val="3C676344"/>
    <w:rsid w:val="3C6A5B02"/>
    <w:rsid w:val="3C6B3628"/>
    <w:rsid w:val="3C6D2747"/>
    <w:rsid w:val="3C6D73A0"/>
    <w:rsid w:val="3C6E4EC6"/>
    <w:rsid w:val="3C6F136A"/>
    <w:rsid w:val="3C6F3118"/>
    <w:rsid w:val="3C700C3E"/>
    <w:rsid w:val="3C7050E2"/>
    <w:rsid w:val="3C7249B6"/>
    <w:rsid w:val="3C771FCD"/>
    <w:rsid w:val="3C776471"/>
    <w:rsid w:val="3C7921E9"/>
    <w:rsid w:val="3C793F97"/>
    <w:rsid w:val="3C7A1ABD"/>
    <w:rsid w:val="3C7A386B"/>
    <w:rsid w:val="3C7B7D0F"/>
    <w:rsid w:val="3C7C081B"/>
    <w:rsid w:val="3C7F5D0C"/>
    <w:rsid w:val="3C81109D"/>
    <w:rsid w:val="3C812E4B"/>
    <w:rsid w:val="3C834E15"/>
    <w:rsid w:val="3C85293C"/>
    <w:rsid w:val="3C860462"/>
    <w:rsid w:val="3C8618CD"/>
    <w:rsid w:val="3C862210"/>
    <w:rsid w:val="3C870C64"/>
    <w:rsid w:val="3C89024E"/>
    <w:rsid w:val="3C8A16DE"/>
    <w:rsid w:val="3C8A61A4"/>
    <w:rsid w:val="3C8B3CCA"/>
    <w:rsid w:val="3C8E0152"/>
    <w:rsid w:val="3C90308E"/>
    <w:rsid w:val="3C917532"/>
    <w:rsid w:val="3C925059"/>
    <w:rsid w:val="3C945361"/>
    <w:rsid w:val="3C9506A5"/>
    <w:rsid w:val="3C9708C1"/>
    <w:rsid w:val="3C983CE2"/>
    <w:rsid w:val="3C997D43"/>
    <w:rsid w:val="3C9B215F"/>
    <w:rsid w:val="3C9C1A33"/>
    <w:rsid w:val="3C9C66C4"/>
    <w:rsid w:val="3C9E2725"/>
    <w:rsid w:val="3C9E39FD"/>
    <w:rsid w:val="3C9E57AB"/>
    <w:rsid w:val="3CA408E8"/>
    <w:rsid w:val="3CA52FDE"/>
    <w:rsid w:val="3CA56B3A"/>
    <w:rsid w:val="3CA60B04"/>
    <w:rsid w:val="3CA628B2"/>
    <w:rsid w:val="3CA64660"/>
    <w:rsid w:val="3CA803D8"/>
    <w:rsid w:val="3CA84C67"/>
    <w:rsid w:val="3CA863A8"/>
    <w:rsid w:val="3CAA23A2"/>
    <w:rsid w:val="3CB054DF"/>
    <w:rsid w:val="3CB11983"/>
    <w:rsid w:val="3CB274A9"/>
    <w:rsid w:val="3CB43221"/>
    <w:rsid w:val="3CB44FCF"/>
    <w:rsid w:val="3CB52AF5"/>
    <w:rsid w:val="3CB60D47"/>
    <w:rsid w:val="3CB66F99"/>
    <w:rsid w:val="3CB94393"/>
    <w:rsid w:val="3CBB1C4D"/>
    <w:rsid w:val="3CBB635D"/>
    <w:rsid w:val="3CBE016E"/>
    <w:rsid w:val="3CBE25E8"/>
    <w:rsid w:val="3CC021F6"/>
    <w:rsid w:val="3CC176EC"/>
    <w:rsid w:val="3CC33464"/>
    <w:rsid w:val="3CC35212"/>
    <w:rsid w:val="3CC64D02"/>
    <w:rsid w:val="3CC86CCC"/>
    <w:rsid w:val="3CCA034E"/>
    <w:rsid w:val="3CCA2A44"/>
    <w:rsid w:val="3CCA47F2"/>
    <w:rsid w:val="3CCA65A0"/>
    <w:rsid w:val="3CCC056A"/>
    <w:rsid w:val="3CCC2BD2"/>
    <w:rsid w:val="3CCC57A3"/>
    <w:rsid w:val="3CCD42E3"/>
    <w:rsid w:val="3CCD7E3F"/>
    <w:rsid w:val="3CCF3BB7"/>
    <w:rsid w:val="3CD029E3"/>
    <w:rsid w:val="3CD218F9"/>
    <w:rsid w:val="3CD53C84"/>
    <w:rsid w:val="3CD72A6B"/>
    <w:rsid w:val="3CD92C87"/>
    <w:rsid w:val="3CDB69FF"/>
    <w:rsid w:val="3CDC4526"/>
    <w:rsid w:val="3CDF1CD3"/>
    <w:rsid w:val="3CE27D8E"/>
    <w:rsid w:val="3CE358B4"/>
    <w:rsid w:val="3CE36C30"/>
    <w:rsid w:val="3CE37662"/>
    <w:rsid w:val="3CE5162C"/>
    <w:rsid w:val="3CE60F00"/>
    <w:rsid w:val="3CE6634A"/>
    <w:rsid w:val="3CE745E5"/>
    <w:rsid w:val="3CE82ECA"/>
    <w:rsid w:val="3CE84C78"/>
    <w:rsid w:val="3CE94CCB"/>
    <w:rsid w:val="3CE95DC1"/>
    <w:rsid w:val="3CEA09F1"/>
    <w:rsid w:val="3CEA279F"/>
    <w:rsid w:val="3CEB6517"/>
    <w:rsid w:val="3CEC29BB"/>
    <w:rsid w:val="3CED04E1"/>
    <w:rsid w:val="3CED228F"/>
    <w:rsid w:val="3CF41DDE"/>
    <w:rsid w:val="3CF5326E"/>
    <w:rsid w:val="3CF61143"/>
    <w:rsid w:val="3CF63839"/>
    <w:rsid w:val="3CF90C34"/>
    <w:rsid w:val="3CFB2BFE"/>
    <w:rsid w:val="3D000381"/>
    <w:rsid w:val="3D004713"/>
    <w:rsid w:val="3D006466"/>
    <w:rsid w:val="3D0221DE"/>
    <w:rsid w:val="3D033860"/>
    <w:rsid w:val="3D037D04"/>
    <w:rsid w:val="3D0575D8"/>
    <w:rsid w:val="3D0715A3"/>
    <w:rsid w:val="3D086B13"/>
    <w:rsid w:val="3D09356D"/>
    <w:rsid w:val="3D0A4004"/>
    <w:rsid w:val="3D0E0B83"/>
    <w:rsid w:val="3D115F7D"/>
    <w:rsid w:val="3D122796"/>
    <w:rsid w:val="3D141F11"/>
    <w:rsid w:val="3D18555E"/>
    <w:rsid w:val="3D197528"/>
    <w:rsid w:val="3D1B6DFC"/>
    <w:rsid w:val="3D1C4922"/>
    <w:rsid w:val="3D1E4B3E"/>
    <w:rsid w:val="3D1E68EC"/>
    <w:rsid w:val="3D210DFB"/>
    <w:rsid w:val="3D22018A"/>
    <w:rsid w:val="3D251A29"/>
    <w:rsid w:val="3D255ECD"/>
    <w:rsid w:val="3D281519"/>
    <w:rsid w:val="3D2832C7"/>
    <w:rsid w:val="3D2A35EE"/>
    <w:rsid w:val="3D2A703F"/>
    <w:rsid w:val="3D2C1009"/>
    <w:rsid w:val="3D2F0AF9"/>
    <w:rsid w:val="3D314871"/>
    <w:rsid w:val="3D347271"/>
    <w:rsid w:val="3D363C36"/>
    <w:rsid w:val="3D386501"/>
    <w:rsid w:val="3D3954D4"/>
    <w:rsid w:val="3D3B56F0"/>
    <w:rsid w:val="3D3B749E"/>
    <w:rsid w:val="3D3D6D72"/>
    <w:rsid w:val="3D4000E7"/>
    <w:rsid w:val="3D402D06"/>
    <w:rsid w:val="3D42082D"/>
    <w:rsid w:val="3D421874"/>
    <w:rsid w:val="3D4225DB"/>
    <w:rsid w:val="3D436353"/>
    <w:rsid w:val="3D45031D"/>
    <w:rsid w:val="3D4634DB"/>
    <w:rsid w:val="3D475E43"/>
    <w:rsid w:val="3D477BF1"/>
    <w:rsid w:val="3D4A148F"/>
    <w:rsid w:val="3D4C16AB"/>
    <w:rsid w:val="3D4C5207"/>
    <w:rsid w:val="3D4E5423"/>
    <w:rsid w:val="3D4E71D1"/>
    <w:rsid w:val="3D510A70"/>
    <w:rsid w:val="3D516CC2"/>
    <w:rsid w:val="3D536596"/>
    <w:rsid w:val="3D540560"/>
    <w:rsid w:val="3D5567B2"/>
    <w:rsid w:val="3D581DFE"/>
    <w:rsid w:val="3D583BAC"/>
    <w:rsid w:val="3D595B76"/>
    <w:rsid w:val="3D597924"/>
    <w:rsid w:val="3D5A3DC8"/>
    <w:rsid w:val="3D5B369C"/>
    <w:rsid w:val="3D5D11C3"/>
    <w:rsid w:val="3D5D5666"/>
    <w:rsid w:val="3D627C3E"/>
    <w:rsid w:val="3D634964"/>
    <w:rsid w:val="3D65276D"/>
    <w:rsid w:val="3D65451B"/>
    <w:rsid w:val="3D6562C9"/>
    <w:rsid w:val="3D672041"/>
    <w:rsid w:val="3D673DEF"/>
    <w:rsid w:val="3D695DB9"/>
    <w:rsid w:val="3D6A1B31"/>
    <w:rsid w:val="3D6A38DF"/>
    <w:rsid w:val="3D6C33A0"/>
    <w:rsid w:val="3D6E1622"/>
    <w:rsid w:val="3D712EC0"/>
    <w:rsid w:val="3D734E8A"/>
    <w:rsid w:val="3D7529B0"/>
    <w:rsid w:val="3D7604D6"/>
    <w:rsid w:val="3D766728"/>
    <w:rsid w:val="3D781943"/>
    <w:rsid w:val="3D7B02C4"/>
    <w:rsid w:val="3D7D23D6"/>
    <w:rsid w:val="3D7D3613"/>
    <w:rsid w:val="3D7E738B"/>
    <w:rsid w:val="3D8250CD"/>
    <w:rsid w:val="3D840E45"/>
    <w:rsid w:val="3D864BBD"/>
    <w:rsid w:val="3D866B18"/>
    <w:rsid w:val="3D8726E3"/>
    <w:rsid w:val="3D87623F"/>
    <w:rsid w:val="3D891FB8"/>
    <w:rsid w:val="3D89645B"/>
    <w:rsid w:val="3D8A3F82"/>
    <w:rsid w:val="3D8B21D4"/>
    <w:rsid w:val="3D8C1AA8"/>
    <w:rsid w:val="3D8F1598"/>
    <w:rsid w:val="3D8F1A0A"/>
    <w:rsid w:val="3D9077EA"/>
    <w:rsid w:val="3D915310"/>
    <w:rsid w:val="3D9372DA"/>
    <w:rsid w:val="3D954E00"/>
    <w:rsid w:val="3D98669F"/>
    <w:rsid w:val="3D994F8E"/>
    <w:rsid w:val="3D9A41C5"/>
    <w:rsid w:val="3D9F5C7F"/>
    <w:rsid w:val="3DA037A5"/>
    <w:rsid w:val="3DA05553"/>
    <w:rsid w:val="3DA13720"/>
    <w:rsid w:val="3DA212CB"/>
    <w:rsid w:val="3DA43295"/>
    <w:rsid w:val="3DA46DF1"/>
    <w:rsid w:val="3DA6700D"/>
    <w:rsid w:val="3DA768E2"/>
    <w:rsid w:val="3DA94408"/>
    <w:rsid w:val="3DA94A83"/>
    <w:rsid w:val="3DAE1A1E"/>
    <w:rsid w:val="3DAE5EC2"/>
    <w:rsid w:val="3DAF71B4"/>
    <w:rsid w:val="3DB00644"/>
    <w:rsid w:val="3DB01C3A"/>
    <w:rsid w:val="3DBA4867"/>
    <w:rsid w:val="3DBB238D"/>
    <w:rsid w:val="3DBC05DF"/>
    <w:rsid w:val="3DC06910"/>
    <w:rsid w:val="3DC079A3"/>
    <w:rsid w:val="3DC12D0A"/>
    <w:rsid w:val="3DC2196D"/>
    <w:rsid w:val="3DC2371B"/>
    <w:rsid w:val="3DC41242"/>
    <w:rsid w:val="3DC47494"/>
    <w:rsid w:val="3DC513DA"/>
    <w:rsid w:val="3DC56D68"/>
    <w:rsid w:val="3DC5744E"/>
    <w:rsid w:val="3DC6320C"/>
    <w:rsid w:val="3DC70D32"/>
    <w:rsid w:val="3DC76F84"/>
    <w:rsid w:val="3DC94AAA"/>
    <w:rsid w:val="3DCB0822"/>
    <w:rsid w:val="3DCE0312"/>
    <w:rsid w:val="3DD1395F"/>
    <w:rsid w:val="3DD2254E"/>
    <w:rsid w:val="3DD27E02"/>
    <w:rsid w:val="3DD516A1"/>
    <w:rsid w:val="3DD6235F"/>
    <w:rsid w:val="3DD86A9B"/>
    <w:rsid w:val="3DDB658B"/>
    <w:rsid w:val="3DDD2303"/>
    <w:rsid w:val="3DDF6D89"/>
    <w:rsid w:val="3DDF7E2A"/>
    <w:rsid w:val="3DE10046"/>
    <w:rsid w:val="3DE15985"/>
    <w:rsid w:val="3DE25B6C"/>
    <w:rsid w:val="3DE90CA8"/>
    <w:rsid w:val="3DEB0EC4"/>
    <w:rsid w:val="3DEB4A20"/>
    <w:rsid w:val="3DEE4511"/>
    <w:rsid w:val="3DF02037"/>
    <w:rsid w:val="3DF064DB"/>
    <w:rsid w:val="3DF31B27"/>
    <w:rsid w:val="3DF53AF1"/>
    <w:rsid w:val="3DF77869"/>
    <w:rsid w:val="3DF8538F"/>
    <w:rsid w:val="3DF8713D"/>
    <w:rsid w:val="3DF902CA"/>
    <w:rsid w:val="3DFA2EB5"/>
    <w:rsid w:val="3DFC4E7F"/>
    <w:rsid w:val="3DFC6C2D"/>
    <w:rsid w:val="3DFF227A"/>
    <w:rsid w:val="3E012496"/>
    <w:rsid w:val="3E015FF2"/>
    <w:rsid w:val="3E021D6A"/>
    <w:rsid w:val="3E027FBC"/>
    <w:rsid w:val="3E03620E"/>
    <w:rsid w:val="3E0755D2"/>
    <w:rsid w:val="3E077380"/>
    <w:rsid w:val="3E0B50C2"/>
    <w:rsid w:val="3E0C3B6F"/>
    <w:rsid w:val="3E0C4997"/>
    <w:rsid w:val="3E0E02DB"/>
    <w:rsid w:val="3E0E4BB3"/>
    <w:rsid w:val="3E1026D9"/>
    <w:rsid w:val="3E1201FF"/>
    <w:rsid w:val="3E133F77"/>
    <w:rsid w:val="3E155F41"/>
    <w:rsid w:val="3E18333B"/>
    <w:rsid w:val="3E1877DF"/>
    <w:rsid w:val="3E1A3557"/>
    <w:rsid w:val="3E1A70B4"/>
    <w:rsid w:val="3E1D0952"/>
    <w:rsid w:val="3E1D6BA4"/>
    <w:rsid w:val="3E1F0B6E"/>
    <w:rsid w:val="3E1F46CA"/>
    <w:rsid w:val="3E247F32"/>
    <w:rsid w:val="3E261EFC"/>
    <w:rsid w:val="3E263CAA"/>
    <w:rsid w:val="3E295549"/>
    <w:rsid w:val="3E2D5039"/>
    <w:rsid w:val="3E304B29"/>
    <w:rsid w:val="3E3068D7"/>
    <w:rsid w:val="3E3418EB"/>
    <w:rsid w:val="3E344619"/>
    <w:rsid w:val="3E35213F"/>
    <w:rsid w:val="3E371A14"/>
    <w:rsid w:val="3E375EB7"/>
    <w:rsid w:val="3E38578C"/>
    <w:rsid w:val="3E3C34CE"/>
    <w:rsid w:val="3E3E7246"/>
    <w:rsid w:val="3E3F2FBE"/>
    <w:rsid w:val="3E43485C"/>
    <w:rsid w:val="3E4660FB"/>
    <w:rsid w:val="3E483C21"/>
    <w:rsid w:val="3E491747"/>
    <w:rsid w:val="3E4A3B11"/>
    <w:rsid w:val="3E4B1963"/>
    <w:rsid w:val="3E4B54BF"/>
    <w:rsid w:val="3E4B7B72"/>
    <w:rsid w:val="3E4E4FAF"/>
    <w:rsid w:val="3E4F1453"/>
    <w:rsid w:val="3E506F79"/>
    <w:rsid w:val="3E522CF1"/>
    <w:rsid w:val="3E530817"/>
    <w:rsid w:val="3E5500EC"/>
    <w:rsid w:val="3E570308"/>
    <w:rsid w:val="3E573E64"/>
    <w:rsid w:val="3E5A1BA6"/>
    <w:rsid w:val="3E5A3954"/>
    <w:rsid w:val="3E5A61D7"/>
    <w:rsid w:val="3E5B4A96"/>
    <w:rsid w:val="3E5C0AF7"/>
    <w:rsid w:val="3E5C147A"/>
    <w:rsid w:val="3E5D51F2"/>
    <w:rsid w:val="3E5F0F6A"/>
    <w:rsid w:val="3E602049"/>
    <w:rsid w:val="3E612F34"/>
    <w:rsid w:val="3E614CE2"/>
    <w:rsid w:val="3E622809"/>
    <w:rsid w:val="3E642A25"/>
    <w:rsid w:val="3E646581"/>
    <w:rsid w:val="3E66054B"/>
    <w:rsid w:val="3E6622F9"/>
    <w:rsid w:val="3E66679D"/>
    <w:rsid w:val="3E682515"/>
    <w:rsid w:val="3E6A003B"/>
    <w:rsid w:val="3E6A5CCC"/>
    <w:rsid w:val="3E6B790F"/>
    <w:rsid w:val="3E6D7B2B"/>
    <w:rsid w:val="3E6E11AD"/>
    <w:rsid w:val="3E6E73FF"/>
    <w:rsid w:val="3E7013C9"/>
    <w:rsid w:val="3E703177"/>
    <w:rsid w:val="3E704F26"/>
    <w:rsid w:val="3E725142"/>
    <w:rsid w:val="3E726EF0"/>
    <w:rsid w:val="3E734A16"/>
    <w:rsid w:val="3E7964D0"/>
    <w:rsid w:val="3E7A2248"/>
    <w:rsid w:val="3E7C1B1C"/>
    <w:rsid w:val="3E7C7D6E"/>
    <w:rsid w:val="3E7E7642"/>
    <w:rsid w:val="3E7F160D"/>
    <w:rsid w:val="3E815416"/>
    <w:rsid w:val="3E8310FD"/>
    <w:rsid w:val="3E846C23"/>
    <w:rsid w:val="3E854E75"/>
    <w:rsid w:val="3E864749"/>
    <w:rsid w:val="3E8804C1"/>
    <w:rsid w:val="3E88226F"/>
    <w:rsid w:val="3E894239"/>
    <w:rsid w:val="3E897B14"/>
    <w:rsid w:val="3E8A248B"/>
    <w:rsid w:val="3E8B6203"/>
    <w:rsid w:val="3E8D1F7B"/>
    <w:rsid w:val="3E9055C8"/>
    <w:rsid w:val="3E94330A"/>
    <w:rsid w:val="3E9450B8"/>
    <w:rsid w:val="3E962118"/>
    <w:rsid w:val="3E96627A"/>
    <w:rsid w:val="3E970704"/>
    <w:rsid w:val="3E976956"/>
    <w:rsid w:val="3E984A38"/>
    <w:rsid w:val="3E986179"/>
    <w:rsid w:val="3E9A01F4"/>
    <w:rsid w:val="3E9E1A93"/>
    <w:rsid w:val="3E9E5F37"/>
    <w:rsid w:val="3E9E7CE5"/>
    <w:rsid w:val="3EA03A5D"/>
    <w:rsid w:val="3EA64DEB"/>
    <w:rsid w:val="3EA80B63"/>
    <w:rsid w:val="3EAB45EF"/>
    <w:rsid w:val="3EAD7F28"/>
    <w:rsid w:val="3EAE391C"/>
    <w:rsid w:val="3EB219E2"/>
    <w:rsid w:val="3EB63280"/>
    <w:rsid w:val="3EB76FF8"/>
    <w:rsid w:val="3EBA0082"/>
    <w:rsid w:val="3EBE0387"/>
    <w:rsid w:val="3EBE3EE3"/>
    <w:rsid w:val="3EBF1323"/>
    <w:rsid w:val="3EBF7C5B"/>
    <w:rsid w:val="3EC11C25"/>
    <w:rsid w:val="3EC139D3"/>
    <w:rsid w:val="3EC13C43"/>
    <w:rsid w:val="3EC3599D"/>
    <w:rsid w:val="3EC36F33"/>
    <w:rsid w:val="3EC51715"/>
    <w:rsid w:val="3EC534C3"/>
    <w:rsid w:val="3EC72686"/>
    <w:rsid w:val="3EC86B10"/>
    <w:rsid w:val="3ECA0ADA"/>
    <w:rsid w:val="3ECB4852"/>
    <w:rsid w:val="3ECF4342"/>
    <w:rsid w:val="3ECF60F0"/>
    <w:rsid w:val="3ECF7E9E"/>
    <w:rsid w:val="3ED11590"/>
    <w:rsid w:val="3ED454B4"/>
    <w:rsid w:val="3ED71449"/>
    <w:rsid w:val="3ED90D1D"/>
    <w:rsid w:val="3ED96F6F"/>
    <w:rsid w:val="3EDA6843"/>
    <w:rsid w:val="3EDB73BB"/>
    <w:rsid w:val="3EDC080D"/>
    <w:rsid w:val="3EDC6A5F"/>
    <w:rsid w:val="3EDE6333"/>
    <w:rsid w:val="3EE01D9D"/>
    <w:rsid w:val="3EE37DED"/>
    <w:rsid w:val="3EE41BAE"/>
    <w:rsid w:val="3EE5303E"/>
    <w:rsid w:val="3EE53B65"/>
    <w:rsid w:val="3EE55913"/>
    <w:rsid w:val="3EE644CE"/>
    <w:rsid w:val="3EEA117C"/>
    <w:rsid w:val="3EEB0A50"/>
    <w:rsid w:val="3EEB6AB7"/>
    <w:rsid w:val="3EED2A1A"/>
    <w:rsid w:val="3EEF22EE"/>
    <w:rsid w:val="3EEF6792"/>
    <w:rsid w:val="3EF234B3"/>
    <w:rsid w:val="3EF75647"/>
    <w:rsid w:val="3EF773F5"/>
    <w:rsid w:val="3EF913BF"/>
    <w:rsid w:val="3EF94F1B"/>
    <w:rsid w:val="3EFB5264"/>
    <w:rsid w:val="3EFC2C5D"/>
    <w:rsid w:val="3EFD37BC"/>
    <w:rsid w:val="3EFE0783"/>
    <w:rsid w:val="3F035D9A"/>
    <w:rsid w:val="3F06588A"/>
    <w:rsid w:val="3F067638"/>
    <w:rsid w:val="3F0D09C6"/>
    <w:rsid w:val="3F0F473E"/>
    <w:rsid w:val="3F0F475A"/>
    <w:rsid w:val="3F1104B7"/>
    <w:rsid w:val="3F125FDD"/>
    <w:rsid w:val="3F134B07"/>
    <w:rsid w:val="3F1461F9"/>
    <w:rsid w:val="3F1635AD"/>
    <w:rsid w:val="3F163D1F"/>
    <w:rsid w:val="3F165ACD"/>
    <w:rsid w:val="3F171845"/>
    <w:rsid w:val="3F177A97"/>
    <w:rsid w:val="3F180A9E"/>
    <w:rsid w:val="3F1955BD"/>
    <w:rsid w:val="3F1B1335"/>
    <w:rsid w:val="3F1E2BD3"/>
    <w:rsid w:val="3F1E4982"/>
    <w:rsid w:val="3F1F5E15"/>
    <w:rsid w:val="3F2006FA"/>
    <w:rsid w:val="3F204B9E"/>
    <w:rsid w:val="3F214472"/>
    <w:rsid w:val="3F220916"/>
    <w:rsid w:val="3F235BB1"/>
    <w:rsid w:val="3F23643C"/>
    <w:rsid w:val="3F261961"/>
    <w:rsid w:val="3F261A88"/>
    <w:rsid w:val="3F277CDA"/>
    <w:rsid w:val="3F281CA4"/>
    <w:rsid w:val="3F283A52"/>
    <w:rsid w:val="3F2A1578"/>
    <w:rsid w:val="3F2C3542"/>
    <w:rsid w:val="3F2D2E17"/>
    <w:rsid w:val="3F2D72BA"/>
    <w:rsid w:val="3F2F13CB"/>
    <w:rsid w:val="3F310B59"/>
    <w:rsid w:val="3F3348D1"/>
    <w:rsid w:val="3F3453F5"/>
    <w:rsid w:val="3F375A43"/>
    <w:rsid w:val="3F3B5533"/>
    <w:rsid w:val="3F3C12AC"/>
    <w:rsid w:val="3F3D1329"/>
    <w:rsid w:val="3F3E3276"/>
    <w:rsid w:val="3F3E5024"/>
    <w:rsid w:val="3F3E6DD2"/>
    <w:rsid w:val="3F3F3C49"/>
    <w:rsid w:val="3F4168C2"/>
    <w:rsid w:val="3F424B14"/>
    <w:rsid w:val="3F43088C"/>
    <w:rsid w:val="3F4343E8"/>
    <w:rsid w:val="3F446ADE"/>
    <w:rsid w:val="3F454604"/>
    <w:rsid w:val="3F4563B2"/>
    <w:rsid w:val="3F47212A"/>
    <w:rsid w:val="3F487C50"/>
    <w:rsid w:val="3F4A1C1A"/>
    <w:rsid w:val="3F4A39C9"/>
    <w:rsid w:val="3F4B21EC"/>
    <w:rsid w:val="3F4F0FDF"/>
    <w:rsid w:val="3F512FA9"/>
    <w:rsid w:val="3F520ACF"/>
    <w:rsid w:val="3F536D21"/>
    <w:rsid w:val="3F542A99"/>
    <w:rsid w:val="3F5465F5"/>
    <w:rsid w:val="3F5605BF"/>
    <w:rsid w:val="3F56236D"/>
    <w:rsid w:val="3F5860E5"/>
    <w:rsid w:val="3F5B7984"/>
    <w:rsid w:val="3F5C3171"/>
    <w:rsid w:val="3F5D36FC"/>
    <w:rsid w:val="3F5D71D2"/>
    <w:rsid w:val="3F6031EC"/>
    <w:rsid w:val="3F626FE3"/>
    <w:rsid w:val="3F632CDC"/>
    <w:rsid w:val="3F67457A"/>
    <w:rsid w:val="3F6902F3"/>
    <w:rsid w:val="3F6A5E19"/>
    <w:rsid w:val="3F6C393F"/>
    <w:rsid w:val="3F7153F9"/>
    <w:rsid w:val="3F7171A7"/>
    <w:rsid w:val="3F724CCD"/>
    <w:rsid w:val="3F731171"/>
    <w:rsid w:val="3F732F1F"/>
    <w:rsid w:val="3F740A45"/>
    <w:rsid w:val="3F743FC9"/>
    <w:rsid w:val="3F760C61"/>
    <w:rsid w:val="3F7622C8"/>
    <w:rsid w:val="3F780CFF"/>
    <w:rsid w:val="3F7A2500"/>
    <w:rsid w:val="3F7E3672"/>
    <w:rsid w:val="3F7F1678"/>
    <w:rsid w:val="3F7F7B16"/>
    <w:rsid w:val="3F80388E"/>
    <w:rsid w:val="3F80563C"/>
    <w:rsid w:val="3F8213B4"/>
    <w:rsid w:val="3F827606"/>
    <w:rsid w:val="3F836EDA"/>
    <w:rsid w:val="3F854F4E"/>
    <w:rsid w:val="3F870779"/>
    <w:rsid w:val="3F8C3FE1"/>
    <w:rsid w:val="3F8E6E01"/>
    <w:rsid w:val="3F8E7D59"/>
    <w:rsid w:val="3F95733A"/>
    <w:rsid w:val="3F966C0E"/>
    <w:rsid w:val="3F981C83"/>
    <w:rsid w:val="3F984734"/>
    <w:rsid w:val="3F9904AC"/>
    <w:rsid w:val="3F9D7F9C"/>
    <w:rsid w:val="3F9E2431"/>
    <w:rsid w:val="3F9E50AA"/>
    <w:rsid w:val="3F9F673F"/>
    <w:rsid w:val="3FA00415"/>
    <w:rsid w:val="3FA07A8C"/>
    <w:rsid w:val="3FA23805"/>
    <w:rsid w:val="3FA35906"/>
    <w:rsid w:val="3FA376F7"/>
    <w:rsid w:val="3FA806EF"/>
    <w:rsid w:val="3FA94B93"/>
    <w:rsid w:val="3FAA26B9"/>
    <w:rsid w:val="3FAA4467"/>
    <w:rsid w:val="3FAE03FB"/>
    <w:rsid w:val="3FAF1A7E"/>
    <w:rsid w:val="3FB1139A"/>
    <w:rsid w:val="3FB11C9A"/>
    <w:rsid w:val="3FB13A48"/>
    <w:rsid w:val="3FB3156E"/>
    <w:rsid w:val="3FB5178A"/>
    <w:rsid w:val="3FB7520C"/>
    <w:rsid w:val="3FB8669C"/>
    <w:rsid w:val="3FBA3B8D"/>
    <w:rsid w:val="3FBA6DA0"/>
    <w:rsid w:val="3FBE7F13"/>
    <w:rsid w:val="3FBF43B6"/>
    <w:rsid w:val="3FC01EDD"/>
    <w:rsid w:val="3FC03C8B"/>
    <w:rsid w:val="3FC217B1"/>
    <w:rsid w:val="3FC512A1"/>
    <w:rsid w:val="3FC76DC7"/>
    <w:rsid w:val="3FC92B3F"/>
    <w:rsid w:val="3FC96FE3"/>
    <w:rsid w:val="3FCB2D5B"/>
    <w:rsid w:val="3FCC6AD3"/>
    <w:rsid w:val="3FCE0156"/>
    <w:rsid w:val="3FCF05DD"/>
    <w:rsid w:val="3FD17C46"/>
    <w:rsid w:val="3FD37E62"/>
    <w:rsid w:val="3FD414E4"/>
    <w:rsid w:val="3FD55988"/>
    <w:rsid w:val="3FD62CAA"/>
    <w:rsid w:val="3FD634AE"/>
    <w:rsid w:val="3FD6525C"/>
    <w:rsid w:val="3FD80FD4"/>
    <w:rsid w:val="3FD87226"/>
    <w:rsid w:val="3FDB1075"/>
    <w:rsid w:val="3FDB6D16"/>
    <w:rsid w:val="3FDD483D"/>
    <w:rsid w:val="3FDE2F88"/>
    <w:rsid w:val="3FDF05B5"/>
    <w:rsid w:val="3FDF2363"/>
    <w:rsid w:val="3FE200A5"/>
    <w:rsid w:val="3FE5028A"/>
    <w:rsid w:val="3FE61943"/>
    <w:rsid w:val="3FE756BB"/>
    <w:rsid w:val="3FE77469"/>
    <w:rsid w:val="3FE91433"/>
    <w:rsid w:val="3FE94F8F"/>
    <w:rsid w:val="3FEA0D08"/>
    <w:rsid w:val="3FEC0F24"/>
    <w:rsid w:val="3FEE07F8"/>
    <w:rsid w:val="3FEE6A4A"/>
    <w:rsid w:val="3FEF631E"/>
    <w:rsid w:val="3FF027C2"/>
    <w:rsid w:val="3FF12096"/>
    <w:rsid w:val="3FF37BBC"/>
    <w:rsid w:val="3FF676AC"/>
    <w:rsid w:val="3FF878C8"/>
    <w:rsid w:val="3FFA1020"/>
    <w:rsid w:val="3FFB2F15"/>
    <w:rsid w:val="3FFB4CC3"/>
    <w:rsid w:val="3FFC1167"/>
    <w:rsid w:val="3FFF0C57"/>
    <w:rsid w:val="3FFF47B3"/>
    <w:rsid w:val="400022D9"/>
    <w:rsid w:val="400242A3"/>
    <w:rsid w:val="40041DC9"/>
    <w:rsid w:val="40057874"/>
    <w:rsid w:val="400718BA"/>
    <w:rsid w:val="40073668"/>
    <w:rsid w:val="40077B0C"/>
    <w:rsid w:val="40093884"/>
    <w:rsid w:val="40095F44"/>
    <w:rsid w:val="400973E0"/>
    <w:rsid w:val="400B3158"/>
    <w:rsid w:val="400D48C5"/>
    <w:rsid w:val="4010076E"/>
    <w:rsid w:val="40103246"/>
    <w:rsid w:val="40104C12"/>
    <w:rsid w:val="4012098A"/>
    <w:rsid w:val="4013200C"/>
    <w:rsid w:val="40133308"/>
    <w:rsid w:val="40152228"/>
    <w:rsid w:val="40181D19"/>
    <w:rsid w:val="40183AC7"/>
    <w:rsid w:val="401D10DD"/>
    <w:rsid w:val="401D2E8B"/>
    <w:rsid w:val="401D4686"/>
    <w:rsid w:val="401D6F8B"/>
    <w:rsid w:val="401F30A7"/>
    <w:rsid w:val="401F4E55"/>
    <w:rsid w:val="40223343"/>
    <w:rsid w:val="40251D40"/>
    <w:rsid w:val="402661E4"/>
    <w:rsid w:val="40267F92"/>
    <w:rsid w:val="40291830"/>
    <w:rsid w:val="4029552E"/>
    <w:rsid w:val="402B1A4C"/>
    <w:rsid w:val="402B55A8"/>
    <w:rsid w:val="402E32EA"/>
    <w:rsid w:val="402E5098"/>
    <w:rsid w:val="40316936"/>
    <w:rsid w:val="40322DDA"/>
    <w:rsid w:val="40330901"/>
    <w:rsid w:val="403326AF"/>
    <w:rsid w:val="4033445D"/>
    <w:rsid w:val="40337D20"/>
    <w:rsid w:val="40356427"/>
    <w:rsid w:val="40363F4D"/>
    <w:rsid w:val="403A1C8F"/>
    <w:rsid w:val="403C21F1"/>
    <w:rsid w:val="403C77B5"/>
    <w:rsid w:val="4041301D"/>
    <w:rsid w:val="40413469"/>
    <w:rsid w:val="40414DCB"/>
    <w:rsid w:val="404228F2"/>
    <w:rsid w:val="40425ADD"/>
    <w:rsid w:val="4044666A"/>
    <w:rsid w:val="404623E2"/>
    <w:rsid w:val="40464190"/>
    <w:rsid w:val="404843AC"/>
    <w:rsid w:val="40494B17"/>
    <w:rsid w:val="404B3E9C"/>
    <w:rsid w:val="404C551E"/>
    <w:rsid w:val="404E1296"/>
    <w:rsid w:val="404E31E7"/>
    <w:rsid w:val="4050500F"/>
    <w:rsid w:val="405132A9"/>
    <w:rsid w:val="40520D87"/>
    <w:rsid w:val="40524739"/>
    <w:rsid w:val="40552625"/>
    <w:rsid w:val="4057711B"/>
    <w:rsid w:val="40582115"/>
    <w:rsid w:val="405C39B3"/>
    <w:rsid w:val="405E3BCF"/>
    <w:rsid w:val="405F16F6"/>
    <w:rsid w:val="405F34A4"/>
    <w:rsid w:val="405F5252"/>
    <w:rsid w:val="405F5EB3"/>
    <w:rsid w:val="4061165D"/>
    <w:rsid w:val="40662A84"/>
    <w:rsid w:val="406665E0"/>
    <w:rsid w:val="40672358"/>
    <w:rsid w:val="406805AA"/>
    <w:rsid w:val="40694322"/>
    <w:rsid w:val="406960D0"/>
    <w:rsid w:val="406D5BC1"/>
    <w:rsid w:val="406E1939"/>
    <w:rsid w:val="407056B1"/>
    <w:rsid w:val="40722A57"/>
    <w:rsid w:val="40736CBE"/>
    <w:rsid w:val="40736F4F"/>
    <w:rsid w:val="40754A75"/>
    <w:rsid w:val="40774C91"/>
    <w:rsid w:val="40786313"/>
    <w:rsid w:val="407927B7"/>
    <w:rsid w:val="407978E4"/>
    <w:rsid w:val="407A02DD"/>
    <w:rsid w:val="407A0D74"/>
    <w:rsid w:val="407C4056"/>
    <w:rsid w:val="407D712F"/>
    <w:rsid w:val="407F6327"/>
    <w:rsid w:val="40827192"/>
    <w:rsid w:val="40833636"/>
    <w:rsid w:val="40866C82"/>
    <w:rsid w:val="40896772"/>
    <w:rsid w:val="408B24EB"/>
    <w:rsid w:val="408B4299"/>
    <w:rsid w:val="408B6047"/>
    <w:rsid w:val="408D1DBF"/>
    <w:rsid w:val="408D6263"/>
    <w:rsid w:val="409018AF"/>
    <w:rsid w:val="4091073C"/>
    <w:rsid w:val="409273D5"/>
    <w:rsid w:val="40956EC5"/>
    <w:rsid w:val="40994C08"/>
    <w:rsid w:val="409969B6"/>
    <w:rsid w:val="409A44DC"/>
    <w:rsid w:val="409C3422"/>
    <w:rsid w:val="409D5D7A"/>
    <w:rsid w:val="409E3FCC"/>
    <w:rsid w:val="409F5F96"/>
    <w:rsid w:val="409F7D44"/>
    <w:rsid w:val="40A11D0E"/>
    <w:rsid w:val="40A37F13"/>
    <w:rsid w:val="40A435AC"/>
    <w:rsid w:val="40A4535A"/>
    <w:rsid w:val="40A8048F"/>
    <w:rsid w:val="40AB40E4"/>
    <w:rsid w:val="40AC5344"/>
    <w:rsid w:val="40AF3CC5"/>
    <w:rsid w:val="40AF442B"/>
    <w:rsid w:val="40AF61D9"/>
    <w:rsid w:val="40B01F51"/>
    <w:rsid w:val="40B05AAD"/>
    <w:rsid w:val="40B27A77"/>
    <w:rsid w:val="40B803DC"/>
    <w:rsid w:val="40B838E7"/>
    <w:rsid w:val="40BA4B7E"/>
    <w:rsid w:val="40BA692C"/>
    <w:rsid w:val="40BB2DD0"/>
    <w:rsid w:val="40BC26A4"/>
    <w:rsid w:val="40BC36F8"/>
    <w:rsid w:val="40BC4452"/>
    <w:rsid w:val="40BE641C"/>
    <w:rsid w:val="40C132F7"/>
    <w:rsid w:val="40C15F0C"/>
    <w:rsid w:val="40C31C84"/>
    <w:rsid w:val="40C357E1"/>
    <w:rsid w:val="40C377CE"/>
    <w:rsid w:val="40C41559"/>
    <w:rsid w:val="40C477AB"/>
    <w:rsid w:val="40C63523"/>
    <w:rsid w:val="40C652D1"/>
    <w:rsid w:val="40C866B3"/>
    <w:rsid w:val="40CB28E7"/>
    <w:rsid w:val="40CD665F"/>
    <w:rsid w:val="40CF23D7"/>
    <w:rsid w:val="40D043A1"/>
    <w:rsid w:val="40D0614F"/>
    <w:rsid w:val="40D23C76"/>
    <w:rsid w:val="40D43E92"/>
    <w:rsid w:val="40D45C40"/>
    <w:rsid w:val="40D55514"/>
    <w:rsid w:val="40D93256"/>
    <w:rsid w:val="40D95004"/>
    <w:rsid w:val="40DA6FCE"/>
    <w:rsid w:val="40DE6ABE"/>
    <w:rsid w:val="40E165AE"/>
    <w:rsid w:val="40E340D5"/>
    <w:rsid w:val="40E35E83"/>
    <w:rsid w:val="40E439A9"/>
    <w:rsid w:val="40E52904"/>
    <w:rsid w:val="40E66965"/>
    <w:rsid w:val="40E67721"/>
    <w:rsid w:val="40EA7211"/>
    <w:rsid w:val="40EE50F7"/>
    <w:rsid w:val="40EF2A79"/>
    <w:rsid w:val="40EF4827"/>
    <w:rsid w:val="40F167F2"/>
    <w:rsid w:val="40F24318"/>
    <w:rsid w:val="40F55BB6"/>
    <w:rsid w:val="40F57964"/>
    <w:rsid w:val="40F63E08"/>
    <w:rsid w:val="40FB141E"/>
    <w:rsid w:val="40FC0CF2"/>
    <w:rsid w:val="40FC6F44"/>
    <w:rsid w:val="40FE0F0E"/>
    <w:rsid w:val="40FF07E3"/>
    <w:rsid w:val="41004C87"/>
    <w:rsid w:val="41016309"/>
    <w:rsid w:val="41040A5E"/>
    <w:rsid w:val="4105229D"/>
    <w:rsid w:val="41061B71"/>
    <w:rsid w:val="4106480E"/>
    <w:rsid w:val="41083B3B"/>
    <w:rsid w:val="410A340F"/>
    <w:rsid w:val="410C0680"/>
    <w:rsid w:val="410F0A26"/>
    <w:rsid w:val="41114D6F"/>
    <w:rsid w:val="41120516"/>
    <w:rsid w:val="41122DB1"/>
    <w:rsid w:val="411900B3"/>
    <w:rsid w:val="411918A4"/>
    <w:rsid w:val="411B561D"/>
    <w:rsid w:val="411C1395"/>
    <w:rsid w:val="411E335F"/>
    <w:rsid w:val="411E6EBB"/>
    <w:rsid w:val="41201061"/>
    <w:rsid w:val="41210759"/>
    <w:rsid w:val="41211416"/>
    <w:rsid w:val="41235477"/>
    <w:rsid w:val="41246907"/>
    <w:rsid w:val="41263FC1"/>
    <w:rsid w:val="41265D6F"/>
    <w:rsid w:val="41287D39"/>
    <w:rsid w:val="412A5860"/>
    <w:rsid w:val="412C6529"/>
    <w:rsid w:val="412C68CB"/>
    <w:rsid w:val="412F10C8"/>
    <w:rsid w:val="412F2E76"/>
    <w:rsid w:val="412F731A"/>
    <w:rsid w:val="41313092"/>
    <w:rsid w:val="41320BB8"/>
    <w:rsid w:val="41354204"/>
    <w:rsid w:val="41384420"/>
    <w:rsid w:val="41384ACC"/>
    <w:rsid w:val="41390199"/>
    <w:rsid w:val="41393CF5"/>
    <w:rsid w:val="41395AA3"/>
    <w:rsid w:val="413B1FBD"/>
    <w:rsid w:val="413B5CBF"/>
    <w:rsid w:val="413E755D"/>
    <w:rsid w:val="41401527"/>
    <w:rsid w:val="414032D5"/>
    <w:rsid w:val="41405083"/>
    <w:rsid w:val="41412BA9"/>
    <w:rsid w:val="41415E2F"/>
    <w:rsid w:val="41421E90"/>
    <w:rsid w:val="41450811"/>
    <w:rsid w:val="414508EB"/>
    <w:rsid w:val="41452699"/>
    <w:rsid w:val="414A7CB0"/>
    <w:rsid w:val="414C43D2"/>
    <w:rsid w:val="414F176A"/>
    <w:rsid w:val="415015B9"/>
    <w:rsid w:val="41517290"/>
    <w:rsid w:val="41521466"/>
    <w:rsid w:val="41526B64"/>
    <w:rsid w:val="41546D80"/>
    <w:rsid w:val="41595546"/>
    <w:rsid w:val="41596145"/>
    <w:rsid w:val="41597EF3"/>
    <w:rsid w:val="415B010F"/>
    <w:rsid w:val="415B1EBD"/>
    <w:rsid w:val="415D3E87"/>
    <w:rsid w:val="415D5C35"/>
    <w:rsid w:val="415E19AD"/>
    <w:rsid w:val="415E375B"/>
    <w:rsid w:val="416074D3"/>
    <w:rsid w:val="41652D3C"/>
    <w:rsid w:val="41656898"/>
    <w:rsid w:val="4166128B"/>
    <w:rsid w:val="41676AB4"/>
    <w:rsid w:val="416A2100"/>
    <w:rsid w:val="416C231C"/>
    <w:rsid w:val="416D1BF0"/>
    <w:rsid w:val="41717932"/>
    <w:rsid w:val="417411D1"/>
    <w:rsid w:val="41742F7F"/>
    <w:rsid w:val="41760AA5"/>
    <w:rsid w:val="41764F49"/>
    <w:rsid w:val="41766CF7"/>
    <w:rsid w:val="41781F5F"/>
    <w:rsid w:val="41782A6F"/>
    <w:rsid w:val="417B255F"/>
    <w:rsid w:val="417E2869"/>
    <w:rsid w:val="41801923"/>
    <w:rsid w:val="418028A3"/>
    <w:rsid w:val="418036D2"/>
    <w:rsid w:val="41807B75"/>
    <w:rsid w:val="4182569C"/>
    <w:rsid w:val="418412D1"/>
    <w:rsid w:val="41845821"/>
    <w:rsid w:val="41850CE8"/>
    <w:rsid w:val="41874A60"/>
    <w:rsid w:val="418807D8"/>
    <w:rsid w:val="41886A2A"/>
    <w:rsid w:val="418A09F4"/>
    <w:rsid w:val="418C02C8"/>
    <w:rsid w:val="418C03D5"/>
    <w:rsid w:val="418C2076"/>
    <w:rsid w:val="418D4040"/>
    <w:rsid w:val="418F1B67"/>
    <w:rsid w:val="418F600A"/>
    <w:rsid w:val="418F7DB9"/>
    <w:rsid w:val="41911D83"/>
    <w:rsid w:val="41913B31"/>
    <w:rsid w:val="4191768D"/>
    <w:rsid w:val="41970A1B"/>
    <w:rsid w:val="41981549"/>
    <w:rsid w:val="41984EBF"/>
    <w:rsid w:val="41990C37"/>
    <w:rsid w:val="419929E5"/>
    <w:rsid w:val="419D0727"/>
    <w:rsid w:val="41A03D74"/>
    <w:rsid w:val="41A04032"/>
    <w:rsid w:val="41A35612"/>
    <w:rsid w:val="41A43864"/>
    <w:rsid w:val="41A5138A"/>
    <w:rsid w:val="41A75102"/>
    <w:rsid w:val="41A76EB0"/>
    <w:rsid w:val="41A90E7A"/>
    <w:rsid w:val="41AA4BF2"/>
    <w:rsid w:val="41AE4EAF"/>
    <w:rsid w:val="41B11ADD"/>
    <w:rsid w:val="41B17D2F"/>
    <w:rsid w:val="41B55234"/>
    <w:rsid w:val="41B617E9"/>
    <w:rsid w:val="41B82E6B"/>
    <w:rsid w:val="41BA3087"/>
    <w:rsid w:val="41BB0BAE"/>
    <w:rsid w:val="41BD1DD3"/>
    <w:rsid w:val="41BD2B78"/>
    <w:rsid w:val="41BF46F3"/>
    <w:rsid w:val="41C07F72"/>
    <w:rsid w:val="41C2018E"/>
    <w:rsid w:val="41C37A62"/>
    <w:rsid w:val="41C45CB4"/>
    <w:rsid w:val="41C55588"/>
    <w:rsid w:val="41C9151C"/>
    <w:rsid w:val="41C932CA"/>
    <w:rsid w:val="41CA0DF1"/>
    <w:rsid w:val="41CA1806"/>
    <w:rsid w:val="41CA2F47"/>
    <w:rsid w:val="41CC2DBB"/>
    <w:rsid w:val="41CC6917"/>
    <w:rsid w:val="41CE268F"/>
    <w:rsid w:val="41CF6407"/>
    <w:rsid w:val="41D103D1"/>
    <w:rsid w:val="41D1217F"/>
    <w:rsid w:val="41D41C6F"/>
    <w:rsid w:val="41D659E7"/>
    <w:rsid w:val="41D67795"/>
    <w:rsid w:val="41D91034"/>
    <w:rsid w:val="41DD0B24"/>
    <w:rsid w:val="41DE4724"/>
    <w:rsid w:val="41DE664A"/>
    <w:rsid w:val="41DF2AEE"/>
    <w:rsid w:val="41E023C2"/>
    <w:rsid w:val="41E06866"/>
    <w:rsid w:val="41E111CE"/>
    <w:rsid w:val="41E2438C"/>
    <w:rsid w:val="41E2613A"/>
    <w:rsid w:val="41E33C60"/>
    <w:rsid w:val="41E41EB2"/>
    <w:rsid w:val="41E44F7E"/>
    <w:rsid w:val="41E53E7C"/>
    <w:rsid w:val="41E719A3"/>
    <w:rsid w:val="41E73751"/>
    <w:rsid w:val="41E952A1"/>
    <w:rsid w:val="41E9571B"/>
    <w:rsid w:val="41EC520B"/>
    <w:rsid w:val="41EF0857"/>
    <w:rsid w:val="41F12821"/>
    <w:rsid w:val="41F320F5"/>
    <w:rsid w:val="41F52311"/>
    <w:rsid w:val="41F61BE6"/>
    <w:rsid w:val="41F8595E"/>
    <w:rsid w:val="41FB544E"/>
    <w:rsid w:val="41FD2F74"/>
    <w:rsid w:val="41FF785B"/>
    <w:rsid w:val="42044303"/>
    <w:rsid w:val="420460B1"/>
    <w:rsid w:val="42073DF3"/>
    <w:rsid w:val="420A5691"/>
    <w:rsid w:val="420A743F"/>
    <w:rsid w:val="420F2CA7"/>
    <w:rsid w:val="421107CE"/>
    <w:rsid w:val="42116A20"/>
    <w:rsid w:val="421309EA"/>
    <w:rsid w:val="42132798"/>
    <w:rsid w:val="42162288"/>
    <w:rsid w:val="42165DE4"/>
    <w:rsid w:val="42185BB8"/>
    <w:rsid w:val="42186000"/>
    <w:rsid w:val="42187FCC"/>
    <w:rsid w:val="421A3B26"/>
    <w:rsid w:val="421A58D4"/>
    <w:rsid w:val="421B33FA"/>
    <w:rsid w:val="421B789E"/>
    <w:rsid w:val="421F738E"/>
    <w:rsid w:val="42202600"/>
    <w:rsid w:val="42206C63"/>
    <w:rsid w:val="42241EF3"/>
    <w:rsid w:val="42246753"/>
    <w:rsid w:val="4226071D"/>
    <w:rsid w:val="42274495"/>
    <w:rsid w:val="42276243"/>
    <w:rsid w:val="42293D69"/>
    <w:rsid w:val="422C0BA3"/>
    <w:rsid w:val="422E77D5"/>
    <w:rsid w:val="42310E70"/>
    <w:rsid w:val="42347335"/>
    <w:rsid w:val="423821FE"/>
    <w:rsid w:val="423A41C8"/>
    <w:rsid w:val="423A4637"/>
    <w:rsid w:val="423B584A"/>
    <w:rsid w:val="423F358D"/>
    <w:rsid w:val="423F533B"/>
    <w:rsid w:val="42401BEA"/>
    <w:rsid w:val="42415557"/>
    <w:rsid w:val="4246491B"/>
    <w:rsid w:val="42470693"/>
    <w:rsid w:val="424741EF"/>
    <w:rsid w:val="4249440B"/>
    <w:rsid w:val="42497F67"/>
    <w:rsid w:val="424B0183"/>
    <w:rsid w:val="424B1F31"/>
    <w:rsid w:val="424B55BC"/>
    <w:rsid w:val="424C5CAA"/>
    <w:rsid w:val="424E1A22"/>
    <w:rsid w:val="42507548"/>
    <w:rsid w:val="4252548F"/>
    <w:rsid w:val="425608D6"/>
    <w:rsid w:val="425828A0"/>
    <w:rsid w:val="4258464E"/>
    <w:rsid w:val="425A2175"/>
    <w:rsid w:val="425C5CCA"/>
    <w:rsid w:val="425C6541"/>
    <w:rsid w:val="425F59DD"/>
    <w:rsid w:val="426052B1"/>
    <w:rsid w:val="42605623"/>
    <w:rsid w:val="42613503"/>
    <w:rsid w:val="4262727B"/>
    <w:rsid w:val="42633843"/>
    <w:rsid w:val="42641245"/>
    <w:rsid w:val="42664FBD"/>
    <w:rsid w:val="42674891"/>
    <w:rsid w:val="4267663F"/>
    <w:rsid w:val="4269685C"/>
    <w:rsid w:val="426A3716"/>
    <w:rsid w:val="426B4382"/>
    <w:rsid w:val="426C1EA8"/>
    <w:rsid w:val="426C3C56"/>
    <w:rsid w:val="426F0F16"/>
    <w:rsid w:val="42701998"/>
    <w:rsid w:val="42707BEA"/>
    <w:rsid w:val="42725710"/>
    <w:rsid w:val="42756FAE"/>
    <w:rsid w:val="4278084D"/>
    <w:rsid w:val="427A2817"/>
    <w:rsid w:val="42814E9C"/>
    <w:rsid w:val="428442BD"/>
    <w:rsid w:val="428611BC"/>
    <w:rsid w:val="42864D18"/>
    <w:rsid w:val="42872C3E"/>
    <w:rsid w:val="42894808"/>
    <w:rsid w:val="428C42F8"/>
    <w:rsid w:val="428C60A6"/>
    <w:rsid w:val="4290203A"/>
    <w:rsid w:val="42927B60"/>
    <w:rsid w:val="42933DB2"/>
    <w:rsid w:val="42937435"/>
    <w:rsid w:val="429428DE"/>
    <w:rsid w:val="429513FF"/>
    <w:rsid w:val="429733C9"/>
    <w:rsid w:val="42976F25"/>
    <w:rsid w:val="42980EEF"/>
    <w:rsid w:val="42997141"/>
    <w:rsid w:val="429A07C3"/>
    <w:rsid w:val="429A6A15"/>
    <w:rsid w:val="429D02B3"/>
    <w:rsid w:val="429F402B"/>
    <w:rsid w:val="429F5DD9"/>
    <w:rsid w:val="42A04F26"/>
    <w:rsid w:val="42A11B51"/>
    <w:rsid w:val="42A57908"/>
    <w:rsid w:val="42A72EE0"/>
    <w:rsid w:val="42A87384"/>
    <w:rsid w:val="42AB0C22"/>
    <w:rsid w:val="42AB29D0"/>
    <w:rsid w:val="42AB6E74"/>
    <w:rsid w:val="42AC04F6"/>
    <w:rsid w:val="42AC34C9"/>
    <w:rsid w:val="42AD499A"/>
    <w:rsid w:val="42AD6748"/>
    <w:rsid w:val="42AE426E"/>
    <w:rsid w:val="42AF358B"/>
    <w:rsid w:val="42B0448A"/>
    <w:rsid w:val="42B21FB1"/>
    <w:rsid w:val="42B31885"/>
    <w:rsid w:val="42B37AD7"/>
    <w:rsid w:val="42B75819"/>
    <w:rsid w:val="42BA70B7"/>
    <w:rsid w:val="42BC2E2F"/>
    <w:rsid w:val="42BD2703"/>
    <w:rsid w:val="42BF022A"/>
    <w:rsid w:val="42C02DCF"/>
    <w:rsid w:val="42C13FA2"/>
    <w:rsid w:val="42C27D1A"/>
    <w:rsid w:val="42C341BE"/>
    <w:rsid w:val="42C35F6C"/>
    <w:rsid w:val="42C45840"/>
    <w:rsid w:val="42C615B8"/>
    <w:rsid w:val="42C700D1"/>
    <w:rsid w:val="42C817D4"/>
    <w:rsid w:val="42C83582"/>
    <w:rsid w:val="42CA554C"/>
    <w:rsid w:val="42CB1623"/>
    <w:rsid w:val="42CB6BCE"/>
    <w:rsid w:val="42CE53D3"/>
    <w:rsid w:val="42D02437"/>
    <w:rsid w:val="42D068DB"/>
    <w:rsid w:val="42D24401"/>
    <w:rsid w:val="42D261AF"/>
    <w:rsid w:val="42D26925"/>
    <w:rsid w:val="42D31F27"/>
    <w:rsid w:val="42D33CD5"/>
    <w:rsid w:val="42D55C9F"/>
    <w:rsid w:val="42D812EB"/>
    <w:rsid w:val="42DA1507"/>
    <w:rsid w:val="42DA5063"/>
    <w:rsid w:val="42DC4209"/>
    <w:rsid w:val="42DD6902"/>
    <w:rsid w:val="42DE0FF8"/>
    <w:rsid w:val="42DE2DA6"/>
    <w:rsid w:val="42DF6B1E"/>
    <w:rsid w:val="42E278AA"/>
    <w:rsid w:val="42E3216A"/>
    <w:rsid w:val="42E3660E"/>
    <w:rsid w:val="42E64AEA"/>
    <w:rsid w:val="42E83C24"/>
    <w:rsid w:val="42EB101F"/>
    <w:rsid w:val="42EB54C2"/>
    <w:rsid w:val="42EB74CC"/>
    <w:rsid w:val="42EF4FB3"/>
    <w:rsid w:val="42F00D2B"/>
    <w:rsid w:val="42F205FF"/>
    <w:rsid w:val="42F36125"/>
    <w:rsid w:val="42F56341"/>
    <w:rsid w:val="42F73E67"/>
    <w:rsid w:val="42F75A6F"/>
    <w:rsid w:val="42F75C15"/>
    <w:rsid w:val="42FC322C"/>
    <w:rsid w:val="42FE51F6"/>
    <w:rsid w:val="43000F6E"/>
    <w:rsid w:val="4303280C"/>
    <w:rsid w:val="430345BA"/>
    <w:rsid w:val="43052C44"/>
    <w:rsid w:val="43056584"/>
    <w:rsid w:val="430640AA"/>
    <w:rsid w:val="430A1DED"/>
    <w:rsid w:val="430F11B1"/>
    <w:rsid w:val="430F3CF6"/>
    <w:rsid w:val="43122A4F"/>
    <w:rsid w:val="43171E14"/>
    <w:rsid w:val="431762B8"/>
    <w:rsid w:val="43197979"/>
    <w:rsid w:val="431A1904"/>
    <w:rsid w:val="431C742A"/>
    <w:rsid w:val="431E2373"/>
    <w:rsid w:val="432033BE"/>
    <w:rsid w:val="43212C92"/>
    <w:rsid w:val="43252782"/>
    <w:rsid w:val="4326474D"/>
    <w:rsid w:val="432A7D99"/>
    <w:rsid w:val="432D1637"/>
    <w:rsid w:val="432D7889"/>
    <w:rsid w:val="432E715D"/>
    <w:rsid w:val="432F1B9E"/>
    <w:rsid w:val="43301127"/>
    <w:rsid w:val="43317379"/>
    <w:rsid w:val="433230F1"/>
    <w:rsid w:val="43324E9F"/>
    <w:rsid w:val="43340C18"/>
    <w:rsid w:val="433504EC"/>
    <w:rsid w:val="433724B6"/>
    <w:rsid w:val="433842F0"/>
    <w:rsid w:val="43394480"/>
    <w:rsid w:val="4339622E"/>
    <w:rsid w:val="43397FDC"/>
    <w:rsid w:val="433A03F2"/>
    <w:rsid w:val="433B4241"/>
    <w:rsid w:val="433C5D1E"/>
    <w:rsid w:val="433E2DD4"/>
    <w:rsid w:val="434056F4"/>
    <w:rsid w:val="4340580E"/>
    <w:rsid w:val="43432C09"/>
    <w:rsid w:val="434500D6"/>
    <w:rsid w:val="43454BD3"/>
    <w:rsid w:val="434626F9"/>
    <w:rsid w:val="434765EB"/>
    <w:rsid w:val="434A3F97"/>
    <w:rsid w:val="434C41B3"/>
    <w:rsid w:val="434D1CD9"/>
    <w:rsid w:val="434D3A87"/>
    <w:rsid w:val="434D7F2B"/>
    <w:rsid w:val="434F77FF"/>
    <w:rsid w:val="43503578"/>
    <w:rsid w:val="43527B09"/>
    <w:rsid w:val="435412BA"/>
    <w:rsid w:val="43572B58"/>
    <w:rsid w:val="43574906"/>
    <w:rsid w:val="435B2648"/>
    <w:rsid w:val="435E3EE6"/>
    <w:rsid w:val="436037BB"/>
    <w:rsid w:val="436112E1"/>
    <w:rsid w:val="43612BE0"/>
    <w:rsid w:val="4361616E"/>
    <w:rsid w:val="436239D7"/>
    <w:rsid w:val="436314FD"/>
    <w:rsid w:val="43635059"/>
    <w:rsid w:val="43642D6A"/>
    <w:rsid w:val="43650DD1"/>
    <w:rsid w:val="4366740F"/>
    <w:rsid w:val="4368266F"/>
    <w:rsid w:val="436A5D90"/>
    <w:rsid w:val="436C6603"/>
    <w:rsid w:val="436E72E2"/>
    <w:rsid w:val="43707776"/>
    <w:rsid w:val="43721740"/>
    <w:rsid w:val="43741014"/>
    <w:rsid w:val="43752EA3"/>
    <w:rsid w:val="43770B04"/>
    <w:rsid w:val="43782F65"/>
    <w:rsid w:val="437B05F4"/>
    <w:rsid w:val="437B6846"/>
    <w:rsid w:val="437E5696"/>
    <w:rsid w:val="438020AF"/>
    <w:rsid w:val="43827BD5"/>
    <w:rsid w:val="438356FB"/>
    <w:rsid w:val="438374A9"/>
    <w:rsid w:val="43853221"/>
    <w:rsid w:val="43866F99"/>
    <w:rsid w:val="438751EB"/>
    <w:rsid w:val="438A0837"/>
    <w:rsid w:val="438A4CDB"/>
    <w:rsid w:val="438A6A89"/>
    <w:rsid w:val="438C112A"/>
    <w:rsid w:val="438D4536"/>
    <w:rsid w:val="438F22F2"/>
    <w:rsid w:val="438F40A0"/>
    <w:rsid w:val="438F4579"/>
    <w:rsid w:val="43911BC6"/>
    <w:rsid w:val="43963680"/>
    <w:rsid w:val="4396542E"/>
    <w:rsid w:val="439671DC"/>
    <w:rsid w:val="43993170"/>
    <w:rsid w:val="439C056B"/>
    <w:rsid w:val="439E42E3"/>
    <w:rsid w:val="43A324A6"/>
    <w:rsid w:val="43A37B4B"/>
    <w:rsid w:val="43A51B15"/>
    <w:rsid w:val="43A63197"/>
    <w:rsid w:val="43A7763B"/>
    <w:rsid w:val="43AA2C88"/>
    <w:rsid w:val="43AB7A8A"/>
    <w:rsid w:val="43AC2EA4"/>
    <w:rsid w:val="43AF029E"/>
    <w:rsid w:val="43AF5C05"/>
    <w:rsid w:val="43B00525"/>
    <w:rsid w:val="43B12268"/>
    <w:rsid w:val="43B21B3C"/>
    <w:rsid w:val="43B27D8E"/>
    <w:rsid w:val="43B6787E"/>
    <w:rsid w:val="43B81849"/>
    <w:rsid w:val="43B835F7"/>
    <w:rsid w:val="43B92ECB"/>
    <w:rsid w:val="43BB30E7"/>
    <w:rsid w:val="43BB4E95"/>
    <w:rsid w:val="43BC63D5"/>
    <w:rsid w:val="43BD6E5F"/>
    <w:rsid w:val="43BE2B29"/>
    <w:rsid w:val="43C0001A"/>
    <w:rsid w:val="43C04259"/>
    <w:rsid w:val="43C26223"/>
    <w:rsid w:val="43C31F9B"/>
    <w:rsid w:val="43C612BB"/>
    <w:rsid w:val="43C7383A"/>
    <w:rsid w:val="43C755E8"/>
    <w:rsid w:val="43CA157C"/>
    <w:rsid w:val="43CB512D"/>
    <w:rsid w:val="43CD6976"/>
    <w:rsid w:val="43CF26EE"/>
    <w:rsid w:val="43D1290A"/>
    <w:rsid w:val="43D20F4F"/>
    <w:rsid w:val="43D441A9"/>
    <w:rsid w:val="43D45F57"/>
    <w:rsid w:val="43D60DB0"/>
    <w:rsid w:val="43D67F21"/>
    <w:rsid w:val="43D74F24"/>
    <w:rsid w:val="43D85A47"/>
    <w:rsid w:val="43D9356D"/>
    <w:rsid w:val="43D9531B"/>
    <w:rsid w:val="43DE0B83"/>
    <w:rsid w:val="43DE2931"/>
    <w:rsid w:val="43DF6CA5"/>
    <w:rsid w:val="43E048FB"/>
    <w:rsid w:val="43E17353"/>
    <w:rsid w:val="43E77A38"/>
    <w:rsid w:val="43E837B0"/>
    <w:rsid w:val="43EA7528"/>
    <w:rsid w:val="43EC14F2"/>
    <w:rsid w:val="43EE526A"/>
    <w:rsid w:val="43F16B09"/>
    <w:rsid w:val="43F202D8"/>
    <w:rsid w:val="43F23209"/>
    <w:rsid w:val="43F263DD"/>
    <w:rsid w:val="43F3462F"/>
    <w:rsid w:val="43F403A7"/>
    <w:rsid w:val="43F62371"/>
    <w:rsid w:val="43F66C59"/>
    <w:rsid w:val="43F87E97"/>
    <w:rsid w:val="43F959BD"/>
    <w:rsid w:val="43FA3C0F"/>
    <w:rsid w:val="43FB34E3"/>
    <w:rsid w:val="43FC2ACB"/>
    <w:rsid w:val="43FE2FD4"/>
    <w:rsid w:val="43FF1225"/>
    <w:rsid w:val="44004F9E"/>
    <w:rsid w:val="440065B0"/>
    <w:rsid w:val="44006D4C"/>
    <w:rsid w:val="4404683C"/>
    <w:rsid w:val="440525B4"/>
    <w:rsid w:val="44071E88"/>
    <w:rsid w:val="4407632C"/>
    <w:rsid w:val="440A3726"/>
    <w:rsid w:val="440B2A75"/>
    <w:rsid w:val="440B5E1C"/>
    <w:rsid w:val="440C3942"/>
    <w:rsid w:val="440D6621"/>
    <w:rsid w:val="440E3217"/>
    <w:rsid w:val="440F51E1"/>
    <w:rsid w:val="44103433"/>
    <w:rsid w:val="44110F59"/>
    <w:rsid w:val="44112D07"/>
    <w:rsid w:val="4411661B"/>
    <w:rsid w:val="44136A7F"/>
    <w:rsid w:val="441427F7"/>
    <w:rsid w:val="441445A5"/>
    <w:rsid w:val="44150A49"/>
    <w:rsid w:val="441647C1"/>
    <w:rsid w:val="441A605F"/>
    <w:rsid w:val="441B5933"/>
    <w:rsid w:val="441D5B50"/>
    <w:rsid w:val="441D78FE"/>
    <w:rsid w:val="441F5424"/>
    <w:rsid w:val="4420119C"/>
    <w:rsid w:val="44202F4A"/>
    <w:rsid w:val="44220128"/>
    <w:rsid w:val="44226CC2"/>
    <w:rsid w:val="44242A3A"/>
    <w:rsid w:val="44246EDE"/>
    <w:rsid w:val="442A5B77"/>
    <w:rsid w:val="442E38B9"/>
    <w:rsid w:val="44315157"/>
    <w:rsid w:val="4435582D"/>
    <w:rsid w:val="4436276D"/>
    <w:rsid w:val="4436451B"/>
    <w:rsid w:val="443864E5"/>
    <w:rsid w:val="443B5FD6"/>
    <w:rsid w:val="443C4228"/>
    <w:rsid w:val="443D287E"/>
    <w:rsid w:val="443F5AC6"/>
    <w:rsid w:val="4442268F"/>
    <w:rsid w:val="44427364"/>
    <w:rsid w:val="444430DC"/>
    <w:rsid w:val="44444E8A"/>
    <w:rsid w:val="44446C38"/>
    <w:rsid w:val="44466E54"/>
    <w:rsid w:val="4447497A"/>
    <w:rsid w:val="444C1F91"/>
    <w:rsid w:val="444D39E7"/>
    <w:rsid w:val="444E7AB7"/>
    <w:rsid w:val="444F55DD"/>
    <w:rsid w:val="4450382F"/>
    <w:rsid w:val="44507CD3"/>
    <w:rsid w:val="445157F9"/>
    <w:rsid w:val="44532C51"/>
    <w:rsid w:val="4453331F"/>
    <w:rsid w:val="44562E10"/>
    <w:rsid w:val="4456696C"/>
    <w:rsid w:val="445826E4"/>
    <w:rsid w:val="44586B88"/>
    <w:rsid w:val="445D419E"/>
    <w:rsid w:val="445D7CFA"/>
    <w:rsid w:val="445F7F16"/>
    <w:rsid w:val="446217B4"/>
    <w:rsid w:val="44627A06"/>
    <w:rsid w:val="44670B79"/>
    <w:rsid w:val="44677917"/>
    <w:rsid w:val="446948F1"/>
    <w:rsid w:val="446A2417"/>
    <w:rsid w:val="446B0669"/>
    <w:rsid w:val="446C618F"/>
    <w:rsid w:val="446E021C"/>
    <w:rsid w:val="44705C7F"/>
    <w:rsid w:val="44727C49"/>
    <w:rsid w:val="44735770"/>
    <w:rsid w:val="4473751E"/>
    <w:rsid w:val="44753296"/>
    <w:rsid w:val="44760DBC"/>
    <w:rsid w:val="447A4D50"/>
    <w:rsid w:val="447A6AFE"/>
    <w:rsid w:val="447B4624"/>
    <w:rsid w:val="447D039C"/>
    <w:rsid w:val="447F2366"/>
    <w:rsid w:val="44823C05"/>
    <w:rsid w:val="44827761"/>
    <w:rsid w:val="4484797D"/>
    <w:rsid w:val="448654A3"/>
    <w:rsid w:val="4487121B"/>
    <w:rsid w:val="44894F93"/>
    <w:rsid w:val="44896D41"/>
    <w:rsid w:val="448B0D0B"/>
    <w:rsid w:val="448C05DF"/>
    <w:rsid w:val="448E25A9"/>
    <w:rsid w:val="449556E6"/>
    <w:rsid w:val="44983428"/>
    <w:rsid w:val="44984918"/>
    <w:rsid w:val="449851D6"/>
    <w:rsid w:val="44986059"/>
    <w:rsid w:val="44986F84"/>
    <w:rsid w:val="449C6A74"/>
    <w:rsid w:val="449D0A3E"/>
    <w:rsid w:val="449F0313"/>
    <w:rsid w:val="44A2710B"/>
    <w:rsid w:val="44A41DCD"/>
    <w:rsid w:val="44A45929"/>
    <w:rsid w:val="44A65B45"/>
    <w:rsid w:val="44A818BD"/>
    <w:rsid w:val="44A91191"/>
    <w:rsid w:val="44AB6CB7"/>
    <w:rsid w:val="44AF0F08"/>
    <w:rsid w:val="44B244EA"/>
    <w:rsid w:val="44B55D88"/>
    <w:rsid w:val="44B57B36"/>
    <w:rsid w:val="44B77EA1"/>
    <w:rsid w:val="44B85878"/>
    <w:rsid w:val="44B87626"/>
    <w:rsid w:val="44BA514C"/>
    <w:rsid w:val="44BC2C73"/>
    <w:rsid w:val="44BF2763"/>
    <w:rsid w:val="44C10289"/>
    <w:rsid w:val="44C1472D"/>
    <w:rsid w:val="44C164DB"/>
    <w:rsid w:val="44C4421D"/>
    <w:rsid w:val="44C9538F"/>
    <w:rsid w:val="44CA6317"/>
    <w:rsid w:val="44CB55AC"/>
    <w:rsid w:val="44D206E8"/>
    <w:rsid w:val="44D31C9D"/>
    <w:rsid w:val="44D501D8"/>
    <w:rsid w:val="44D53D34"/>
    <w:rsid w:val="44DA46CB"/>
    <w:rsid w:val="44DC1567"/>
    <w:rsid w:val="44DC3315"/>
    <w:rsid w:val="44DC50C3"/>
    <w:rsid w:val="44DD1BBC"/>
    <w:rsid w:val="44DE52DF"/>
    <w:rsid w:val="44E126D9"/>
    <w:rsid w:val="44E16B7D"/>
    <w:rsid w:val="44E328F5"/>
    <w:rsid w:val="44E35A2E"/>
    <w:rsid w:val="44E65F41"/>
    <w:rsid w:val="44E67CEF"/>
    <w:rsid w:val="44E84CF1"/>
    <w:rsid w:val="44EC107E"/>
    <w:rsid w:val="44EE3048"/>
    <w:rsid w:val="44F00B6E"/>
    <w:rsid w:val="44F06DC0"/>
    <w:rsid w:val="44F24093"/>
    <w:rsid w:val="44F3065E"/>
    <w:rsid w:val="44F468B0"/>
    <w:rsid w:val="44F71EFD"/>
    <w:rsid w:val="44F93EC7"/>
    <w:rsid w:val="44FA379B"/>
    <w:rsid w:val="44FC39B7"/>
    <w:rsid w:val="44FC7513"/>
    <w:rsid w:val="44FD11A6"/>
    <w:rsid w:val="44FF34A7"/>
    <w:rsid w:val="44FF7003"/>
    <w:rsid w:val="45010FCD"/>
    <w:rsid w:val="45012D7B"/>
    <w:rsid w:val="45036AF3"/>
    <w:rsid w:val="4504286C"/>
    <w:rsid w:val="4504461A"/>
    <w:rsid w:val="45062140"/>
    <w:rsid w:val="45085EB8"/>
    <w:rsid w:val="45097E82"/>
    <w:rsid w:val="450B59A8"/>
    <w:rsid w:val="450E35BB"/>
    <w:rsid w:val="450F36EA"/>
    <w:rsid w:val="45102FBE"/>
    <w:rsid w:val="451309FC"/>
    <w:rsid w:val="45132AAF"/>
    <w:rsid w:val="4517434D"/>
    <w:rsid w:val="45191BF7"/>
    <w:rsid w:val="45196317"/>
    <w:rsid w:val="451E1B7F"/>
    <w:rsid w:val="451F76A5"/>
    <w:rsid w:val="452151CC"/>
    <w:rsid w:val="45232CF2"/>
    <w:rsid w:val="45237196"/>
    <w:rsid w:val="45244351"/>
    <w:rsid w:val="45244CBC"/>
    <w:rsid w:val="452627E2"/>
    <w:rsid w:val="45280308"/>
    <w:rsid w:val="452A0524"/>
    <w:rsid w:val="452B1BA6"/>
    <w:rsid w:val="452B604A"/>
    <w:rsid w:val="453018B3"/>
    <w:rsid w:val="453273D9"/>
    <w:rsid w:val="4534013F"/>
    <w:rsid w:val="45343151"/>
    <w:rsid w:val="453749EF"/>
    <w:rsid w:val="4537679D"/>
    <w:rsid w:val="45392515"/>
    <w:rsid w:val="453A628D"/>
    <w:rsid w:val="453B44DF"/>
    <w:rsid w:val="453C0257"/>
    <w:rsid w:val="453C2005"/>
    <w:rsid w:val="453C3DB3"/>
    <w:rsid w:val="453E5D7D"/>
    <w:rsid w:val="454113CA"/>
    <w:rsid w:val="4541586E"/>
    <w:rsid w:val="454315E6"/>
    <w:rsid w:val="45442C68"/>
    <w:rsid w:val="454669E0"/>
    <w:rsid w:val="454964D0"/>
    <w:rsid w:val="454A2974"/>
    <w:rsid w:val="454A4722"/>
    <w:rsid w:val="454B2248"/>
    <w:rsid w:val="454E0A4E"/>
    <w:rsid w:val="454F3AE7"/>
    <w:rsid w:val="45504AAF"/>
    <w:rsid w:val="45533430"/>
    <w:rsid w:val="4554734F"/>
    <w:rsid w:val="45576E3F"/>
    <w:rsid w:val="45594965"/>
    <w:rsid w:val="45596713"/>
    <w:rsid w:val="455A06DD"/>
    <w:rsid w:val="455A6FF1"/>
    <w:rsid w:val="455C6204"/>
    <w:rsid w:val="4561381A"/>
    <w:rsid w:val="45617CBE"/>
    <w:rsid w:val="45633A36"/>
    <w:rsid w:val="45637592"/>
    <w:rsid w:val="45682DFA"/>
    <w:rsid w:val="45684BA8"/>
    <w:rsid w:val="45695656"/>
    <w:rsid w:val="456A0921"/>
    <w:rsid w:val="456B6447"/>
    <w:rsid w:val="456E5E6B"/>
    <w:rsid w:val="456F4189"/>
    <w:rsid w:val="45701CAF"/>
    <w:rsid w:val="45703A5D"/>
    <w:rsid w:val="45706D26"/>
    <w:rsid w:val="45717F01"/>
    <w:rsid w:val="45720E7A"/>
    <w:rsid w:val="45736708"/>
    <w:rsid w:val="457572C5"/>
    <w:rsid w:val="45777A95"/>
    <w:rsid w:val="45790E33"/>
    <w:rsid w:val="45796DB6"/>
    <w:rsid w:val="457B2B2E"/>
    <w:rsid w:val="457C68A6"/>
    <w:rsid w:val="457E261E"/>
    <w:rsid w:val="457E43CC"/>
    <w:rsid w:val="457F1EF2"/>
    <w:rsid w:val="45806396"/>
    <w:rsid w:val="458319E2"/>
    <w:rsid w:val="45837C34"/>
    <w:rsid w:val="458539AC"/>
    <w:rsid w:val="45877724"/>
    <w:rsid w:val="4587774F"/>
    <w:rsid w:val="4588524B"/>
    <w:rsid w:val="458A0FC3"/>
    <w:rsid w:val="458B0897"/>
    <w:rsid w:val="458D0AB3"/>
    <w:rsid w:val="458D460F"/>
    <w:rsid w:val="45921C25"/>
    <w:rsid w:val="45941D53"/>
    <w:rsid w:val="45941E41"/>
    <w:rsid w:val="45961716"/>
    <w:rsid w:val="4597548E"/>
    <w:rsid w:val="4597723C"/>
    <w:rsid w:val="45992FB4"/>
    <w:rsid w:val="459B4F7E"/>
    <w:rsid w:val="459C2AA4"/>
    <w:rsid w:val="459C4852"/>
    <w:rsid w:val="459D73E9"/>
    <w:rsid w:val="459E05CA"/>
    <w:rsid w:val="459F6E66"/>
    <w:rsid w:val="45A007E6"/>
    <w:rsid w:val="45A02594"/>
    <w:rsid w:val="45A656D1"/>
    <w:rsid w:val="45A71B75"/>
    <w:rsid w:val="45A92AE9"/>
    <w:rsid w:val="45AD4CB1"/>
    <w:rsid w:val="45AD6A5F"/>
    <w:rsid w:val="45AF0A29"/>
    <w:rsid w:val="45B07DEB"/>
    <w:rsid w:val="45B46040"/>
    <w:rsid w:val="45B61DB8"/>
    <w:rsid w:val="45B778DE"/>
    <w:rsid w:val="45B8657D"/>
    <w:rsid w:val="45B93656"/>
    <w:rsid w:val="45BB5620"/>
    <w:rsid w:val="45BC6CA2"/>
    <w:rsid w:val="45BD0F5F"/>
    <w:rsid w:val="45BE6EBE"/>
    <w:rsid w:val="45BF5840"/>
    <w:rsid w:val="45C049E4"/>
    <w:rsid w:val="45C1250B"/>
    <w:rsid w:val="45C22200"/>
    <w:rsid w:val="45C30031"/>
    <w:rsid w:val="45C33690"/>
    <w:rsid w:val="45C344D5"/>
    <w:rsid w:val="45C36283"/>
    <w:rsid w:val="45C74BE2"/>
    <w:rsid w:val="45C75D73"/>
    <w:rsid w:val="45C83899"/>
    <w:rsid w:val="45CB1829"/>
    <w:rsid w:val="45CC3389"/>
    <w:rsid w:val="45CD7101"/>
    <w:rsid w:val="45CE5353"/>
    <w:rsid w:val="45CF4C28"/>
    <w:rsid w:val="45D05C94"/>
    <w:rsid w:val="45D205B4"/>
    <w:rsid w:val="45D24718"/>
    <w:rsid w:val="45D40490"/>
    <w:rsid w:val="45D42CC6"/>
    <w:rsid w:val="45D466E2"/>
    <w:rsid w:val="45D50676"/>
    <w:rsid w:val="45D65FB6"/>
    <w:rsid w:val="45D71D2E"/>
    <w:rsid w:val="45D97854"/>
    <w:rsid w:val="45DC10F2"/>
    <w:rsid w:val="45DD5596"/>
    <w:rsid w:val="45DE130F"/>
    <w:rsid w:val="45E16709"/>
    <w:rsid w:val="45E2495B"/>
    <w:rsid w:val="45E5269D"/>
    <w:rsid w:val="45E5444B"/>
    <w:rsid w:val="45E83F1B"/>
    <w:rsid w:val="45E87A97"/>
    <w:rsid w:val="45E953AB"/>
    <w:rsid w:val="45EB289C"/>
    <w:rsid w:val="45EE7D8D"/>
    <w:rsid w:val="45EF0E26"/>
    <w:rsid w:val="45EF7078"/>
    <w:rsid w:val="45F12DF0"/>
    <w:rsid w:val="45F34DBA"/>
    <w:rsid w:val="45F428E0"/>
    <w:rsid w:val="45F4468E"/>
    <w:rsid w:val="45F621B4"/>
    <w:rsid w:val="45F66658"/>
    <w:rsid w:val="45F8417E"/>
    <w:rsid w:val="45F97EF6"/>
    <w:rsid w:val="45FB77CB"/>
    <w:rsid w:val="45FC3543"/>
    <w:rsid w:val="45FE72BB"/>
    <w:rsid w:val="460074D7"/>
    <w:rsid w:val="46020B59"/>
    <w:rsid w:val="46024FFD"/>
    <w:rsid w:val="46026DAB"/>
    <w:rsid w:val="46040D75"/>
    <w:rsid w:val="460436F4"/>
    <w:rsid w:val="46054AED"/>
    <w:rsid w:val="46072613"/>
    <w:rsid w:val="460743C1"/>
    <w:rsid w:val="46081EE8"/>
    <w:rsid w:val="4609638B"/>
    <w:rsid w:val="460A5E25"/>
    <w:rsid w:val="460C19D8"/>
    <w:rsid w:val="460F14C8"/>
    <w:rsid w:val="460F3276"/>
    <w:rsid w:val="46113492"/>
    <w:rsid w:val="46115240"/>
    <w:rsid w:val="46130FB8"/>
    <w:rsid w:val="4614088C"/>
    <w:rsid w:val="46141AA7"/>
    <w:rsid w:val="46153E08"/>
    <w:rsid w:val="4618037D"/>
    <w:rsid w:val="461B1C1B"/>
    <w:rsid w:val="461E02FB"/>
    <w:rsid w:val="461E170B"/>
    <w:rsid w:val="46205483"/>
    <w:rsid w:val="46222FA9"/>
    <w:rsid w:val="46250CEB"/>
    <w:rsid w:val="46256F3D"/>
    <w:rsid w:val="46276812"/>
    <w:rsid w:val="46284338"/>
    <w:rsid w:val="462A6302"/>
    <w:rsid w:val="462C5BD6"/>
    <w:rsid w:val="462F3918"/>
    <w:rsid w:val="4631143E"/>
    <w:rsid w:val="46317690"/>
    <w:rsid w:val="46326F64"/>
    <w:rsid w:val="46337C01"/>
    <w:rsid w:val="46352521"/>
    <w:rsid w:val="46362EF9"/>
    <w:rsid w:val="46380A1F"/>
    <w:rsid w:val="46386C71"/>
    <w:rsid w:val="46396545"/>
    <w:rsid w:val="463A6393"/>
    <w:rsid w:val="463D6035"/>
    <w:rsid w:val="463D6469"/>
    <w:rsid w:val="464253F9"/>
    <w:rsid w:val="46431172"/>
    <w:rsid w:val="46445615"/>
    <w:rsid w:val="4646138E"/>
    <w:rsid w:val="46476EB4"/>
    <w:rsid w:val="46491E27"/>
    <w:rsid w:val="464A2500"/>
    <w:rsid w:val="464B69A4"/>
    <w:rsid w:val="464B7318"/>
    <w:rsid w:val="464D2E24"/>
    <w:rsid w:val="46503FBA"/>
    <w:rsid w:val="4651388E"/>
    <w:rsid w:val="465313B5"/>
    <w:rsid w:val="4654337F"/>
    <w:rsid w:val="4654512D"/>
    <w:rsid w:val="465515D1"/>
    <w:rsid w:val="46565349"/>
    <w:rsid w:val="465869CB"/>
    <w:rsid w:val="465A2DAC"/>
    <w:rsid w:val="465A6BE7"/>
    <w:rsid w:val="465D66D7"/>
    <w:rsid w:val="465F41FD"/>
    <w:rsid w:val="465F578E"/>
    <w:rsid w:val="465F5FAB"/>
    <w:rsid w:val="466435C2"/>
    <w:rsid w:val="466730B2"/>
    <w:rsid w:val="46690BD8"/>
    <w:rsid w:val="46697CD0"/>
    <w:rsid w:val="466A4950"/>
    <w:rsid w:val="466C2476"/>
    <w:rsid w:val="466E4440"/>
    <w:rsid w:val="4670640B"/>
    <w:rsid w:val="46717A8D"/>
    <w:rsid w:val="46753A21"/>
    <w:rsid w:val="467557CF"/>
    <w:rsid w:val="46756273"/>
    <w:rsid w:val="467622D4"/>
    <w:rsid w:val="467632F5"/>
    <w:rsid w:val="467852BF"/>
    <w:rsid w:val="467D4684"/>
    <w:rsid w:val="467F664E"/>
    <w:rsid w:val="46804174"/>
    <w:rsid w:val="46841EB6"/>
    <w:rsid w:val="46845A12"/>
    <w:rsid w:val="468477C0"/>
    <w:rsid w:val="468679DC"/>
    <w:rsid w:val="46872E38"/>
    <w:rsid w:val="4689127A"/>
    <w:rsid w:val="468A0B4E"/>
    <w:rsid w:val="468A6DA0"/>
    <w:rsid w:val="468C0D6B"/>
    <w:rsid w:val="468C2B19"/>
    <w:rsid w:val="468E6891"/>
    <w:rsid w:val="4690085B"/>
    <w:rsid w:val="469043B7"/>
    <w:rsid w:val="4691012F"/>
    <w:rsid w:val="46933EA7"/>
    <w:rsid w:val="46963997"/>
    <w:rsid w:val="4698326B"/>
    <w:rsid w:val="4698770F"/>
    <w:rsid w:val="469A3487"/>
    <w:rsid w:val="469B2D5C"/>
    <w:rsid w:val="469D0882"/>
    <w:rsid w:val="469D2F78"/>
    <w:rsid w:val="469F45FA"/>
    <w:rsid w:val="46A240EA"/>
    <w:rsid w:val="46A43EC2"/>
    <w:rsid w:val="46A47E62"/>
    <w:rsid w:val="46A63BDA"/>
    <w:rsid w:val="46A72843"/>
    <w:rsid w:val="46A77952"/>
    <w:rsid w:val="46AC31BB"/>
    <w:rsid w:val="46AC4F69"/>
    <w:rsid w:val="46AC6D17"/>
    <w:rsid w:val="46AE6F33"/>
    <w:rsid w:val="46AF0FD5"/>
    <w:rsid w:val="46B02CAB"/>
    <w:rsid w:val="46B06807"/>
    <w:rsid w:val="46B439B7"/>
    <w:rsid w:val="46B5206F"/>
    <w:rsid w:val="46B75DE7"/>
    <w:rsid w:val="46B81B60"/>
    <w:rsid w:val="46B8390E"/>
    <w:rsid w:val="46B856BC"/>
    <w:rsid w:val="46BA1434"/>
    <w:rsid w:val="46BA58D8"/>
    <w:rsid w:val="46BA7686"/>
    <w:rsid w:val="46BB51AC"/>
    <w:rsid w:val="46BB7578"/>
    <w:rsid w:val="46BC1650"/>
    <w:rsid w:val="46C16C66"/>
    <w:rsid w:val="46C2478C"/>
    <w:rsid w:val="46C2653A"/>
    <w:rsid w:val="46C422B2"/>
    <w:rsid w:val="46C6602A"/>
    <w:rsid w:val="46C95B1B"/>
    <w:rsid w:val="46C9680A"/>
    <w:rsid w:val="46C978C9"/>
    <w:rsid w:val="46CC73B9"/>
    <w:rsid w:val="46CE4EDF"/>
    <w:rsid w:val="46CE5D9A"/>
    <w:rsid w:val="46D00020"/>
    <w:rsid w:val="46D02A05"/>
    <w:rsid w:val="46D22C21"/>
    <w:rsid w:val="46D30747"/>
    <w:rsid w:val="46D4598F"/>
    <w:rsid w:val="46D52711"/>
    <w:rsid w:val="46D53159"/>
    <w:rsid w:val="46D5626E"/>
    <w:rsid w:val="46D70238"/>
    <w:rsid w:val="46D87B0C"/>
    <w:rsid w:val="46DD3374"/>
    <w:rsid w:val="46E12E64"/>
    <w:rsid w:val="46E22739"/>
    <w:rsid w:val="46E36784"/>
    <w:rsid w:val="46E42955"/>
    <w:rsid w:val="46E6047B"/>
    <w:rsid w:val="46E75FA1"/>
    <w:rsid w:val="46E841F3"/>
    <w:rsid w:val="46E91D19"/>
    <w:rsid w:val="46E97F6B"/>
    <w:rsid w:val="46EA51C7"/>
    <w:rsid w:val="46EC35B7"/>
    <w:rsid w:val="46ED2407"/>
    <w:rsid w:val="46ED7A5B"/>
    <w:rsid w:val="46F10BCE"/>
    <w:rsid w:val="46F13959"/>
    <w:rsid w:val="46F25071"/>
    <w:rsid w:val="46F506BE"/>
    <w:rsid w:val="46F54B62"/>
    <w:rsid w:val="46F72688"/>
    <w:rsid w:val="46F74436"/>
    <w:rsid w:val="46F74BFA"/>
    <w:rsid w:val="46F801AE"/>
    <w:rsid w:val="46F81F5C"/>
    <w:rsid w:val="46F909AA"/>
    <w:rsid w:val="46FA2178"/>
    <w:rsid w:val="46FA3F26"/>
    <w:rsid w:val="46FB3202"/>
    <w:rsid w:val="46FC1A4C"/>
    <w:rsid w:val="46FC37FA"/>
    <w:rsid w:val="46FD57C4"/>
    <w:rsid w:val="46FE3A16"/>
    <w:rsid w:val="46FF153C"/>
    <w:rsid w:val="46FF32EA"/>
    <w:rsid w:val="47013507"/>
    <w:rsid w:val="47017063"/>
    <w:rsid w:val="47022DDB"/>
    <w:rsid w:val="47061B1E"/>
    <w:rsid w:val="470628CB"/>
    <w:rsid w:val="47064679"/>
    <w:rsid w:val="47072FAE"/>
    <w:rsid w:val="470C5990"/>
    <w:rsid w:val="471054F8"/>
    <w:rsid w:val="471072A6"/>
    <w:rsid w:val="47136D96"/>
    <w:rsid w:val="47152B0E"/>
    <w:rsid w:val="47183FC1"/>
    <w:rsid w:val="47190850"/>
    <w:rsid w:val="471A1ED2"/>
    <w:rsid w:val="471C20EE"/>
    <w:rsid w:val="471D1659"/>
    <w:rsid w:val="471E2247"/>
    <w:rsid w:val="471E7C15"/>
    <w:rsid w:val="472114B3"/>
    <w:rsid w:val="47213261"/>
    <w:rsid w:val="47217705"/>
    <w:rsid w:val="47224B4B"/>
    <w:rsid w:val="47230F03"/>
    <w:rsid w:val="47256537"/>
    <w:rsid w:val="47264D1B"/>
    <w:rsid w:val="47280A93"/>
    <w:rsid w:val="47290367"/>
    <w:rsid w:val="4729480B"/>
    <w:rsid w:val="472965B9"/>
    <w:rsid w:val="472B0583"/>
    <w:rsid w:val="472B2331"/>
    <w:rsid w:val="472B40E0"/>
    <w:rsid w:val="473016F6"/>
    <w:rsid w:val="47302557"/>
    <w:rsid w:val="47305B9A"/>
    <w:rsid w:val="47307948"/>
    <w:rsid w:val="47321912"/>
    <w:rsid w:val="4732546E"/>
    <w:rsid w:val="47332F94"/>
    <w:rsid w:val="47356D0C"/>
    <w:rsid w:val="47370CD6"/>
    <w:rsid w:val="47372A84"/>
    <w:rsid w:val="47394A4E"/>
    <w:rsid w:val="473A07C7"/>
    <w:rsid w:val="473A4323"/>
    <w:rsid w:val="473E02B7"/>
    <w:rsid w:val="473F7B8B"/>
    <w:rsid w:val="47431429"/>
    <w:rsid w:val="474358CD"/>
    <w:rsid w:val="474451A1"/>
    <w:rsid w:val="474653BD"/>
    <w:rsid w:val="4746716B"/>
    <w:rsid w:val="47484C91"/>
    <w:rsid w:val="47490A0A"/>
    <w:rsid w:val="474A6C5C"/>
    <w:rsid w:val="474B29D4"/>
    <w:rsid w:val="474D674C"/>
    <w:rsid w:val="474E5743"/>
    <w:rsid w:val="474E6020"/>
    <w:rsid w:val="474F17A4"/>
    <w:rsid w:val="47501D98"/>
    <w:rsid w:val="475353E4"/>
    <w:rsid w:val="47555600"/>
    <w:rsid w:val="47561677"/>
    <w:rsid w:val="47577F36"/>
    <w:rsid w:val="475B1488"/>
    <w:rsid w:val="475C073D"/>
    <w:rsid w:val="475C698F"/>
    <w:rsid w:val="475D3DA8"/>
    <w:rsid w:val="475E44B5"/>
    <w:rsid w:val="475F022D"/>
    <w:rsid w:val="475F1FDB"/>
    <w:rsid w:val="475F3D89"/>
    <w:rsid w:val="47633879"/>
    <w:rsid w:val="476615BC"/>
    <w:rsid w:val="47664C5B"/>
    <w:rsid w:val="47665118"/>
    <w:rsid w:val="47694C08"/>
    <w:rsid w:val="476B0980"/>
    <w:rsid w:val="476B6BD2"/>
    <w:rsid w:val="476F0470"/>
    <w:rsid w:val="476F66C2"/>
    <w:rsid w:val="477041E8"/>
    <w:rsid w:val="47705F96"/>
    <w:rsid w:val="477737C9"/>
    <w:rsid w:val="47775577"/>
    <w:rsid w:val="47794A11"/>
    <w:rsid w:val="47794E4B"/>
    <w:rsid w:val="477C0DDF"/>
    <w:rsid w:val="477C2B8D"/>
    <w:rsid w:val="477D4822"/>
    <w:rsid w:val="477F442B"/>
    <w:rsid w:val="47833F1C"/>
    <w:rsid w:val="47855EE6"/>
    <w:rsid w:val="47881532"/>
    <w:rsid w:val="478B2DD0"/>
    <w:rsid w:val="478D4D9A"/>
    <w:rsid w:val="478D6B48"/>
    <w:rsid w:val="478E2BD5"/>
    <w:rsid w:val="478F466E"/>
    <w:rsid w:val="47906638"/>
    <w:rsid w:val="47941C85"/>
    <w:rsid w:val="47946129"/>
    <w:rsid w:val="47953C4F"/>
    <w:rsid w:val="47971775"/>
    <w:rsid w:val="47981849"/>
    <w:rsid w:val="4799373F"/>
    <w:rsid w:val="4799729B"/>
    <w:rsid w:val="479C322F"/>
    <w:rsid w:val="479C4FDD"/>
    <w:rsid w:val="479E2B03"/>
    <w:rsid w:val="479E48B1"/>
    <w:rsid w:val="479E6FA7"/>
    <w:rsid w:val="479F062A"/>
    <w:rsid w:val="47A0687C"/>
    <w:rsid w:val="47A125F4"/>
    <w:rsid w:val="47A45C40"/>
    <w:rsid w:val="47A619B8"/>
    <w:rsid w:val="47A65E5C"/>
    <w:rsid w:val="47AD0F98"/>
    <w:rsid w:val="47AD2D46"/>
    <w:rsid w:val="47AF2F63"/>
    <w:rsid w:val="47AF4ADF"/>
    <w:rsid w:val="47B10A89"/>
    <w:rsid w:val="47B16CDB"/>
    <w:rsid w:val="47B2035D"/>
    <w:rsid w:val="47B24801"/>
    <w:rsid w:val="47B40579"/>
    <w:rsid w:val="47B440D5"/>
    <w:rsid w:val="47B71E17"/>
    <w:rsid w:val="47B972D2"/>
    <w:rsid w:val="47C167F2"/>
    <w:rsid w:val="47C22C96"/>
    <w:rsid w:val="47C3256A"/>
    <w:rsid w:val="47C54534"/>
    <w:rsid w:val="47C562E2"/>
    <w:rsid w:val="47C702AC"/>
    <w:rsid w:val="47C84024"/>
    <w:rsid w:val="47C85DD2"/>
    <w:rsid w:val="47CD163B"/>
    <w:rsid w:val="47CF53B3"/>
    <w:rsid w:val="47CF7161"/>
    <w:rsid w:val="47D14C87"/>
    <w:rsid w:val="47D227AD"/>
    <w:rsid w:val="47D40EB8"/>
    <w:rsid w:val="47D429C9"/>
    <w:rsid w:val="47D6229D"/>
    <w:rsid w:val="47D66741"/>
    <w:rsid w:val="47D77DC3"/>
    <w:rsid w:val="47D868BC"/>
    <w:rsid w:val="47D93B3C"/>
    <w:rsid w:val="47DB78B4"/>
    <w:rsid w:val="47DC187E"/>
    <w:rsid w:val="47DE1152"/>
    <w:rsid w:val="47DE522A"/>
    <w:rsid w:val="47DE7B5D"/>
    <w:rsid w:val="47DF247D"/>
    <w:rsid w:val="47E250E6"/>
    <w:rsid w:val="47E30E5E"/>
    <w:rsid w:val="47E32C53"/>
    <w:rsid w:val="47EA5D49"/>
    <w:rsid w:val="47EA7AF7"/>
    <w:rsid w:val="47ED3A8B"/>
    <w:rsid w:val="47EF335F"/>
    <w:rsid w:val="47F10235"/>
    <w:rsid w:val="47F210A1"/>
    <w:rsid w:val="47F95BF5"/>
    <w:rsid w:val="47F95F8C"/>
    <w:rsid w:val="47F96FE2"/>
    <w:rsid w:val="47FC782A"/>
    <w:rsid w:val="47FF6E96"/>
    <w:rsid w:val="4800731A"/>
    <w:rsid w:val="48013092"/>
    <w:rsid w:val="480212E4"/>
    <w:rsid w:val="48027536"/>
    <w:rsid w:val="48030BB8"/>
    <w:rsid w:val="48064BDF"/>
    <w:rsid w:val="480701F9"/>
    <w:rsid w:val="480706A9"/>
    <w:rsid w:val="4808425A"/>
    <w:rsid w:val="48092B19"/>
    <w:rsid w:val="480A0199"/>
    <w:rsid w:val="480A1F47"/>
    <w:rsid w:val="480C2163"/>
    <w:rsid w:val="480E5EDB"/>
    <w:rsid w:val="480F1C53"/>
    <w:rsid w:val="480F57AF"/>
    <w:rsid w:val="481132D5"/>
    <w:rsid w:val="4812704D"/>
    <w:rsid w:val="481334F1"/>
    <w:rsid w:val="48141018"/>
    <w:rsid w:val="48142DC6"/>
    <w:rsid w:val="481903DC"/>
    <w:rsid w:val="481951DF"/>
    <w:rsid w:val="481A3A9E"/>
    <w:rsid w:val="481B05F8"/>
    <w:rsid w:val="481B4154"/>
    <w:rsid w:val="4820176A"/>
    <w:rsid w:val="482024E1"/>
    <w:rsid w:val="48223734"/>
    <w:rsid w:val="48233009"/>
    <w:rsid w:val="48253225"/>
    <w:rsid w:val="48256D81"/>
    <w:rsid w:val="482760A2"/>
    <w:rsid w:val="48276F9D"/>
    <w:rsid w:val="4828061F"/>
    <w:rsid w:val="48284AC3"/>
    <w:rsid w:val="48286871"/>
    <w:rsid w:val="482C6361"/>
    <w:rsid w:val="482D3E87"/>
    <w:rsid w:val="482F19AD"/>
    <w:rsid w:val="482F7BFF"/>
    <w:rsid w:val="48313978"/>
    <w:rsid w:val="48315726"/>
    <w:rsid w:val="48345216"/>
    <w:rsid w:val="483A4518"/>
    <w:rsid w:val="483B0352"/>
    <w:rsid w:val="483B2A48"/>
    <w:rsid w:val="483B47F6"/>
    <w:rsid w:val="483D45DA"/>
    <w:rsid w:val="48403BBB"/>
    <w:rsid w:val="48427933"/>
    <w:rsid w:val="484418FD"/>
    <w:rsid w:val="48457423"/>
    <w:rsid w:val="4847426C"/>
    <w:rsid w:val="48474F49"/>
    <w:rsid w:val="48482A6F"/>
    <w:rsid w:val="48496F13"/>
    <w:rsid w:val="484A2C8B"/>
    <w:rsid w:val="484D62D8"/>
    <w:rsid w:val="484E4529"/>
    <w:rsid w:val="484F3DFE"/>
    <w:rsid w:val="484F69EF"/>
    <w:rsid w:val="48537D92"/>
    <w:rsid w:val="48561630"/>
    <w:rsid w:val="4856518C"/>
    <w:rsid w:val="48575181"/>
    <w:rsid w:val="485853A8"/>
    <w:rsid w:val="48592672"/>
    <w:rsid w:val="48592ECE"/>
    <w:rsid w:val="48594C7C"/>
    <w:rsid w:val="485B09F4"/>
    <w:rsid w:val="48623B31"/>
    <w:rsid w:val="48627FD5"/>
    <w:rsid w:val="48655C56"/>
    <w:rsid w:val="4867383D"/>
    <w:rsid w:val="48677399"/>
    <w:rsid w:val="48684EBF"/>
    <w:rsid w:val="48691363"/>
    <w:rsid w:val="48692837"/>
    <w:rsid w:val="48697596"/>
    <w:rsid w:val="486A50DB"/>
    <w:rsid w:val="486C0E54"/>
    <w:rsid w:val="486D24D6"/>
    <w:rsid w:val="486E0728"/>
    <w:rsid w:val="486E697A"/>
    <w:rsid w:val="486F26F2"/>
    <w:rsid w:val="486F624E"/>
    <w:rsid w:val="487108F9"/>
    <w:rsid w:val="48711FC6"/>
    <w:rsid w:val="48733F90"/>
    <w:rsid w:val="48741AB6"/>
    <w:rsid w:val="48743864"/>
    <w:rsid w:val="487675DC"/>
    <w:rsid w:val="48790E7B"/>
    <w:rsid w:val="4879708B"/>
    <w:rsid w:val="487970CD"/>
    <w:rsid w:val="487A531F"/>
    <w:rsid w:val="487B1097"/>
    <w:rsid w:val="487B2E45"/>
    <w:rsid w:val="487D4E0F"/>
    <w:rsid w:val="487E46E3"/>
    <w:rsid w:val="487F2935"/>
    <w:rsid w:val="487F5FB0"/>
    <w:rsid w:val="4880045B"/>
    <w:rsid w:val="488241D3"/>
    <w:rsid w:val="48831CF9"/>
    <w:rsid w:val="48883FAF"/>
    <w:rsid w:val="48897310"/>
    <w:rsid w:val="488A3088"/>
    <w:rsid w:val="488C5052"/>
    <w:rsid w:val="488C6E00"/>
    <w:rsid w:val="488E2B78"/>
    <w:rsid w:val="488E4926"/>
    <w:rsid w:val="488F069E"/>
    <w:rsid w:val="48902741"/>
    <w:rsid w:val="48934632"/>
    <w:rsid w:val="489A776F"/>
    <w:rsid w:val="489B34E7"/>
    <w:rsid w:val="489B7043"/>
    <w:rsid w:val="48A30BB7"/>
    <w:rsid w:val="48A405ED"/>
    <w:rsid w:val="48A42047"/>
    <w:rsid w:val="48A759E8"/>
    <w:rsid w:val="48A96D19"/>
    <w:rsid w:val="48A979B2"/>
    <w:rsid w:val="48AA54D8"/>
    <w:rsid w:val="48AB197C"/>
    <w:rsid w:val="48AC2FFE"/>
    <w:rsid w:val="48B52FCC"/>
    <w:rsid w:val="48B63E7D"/>
    <w:rsid w:val="48B84099"/>
    <w:rsid w:val="48B85E47"/>
    <w:rsid w:val="48B9451E"/>
    <w:rsid w:val="48BA396D"/>
    <w:rsid w:val="48BB1493"/>
    <w:rsid w:val="48BC3E65"/>
    <w:rsid w:val="48BF71D5"/>
    <w:rsid w:val="48C06AA9"/>
    <w:rsid w:val="48C14140"/>
    <w:rsid w:val="48C36A60"/>
    <w:rsid w:val="48C4659A"/>
    <w:rsid w:val="48C540C0"/>
    <w:rsid w:val="48C91E02"/>
    <w:rsid w:val="48CE7418"/>
    <w:rsid w:val="48D16F09"/>
    <w:rsid w:val="48D567ED"/>
    <w:rsid w:val="48D662CD"/>
    <w:rsid w:val="48DA7B6B"/>
    <w:rsid w:val="48DD3AFF"/>
    <w:rsid w:val="48E1539E"/>
    <w:rsid w:val="48E1714C"/>
    <w:rsid w:val="48E22EC4"/>
    <w:rsid w:val="48E24BBA"/>
    <w:rsid w:val="48E42798"/>
    <w:rsid w:val="48E5353B"/>
    <w:rsid w:val="48E704DA"/>
    <w:rsid w:val="48EA3B26"/>
    <w:rsid w:val="48ED1CCD"/>
    <w:rsid w:val="48EE3617"/>
    <w:rsid w:val="48EE7ABB"/>
    <w:rsid w:val="48F03833"/>
    <w:rsid w:val="48F1321F"/>
    <w:rsid w:val="48F21359"/>
    <w:rsid w:val="48F36E7F"/>
    <w:rsid w:val="48F7696F"/>
    <w:rsid w:val="48F84495"/>
    <w:rsid w:val="48F86243"/>
    <w:rsid w:val="48F90270"/>
    <w:rsid w:val="48FA1FBB"/>
    <w:rsid w:val="48FA7BF0"/>
    <w:rsid w:val="48FB42D1"/>
    <w:rsid w:val="48FB5D34"/>
    <w:rsid w:val="48FD1AAC"/>
    <w:rsid w:val="48FF5824"/>
    <w:rsid w:val="49044BE8"/>
    <w:rsid w:val="49080B7C"/>
    <w:rsid w:val="49090450"/>
    <w:rsid w:val="4909445A"/>
    <w:rsid w:val="490948F4"/>
    <w:rsid w:val="490B41C9"/>
    <w:rsid w:val="490C1CEF"/>
    <w:rsid w:val="490D12B6"/>
    <w:rsid w:val="491017DF"/>
    <w:rsid w:val="49107A31"/>
    <w:rsid w:val="49115557"/>
    <w:rsid w:val="49117305"/>
    <w:rsid w:val="49155047"/>
    <w:rsid w:val="49180694"/>
    <w:rsid w:val="491A38BA"/>
    <w:rsid w:val="491C4628"/>
    <w:rsid w:val="491D5CAA"/>
    <w:rsid w:val="491F5EC6"/>
    <w:rsid w:val="49211C3E"/>
    <w:rsid w:val="492139EC"/>
    <w:rsid w:val="49221512"/>
    <w:rsid w:val="49227764"/>
    <w:rsid w:val="492434DC"/>
    <w:rsid w:val="49267254"/>
    <w:rsid w:val="4928477D"/>
    <w:rsid w:val="49284D7B"/>
    <w:rsid w:val="492928A1"/>
    <w:rsid w:val="492B486B"/>
    <w:rsid w:val="492C413F"/>
    <w:rsid w:val="492D2391"/>
    <w:rsid w:val="492E435B"/>
    <w:rsid w:val="492E6109"/>
    <w:rsid w:val="49315AE0"/>
    <w:rsid w:val="49321B41"/>
    <w:rsid w:val="49325BF9"/>
    <w:rsid w:val="49372DE2"/>
    <w:rsid w:val="49374FBE"/>
    <w:rsid w:val="49380D36"/>
    <w:rsid w:val="493A4AAE"/>
    <w:rsid w:val="493A685C"/>
    <w:rsid w:val="493C0826"/>
    <w:rsid w:val="493C2BF3"/>
    <w:rsid w:val="493C4382"/>
    <w:rsid w:val="49437E06"/>
    <w:rsid w:val="494553E6"/>
    <w:rsid w:val="49465201"/>
    <w:rsid w:val="49466876"/>
    <w:rsid w:val="49494CF1"/>
    <w:rsid w:val="494B0A69"/>
    <w:rsid w:val="494B6CBB"/>
    <w:rsid w:val="494D658F"/>
    <w:rsid w:val="494E0559"/>
    <w:rsid w:val="495042D1"/>
    <w:rsid w:val="4950607F"/>
    <w:rsid w:val="4951655A"/>
    <w:rsid w:val="49521DF7"/>
    <w:rsid w:val="49523BA5"/>
    <w:rsid w:val="49535B70"/>
    <w:rsid w:val="49557B3A"/>
    <w:rsid w:val="49575660"/>
    <w:rsid w:val="495913D8"/>
    <w:rsid w:val="495A0CAC"/>
    <w:rsid w:val="495A617C"/>
    <w:rsid w:val="495C67D2"/>
    <w:rsid w:val="495E69EE"/>
    <w:rsid w:val="495F4514"/>
    <w:rsid w:val="49627B61"/>
    <w:rsid w:val="49634005"/>
    <w:rsid w:val="496438D9"/>
    <w:rsid w:val="49647D7D"/>
    <w:rsid w:val="496658A3"/>
    <w:rsid w:val="4968636B"/>
    <w:rsid w:val="496C0591"/>
    <w:rsid w:val="496C3162"/>
    <w:rsid w:val="496D4E83"/>
    <w:rsid w:val="496F29A9"/>
    <w:rsid w:val="4970227E"/>
    <w:rsid w:val="49724248"/>
    <w:rsid w:val="49731D6E"/>
    <w:rsid w:val="49747FC0"/>
    <w:rsid w:val="49753D38"/>
    <w:rsid w:val="49755955"/>
    <w:rsid w:val="4977360C"/>
    <w:rsid w:val="497C0C22"/>
    <w:rsid w:val="497C2C57"/>
    <w:rsid w:val="497C50C6"/>
    <w:rsid w:val="497D499A"/>
    <w:rsid w:val="497E0E3E"/>
    <w:rsid w:val="49843F7B"/>
    <w:rsid w:val="498521CD"/>
    <w:rsid w:val="49867CF3"/>
    <w:rsid w:val="49885819"/>
    <w:rsid w:val="49886629"/>
    <w:rsid w:val="498875C7"/>
    <w:rsid w:val="498902F7"/>
    <w:rsid w:val="498B5309"/>
    <w:rsid w:val="498D1081"/>
    <w:rsid w:val="498D72D3"/>
    <w:rsid w:val="498E0956"/>
    <w:rsid w:val="49900B72"/>
    <w:rsid w:val="49902920"/>
    <w:rsid w:val="499046CE"/>
    <w:rsid w:val="49927B74"/>
    <w:rsid w:val="49950C2D"/>
    <w:rsid w:val="49975A5C"/>
    <w:rsid w:val="499A554C"/>
    <w:rsid w:val="499A72FA"/>
    <w:rsid w:val="499C12C5"/>
    <w:rsid w:val="499E6DEB"/>
    <w:rsid w:val="49A168DB"/>
    <w:rsid w:val="49A32653"/>
    <w:rsid w:val="49A62143"/>
    <w:rsid w:val="49AB641B"/>
    <w:rsid w:val="49AD5280"/>
    <w:rsid w:val="49AD702E"/>
    <w:rsid w:val="49B04973"/>
    <w:rsid w:val="49B04D70"/>
    <w:rsid w:val="49B14177"/>
    <w:rsid w:val="49B303BC"/>
    <w:rsid w:val="49B44860"/>
    <w:rsid w:val="49B54134"/>
    <w:rsid w:val="49B9337F"/>
    <w:rsid w:val="49BA799D"/>
    <w:rsid w:val="49BC3715"/>
    <w:rsid w:val="49BE56DF"/>
    <w:rsid w:val="49BE748D"/>
    <w:rsid w:val="49BF4FB3"/>
    <w:rsid w:val="49C01457"/>
    <w:rsid w:val="49C10D2B"/>
    <w:rsid w:val="49C425C9"/>
    <w:rsid w:val="49C5081B"/>
    <w:rsid w:val="49C64593"/>
    <w:rsid w:val="49C8030C"/>
    <w:rsid w:val="49CA7BE0"/>
    <w:rsid w:val="49CB1BAA"/>
    <w:rsid w:val="49CD5922"/>
    <w:rsid w:val="49CF224E"/>
    <w:rsid w:val="49D2118A"/>
    <w:rsid w:val="49D22F38"/>
    <w:rsid w:val="49D24CE6"/>
    <w:rsid w:val="49D2773F"/>
    <w:rsid w:val="49D4280C"/>
    <w:rsid w:val="49D547D7"/>
    <w:rsid w:val="49D722FD"/>
    <w:rsid w:val="49DC3DB7"/>
    <w:rsid w:val="49DC7913"/>
    <w:rsid w:val="49DD73A3"/>
    <w:rsid w:val="49DE08B3"/>
    <w:rsid w:val="49DE7B2F"/>
    <w:rsid w:val="49E04914"/>
    <w:rsid w:val="49E14F29"/>
    <w:rsid w:val="49E36EF3"/>
    <w:rsid w:val="49E50EBD"/>
    <w:rsid w:val="49E54A1A"/>
    <w:rsid w:val="49E60792"/>
    <w:rsid w:val="49E62540"/>
    <w:rsid w:val="49E669E4"/>
    <w:rsid w:val="49EA64D4"/>
    <w:rsid w:val="49EB1A27"/>
    <w:rsid w:val="49ED38CE"/>
    <w:rsid w:val="49F033BE"/>
    <w:rsid w:val="49F904C5"/>
    <w:rsid w:val="49FB423D"/>
    <w:rsid w:val="49FE1F7F"/>
    <w:rsid w:val="4A01538E"/>
    <w:rsid w:val="4A01737A"/>
    <w:rsid w:val="4A02381D"/>
    <w:rsid w:val="4A0330F2"/>
    <w:rsid w:val="4A05330E"/>
    <w:rsid w:val="4A056E6A"/>
    <w:rsid w:val="4A0A0924"/>
    <w:rsid w:val="4A0B1FA6"/>
    <w:rsid w:val="4A0D23DC"/>
    <w:rsid w:val="4A0F7CE8"/>
    <w:rsid w:val="4A111CB3"/>
    <w:rsid w:val="4A11580F"/>
    <w:rsid w:val="4A1277D9"/>
    <w:rsid w:val="4A1B48DF"/>
    <w:rsid w:val="4A1C41B3"/>
    <w:rsid w:val="4A1D0657"/>
    <w:rsid w:val="4A1E1CDA"/>
    <w:rsid w:val="4A2117CA"/>
    <w:rsid w:val="4A233794"/>
    <w:rsid w:val="4A235542"/>
    <w:rsid w:val="4A282B58"/>
    <w:rsid w:val="4A2A4B22"/>
    <w:rsid w:val="4A2D016F"/>
    <w:rsid w:val="4A2F3EE7"/>
    <w:rsid w:val="4A317C5F"/>
    <w:rsid w:val="4A3239D7"/>
    <w:rsid w:val="4A331C29"/>
    <w:rsid w:val="4A3414FD"/>
    <w:rsid w:val="4A34774F"/>
    <w:rsid w:val="4A3634C7"/>
    <w:rsid w:val="4A37002E"/>
    <w:rsid w:val="4A370FED"/>
    <w:rsid w:val="4A392FB7"/>
    <w:rsid w:val="4A3B288C"/>
    <w:rsid w:val="4A3D2AA8"/>
    <w:rsid w:val="4A404346"/>
    <w:rsid w:val="4A407EA2"/>
    <w:rsid w:val="4A413C1A"/>
    <w:rsid w:val="4A4200BE"/>
    <w:rsid w:val="4A431740"/>
    <w:rsid w:val="4A4756D4"/>
    <w:rsid w:val="4A477482"/>
    <w:rsid w:val="4A477D0F"/>
    <w:rsid w:val="4A4A2ACF"/>
    <w:rsid w:val="4A4A6F73"/>
    <w:rsid w:val="4A4D0811"/>
    <w:rsid w:val="4A4E6A63"/>
    <w:rsid w:val="4A5120AF"/>
    <w:rsid w:val="4A534079"/>
    <w:rsid w:val="4A5360C6"/>
    <w:rsid w:val="4A54394D"/>
    <w:rsid w:val="4A563B69"/>
    <w:rsid w:val="4A590F64"/>
    <w:rsid w:val="4A595408"/>
    <w:rsid w:val="4A5A3216"/>
    <w:rsid w:val="4A5B1180"/>
    <w:rsid w:val="4A5B4CDC"/>
    <w:rsid w:val="4A5C2802"/>
    <w:rsid w:val="4A5D76B3"/>
    <w:rsid w:val="4A5E0608"/>
    <w:rsid w:val="4A606796"/>
    <w:rsid w:val="4A62250E"/>
    <w:rsid w:val="4A633B90"/>
    <w:rsid w:val="4A657908"/>
    <w:rsid w:val="4A673681"/>
    <w:rsid w:val="4A69564B"/>
    <w:rsid w:val="4A6A4F1F"/>
    <w:rsid w:val="4A6C513B"/>
    <w:rsid w:val="4A6E0EB3"/>
    <w:rsid w:val="4A6F4C2B"/>
    <w:rsid w:val="4A70100A"/>
    <w:rsid w:val="4A722025"/>
    <w:rsid w:val="4A7364C9"/>
    <w:rsid w:val="4A742241"/>
    <w:rsid w:val="4A743F6F"/>
    <w:rsid w:val="4A745D9D"/>
    <w:rsid w:val="4A77763C"/>
    <w:rsid w:val="4A783AE0"/>
    <w:rsid w:val="4A7B537E"/>
    <w:rsid w:val="4A7C3D6C"/>
    <w:rsid w:val="4A800BE6"/>
    <w:rsid w:val="4A804742"/>
    <w:rsid w:val="4A8204BA"/>
    <w:rsid w:val="4A827A02"/>
    <w:rsid w:val="4A834233"/>
    <w:rsid w:val="4A835FE1"/>
    <w:rsid w:val="4A875AD1"/>
    <w:rsid w:val="4A881849"/>
    <w:rsid w:val="4A8835F7"/>
    <w:rsid w:val="4A8C758B"/>
    <w:rsid w:val="4A8D6256"/>
    <w:rsid w:val="4A8E6E5F"/>
    <w:rsid w:val="4A8F0E29"/>
    <w:rsid w:val="4A8F4985"/>
    <w:rsid w:val="4A902EEB"/>
    <w:rsid w:val="4A9106FD"/>
    <w:rsid w:val="4A914BA1"/>
    <w:rsid w:val="4A91694F"/>
    <w:rsid w:val="4A924E69"/>
    <w:rsid w:val="4A9401EE"/>
    <w:rsid w:val="4A965D14"/>
    <w:rsid w:val="4A970798"/>
    <w:rsid w:val="4A9A085A"/>
    <w:rsid w:val="4AA03036"/>
    <w:rsid w:val="4AA04DE4"/>
    <w:rsid w:val="4AA076AF"/>
    <w:rsid w:val="4AA246B9"/>
    <w:rsid w:val="4AA30431"/>
    <w:rsid w:val="4AA4190C"/>
    <w:rsid w:val="4AA448D5"/>
    <w:rsid w:val="4AA85A47"/>
    <w:rsid w:val="4AA91EEB"/>
    <w:rsid w:val="4AA93C99"/>
    <w:rsid w:val="4AAB17DF"/>
    <w:rsid w:val="4AAC7BB3"/>
    <w:rsid w:val="4AAE12AF"/>
    <w:rsid w:val="4AB03279"/>
    <w:rsid w:val="4AB07EAF"/>
    <w:rsid w:val="4AB10DA0"/>
    <w:rsid w:val="4AB32D6A"/>
    <w:rsid w:val="4AB663B6"/>
    <w:rsid w:val="4AB83DE3"/>
    <w:rsid w:val="4AB83EDC"/>
    <w:rsid w:val="4ABA7351"/>
    <w:rsid w:val="4ABF34BD"/>
    <w:rsid w:val="4AC00FE3"/>
    <w:rsid w:val="4AC26B09"/>
    <w:rsid w:val="4AC40C32"/>
    <w:rsid w:val="4AC76815"/>
    <w:rsid w:val="4AC960E9"/>
    <w:rsid w:val="4ACA3C0F"/>
    <w:rsid w:val="4ACC7988"/>
    <w:rsid w:val="4ACE1952"/>
    <w:rsid w:val="4AD056CA"/>
    <w:rsid w:val="4AD131F0"/>
    <w:rsid w:val="4AD30D16"/>
    <w:rsid w:val="4AD472AA"/>
    <w:rsid w:val="4AD625B4"/>
    <w:rsid w:val="4AD870BB"/>
    <w:rsid w:val="4ADB7BCB"/>
    <w:rsid w:val="4ADD1B95"/>
    <w:rsid w:val="4ADD3943"/>
    <w:rsid w:val="4ADE2F2D"/>
    <w:rsid w:val="4ADF590D"/>
    <w:rsid w:val="4AE03433"/>
    <w:rsid w:val="4AE271AB"/>
    <w:rsid w:val="4AE44CD1"/>
    <w:rsid w:val="4AE64EED"/>
    <w:rsid w:val="4AE66C9B"/>
    <w:rsid w:val="4AE86BB0"/>
    <w:rsid w:val="4AE87000"/>
    <w:rsid w:val="4AE90539"/>
    <w:rsid w:val="4AEC1DD8"/>
    <w:rsid w:val="4AEC627C"/>
    <w:rsid w:val="4AEC69C1"/>
    <w:rsid w:val="4AEE5B50"/>
    <w:rsid w:val="4AF018C8"/>
    <w:rsid w:val="4AF07B1A"/>
    <w:rsid w:val="4AF3760A"/>
    <w:rsid w:val="4AF62C56"/>
    <w:rsid w:val="4AF84C20"/>
    <w:rsid w:val="4AF869CF"/>
    <w:rsid w:val="4AFB026D"/>
    <w:rsid w:val="4AFF7D5D"/>
    <w:rsid w:val="4B013AD5"/>
    <w:rsid w:val="4B047121"/>
    <w:rsid w:val="4B052E99"/>
    <w:rsid w:val="4B054C48"/>
    <w:rsid w:val="4B0610EB"/>
    <w:rsid w:val="4B06733D"/>
    <w:rsid w:val="4B0709C0"/>
    <w:rsid w:val="4B090BDC"/>
    <w:rsid w:val="4B09298A"/>
    <w:rsid w:val="4B0D0B7C"/>
    <w:rsid w:val="4B10260F"/>
    <w:rsid w:val="4B11724C"/>
    <w:rsid w:val="4B117A90"/>
    <w:rsid w:val="4B15132F"/>
    <w:rsid w:val="4B1530DD"/>
    <w:rsid w:val="4B1730BE"/>
    <w:rsid w:val="4B180E1F"/>
    <w:rsid w:val="4B182BCD"/>
    <w:rsid w:val="4B187071"/>
    <w:rsid w:val="4B1873D2"/>
    <w:rsid w:val="4B1A6945"/>
    <w:rsid w:val="4B1B12D4"/>
    <w:rsid w:val="4B1B2ECF"/>
    <w:rsid w:val="4B1C090F"/>
    <w:rsid w:val="4B1D01E3"/>
    <w:rsid w:val="4B1D4687"/>
    <w:rsid w:val="4B1D63BB"/>
    <w:rsid w:val="4B1F03FF"/>
    <w:rsid w:val="4B1F21AD"/>
    <w:rsid w:val="4B1F3F5B"/>
    <w:rsid w:val="4B217CD3"/>
    <w:rsid w:val="4B226402"/>
    <w:rsid w:val="4B24367B"/>
    <w:rsid w:val="4B246E03"/>
    <w:rsid w:val="4B2477C4"/>
    <w:rsid w:val="4B257098"/>
    <w:rsid w:val="4B26353C"/>
    <w:rsid w:val="4B272E10"/>
    <w:rsid w:val="4B275459"/>
    <w:rsid w:val="4B29302C"/>
    <w:rsid w:val="4B296C14"/>
    <w:rsid w:val="4B2B4105"/>
    <w:rsid w:val="4B2C6678"/>
    <w:rsid w:val="4B2E23F0"/>
    <w:rsid w:val="4B2E419E"/>
    <w:rsid w:val="4B320132"/>
    <w:rsid w:val="4B321EE0"/>
    <w:rsid w:val="4B327CC6"/>
    <w:rsid w:val="4B3A6458"/>
    <w:rsid w:val="4B3C60C0"/>
    <w:rsid w:val="4B3D0885"/>
    <w:rsid w:val="4B410375"/>
    <w:rsid w:val="4B425E9C"/>
    <w:rsid w:val="4B427C4A"/>
    <w:rsid w:val="4B441C14"/>
    <w:rsid w:val="4B4439C2"/>
    <w:rsid w:val="4B46598C"/>
    <w:rsid w:val="4B46773A"/>
    <w:rsid w:val="4B490FD8"/>
    <w:rsid w:val="4B4A7D1A"/>
    <w:rsid w:val="4B4B2FA2"/>
    <w:rsid w:val="4B4E2D2E"/>
    <w:rsid w:val="4B4E4840"/>
    <w:rsid w:val="4B4E5D5E"/>
    <w:rsid w:val="4B502367"/>
    <w:rsid w:val="4B525B6F"/>
    <w:rsid w:val="4B531E57"/>
    <w:rsid w:val="4B533C05"/>
    <w:rsid w:val="4B555C31"/>
    <w:rsid w:val="4B564475"/>
    <w:rsid w:val="4B5670C1"/>
    <w:rsid w:val="4B58746D"/>
    <w:rsid w:val="4B5C51AF"/>
    <w:rsid w:val="4B5D4A84"/>
    <w:rsid w:val="4B602107"/>
    <w:rsid w:val="4B6127C6"/>
    <w:rsid w:val="4B6202EC"/>
    <w:rsid w:val="4B6416C5"/>
    <w:rsid w:val="4B663938"/>
    <w:rsid w:val="4B667DDC"/>
    <w:rsid w:val="4B683B54"/>
    <w:rsid w:val="4B685902"/>
    <w:rsid w:val="4B6940A7"/>
    <w:rsid w:val="4B6978CC"/>
    <w:rsid w:val="4B6E0A3F"/>
    <w:rsid w:val="4B6E6C91"/>
    <w:rsid w:val="4B700C5B"/>
    <w:rsid w:val="4B702A09"/>
    <w:rsid w:val="4B726781"/>
    <w:rsid w:val="4B7342A7"/>
    <w:rsid w:val="4B771FE9"/>
    <w:rsid w:val="4B775B45"/>
    <w:rsid w:val="4B7778F3"/>
    <w:rsid w:val="4B78366B"/>
    <w:rsid w:val="4B7A5635"/>
    <w:rsid w:val="4B7D0C82"/>
    <w:rsid w:val="4B7E5126"/>
    <w:rsid w:val="4B7F2C4C"/>
    <w:rsid w:val="4B810772"/>
    <w:rsid w:val="4B814C16"/>
    <w:rsid w:val="4B8244EA"/>
    <w:rsid w:val="4B83273C"/>
    <w:rsid w:val="4B840CAF"/>
    <w:rsid w:val="4B8509FE"/>
    <w:rsid w:val="4B85213F"/>
    <w:rsid w:val="4B895879"/>
    <w:rsid w:val="4B8A513A"/>
    <w:rsid w:val="4B8B339F"/>
    <w:rsid w:val="4B8B7843"/>
    <w:rsid w:val="4B8E0947"/>
    <w:rsid w:val="4B8E10E1"/>
    <w:rsid w:val="4B8E2E8F"/>
    <w:rsid w:val="4B8E31F1"/>
    <w:rsid w:val="4B9009B5"/>
    <w:rsid w:val="4B92297F"/>
    <w:rsid w:val="4B92472D"/>
    <w:rsid w:val="4B9304A5"/>
    <w:rsid w:val="4B95246F"/>
    <w:rsid w:val="4B977F95"/>
    <w:rsid w:val="4B991F60"/>
    <w:rsid w:val="4B9A5CD8"/>
    <w:rsid w:val="4B9C55AC"/>
    <w:rsid w:val="4B9D0115"/>
    <w:rsid w:val="4B9E7576"/>
    <w:rsid w:val="4B9F32EE"/>
    <w:rsid w:val="4B9F509C"/>
    <w:rsid w:val="4B9F6E4A"/>
    <w:rsid w:val="4BA426B2"/>
    <w:rsid w:val="4BA6642B"/>
    <w:rsid w:val="4BA83F51"/>
    <w:rsid w:val="4BA95F1B"/>
    <w:rsid w:val="4BAB1C93"/>
    <w:rsid w:val="4BAB57EF"/>
    <w:rsid w:val="4BAE52DF"/>
    <w:rsid w:val="4BAF3531"/>
    <w:rsid w:val="4BB23021"/>
    <w:rsid w:val="4BB40B47"/>
    <w:rsid w:val="4BB46D99"/>
    <w:rsid w:val="4BB5041C"/>
    <w:rsid w:val="4BB5666E"/>
    <w:rsid w:val="4BB70638"/>
    <w:rsid w:val="4BB723E6"/>
    <w:rsid w:val="4BB74194"/>
    <w:rsid w:val="4BB87F0C"/>
    <w:rsid w:val="4BB943B0"/>
    <w:rsid w:val="4BB9615E"/>
    <w:rsid w:val="4BBA0128"/>
    <w:rsid w:val="4BBA0D7E"/>
    <w:rsid w:val="4BBB220E"/>
    <w:rsid w:val="4BBC053E"/>
    <w:rsid w:val="4BBC17AA"/>
    <w:rsid w:val="4BBD5522"/>
    <w:rsid w:val="4BBE3774"/>
    <w:rsid w:val="4BBF201F"/>
    <w:rsid w:val="4BC13264"/>
    <w:rsid w:val="4BC201EE"/>
    <w:rsid w:val="4BC468B1"/>
    <w:rsid w:val="4BC84812"/>
    <w:rsid w:val="4BCA036B"/>
    <w:rsid w:val="4BCB7C3F"/>
    <w:rsid w:val="4BCBC043"/>
    <w:rsid w:val="4BCD39B7"/>
    <w:rsid w:val="4BCD7E5B"/>
    <w:rsid w:val="4BD20FCE"/>
    <w:rsid w:val="4BD21BD6"/>
    <w:rsid w:val="4BD42F98"/>
    <w:rsid w:val="4BD50ABE"/>
    <w:rsid w:val="4BD5286C"/>
    <w:rsid w:val="4BDC1E4C"/>
    <w:rsid w:val="4BDC3BFA"/>
    <w:rsid w:val="4BDF193C"/>
    <w:rsid w:val="4BE17463"/>
    <w:rsid w:val="4BE27F8A"/>
    <w:rsid w:val="4BE331DB"/>
    <w:rsid w:val="4BE60F1D"/>
    <w:rsid w:val="4BE64A79"/>
    <w:rsid w:val="4BE807F1"/>
    <w:rsid w:val="4BE8259F"/>
    <w:rsid w:val="4BEA27BB"/>
    <w:rsid w:val="4BED4C7B"/>
    <w:rsid w:val="4BEE392E"/>
    <w:rsid w:val="4BEF7DD1"/>
    <w:rsid w:val="4BF03B4A"/>
    <w:rsid w:val="4BF058F8"/>
    <w:rsid w:val="4BF21670"/>
    <w:rsid w:val="4BF4363A"/>
    <w:rsid w:val="4BF70A34"/>
    <w:rsid w:val="4BF929FE"/>
    <w:rsid w:val="4BFB49C8"/>
    <w:rsid w:val="4BFB6776"/>
    <w:rsid w:val="4BFE08C2"/>
    <w:rsid w:val="4BFF5B3B"/>
    <w:rsid w:val="4C001FDF"/>
    <w:rsid w:val="4C003D8D"/>
    <w:rsid w:val="4C03562B"/>
    <w:rsid w:val="4C081CA4"/>
    <w:rsid w:val="4C0B2731"/>
    <w:rsid w:val="4C0B44E0"/>
    <w:rsid w:val="4C0C31F6"/>
    <w:rsid w:val="4C0D2006"/>
    <w:rsid w:val="4C0D46FC"/>
    <w:rsid w:val="4C0F06E7"/>
    <w:rsid w:val="4C0F2222"/>
    <w:rsid w:val="4C101AF6"/>
    <w:rsid w:val="4C107D48"/>
    <w:rsid w:val="4C152E18"/>
    <w:rsid w:val="4C1710D6"/>
    <w:rsid w:val="4C196BFC"/>
    <w:rsid w:val="4C1B2975"/>
    <w:rsid w:val="4C1C2CEB"/>
    <w:rsid w:val="4C1C493F"/>
    <w:rsid w:val="4C1E06B7"/>
    <w:rsid w:val="4C20442F"/>
    <w:rsid w:val="4C247D3C"/>
    <w:rsid w:val="4C2537F3"/>
    <w:rsid w:val="4C26756B"/>
    <w:rsid w:val="4C27522D"/>
    <w:rsid w:val="4C2D26A8"/>
    <w:rsid w:val="4C2D3C70"/>
    <w:rsid w:val="4C2D4456"/>
    <w:rsid w:val="4C327CBE"/>
    <w:rsid w:val="4C3954F1"/>
    <w:rsid w:val="4C39729F"/>
    <w:rsid w:val="4C3A6B73"/>
    <w:rsid w:val="4C3B3017"/>
    <w:rsid w:val="4C3D3D8C"/>
    <w:rsid w:val="4C3D6D8F"/>
    <w:rsid w:val="4C3E4383"/>
    <w:rsid w:val="4C3E6663"/>
    <w:rsid w:val="4C42669E"/>
    <w:rsid w:val="4C431ECB"/>
    <w:rsid w:val="4C481290"/>
    <w:rsid w:val="4C4D2D4A"/>
    <w:rsid w:val="4C50120A"/>
    <w:rsid w:val="4C51283A"/>
    <w:rsid w:val="4C5145E8"/>
    <w:rsid w:val="4C523EBC"/>
    <w:rsid w:val="4C5365B2"/>
    <w:rsid w:val="4C5440D8"/>
    <w:rsid w:val="4C567E51"/>
    <w:rsid w:val="4C5916EF"/>
    <w:rsid w:val="4C59349D"/>
    <w:rsid w:val="4C59524B"/>
    <w:rsid w:val="4C5A2C8D"/>
    <w:rsid w:val="4C5B0FC3"/>
    <w:rsid w:val="4C5B5467"/>
    <w:rsid w:val="4C5B7215"/>
    <w:rsid w:val="4C5C4D3B"/>
    <w:rsid w:val="4C5E0AB3"/>
    <w:rsid w:val="4C5E2A9E"/>
    <w:rsid w:val="4C5E4F57"/>
    <w:rsid w:val="4C5E6D05"/>
    <w:rsid w:val="4C602A7D"/>
    <w:rsid w:val="4C6065D9"/>
    <w:rsid w:val="4C63256E"/>
    <w:rsid w:val="4C643703"/>
    <w:rsid w:val="4C6562E6"/>
    <w:rsid w:val="4C673E0C"/>
    <w:rsid w:val="4C6836E0"/>
    <w:rsid w:val="4C6D0CF6"/>
    <w:rsid w:val="4C6D519A"/>
    <w:rsid w:val="4C6D6F48"/>
    <w:rsid w:val="4C7105EB"/>
    <w:rsid w:val="4C714C8A"/>
    <w:rsid w:val="4C7622A1"/>
    <w:rsid w:val="4C76404F"/>
    <w:rsid w:val="4C765DFD"/>
    <w:rsid w:val="4C783645"/>
    <w:rsid w:val="4C7958ED"/>
    <w:rsid w:val="4C7B3413"/>
    <w:rsid w:val="4C7B78B7"/>
    <w:rsid w:val="4C7E2F03"/>
    <w:rsid w:val="4C7E4CB1"/>
    <w:rsid w:val="4C7E73A7"/>
    <w:rsid w:val="4C800A2A"/>
    <w:rsid w:val="4C803267"/>
    <w:rsid w:val="4C820C46"/>
    <w:rsid w:val="4C821E99"/>
    <w:rsid w:val="4C83676C"/>
    <w:rsid w:val="4C856040"/>
    <w:rsid w:val="4C871DB8"/>
    <w:rsid w:val="4C87625C"/>
    <w:rsid w:val="4C895A5A"/>
    <w:rsid w:val="4C8A7AFA"/>
    <w:rsid w:val="4C8C73CE"/>
    <w:rsid w:val="4C8F5111"/>
    <w:rsid w:val="4C8F6EBF"/>
    <w:rsid w:val="4C910E89"/>
    <w:rsid w:val="4C9149E5"/>
    <w:rsid w:val="4C9202CE"/>
    <w:rsid w:val="4C92075D"/>
    <w:rsid w:val="4C935807"/>
    <w:rsid w:val="4C940979"/>
    <w:rsid w:val="4C942B6D"/>
    <w:rsid w:val="4C96024D"/>
    <w:rsid w:val="4C9646F1"/>
    <w:rsid w:val="4C975D73"/>
    <w:rsid w:val="4C982217"/>
    <w:rsid w:val="4C983FC5"/>
    <w:rsid w:val="4C991AEB"/>
    <w:rsid w:val="4C995F8F"/>
    <w:rsid w:val="4C9B15B0"/>
    <w:rsid w:val="4C9B5863"/>
    <w:rsid w:val="4C9D15DC"/>
    <w:rsid w:val="4C9E35A6"/>
    <w:rsid w:val="4CA010CC"/>
    <w:rsid w:val="4CA02E7A"/>
    <w:rsid w:val="4CA24E44"/>
    <w:rsid w:val="4CA26BF2"/>
    <w:rsid w:val="4CA3296A"/>
    <w:rsid w:val="4CA46E0E"/>
    <w:rsid w:val="4CA7245A"/>
    <w:rsid w:val="4CA74208"/>
    <w:rsid w:val="4CA80FE3"/>
    <w:rsid w:val="4CAA64D4"/>
    <w:rsid w:val="4CAC181F"/>
    <w:rsid w:val="4CAC5CC3"/>
    <w:rsid w:val="4CAC7A71"/>
    <w:rsid w:val="4CAE1A3B"/>
    <w:rsid w:val="4CAF57B3"/>
    <w:rsid w:val="4CAF7561"/>
    <w:rsid w:val="4CB22BAD"/>
    <w:rsid w:val="4CB42DC9"/>
    <w:rsid w:val="4CB44B77"/>
    <w:rsid w:val="4CB54D28"/>
    <w:rsid w:val="4CB66B41"/>
    <w:rsid w:val="4CB701C3"/>
    <w:rsid w:val="4CB93F3C"/>
    <w:rsid w:val="4CBB5F06"/>
    <w:rsid w:val="4CBD1C7E"/>
    <w:rsid w:val="4CBE1552"/>
    <w:rsid w:val="4CC01E3B"/>
    <w:rsid w:val="4CC0351C"/>
    <w:rsid w:val="4CC27294"/>
    <w:rsid w:val="4CC36B68"/>
    <w:rsid w:val="4CC4707B"/>
    <w:rsid w:val="4CC56D84"/>
    <w:rsid w:val="4CC76658"/>
    <w:rsid w:val="4CCD0AB5"/>
    <w:rsid w:val="4CCE3E8B"/>
    <w:rsid w:val="4CCE79E7"/>
    <w:rsid w:val="4CCF375F"/>
    <w:rsid w:val="4CCF550D"/>
    <w:rsid w:val="4CD11285"/>
    <w:rsid w:val="4CD15729"/>
    <w:rsid w:val="4CD174D7"/>
    <w:rsid w:val="4CD24250"/>
    <w:rsid w:val="4CD3324F"/>
    <w:rsid w:val="4CD34FFD"/>
    <w:rsid w:val="4CD46FC7"/>
    <w:rsid w:val="4CD60F91"/>
    <w:rsid w:val="4CD80866"/>
    <w:rsid w:val="4CD97E11"/>
    <w:rsid w:val="4CDD40CE"/>
    <w:rsid w:val="4CE03BBE"/>
    <w:rsid w:val="4CE0596C"/>
    <w:rsid w:val="4CE0771A"/>
    <w:rsid w:val="4CE11174"/>
    <w:rsid w:val="4CE22604"/>
    <w:rsid w:val="4CE23D45"/>
    <w:rsid w:val="4CE27936"/>
    <w:rsid w:val="4CE4720A"/>
    <w:rsid w:val="4CE52F83"/>
    <w:rsid w:val="4CE865CF"/>
    <w:rsid w:val="4CE92A73"/>
    <w:rsid w:val="4CEA0599"/>
    <w:rsid w:val="4CEC4311"/>
    <w:rsid w:val="4CEE1E37"/>
    <w:rsid w:val="4CEF445A"/>
    <w:rsid w:val="4CEF795D"/>
    <w:rsid w:val="4CF136D5"/>
    <w:rsid w:val="4CF973FB"/>
    <w:rsid w:val="4CFA6A2E"/>
    <w:rsid w:val="4CFB4554"/>
    <w:rsid w:val="4CFF4044"/>
    <w:rsid w:val="4D001B6A"/>
    <w:rsid w:val="4D007DBC"/>
    <w:rsid w:val="4D021D86"/>
    <w:rsid w:val="4D023B34"/>
    <w:rsid w:val="4D04165B"/>
    <w:rsid w:val="4D0478AD"/>
    <w:rsid w:val="4D0553D3"/>
    <w:rsid w:val="4D061CEA"/>
    <w:rsid w:val="4D0A29E9"/>
    <w:rsid w:val="4D0C6761"/>
    <w:rsid w:val="4D0F1DAD"/>
    <w:rsid w:val="4D113D78"/>
    <w:rsid w:val="4D13189E"/>
    <w:rsid w:val="4D137AF0"/>
    <w:rsid w:val="4D1473C4"/>
    <w:rsid w:val="4D151ABA"/>
    <w:rsid w:val="4D1675E0"/>
    <w:rsid w:val="4D20220D"/>
    <w:rsid w:val="4D21045F"/>
    <w:rsid w:val="4D225F85"/>
    <w:rsid w:val="4D2515D1"/>
    <w:rsid w:val="4D2717ED"/>
    <w:rsid w:val="4D275349"/>
    <w:rsid w:val="4D2A6BE7"/>
    <w:rsid w:val="4D2B308B"/>
    <w:rsid w:val="4D2C295F"/>
    <w:rsid w:val="4D2D4BAA"/>
    <w:rsid w:val="4D2E2B7B"/>
    <w:rsid w:val="4D2E66D8"/>
    <w:rsid w:val="4D330192"/>
    <w:rsid w:val="4D330A1C"/>
    <w:rsid w:val="4D334235"/>
    <w:rsid w:val="4D35333C"/>
    <w:rsid w:val="4D355CB8"/>
    <w:rsid w:val="4D381304"/>
    <w:rsid w:val="4D3857A8"/>
    <w:rsid w:val="4D387556"/>
    <w:rsid w:val="4D3A507C"/>
    <w:rsid w:val="4D3B2BA3"/>
    <w:rsid w:val="4D3D691B"/>
    <w:rsid w:val="4D3F08E5"/>
    <w:rsid w:val="4D403020"/>
    <w:rsid w:val="4D453663"/>
    <w:rsid w:val="4D453A21"/>
    <w:rsid w:val="4D4C4DB0"/>
    <w:rsid w:val="4D4E0B28"/>
    <w:rsid w:val="4D4E5624"/>
    <w:rsid w:val="4D4E6D7A"/>
    <w:rsid w:val="4D50664E"/>
    <w:rsid w:val="4D52686A"/>
    <w:rsid w:val="4D53613E"/>
    <w:rsid w:val="4D537EEC"/>
    <w:rsid w:val="4D550108"/>
    <w:rsid w:val="4D552926"/>
    <w:rsid w:val="4D553D98"/>
    <w:rsid w:val="4D566987"/>
    <w:rsid w:val="4D5812A7"/>
    <w:rsid w:val="4D5C27F9"/>
    <w:rsid w:val="4D5F0F87"/>
    <w:rsid w:val="4D5F2D35"/>
    <w:rsid w:val="4D61085B"/>
    <w:rsid w:val="4D622825"/>
    <w:rsid w:val="4D626381"/>
    <w:rsid w:val="4D671BE9"/>
    <w:rsid w:val="4D677E3B"/>
    <w:rsid w:val="4D695962"/>
    <w:rsid w:val="4D6B16DA"/>
    <w:rsid w:val="4D6E11CA"/>
    <w:rsid w:val="4D6E4D26"/>
    <w:rsid w:val="4D6F79FF"/>
    <w:rsid w:val="4D704F42"/>
    <w:rsid w:val="4D706CF0"/>
    <w:rsid w:val="4D7367E0"/>
    <w:rsid w:val="4D77007F"/>
    <w:rsid w:val="4D782049"/>
    <w:rsid w:val="4D785BA5"/>
    <w:rsid w:val="4D7A191D"/>
    <w:rsid w:val="4D7A5D81"/>
    <w:rsid w:val="4D7A7B6F"/>
    <w:rsid w:val="4D7B7443"/>
    <w:rsid w:val="4D7C38E7"/>
    <w:rsid w:val="4D7D1B31"/>
    <w:rsid w:val="4D7F5185"/>
    <w:rsid w:val="4D8207D1"/>
    <w:rsid w:val="4D826A23"/>
    <w:rsid w:val="4D834C75"/>
    <w:rsid w:val="4D8409ED"/>
    <w:rsid w:val="4D8602C2"/>
    <w:rsid w:val="4D862070"/>
    <w:rsid w:val="4D866514"/>
    <w:rsid w:val="4D87403A"/>
    <w:rsid w:val="4D896004"/>
    <w:rsid w:val="4D897DB2"/>
    <w:rsid w:val="4D8B1D7C"/>
    <w:rsid w:val="4D8B3B2A"/>
    <w:rsid w:val="4D8B55C5"/>
    <w:rsid w:val="4D8C33FE"/>
    <w:rsid w:val="4D8D1626"/>
    <w:rsid w:val="4D907392"/>
    <w:rsid w:val="4D93478D"/>
    <w:rsid w:val="4D9549A9"/>
    <w:rsid w:val="4D956757"/>
    <w:rsid w:val="4D957DB8"/>
    <w:rsid w:val="4D997BC9"/>
    <w:rsid w:val="4D9A5B1B"/>
    <w:rsid w:val="4D9C5D37"/>
    <w:rsid w:val="4D9D6807"/>
    <w:rsid w:val="4DA07A9C"/>
    <w:rsid w:val="4DA16EA9"/>
    <w:rsid w:val="4DA22C22"/>
    <w:rsid w:val="4DA30E74"/>
    <w:rsid w:val="4DA4699A"/>
    <w:rsid w:val="4DA74D9E"/>
    <w:rsid w:val="4DA93FB0"/>
    <w:rsid w:val="4DAB41CC"/>
    <w:rsid w:val="4DAE15C6"/>
    <w:rsid w:val="4DAE7818"/>
    <w:rsid w:val="4DAF3530"/>
    <w:rsid w:val="4DB0533F"/>
    <w:rsid w:val="4DB07591"/>
    <w:rsid w:val="4DB222EA"/>
    <w:rsid w:val="4DB34E2F"/>
    <w:rsid w:val="4DB43081"/>
    <w:rsid w:val="4DB50BA7"/>
    <w:rsid w:val="4DB7491F"/>
    <w:rsid w:val="4DB82445"/>
    <w:rsid w:val="4DB841F3"/>
    <w:rsid w:val="4DB90697"/>
    <w:rsid w:val="4DBC3CE3"/>
    <w:rsid w:val="4DBD7A5B"/>
    <w:rsid w:val="4DBF1A26"/>
    <w:rsid w:val="4DBF37D4"/>
    <w:rsid w:val="4DBF5582"/>
    <w:rsid w:val="4DC112FA"/>
    <w:rsid w:val="4DC1754C"/>
    <w:rsid w:val="4DC40DEA"/>
    <w:rsid w:val="4DC4703C"/>
    <w:rsid w:val="4DC62DB4"/>
    <w:rsid w:val="4DC64B62"/>
    <w:rsid w:val="4DC96400"/>
    <w:rsid w:val="4DCA28A4"/>
    <w:rsid w:val="4DCB3F26"/>
    <w:rsid w:val="4DCE1C69"/>
    <w:rsid w:val="4DCE2B1A"/>
    <w:rsid w:val="4DCF7EBB"/>
    <w:rsid w:val="4DD059E1"/>
    <w:rsid w:val="4DD0778F"/>
    <w:rsid w:val="4DD23507"/>
    <w:rsid w:val="4DD3727F"/>
    <w:rsid w:val="4DD454D1"/>
    <w:rsid w:val="4DD70B1D"/>
    <w:rsid w:val="4DD74FC1"/>
    <w:rsid w:val="4DD83BCC"/>
    <w:rsid w:val="4DD86643"/>
    <w:rsid w:val="4DDB254D"/>
    <w:rsid w:val="4DDC25D7"/>
    <w:rsid w:val="4DDE00FE"/>
    <w:rsid w:val="4DDF3E76"/>
    <w:rsid w:val="4DDF5C24"/>
    <w:rsid w:val="4DE1374A"/>
    <w:rsid w:val="4DE163BF"/>
    <w:rsid w:val="4DE374C2"/>
    <w:rsid w:val="4DE4323A"/>
    <w:rsid w:val="4DE44FE8"/>
    <w:rsid w:val="4DE60D60"/>
    <w:rsid w:val="4DE80F7C"/>
    <w:rsid w:val="4DE84AD8"/>
    <w:rsid w:val="4DEA4CF4"/>
    <w:rsid w:val="4DEA5FE1"/>
    <w:rsid w:val="4DEB45C9"/>
    <w:rsid w:val="4DED20EF"/>
    <w:rsid w:val="4DED4962"/>
    <w:rsid w:val="4DEE5DF2"/>
    <w:rsid w:val="4DEF230B"/>
    <w:rsid w:val="4DEF40B9"/>
    <w:rsid w:val="4DF07E31"/>
    <w:rsid w:val="4DF23BA9"/>
    <w:rsid w:val="4DF27705"/>
    <w:rsid w:val="4DF41C64"/>
    <w:rsid w:val="4DF47921"/>
    <w:rsid w:val="4DF55447"/>
    <w:rsid w:val="4DF571F5"/>
    <w:rsid w:val="4DF612B5"/>
    <w:rsid w:val="4DF72F6D"/>
    <w:rsid w:val="4DF74D1B"/>
    <w:rsid w:val="4DF80A94"/>
    <w:rsid w:val="4DFC4A28"/>
    <w:rsid w:val="4DFC67D6"/>
    <w:rsid w:val="4DFE60AA"/>
    <w:rsid w:val="4DFF0074"/>
    <w:rsid w:val="4DFF1948"/>
    <w:rsid w:val="4DFF1E22"/>
    <w:rsid w:val="4E0336C0"/>
    <w:rsid w:val="4E0538DC"/>
    <w:rsid w:val="4E061402"/>
    <w:rsid w:val="4E067654"/>
    <w:rsid w:val="4E0833CC"/>
    <w:rsid w:val="4E092CA1"/>
    <w:rsid w:val="4E0F02B7"/>
    <w:rsid w:val="4E0F475B"/>
    <w:rsid w:val="4E10402F"/>
    <w:rsid w:val="4E141D71"/>
    <w:rsid w:val="4E143B1F"/>
    <w:rsid w:val="4E151645"/>
    <w:rsid w:val="4E1753BE"/>
    <w:rsid w:val="4E192EE4"/>
    <w:rsid w:val="4E1C29D4"/>
    <w:rsid w:val="4E1C6E78"/>
    <w:rsid w:val="4E1F4272"/>
    <w:rsid w:val="4E21448E"/>
    <w:rsid w:val="4E21623C"/>
    <w:rsid w:val="4E233D62"/>
    <w:rsid w:val="4E241889"/>
    <w:rsid w:val="4E257ADB"/>
    <w:rsid w:val="4E261AA5"/>
    <w:rsid w:val="4E263853"/>
    <w:rsid w:val="4E264AF3"/>
    <w:rsid w:val="4E281379"/>
    <w:rsid w:val="4E2A3343"/>
    <w:rsid w:val="4E2A50F1"/>
    <w:rsid w:val="4E2B2C17"/>
    <w:rsid w:val="4E2D4BE1"/>
    <w:rsid w:val="4E2F2707"/>
    <w:rsid w:val="4E2F6BAB"/>
    <w:rsid w:val="4E30022D"/>
    <w:rsid w:val="4E302F99"/>
    <w:rsid w:val="4E345F70"/>
    <w:rsid w:val="4E353A96"/>
    <w:rsid w:val="4E355844"/>
    <w:rsid w:val="4E395334"/>
    <w:rsid w:val="4E3B6FCA"/>
    <w:rsid w:val="4E3B72FE"/>
    <w:rsid w:val="4E3E294A"/>
    <w:rsid w:val="4E4361B3"/>
    <w:rsid w:val="4E4446C6"/>
    <w:rsid w:val="4E4640DD"/>
    <w:rsid w:val="4E467A51"/>
    <w:rsid w:val="4E4A5793"/>
    <w:rsid w:val="4E4B5067"/>
    <w:rsid w:val="4E4B537E"/>
    <w:rsid w:val="4E4C150B"/>
    <w:rsid w:val="4E4D0DDF"/>
    <w:rsid w:val="4E535251"/>
    <w:rsid w:val="4E5403C0"/>
    <w:rsid w:val="4E546612"/>
    <w:rsid w:val="4E557C94"/>
    <w:rsid w:val="4E571C5E"/>
    <w:rsid w:val="4E573A0C"/>
    <w:rsid w:val="4E593C28"/>
    <w:rsid w:val="4E5B79A0"/>
    <w:rsid w:val="4E5C1022"/>
    <w:rsid w:val="4E5D0E00"/>
    <w:rsid w:val="4E5E123E"/>
    <w:rsid w:val="4E604FB7"/>
    <w:rsid w:val="4E61488B"/>
    <w:rsid w:val="4E616639"/>
    <w:rsid w:val="4E636855"/>
    <w:rsid w:val="4E6525CD"/>
    <w:rsid w:val="4E6600F3"/>
    <w:rsid w:val="4E677FBB"/>
    <w:rsid w:val="4E683E6B"/>
    <w:rsid w:val="4E685C19"/>
    <w:rsid w:val="4E6A373F"/>
    <w:rsid w:val="4E6B33B8"/>
    <w:rsid w:val="4E6B4968"/>
    <w:rsid w:val="4E6D3230"/>
    <w:rsid w:val="4E704ACE"/>
    <w:rsid w:val="4E710F72"/>
    <w:rsid w:val="4E720846"/>
    <w:rsid w:val="4E721C6A"/>
    <w:rsid w:val="4E724CEA"/>
    <w:rsid w:val="4E74636C"/>
    <w:rsid w:val="4E7520E4"/>
    <w:rsid w:val="4E7613C9"/>
    <w:rsid w:val="4E766EAA"/>
    <w:rsid w:val="4E772059"/>
    <w:rsid w:val="4E7C16C5"/>
    <w:rsid w:val="4E7D563C"/>
    <w:rsid w:val="4E7D7917"/>
    <w:rsid w:val="4E7E368F"/>
    <w:rsid w:val="4E7E543D"/>
    <w:rsid w:val="4E7E71EB"/>
    <w:rsid w:val="4E810A89"/>
    <w:rsid w:val="4E824F2D"/>
    <w:rsid w:val="4E830CA5"/>
    <w:rsid w:val="4E832A53"/>
    <w:rsid w:val="4E84407F"/>
    <w:rsid w:val="4E850579"/>
    <w:rsid w:val="4E8567CB"/>
    <w:rsid w:val="4E8642F1"/>
    <w:rsid w:val="4E8862BB"/>
    <w:rsid w:val="4E8B1908"/>
    <w:rsid w:val="4E8C5DAC"/>
    <w:rsid w:val="4E8D5680"/>
    <w:rsid w:val="4E9133C2"/>
    <w:rsid w:val="4E93713A"/>
    <w:rsid w:val="4E946A0E"/>
    <w:rsid w:val="4E957EB2"/>
    <w:rsid w:val="4E9609D8"/>
    <w:rsid w:val="4E984CAA"/>
    <w:rsid w:val="4E9A06A8"/>
    <w:rsid w:val="4E9C58C3"/>
    <w:rsid w:val="4E9E788D"/>
    <w:rsid w:val="4EA053B3"/>
    <w:rsid w:val="4EA07161"/>
    <w:rsid w:val="4EA12ED9"/>
    <w:rsid w:val="4EA2737D"/>
    <w:rsid w:val="4EA74993"/>
    <w:rsid w:val="4EA8070C"/>
    <w:rsid w:val="4EA81D39"/>
    <w:rsid w:val="4EA84268"/>
    <w:rsid w:val="4EAA6232"/>
    <w:rsid w:val="4EAA7FE0"/>
    <w:rsid w:val="4EAC01FC"/>
    <w:rsid w:val="4EAC3D58"/>
    <w:rsid w:val="4EAD5D22"/>
    <w:rsid w:val="4EAF3848"/>
    <w:rsid w:val="4EB250E6"/>
    <w:rsid w:val="4EB33338"/>
    <w:rsid w:val="4EB42C0C"/>
    <w:rsid w:val="4EB470B0"/>
    <w:rsid w:val="4EB66985"/>
    <w:rsid w:val="4EB7039E"/>
    <w:rsid w:val="4EB77C55"/>
    <w:rsid w:val="4EB86BA1"/>
    <w:rsid w:val="4EB946C7"/>
    <w:rsid w:val="4EB96475"/>
    <w:rsid w:val="4EBA588F"/>
    <w:rsid w:val="4EBD41B7"/>
    <w:rsid w:val="4EBE3A8B"/>
    <w:rsid w:val="4EC217CD"/>
    <w:rsid w:val="4EC47DD1"/>
    <w:rsid w:val="4EC72940"/>
    <w:rsid w:val="4EC76DE4"/>
    <w:rsid w:val="4ECA2430"/>
    <w:rsid w:val="4ECA68D4"/>
    <w:rsid w:val="4ECC7F56"/>
    <w:rsid w:val="4ECF5C98"/>
    <w:rsid w:val="4ECF6625"/>
    <w:rsid w:val="4ED17C62"/>
    <w:rsid w:val="4ED432AF"/>
    <w:rsid w:val="4ED4505D"/>
    <w:rsid w:val="4ED65279"/>
    <w:rsid w:val="4ED67027"/>
    <w:rsid w:val="4ED74DB7"/>
    <w:rsid w:val="4ED908C5"/>
    <w:rsid w:val="4ED90B67"/>
    <w:rsid w:val="4ED96B17"/>
    <w:rsid w:val="4EDB7799"/>
    <w:rsid w:val="4EDF237F"/>
    <w:rsid w:val="4EDF659D"/>
    <w:rsid w:val="4EE03A01"/>
    <w:rsid w:val="4EE07EA5"/>
    <w:rsid w:val="4EE10A3A"/>
    <w:rsid w:val="4EE21D01"/>
    <w:rsid w:val="4EE23C1E"/>
    <w:rsid w:val="4EE31744"/>
    <w:rsid w:val="4EE334F2"/>
    <w:rsid w:val="4EE47996"/>
    <w:rsid w:val="4EE51018"/>
    <w:rsid w:val="4EE71234"/>
    <w:rsid w:val="4EE75D3B"/>
    <w:rsid w:val="4EE96D5A"/>
    <w:rsid w:val="4EEA322C"/>
    <w:rsid w:val="4EEC23A6"/>
    <w:rsid w:val="4EED611E"/>
    <w:rsid w:val="4EEE4370"/>
    <w:rsid w:val="4EEF1E97"/>
    <w:rsid w:val="4EF15C0F"/>
    <w:rsid w:val="4EF179BD"/>
    <w:rsid w:val="4EF4576E"/>
    <w:rsid w:val="4EF63225"/>
    <w:rsid w:val="4EF70D4B"/>
    <w:rsid w:val="4EF737F0"/>
    <w:rsid w:val="4EF840EF"/>
    <w:rsid w:val="4EF86F9D"/>
    <w:rsid w:val="4EF92D15"/>
    <w:rsid w:val="4EF93FB4"/>
    <w:rsid w:val="4EFA2326"/>
    <w:rsid w:val="4EFB073C"/>
    <w:rsid w:val="4EFB083B"/>
    <w:rsid w:val="4EFC5641"/>
    <w:rsid w:val="4F006479"/>
    <w:rsid w:val="4F035942"/>
    <w:rsid w:val="4F043B94"/>
    <w:rsid w:val="4F0516BA"/>
    <w:rsid w:val="4F0911AA"/>
    <w:rsid w:val="4F095074"/>
    <w:rsid w:val="4F0A6CD0"/>
    <w:rsid w:val="4F0B2565"/>
    <w:rsid w:val="4F0B3174"/>
    <w:rsid w:val="4F0E4A13"/>
    <w:rsid w:val="4F0F42E7"/>
    <w:rsid w:val="4F133DD7"/>
    <w:rsid w:val="4F165675"/>
    <w:rsid w:val="4F172249"/>
    <w:rsid w:val="4F1A33B7"/>
    <w:rsid w:val="4F1B0EDE"/>
    <w:rsid w:val="4F1B2C8C"/>
    <w:rsid w:val="4F1D1F4A"/>
    <w:rsid w:val="4F1D497A"/>
    <w:rsid w:val="4F1D4C56"/>
    <w:rsid w:val="4F1F0224"/>
    <w:rsid w:val="4F2204BE"/>
    <w:rsid w:val="4F231B40"/>
    <w:rsid w:val="4F244236"/>
    <w:rsid w:val="4F253B0A"/>
    <w:rsid w:val="4F26131F"/>
    <w:rsid w:val="4F262104"/>
    <w:rsid w:val="4F271630"/>
    <w:rsid w:val="4F275AD4"/>
    <w:rsid w:val="4F2935FA"/>
    <w:rsid w:val="4F2A1121"/>
    <w:rsid w:val="4F2A2ECF"/>
    <w:rsid w:val="4F2C4E99"/>
    <w:rsid w:val="4F3124AF"/>
    <w:rsid w:val="4F31425D"/>
    <w:rsid w:val="4F340124"/>
    <w:rsid w:val="4F343D4D"/>
    <w:rsid w:val="4F3557D2"/>
    <w:rsid w:val="4F361873"/>
    <w:rsid w:val="4F381A8F"/>
    <w:rsid w:val="4F38383D"/>
    <w:rsid w:val="4F3B332E"/>
    <w:rsid w:val="4F3F2E1E"/>
    <w:rsid w:val="4F416B96"/>
    <w:rsid w:val="4F4246BC"/>
    <w:rsid w:val="4F477F24"/>
    <w:rsid w:val="4F4915A7"/>
    <w:rsid w:val="4F495A4B"/>
    <w:rsid w:val="4F4C553B"/>
    <w:rsid w:val="4F4E4E0F"/>
    <w:rsid w:val="4F4F0B87"/>
    <w:rsid w:val="4F4F0F4A"/>
    <w:rsid w:val="4F50502B"/>
    <w:rsid w:val="4F506DD9"/>
    <w:rsid w:val="4F51386A"/>
    <w:rsid w:val="4F51643B"/>
    <w:rsid w:val="4F5368C9"/>
    <w:rsid w:val="4F5543EF"/>
    <w:rsid w:val="4F561F16"/>
    <w:rsid w:val="4F583EE0"/>
    <w:rsid w:val="4F5A1A06"/>
    <w:rsid w:val="4F5A7C58"/>
    <w:rsid w:val="4F5B577E"/>
    <w:rsid w:val="4F5B752C"/>
    <w:rsid w:val="4F5D14F6"/>
    <w:rsid w:val="4F601ECF"/>
    <w:rsid w:val="4F610FE6"/>
    <w:rsid w:val="4F626B0C"/>
    <w:rsid w:val="4F644633"/>
    <w:rsid w:val="4F6665FD"/>
    <w:rsid w:val="4F672375"/>
    <w:rsid w:val="4F674123"/>
    <w:rsid w:val="4F691C49"/>
    <w:rsid w:val="4F6937D1"/>
    <w:rsid w:val="4F6939F7"/>
    <w:rsid w:val="4F6B3C13"/>
    <w:rsid w:val="4F6B59C1"/>
    <w:rsid w:val="4F6E54B1"/>
    <w:rsid w:val="4F710AFD"/>
    <w:rsid w:val="4F714FA1"/>
    <w:rsid w:val="4F716D4F"/>
    <w:rsid w:val="4F730D1A"/>
    <w:rsid w:val="4F732AC8"/>
    <w:rsid w:val="4F7800DE"/>
    <w:rsid w:val="4F781E8C"/>
    <w:rsid w:val="4F7A20A8"/>
    <w:rsid w:val="4F7A5C04"/>
    <w:rsid w:val="4F7B197C"/>
    <w:rsid w:val="4F7D74A2"/>
    <w:rsid w:val="4F7F146C"/>
    <w:rsid w:val="4F7F321A"/>
    <w:rsid w:val="4F822D0B"/>
    <w:rsid w:val="4F846A83"/>
    <w:rsid w:val="4F851C22"/>
    <w:rsid w:val="4F876438"/>
    <w:rsid w:val="4F8922EB"/>
    <w:rsid w:val="4F894099"/>
    <w:rsid w:val="4F8C3B89"/>
    <w:rsid w:val="4F8E237C"/>
    <w:rsid w:val="4F90367A"/>
    <w:rsid w:val="4F9111A0"/>
    <w:rsid w:val="4F912F4E"/>
    <w:rsid w:val="4F952A3E"/>
    <w:rsid w:val="4F9A44F8"/>
    <w:rsid w:val="4F9C3DCC"/>
    <w:rsid w:val="4F9D5D96"/>
    <w:rsid w:val="4F9D7B44"/>
    <w:rsid w:val="4FA07362"/>
    <w:rsid w:val="4FA113E3"/>
    <w:rsid w:val="4FA15887"/>
    <w:rsid w:val="4FA233AD"/>
    <w:rsid w:val="4FA62E9D"/>
    <w:rsid w:val="4FA63D9B"/>
    <w:rsid w:val="4FA64C4B"/>
    <w:rsid w:val="4FA72771"/>
    <w:rsid w:val="4FA9473B"/>
    <w:rsid w:val="4FAB2261"/>
    <w:rsid w:val="4FAB400F"/>
    <w:rsid w:val="4FAD422B"/>
    <w:rsid w:val="4FAE58AE"/>
    <w:rsid w:val="4FB07878"/>
    <w:rsid w:val="4FB31116"/>
    <w:rsid w:val="4FB355BA"/>
    <w:rsid w:val="4FB530E0"/>
    <w:rsid w:val="4FB56C3C"/>
    <w:rsid w:val="4FB76E58"/>
    <w:rsid w:val="4FB82BD0"/>
    <w:rsid w:val="4FB8672C"/>
    <w:rsid w:val="4FBA6948"/>
    <w:rsid w:val="4FBC621D"/>
    <w:rsid w:val="4FBD3D43"/>
    <w:rsid w:val="4FBF3F5F"/>
    <w:rsid w:val="4FBF7ABB"/>
    <w:rsid w:val="4FC13833"/>
    <w:rsid w:val="4FC155E1"/>
    <w:rsid w:val="4FC21359"/>
    <w:rsid w:val="4FC275AB"/>
    <w:rsid w:val="4FC41575"/>
    <w:rsid w:val="4FC450D1"/>
    <w:rsid w:val="4FC6709B"/>
    <w:rsid w:val="4FC9093A"/>
    <w:rsid w:val="4FC926E8"/>
    <w:rsid w:val="4FCB6460"/>
    <w:rsid w:val="4FCD042A"/>
    <w:rsid w:val="4FD23C92"/>
    <w:rsid w:val="4FD317B8"/>
    <w:rsid w:val="4FD572DE"/>
    <w:rsid w:val="4FD712A8"/>
    <w:rsid w:val="4FD95020"/>
    <w:rsid w:val="4FDB1E13"/>
    <w:rsid w:val="4FDC68BF"/>
    <w:rsid w:val="4FDF015D"/>
    <w:rsid w:val="4FE030B4"/>
    <w:rsid w:val="4FE13ED5"/>
    <w:rsid w:val="4FE14544"/>
    <w:rsid w:val="4FE305A5"/>
    <w:rsid w:val="4FE439C5"/>
    <w:rsid w:val="4FE47521"/>
    <w:rsid w:val="4FEA6D37"/>
    <w:rsid w:val="4FEB6B02"/>
    <w:rsid w:val="4FEC63D6"/>
    <w:rsid w:val="4FF04118"/>
    <w:rsid w:val="4FF05EC6"/>
    <w:rsid w:val="4FF21C3E"/>
    <w:rsid w:val="4FF27E90"/>
    <w:rsid w:val="4FF3009A"/>
    <w:rsid w:val="4FF359B6"/>
    <w:rsid w:val="4FF44D7B"/>
    <w:rsid w:val="4FF5172F"/>
    <w:rsid w:val="4FF534DD"/>
    <w:rsid w:val="4FF57980"/>
    <w:rsid w:val="4FF736F9"/>
    <w:rsid w:val="4FFA4F97"/>
    <w:rsid w:val="4FFA6D45"/>
    <w:rsid w:val="4FFC0D0F"/>
    <w:rsid w:val="4FFC486B"/>
    <w:rsid w:val="4FFE4A87"/>
    <w:rsid w:val="4FFE6835"/>
    <w:rsid w:val="4FFF25AD"/>
    <w:rsid w:val="500100D3"/>
    <w:rsid w:val="50016325"/>
    <w:rsid w:val="50025BF9"/>
    <w:rsid w:val="50041972"/>
    <w:rsid w:val="50047BC4"/>
    <w:rsid w:val="50055E16"/>
    <w:rsid w:val="500656EA"/>
    <w:rsid w:val="500779A0"/>
    <w:rsid w:val="50083210"/>
    <w:rsid w:val="500951DA"/>
    <w:rsid w:val="500A6321"/>
    <w:rsid w:val="500B0F52"/>
    <w:rsid w:val="500B2D00"/>
    <w:rsid w:val="500B4BE0"/>
    <w:rsid w:val="500B71A4"/>
    <w:rsid w:val="500C221C"/>
    <w:rsid w:val="50100316"/>
    <w:rsid w:val="501047BA"/>
    <w:rsid w:val="501222E0"/>
    <w:rsid w:val="5012408F"/>
    <w:rsid w:val="5015592D"/>
    <w:rsid w:val="50180925"/>
    <w:rsid w:val="5019541D"/>
    <w:rsid w:val="501A2F43"/>
    <w:rsid w:val="501E0C85"/>
    <w:rsid w:val="501E2A33"/>
    <w:rsid w:val="501F0559"/>
    <w:rsid w:val="501F49FD"/>
    <w:rsid w:val="50226DD3"/>
    <w:rsid w:val="50245B70"/>
    <w:rsid w:val="502D0EC8"/>
    <w:rsid w:val="502D14DE"/>
    <w:rsid w:val="502D2C76"/>
    <w:rsid w:val="502D711A"/>
    <w:rsid w:val="502F2E92"/>
    <w:rsid w:val="5032028D"/>
    <w:rsid w:val="50354221"/>
    <w:rsid w:val="50371D47"/>
    <w:rsid w:val="5039786D"/>
    <w:rsid w:val="503A5393"/>
    <w:rsid w:val="503C735D"/>
    <w:rsid w:val="50406E4E"/>
    <w:rsid w:val="50414974"/>
    <w:rsid w:val="50461F8A"/>
    <w:rsid w:val="50485D02"/>
    <w:rsid w:val="50487AB0"/>
    <w:rsid w:val="504B134F"/>
    <w:rsid w:val="504B2D47"/>
    <w:rsid w:val="504D3319"/>
    <w:rsid w:val="504D50C7"/>
    <w:rsid w:val="50504BB7"/>
    <w:rsid w:val="5051105B"/>
    <w:rsid w:val="5052092F"/>
    <w:rsid w:val="505333D6"/>
    <w:rsid w:val="5055041F"/>
    <w:rsid w:val="505521CD"/>
    <w:rsid w:val="50574197"/>
    <w:rsid w:val="50577CF3"/>
    <w:rsid w:val="505934A1"/>
    <w:rsid w:val="50597F0F"/>
    <w:rsid w:val="505C7A00"/>
    <w:rsid w:val="505E5526"/>
    <w:rsid w:val="505E72D4"/>
    <w:rsid w:val="505F30B9"/>
    <w:rsid w:val="50616DC4"/>
    <w:rsid w:val="506348EA"/>
    <w:rsid w:val="50642410"/>
    <w:rsid w:val="5067010A"/>
    <w:rsid w:val="506A3ECB"/>
    <w:rsid w:val="506B379F"/>
    <w:rsid w:val="506D540C"/>
    <w:rsid w:val="506D5769"/>
    <w:rsid w:val="506D7517"/>
    <w:rsid w:val="507055AF"/>
    <w:rsid w:val="50707007"/>
    <w:rsid w:val="5072152F"/>
    <w:rsid w:val="50744D49"/>
    <w:rsid w:val="50760AC1"/>
    <w:rsid w:val="507A1C34"/>
    <w:rsid w:val="507C59AC"/>
    <w:rsid w:val="507E1724"/>
    <w:rsid w:val="507E34D2"/>
    <w:rsid w:val="50830AE8"/>
    <w:rsid w:val="50852AB2"/>
    <w:rsid w:val="5086682B"/>
    <w:rsid w:val="50874A7C"/>
    <w:rsid w:val="508807F5"/>
    <w:rsid w:val="50894BE5"/>
    <w:rsid w:val="508A1E77"/>
    <w:rsid w:val="508A631B"/>
    <w:rsid w:val="508B5BEF"/>
    <w:rsid w:val="508C0995"/>
    <w:rsid w:val="50901457"/>
    <w:rsid w:val="509176A9"/>
    <w:rsid w:val="50923421"/>
    <w:rsid w:val="509239E2"/>
    <w:rsid w:val="509251CF"/>
    <w:rsid w:val="50942CF5"/>
    <w:rsid w:val="50964CC0"/>
    <w:rsid w:val="50966A6E"/>
    <w:rsid w:val="509C191A"/>
    <w:rsid w:val="509E1DC6"/>
    <w:rsid w:val="50A0169A"/>
    <w:rsid w:val="50A078EC"/>
    <w:rsid w:val="50A13664"/>
    <w:rsid w:val="50A373DC"/>
    <w:rsid w:val="50A8054F"/>
    <w:rsid w:val="50AA42C7"/>
    <w:rsid w:val="50AB003F"/>
    <w:rsid w:val="50AC44E3"/>
    <w:rsid w:val="50AF18DD"/>
    <w:rsid w:val="50AF5D81"/>
    <w:rsid w:val="50B11AF9"/>
    <w:rsid w:val="50B43398"/>
    <w:rsid w:val="50B52C6C"/>
    <w:rsid w:val="50B67110"/>
    <w:rsid w:val="50B74C36"/>
    <w:rsid w:val="50B909AE"/>
    <w:rsid w:val="50BB2978"/>
    <w:rsid w:val="50BC224C"/>
    <w:rsid w:val="50BD049E"/>
    <w:rsid w:val="50BE7D72"/>
    <w:rsid w:val="50C05A8B"/>
    <w:rsid w:val="50C07F8E"/>
    <w:rsid w:val="50C221A5"/>
    <w:rsid w:val="50C335DB"/>
    <w:rsid w:val="50C64E79"/>
    <w:rsid w:val="50C86E43"/>
    <w:rsid w:val="50CA4969"/>
    <w:rsid w:val="50CF1F80"/>
    <w:rsid w:val="50CF3D2E"/>
    <w:rsid w:val="50CF5EEA"/>
    <w:rsid w:val="50D13F4A"/>
    <w:rsid w:val="50D15CF8"/>
    <w:rsid w:val="50D37CC2"/>
    <w:rsid w:val="50D47596"/>
    <w:rsid w:val="50D62A02"/>
    <w:rsid w:val="50D650BC"/>
    <w:rsid w:val="50D70E34"/>
    <w:rsid w:val="50D92DFE"/>
    <w:rsid w:val="50DB26D2"/>
    <w:rsid w:val="50DB6B76"/>
    <w:rsid w:val="50DC591D"/>
    <w:rsid w:val="50DD469C"/>
    <w:rsid w:val="50DE2E0E"/>
    <w:rsid w:val="50DE6667"/>
    <w:rsid w:val="50E023DF"/>
    <w:rsid w:val="50E21CB3"/>
    <w:rsid w:val="50E53551"/>
    <w:rsid w:val="50E579F5"/>
    <w:rsid w:val="50E61077"/>
    <w:rsid w:val="50E615A0"/>
    <w:rsid w:val="50E83041"/>
    <w:rsid w:val="50EA6DB9"/>
    <w:rsid w:val="50EC0D83"/>
    <w:rsid w:val="50EC48E0"/>
    <w:rsid w:val="50ED2406"/>
    <w:rsid w:val="50ED7D32"/>
    <w:rsid w:val="50EE4AFC"/>
    <w:rsid w:val="50EF43D0"/>
    <w:rsid w:val="50EF617E"/>
    <w:rsid w:val="50F166B3"/>
    <w:rsid w:val="50F22714"/>
    <w:rsid w:val="50F33EC0"/>
    <w:rsid w:val="50F43794"/>
    <w:rsid w:val="50F639B0"/>
    <w:rsid w:val="50F6575E"/>
    <w:rsid w:val="50F87728"/>
    <w:rsid w:val="50F9524E"/>
    <w:rsid w:val="51002139"/>
    <w:rsid w:val="51024103"/>
    <w:rsid w:val="51037E7B"/>
    <w:rsid w:val="51071719"/>
    <w:rsid w:val="51085492"/>
    <w:rsid w:val="51085975"/>
    <w:rsid w:val="510A745C"/>
    <w:rsid w:val="510B1E2B"/>
    <w:rsid w:val="510C6D30"/>
    <w:rsid w:val="510D2AA8"/>
    <w:rsid w:val="510D4856"/>
    <w:rsid w:val="510F337D"/>
    <w:rsid w:val="510F6820"/>
    <w:rsid w:val="511300BE"/>
    <w:rsid w:val="51145BE4"/>
    <w:rsid w:val="51167BAE"/>
    <w:rsid w:val="51181B78"/>
    <w:rsid w:val="51183927"/>
    <w:rsid w:val="51183F16"/>
    <w:rsid w:val="511B3417"/>
    <w:rsid w:val="511B51C5"/>
    <w:rsid w:val="511D0F3D"/>
    <w:rsid w:val="511D718F"/>
    <w:rsid w:val="511F2F07"/>
    <w:rsid w:val="51204589"/>
    <w:rsid w:val="51215792"/>
    <w:rsid w:val="51234079"/>
    <w:rsid w:val="5124051D"/>
    <w:rsid w:val="51254295"/>
    <w:rsid w:val="51283F24"/>
    <w:rsid w:val="51295B34"/>
    <w:rsid w:val="512A365A"/>
    <w:rsid w:val="512C2F2E"/>
    <w:rsid w:val="513015C2"/>
    <w:rsid w:val="513026B6"/>
    <w:rsid w:val="51331037"/>
    <w:rsid w:val="51356A2E"/>
    <w:rsid w:val="51361FFF"/>
    <w:rsid w:val="51363DAD"/>
    <w:rsid w:val="51385D77"/>
    <w:rsid w:val="5139389D"/>
    <w:rsid w:val="513A1AEF"/>
    <w:rsid w:val="513B13C3"/>
    <w:rsid w:val="513B239A"/>
    <w:rsid w:val="513B7615"/>
    <w:rsid w:val="513D513B"/>
    <w:rsid w:val="513E2C61"/>
    <w:rsid w:val="513F5357"/>
    <w:rsid w:val="514069D9"/>
    <w:rsid w:val="514209A3"/>
    <w:rsid w:val="51422751"/>
    <w:rsid w:val="51426BF5"/>
    <w:rsid w:val="51475FBA"/>
    <w:rsid w:val="51477D68"/>
    <w:rsid w:val="51491D32"/>
    <w:rsid w:val="514B3CFC"/>
    <w:rsid w:val="514E559A"/>
    <w:rsid w:val="5150055F"/>
    <w:rsid w:val="51532BB1"/>
    <w:rsid w:val="5156444F"/>
    <w:rsid w:val="51583D23"/>
    <w:rsid w:val="51597A9B"/>
    <w:rsid w:val="515B1A65"/>
    <w:rsid w:val="515D16D3"/>
    <w:rsid w:val="515D4046"/>
    <w:rsid w:val="515D758B"/>
    <w:rsid w:val="51601795"/>
    <w:rsid w:val="516052CE"/>
    <w:rsid w:val="516140B5"/>
    <w:rsid w:val="5164091A"/>
    <w:rsid w:val="51644DBE"/>
    <w:rsid w:val="51646B6C"/>
    <w:rsid w:val="51666A97"/>
    <w:rsid w:val="516923D4"/>
    <w:rsid w:val="51695F30"/>
    <w:rsid w:val="516A1CA8"/>
    <w:rsid w:val="516C5A20"/>
    <w:rsid w:val="516C77CE"/>
    <w:rsid w:val="516E1798"/>
    <w:rsid w:val="516E3AE8"/>
    <w:rsid w:val="516F72BF"/>
    <w:rsid w:val="51705511"/>
    <w:rsid w:val="51711289"/>
    <w:rsid w:val="51714DE5"/>
    <w:rsid w:val="517174DB"/>
    <w:rsid w:val="517448D5"/>
    <w:rsid w:val="5176064D"/>
    <w:rsid w:val="51782617"/>
    <w:rsid w:val="517843C5"/>
    <w:rsid w:val="517A37CC"/>
    <w:rsid w:val="517B5C63"/>
    <w:rsid w:val="517D5E7F"/>
    <w:rsid w:val="517F39A6"/>
    <w:rsid w:val="517F7502"/>
    <w:rsid w:val="51823496"/>
    <w:rsid w:val="51842D6A"/>
    <w:rsid w:val="5184720E"/>
    <w:rsid w:val="5187285A"/>
    <w:rsid w:val="51890380"/>
    <w:rsid w:val="518B234A"/>
    <w:rsid w:val="518C60C3"/>
    <w:rsid w:val="518C7E71"/>
    <w:rsid w:val="518D7071"/>
    <w:rsid w:val="51905BB3"/>
    <w:rsid w:val="519136D9"/>
    <w:rsid w:val="5192487A"/>
    <w:rsid w:val="51932FAD"/>
    <w:rsid w:val="51934373"/>
    <w:rsid w:val="51962A9D"/>
    <w:rsid w:val="51976F41"/>
    <w:rsid w:val="519B4246"/>
    <w:rsid w:val="519B6306"/>
    <w:rsid w:val="519D207E"/>
    <w:rsid w:val="519D3E2C"/>
    <w:rsid w:val="519F1952"/>
    <w:rsid w:val="51A0391C"/>
    <w:rsid w:val="51A056CA"/>
    <w:rsid w:val="51A27694"/>
    <w:rsid w:val="51A4340C"/>
    <w:rsid w:val="51A46F68"/>
    <w:rsid w:val="51A52CE0"/>
    <w:rsid w:val="51A67184"/>
    <w:rsid w:val="51A76A58"/>
    <w:rsid w:val="51AB479B"/>
    <w:rsid w:val="51AC406F"/>
    <w:rsid w:val="51AE7DE7"/>
    <w:rsid w:val="51B00003"/>
    <w:rsid w:val="51B01DB1"/>
    <w:rsid w:val="51B178D7"/>
    <w:rsid w:val="51B353FD"/>
    <w:rsid w:val="51B64EEE"/>
    <w:rsid w:val="51B66C9C"/>
    <w:rsid w:val="51BA2C30"/>
    <w:rsid w:val="51BA49DE"/>
    <w:rsid w:val="51BB2504"/>
    <w:rsid w:val="51BC69A8"/>
    <w:rsid w:val="51BD627C"/>
    <w:rsid w:val="51BF1FF4"/>
    <w:rsid w:val="51BF3DA2"/>
    <w:rsid w:val="51C03390"/>
    <w:rsid w:val="51C413B8"/>
    <w:rsid w:val="51C615D4"/>
    <w:rsid w:val="51C63383"/>
    <w:rsid w:val="51C8534D"/>
    <w:rsid w:val="51C92E73"/>
    <w:rsid w:val="51CB0999"/>
    <w:rsid w:val="51D07D5D"/>
    <w:rsid w:val="51D13AD5"/>
    <w:rsid w:val="51D33CF1"/>
    <w:rsid w:val="51D535C6"/>
    <w:rsid w:val="51D57A6A"/>
    <w:rsid w:val="51D81308"/>
    <w:rsid w:val="51DA5080"/>
    <w:rsid w:val="51DB6702"/>
    <w:rsid w:val="51DC2BA6"/>
    <w:rsid w:val="51DC4954"/>
    <w:rsid w:val="51DD247A"/>
    <w:rsid w:val="51DD691E"/>
    <w:rsid w:val="51DF4444"/>
    <w:rsid w:val="51DF6918"/>
    <w:rsid w:val="51E260DF"/>
    <w:rsid w:val="51E41A5B"/>
    <w:rsid w:val="51E43809"/>
    <w:rsid w:val="51E47CAD"/>
    <w:rsid w:val="51E56A2E"/>
    <w:rsid w:val="51E63A25"/>
    <w:rsid w:val="51E657D3"/>
    <w:rsid w:val="51E90E1F"/>
    <w:rsid w:val="51E9259B"/>
    <w:rsid w:val="51E952C3"/>
    <w:rsid w:val="51EB4B97"/>
    <w:rsid w:val="51F24178"/>
    <w:rsid w:val="51F31C9E"/>
    <w:rsid w:val="51F55A16"/>
    <w:rsid w:val="51F85506"/>
    <w:rsid w:val="51F92090"/>
    <w:rsid w:val="51FA302C"/>
    <w:rsid w:val="51FC4FF6"/>
    <w:rsid w:val="51FE0D6E"/>
    <w:rsid w:val="51FF6894"/>
    <w:rsid w:val="52000822"/>
    <w:rsid w:val="520420FD"/>
    <w:rsid w:val="52045C59"/>
    <w:rsid w:val="52053204"/>
    <w:rsid w:val="52064694"/>
    <w:rsid w:val="52065E75"/>
    <w:rsid w:val="52067C23"/>
    <w:rsid w:val="52075B24"/>
    <w:rsid w:val="520774F7"/>
    <w:rsid w:val="5208399B"/>
    <w:rsid w:val="52094756"/>
    <w:rsid w:val="52097713"/>
    <w:rsid w:val="520B348B"/>
    <w:rsid w:val="520B5239"/>
    <w:rsid w:val="520E0886"/>
    <w:rsid w:val="52102850"/>
    <w:rsid w:val="521045FE"/>
    <w:rsid w:val="52120376"/>
    <w:rsid w:val="521340EE"/>
    <w:rsid w:val="521417A5"/>
    <w:rsid w:val="521560B8"/>
    <w:rsid w:val="52173BDE"/>
    <w:rsid w:val="52195BA8"/>
    <w:rsid w:val="52197F39"/>
    <w:rsid w:val="521A1920"/>
    <w:rsid w:val="521A36CE"/>
    <w:rsid w:val="521A722A"/>
    <w:rsid w:val="521C68BA"/>
    <w:rsid w:val="521D6D1B"/>
    <w:rsid w:val="522105B9"/>
    <w:rsid w:val="52214A5D"/>
    <w:rsid w:val="5221680B"/>
    <w:rsid w:val="522400A9"/>
    <w:rsid w:val="522462FB"/>
    <w:rsid w:val="52263E21"/>
    <w:rsid w:val="5228116F"/>
    <w:rsid w:val="52297A2E"/>
    <w:rsid w:val="522B1438"/>
    <w:rsid w:val="522B58DB"/>
    <w:rsid w:val="522D1654"/>
    <w:rsid w:val="522E0F28"/>
    <w:rsid w:val="52302EF2"/>
    <w:rsid w:val="52320A18"/>
    <w:rsid w:val="523429E2"/>
    <w:rsid w:val="52344790"/>
    <w:rsid w:val="52351829"/>
    <w:rsid w:val="523520A5"/>
    <w:rsid w:val="52354064"/>
    <w:rsid w:val="52383B54"/>
    <w:rsid w:val="523A6D02"/>
    <w:rsid w:val="523C3645"/>
    <w:rsid w:val="523C53F3"/>
    <w:rsid w:val="523C5EA4"/>
    <w:rsid w:val="523D116B"/>
    <w:rsid w:val="523F1387"/>
    <w:rsid w:val="523F3135"/>
    <w:rsid w:val="52435D77"/>
    <w:rsid w:val="524424F9"/>
    <w:rsid w:val="5246001F"/>
    <w:rsid w:val="524644C3"/>
    <w:rsid w:val="52466271"/>
    <w:rsid w:val="52481FEA"/>
    <w:rsid w:val="524A3FB4"/>
    <w:rsid w:val="524B1ADA"/>
    <w:rsid w:val="524B3888"/>
    <w:rsid w:val="524D13AE"/>
    <w:rsid w:val="524F15CA"/>
    <w:rsid w:val="52500E9E"/>
    <w:rsid w:val="52505342"/>
    <w:rsid w:val="52546BE0"/>
    <w:rsid w:val="52583F3C"/>
    <w:rsid w:val="525953CC"/>
    <w:rsid w:val="525A3ACB"/>
    <w:rsid w:val="525A7F6F"/>
    <w:rsid w:val="525C7843"/>
    <w:rsid w:val="525D45F8"/>
    <w:rsid w:val="525E180D"/>
    <w:rsid w:val="525F10E1"/>
    <w:rsid w:val="525F7333"/>
    <w:rsid w:val="526026CE"/>
    <w:rsid w:val="526130AB"/>
    <w:rsid w:val="52636E23"/>
    <w:rsid w:val="52662470"/>
    <w:rsid w:val="52691F60"/>
    <w:rsid w:val="526B5CD8"/>
    <w:rsid w:val="526D7CA2"/>
    <w:rsid w:val="526F3A1A"/>
    <w:rsid w:val="526F57C8"/>
    <w:rsid w:val="52741030"/>
    <w:rsid w:val="52742DDF"/>
    <w:rsid w:val="52744BA5"/>
    <w:rsid w:val="527949B6"/>
    <w:rsid w:val="52796647"/>
    <w:rsid w:val="527A0A17"/>
    <w:rsid w:val="527A416D"/>
    <w:rsid w:val="527B23BF"/>
    <w:rsid w:val="527E1EAF"/>
    <w:rsid w:val="527E3C5D"/>
    <w:rsid w:val="527E7398"/>
    <w:rsid w:val="527F3531"/>
    <w:rsid w:val="52831274"/>
    <w:rsid w:val="528374C6"/>
    <w:rsid w:val="528A0854"/>
    <w:rsid w:val="528E031D"/>
    <w:rsid w:val="528F6BDC"/>
    <w:rsid w:val="528F7C18"/>
    <w:rsid w:val="5290573F"/>
    <w:rsid w:val="52941E5A"/>
    <w:rsid w:val="52943481"/>
    <w:rsid w:val="52952D55"/>
    <w:rsid w:val="52972C9C"/>
    <w:rsid w:val="52974D1F"/>
    <w:rsid w:val="52976ACD"/>
    <w:rsid w:val="5299285F"/>
    <w:rsid w:val="52993FA0"/>
    <w:rsid w:val="52995430"/>
    <w:rsid w:val="529A65BD"/>
    <w:rsid w:val="529E42FF"/>
    <w:rsid w:val="529E60AD"/>
    <w:rsid w:val="529E7E5B"/>
    <w:rsid w:val="52A01E26"/>
    <w:rsid w:val="52A31916"/>
    <w:rsid w:val="52A35472"/>
    <w:rsid w:val="52A511EA"/>
    <w:rsid w:val="52A665A4"/>
    <w:rsid w:val="52A77A34"/>
    <w:rsid w:val="52AA6800"/>
    <w:rsid w:val="52AB07CA"/>
    <w:rsid w:val="52AF02BB"/>
    <w:rsid w:val="52B14033"/>
    <w:rsid w:val="52B21B59"/>
    <w:rsid w:val="52B4142D"/>
    <w:rsid w:val="52B551A5"/>
    <w:rsid w:val="52B633F7"/>
    <w:rsid w:val="52B72CCB"/>
    <w:rsid w:val="52B96A43"/>
    <w:rsid w:val="52BA27BB"/>
    <w:rsid w:val="52BB6C5F"/>
    <w:rsid w:val="52BC29D7"/>
    <w:rsid w:val="52BC6534"/>
    <w:rsid w:val="52BE22AC"/>
    <w:rsid w:val="52BE405A"/>
    <w:rsid w:val="52BF7DD2"/>
    <w:rsid w:val="52C06024"/>
    <w:rsid w:val="52C13B4A"/>
    <w:rsid w:val="52C27FEE"/>
    <w:rsid w:val="52C553E8"/>
    <w:rsid w:val="52C673B2"/>
    <w:rsid w:val="52C75604"/>
    <w:rsid w:val="52C8137C"/>
    <w:rsid w:val="52CA0C50"/>
    <w:rsid w:val="52CA29FF"/>
    <w:rsid w:val="52CA6EA2"/>
    <w:rsid w:val="52CB6777"/>
    <w:rsid w:val="52CC2C1B"/>
    <w:rsid w:val="52CD6993"/>
    <w:rsid w:val="52D25D57"/>
    <w:rsid w:val="52D47D21"/>
    <w:rsid w:val="52D63A99"/>
    <w:rsid w:val="52D675F5"/>
    <w:rsid w:val="52D715BF"/>
    <w:rsid w:val="52D7511B"/>
    <w:rsid w:val="52D90E94"/>
    <w:rsid w:val="52D970E6"/>
    <w:rsid w:val="52DA377C"/>
    <w:rsid w:val="52DC0984"/>
    <w:rsid w:val="52DC2732"/>
    <w:rsid w:val="52DC6BD6"/>
    <w:rsid w:val="52DE46FC"/>
    <w:rsid w:val="52DE64AA"/>
    <w:rsid w:val="52DF030A"/>
    <w:rsid w:val="52E2243E"/>
    <w:rsid w:val="52E33975"/>
    <w:rsid w:val="52E361B6"/>
    <w:rsid w:val="52E37F64"/>
    <w:rsid w:val="52E63A37"/>
    <w:rsid w:val="52E77A54"/>
    <w:rsid w:val="52E8557B"/>
    <w:rsid w:val="52E87329"/>
    <w:rsid w:val="52EA30A1"/>
    <w:rsid w:val="52EF06B7"/>
    <w:rsid w:val="52F12681"/>
    <w:rsid w:val="52F45CCD"/>
    <w:rsid w:val="52F67C97"/>
    <w:rsid w:val="52F8470B"/>
    <w:rsid w:val="52F932E4"/>
    <w:rsid w:val="52F97788"/>
    <w:rsid w:val="52FB3500"/>
    <w:rsid w:val="52FC308C"/>
    <w:rsid w:val="52FD1026"/>
    <w:rsid w:val="52FE08FA"/>
    <w:rsid w:val="52FE4D9E"/>
    <w:rsid w:val="530028C4"/>
    <w:rsid w:val="53004672"/>
    <w:rsid w:val="530103EA"/>
    <w:rsid w:val="53051C89"/>
    <w:rsid w:val="53057EDB"/>
    <w:rsid w:val="53071EA5"/>
    <w:rsid w:val="530C74BB"/>
    <w:rsid w:val="530D4FE1"/>
    <w:rsid w:val="530D6BE2"/>
    <w:rsid w:val="530D6D8F"/>
    <w:rsid w:val="53114AD1"/>
    <w:rsid w:val="531215C4"/>
    <w:rsid w:val="531225F7"/>
    <w:rsid w:val="531243A6"/>
    <w:rsid w:val="53163E96"/>
    <w:rsid w:val="531719BC"/>
    <w:rsid w:val="53193986"/>
    <w:rsid w:val="531B76FE"/>
    <w:rsid w:val="531C6FD2"/>
    <w:rsid w:val="531D66D7"/>
    <w:rsid w:val="53202F66"/>
    <w:rsid w:val="53204D14"/>
    <w:rsid w:val="53206AC2"/>
    <w:rsid w:val="532145E9"/>
    <w:rsid w:val="53220A8C"/>
    <w:rsid w:val="5322283B"/>
    <w:rsid w:val="532277F3"/>
    <w:rsid w:val="53230361"/>
    <w:rsid w:val="53234805"/>
    <w:rsid w:val="532439D9"/>
    <w:rsid w:val="5325057D"/>
    <w:rsid w:val="53285977"/>
    <w:rsid w:val="532C190B"/>
    <w:rsid w:val="532D11DF"/>
    <w:rsid w:val="532E5F1B"/>
    <w:rsid w:val="532E765C"/>
    <w:rsid w:val="532F31A9"/>
    <w:rsid w:val="5331340C"/>
    <w:rsid w:val="53316F22"/>
    <w:rsid w:val="53332C9A"/>
    <w:rsid w:val="53346A12"/>
    <w:rsid w:val="533646AD"/>
    <w:rsid w:val="533710EA"/>
    <w:rsid w:val="533832DF"/>
    <w:rsid w:val="533B38FC"/>
    <w:rsid w:val="533D58C6"/>
    <w:rsid w:val="533E5A10"/>
    <w:rsid w:val="53424C8B"/>
    <w:rsid w:val="53426A39"/>
    <w:rsid w:val="53430609"/>
    <w:rsid w:val="534327B1"/>
    <w:rsid w:val="534529CD"/>
    <w:rsid w:val="5345477B"/>
    <w:rsid w:val="534704F3"/>
    <w:rsid w:val="534A3B3F"/>
    <w:rsid w:val="534C3D5B"/>
    <w:rsid w:val="534F55FA"/>
    <w:rsid w:val="535029F5"/>
    <w:rsid w:val="535112B4"/>
    <w:rsid w:val="53513120"/>
    <w:rsid w:val="53514ECE"/>
    <w:rsid w:val="535350EA"/>
    <w:rsid w:val="535449BE"/>
    <w:rsid w:val="535844AE"/>
    <w:rsid w:val="535B3F9E"/>
    <w:rsid w:val="535B4F37"/>
    <w:rsid w:val="535D1AC5"/>
    <w:rsid w:val="535D3873"/>
    <w:rsid w:val="535D3B69"/>
    <w:rsid w:val="535E38B8"/>
    <w:rsid w:val="53603363"/>
    <w:rsid w:val="5361780D"/>
    <w:rsid w:val="53622239"/>
    <w:rsid w:val="5362532D"/>
    <w:rsid w:val="536410A5"/>
    <w:rsid w:val="536522FB"/>
    <w:rsid w:val="53654E1D"/>
    <w:rsid w:val="53682217"/>
    <w:rsid w:val="53690469"/>
    <w:rsid w:val="536C61AC"/>
    <w:rsid w:val="536D782E"/>
    <w:rsid w:val="536E3CD2"/>
    <w:rsid w:val="536F43D9"/>
    <w:rsid w:val="537312E8"/>
    <w:rsid w:val="5373753A"/>
    <w:rsid w:val="53746E0E"/>
    <w:rsid w:val="53762B86"/>
    <w:rsid w:val="53764934"/>
    <w:rsid w:val="5376752B"/>
    <w:rsid w:val="53784B50"/>
    <w:rsid w:val="537D3F15"/>
    <w:rsid w:val="537F4332"/>
    <w:rsid w:val="53807561"/>
    <w:rsid w:val="53811823"/>
    <w:rsid w:val="538434F5"/>
    <w:rsid w:val="538452A3"/>
    <w:rsid w:val="5385101B"/>
    <w:rsid w:val="5386726D"/>
    <w:rsid w:val="538708F0"/>
    <w:rsid w:val="538928BA"/>
    <w:rsid w:val="53894668"/>
    <w:rsid w:val="538A1445"/>
    <w:rsid w:val="538A6632"/>
    <w:rsid w:val="538C5F06"/>
    <w:rsid w:val="538E6122"/>
    <w:rsid w:val="538F3E27"/>
    <w:rsid w:val="53901E9A"/>
    <w:rsid w:val="539407A6"/>
    <w:rsid w:val="5394125E"/>
    <w:rsid w:val="5394300C"/>
    <w:rsid w:val="539574B0"/>
    <w:rsid w:val="53963229"/>
    <w:rsid w:val="53964FD7"/>
    <w:rsid w:val="53984ED9"/>
    <w:rsid w:val="53986FA1"/>
    <w:rsid w:val="539B25ED"/>
    <w:rsid w:val="539B3B0B"/>
    <w:rsid w:val="539B439B"/>
    <w:rsid w:val="539D0FFC"/>
    <w:rsid w:val="539D45B7"/>
    <w:rsid w:val="539F032F"/>
    <w:rsid w:val="53A05E55"/>
    <w:rsid w:val="53A2397B"/>
    <w:rsid w:val="53A25729"/>
    <w:rsid w:val="53A414A2"/>
    <w:rsid w:val="53A45630"/>
    <w:rsid w:val="53A476F3"/>
    <w:rsid w:val="53A5521A"/>
    <w:rsid w:val="53A56FC8"/>
    <w:rsid w:val="53A616BE"/>
    <w:rsid w:val="53A70F92"/>
    <w:rsid w:val="53A92F5C"/>
    <w:rsid w:val="53AA2830"/>
    <w:rsid w:val="53AC47FA"/>
    <w:rsid w:val="53AF7E46"/>
    <w:rsid w:val="53B042EA"/>
    <w:rsid w:val="53B06098"/>
    <w:rsid w:val="53B10062"/>
    <w:rsid w:val="53B33222"/>
    <w:rsid w:val="53B8319F"/>
    <w:rsid w:val="53B84F4D"/>
    <w:rsid w:val="53BB4A3D"/>
    <w:rsid w:val="53BD2563"/>
    <w:rsid w:val="53C02053"/>
    <w:rsid w:val="53C16550"/>
    <w:rsid w:val="53C25DCC"/>
    <w:rsid w:val="53C41B44"/>
    <w:rsid w:val="53C658BC"/>
    <w:rsid w:val="53C75190"/>
    <w:rsid w:val="53CC09F8"/>
    <w:rsid w:val="53CE651E"/>
    <w:rsid w:val="53D02297"/>
    <w:rsid w:val="53D0673A"/>
    <w:rsid w:val="53D17DBD"/>
    <w:rsid w:val="53D224B3"/>
    <w:rsid w:val="53D31D87"/>
    <w:rsid w:val="53D55AFF"/>
    <w:rsid w:val="53DC242E"/>
    <w:rsid w:val="53DF072C"/>
    <w:rsid w:val="53E2021C"/>
    <w:rsid w:val="53E2646E"/>
    <w:rsid w:val="53E45D42"/>
    <w:rsid w:val="53E47AF0"/>
    <w:rsid w:val="53E534E0"/>
    <w:rsid w:val="53E73A84"/>
    <w:rsid w:val="53E775E0"/>
    <w:rsid w:val="53E835A2"/>
    <w:rsid w:val="53E977FC"/>
    <w:rsid w:val="53EB70D0"/>
    <w:rsid w:val="53EC109A"/>
    <w:rsid w:val="53EC2E48"/>
    <w:rsid w:val="53F01D34"/>
    <w:rsid w:val="53F02939"/>
    <w:rsid w:val="53F046E7"/>
    <w:rsid w:val="53F306B5"/>
    <w:rsid w:val="53F561A1"/>
    <w:rsid w:val="53F57F4F"/>
    <w:rsid w:val="53F704C6"/>
    <w:rsid w:val="53FA37B7"/>
    <w:rsid w:val="53FA7313"/>
    <w:rsid w:val="53FD6E04"/>
    <w:rsid w:val="53FF6C58"/>
    <w:rsid w:val="540006A2"/>
    <w:rsid w:val="540255D9"/>
    <w:rsid w:val="54036AE1"/>
    <w:rsid w:val="54040192"/>
    <w:rsid w:val="54041F40"/>
    <w:rsid w:val="540463E4"/>
    <w:rsid w:val="54065CB8"/>
    <w:rsid w:val="54077C35"/>
    <w:rsid w:val="54091C4C"/>
    <w:rsid w:val="540C7047"/>
    <w:rsid w:val="540D34EB"/>
    <w:rsid w:val="540E2DBF"/>
    <w:rsid w:val="541128AF"/>
    <w:rsid w:val="541303D5"/>
    <w:rsid w:val="5415414D"/>
    <w:rsid w:val="54161C73"/>
    <w:rsid w:val="54177EC5"/>
    <w:rsid w:val="54183C3E"/>
    <w:rsid w:val="541859EC"/>
    <w:rsid w:val="541A1764"/>
    <w:rsid w:val="541B78CC"/>
    <w:rsid w:val="541C372E"/>
    <w:rsid w:val="541F321E"/>
    <w:rsid w:val="542076D2"/>
    <w:rsid w:val="542130E7"/>
    <w:rsid w:val="5422686A"/>
    <w:rsid w:val="54244390"/>
    <w:rsid w:val="54273E81"/>
    <w:rsid w:val="54285E64"/>
    <w:rsid w:val="542B3971"/>
    <w:rsid w:val="542E16B3"/>
    <w:rsid w:val="54302D35"/>
    <w:rsid w:val="54316AAD"/>
    <w:rsid w:val="54334D27"/>
    <w:rsid w:val="54336CC9"/>
    <w:rsid w:val="54345897"/>
    <w:rsid w:val="543547EF"/>
    <w:rsid w:val="543640C4"/>
    <w:rsid w:val="543825E6"/>
    <w:rsid w:val="543842E0"/>
    <w:rsid w:val="54387E3C"/>
    <w:rsid w:val="543A1E06"/>
    <w:rsid w:val="543A3BB4"/>
    <w:rsid w:val="543C5B7E"/>
    <w:rsid w:val="543F11CA"/>
    <w:rsid w:val="54436F0C"/>
    <w:rsid w:val="54445BC5"/>
    <w:rsid w:val="544B4013"/>
    <w:rsid w:val="544B5DC1"/>
    <w:rsid w:val="544D38E7"/>
    <w:rsid w:val="544D6654"/>
    <w:rsid w:val="544E58B1"/>
    <w:rsid w:val="544E765F"/>
    <w:rsid w:val="54501629"/>
    <w:rsid w:val="545033D7"/>
    <w:rsid w:val="5452118E"/>
    <w:rsid w:val="5455279C"/>
    <w:rsid w:val="54554E92"/>
    <w:rsid w:val="5458228C"/>
    <w:rsid w:val="545A24A8"/>
    <w:rsid w:val="545C1D7C"/>
    <w:rsid w:val="545D5AF4"/>
    <w:rsid w:val="545E0B04"/>
    <w:rsid w:val="545F361A"/>
    <w:rsid w:val="545F7ABE"/>
    <w:rsid w:val="54603424"/>
    <w:rsid w:val="546155E5"/>
    <w:rsid w:val="54617393"/>
    <w:rsid w:val="54624EB9"/>
    <w:rsid w:val="5463135D"/>
    <w:rsid w:val="54680721"/>
    <w:rsid w:val="54684BC5"/>
    <w:rsid w:val="546926EB"/>
    <w:rsid w:val="54694499"/>
    <w:rsid w:val="54695C17"/>
    <w:rsid w:val="546B1FBF"/>
    <w:rsid w:val="546D3F89"/>
    <w:rsid w:val="546E1AAF"/>
    <w:rsid w:val="546E385E"/>
    <w:rsid w:val="546E7D01"/>
    <w:rsid w:val="546F1A89"/>
    <w:rsid w:val="546F6F25"/>
    <w:rsid w:val="54703A7A"/>
    <w:rsid w:val="54705828"/>
    <w:rsid w:val="5474356A"/>
    <w:rsid w:val="54751090"/>
    <w:rsid w:val="54752E3E"/>
    <w:rsid w:val="547558FB"/>
    <w:rsid w:val="54766D8B"/>
    <w:rsid w:val="54770964"/>
    <w:rsid w:val="54774E08"/>
    <w:rsid w:val="547A48F8"/>
    <w:rsid w:val="547D1CF3"/>
    <w:rsid w:val="54813591"/>
    <w:rsid w:val="54817A35"/>
    <w:rsid w:val="5482532E"/>
    <w:rsid w:val="5483555B"/>
    <w:rsid w:val="548412D3"/>
    <w:rsid w:val="5484281F"/>
    <w:rsid w:val="5486329D"/>
    <w:rsid w:val="5486504B"/>
    <w:rsid w:val="54890697"/>
    <w:rsid w:val="548968E9"/>
    <w:rsid w:val="548A4B3B"/>
    <w:rsid w:val="548C251C"/>
    <w:rsid w:val="548F2152"/>
    <w:rsid w:val="54921C42"/>
    <w:rsid w:val="5492579E"/>
    <w:rsid w:val="549332C4"/>
    <w:rsid w:val="549459BA"/>
    <w:rsid w:val="54947768"/>
    <w:rsid w:val="549534E0"/>
    <w:rsid w:val="5495528E"/>
    <w:rsid w:val="54977258"/>
    <w:rsid w:val="54992FD0"/>
    <w:rsid w:val="54994CF6"/>
    <w:rsid w:val="54994D7E"/>
    <w:rsid w:val="549A0AF6"/>
    <w:rsid w:val="549C03CB"/>
    <w:rsid w:val="549C486F"/>
    <w:rsid w:val="549F610D"/>
    <w:rsid w:val="54A11E85"/>
    <w:rsid w:val="54A13C33"/>
    <w:rsid w:val="54A51975"/>
    <w:rsid w:val="54A61249"/>
    <w:rsid w:val="54A6749B"/>
    <w:rsid w:val="54A72E72"/>
    <w:rsid w:val="54A83213"/>
    <w:rsid w:val="54A84FC1"/>
    <w:rsid w:val="54A86D6F"/>
    <w:rsid w:val="54A95628"/>
    <w:rsid w:val="54AC059B"/>
    <w:rsid w:val="54AD25D8"/>
    <w:rsid w:val="54AD6A7C"/>
    <w:rsid w:val="54AE00FE"/>
    <w:rsid w:val="54AF6350"/>
    <w:rsid w:val="54B0031A"/>
    <w:rsid w:val="54B020C8"/>
    <w:rsid w:val="54B1183C"/>
    <w:rsid w:val="54B24092"/>
    <w:rsid w:val="54B25E40"/>
    <w:rsid w:val="54B35714"/>
    <w:rsid w:val="54B41BB8"/>
    <w:rsid w:val="54B43966"/>
    <w:rsid w:val="54B75204"/>
    <w:rsid w:val="54B90584"/>
    <w:rsid w:val="54BA6AA3"/>
    <w:rsid w:val="54BB6290"/>
    <w:rsid w:val="54BF4453"/>
    <w:rsid w:val="54C16083"/>
    <w:rsid w:val="54C20730"/>
    <w:rsid w:val="54C23F02"/>
    <w:rsid w:val="54C3004D"/>
    <w:rsid w:val="54C33BA9"/>
    <w:rsid w:val="54C449A1"/>
    <w:rsid w:val="54C618EB"/>
    <w:rsid w:val="54C63D12"/>
    <w:rsid w:val="54C65448"/>
    <w:rsid w:val="54CA318A"/>
    <w:rsid w:val="54CB6F02"/>
    <w:rsid w:val="54CD4A28"/>
    <w:rsid w:val="54CF69F2"/>
    <w:rsid w:val="54D1276A"/>
    <w:rsid w:val="54D44008"/>
    <w:rsid w:val="54D45DB6"/>
    <w:rsid w:val="54D47B64"/>
    <w:rsid w:val="54D538DD"/>
    <w:rsid w:val="54D620C6"/>
    <w:rsid w:val="54DA0A47"/>
    <w:rsid w:val="54DB5397"/>
    <w:rsid w:val="54DC110F"/>
    <w:rsid w:val="54DC2EBD"/>
    <w:rsid w:val="54DE09E3"/>
    <w:rsid w:val="54DE1F99"/>
    <w:rsid w:val="54DE3429"/>
    <w:rsid w:val="54DE6C35"/>
    <w:rsid w:val="54DF6509"/>
    <w:rsid w:val="54E104D3"/>
    <w:rsid w:val="54E3249D"/>
    <w:rsid w:val="54E35FFA"/>
    <w:rsid w:val="54E56216"/>
    <w:rsid w:val="54E57FC4"/>
    <w:rsid w:val="54E81862"/>
    <w:rsid w:val="54E83610"/>
    <w:rsid w:val="54ED6E78"/>
    <w:rsid w:val="54EF2BF0"/>
    <w:rsid w:val="54F14BBA"/>
    <w:rsid w:val="54F2623D"/>
    <w:rsid w:val="54F46459"/>
    <w:rsid w:val="54F5564F"/>
    <w:rsid w:val="54F93A6F"/>
    <w:rsid w:val="54F9581D"/>
    <w:rsid w:val="54FB1595"/>
    <w:rsid w:val="54FB77E7"/>
    <w:rsid w:val="54FC530D"/>
    <w:rsid w:val="54FE4BE1"/>
    <w:rsid w:val="55004DFD"/>
    <w:rsid w:val="55006BAB"/>
    <w:rsid w:val="55012924"/>
    <w:rsid w:val="55020B76"/>
    <w:rsid w:val="550348EE"/>
    <w:rsid w:val="550541C2"/>
    <w:rsid w:val="550565D4"/>
    <w:rsid w:val="55067F3A"/>
    <w:rsid w:val="55081F04"/>
    <w:rsid w:val="550B5550"/>
    <w:rsid w:val="550D12C8"/>
    <w:rsid w:val="55110DB9"/>
    <w:rsid w:val="55124B31"/>
    <w:rsid w:val="551268DF"/>
    <w:rsid w:val="551362E8"/>
    <w:rsid w:val="55142068"/>
    <w:rsid w:val="5516017D"/>
    <w:rsid w:val="55164621"/>
    <w:rsid w:val="55194A4A"/>
    <w:rsid w:val="55195EBF"/>
    <w:rsid w:val="55197C6D"/>
    <w:rsid w:val="551A4821"/>
    <w:rsid w:val="551C33CB"/>
    <w:rsid w:val="55200FFC"/>
    <w:rsid w:val="55216B22"/>
    <w:rsid w:val="55255BBE"/>
    <w:rsid w:val="55256612"/>
    <w:rsid w:val="552705DC"/>
    <w:rsid w:val="55292DFE"/>
    <w:rsid w:val="552A59D6"/>
    <w:rsid w:val="552B1A30"/>
    <w:rsid w:val="552D196B"/>
    <w:rsid w:val="552D3719"/>
    <w:rsid w:val="552E57E0"/>
    <w:rsid w:val="552F123F"/>
    <w:rsid w:val="552F56E3"/>
    <w:rsid w:val="552F6C70"/>
    <w:rsid w:val="55322ADD"/>
    <w:rsid w:val="55326F81"/>
    <w:rsid w:val="55342CF9"/>
    <w:rsid w:val="553556B3"/>
    <w:rsid w:val="553625CD"/>
    <w:rsid w:val="553928F3"/>
    <w:rsid w:val="553A3D83"/>
    <w:rsid w:val="553B5E36"/>
    <w:rsid w:val="553B7BE4"/>
    <w:rsid w:val="553D3E45"/>
    <w:rsid w:val="553D7E00"/>
    <w:rsid w:val="553E1482"/>
    <w:rsid w:val="5543118E"/>
    <w:rsid w:val="55434CEA"/>
    <w:rsid w:val="55452810"/>
    <w:rsid w:val="55456CB4"/>
    <w:rsid w:val="55465BF2"/>
    <w:rsid w:val="55466588"/>
    <w:rsid w:val="554747DA"/>
    <w:rsid w:val="554923E8"/>
    <w:rsid w:val="554967A4"/>
    <w:rsid w:val="554A6079"/>
    <w:rsid w:val="554B04C2"/>
    <w:rsid w:val="554D5B69"/>
    <w:rsid w:val="554D7917"/>
    <w:rsid w:val="554E3DBB"/>
    <w:rsid w:val="554F18E1"/>
    <w:rsid w:val="554F368F"/>
    <w:rsid w:val="555111B5"/>
    <w:rsid w:val="55517407"/>
    <w:rsid w:val="5556223E"/>
    <w:rsid w:val="55592760"/>
    <w:rsid w:val="5559450E"/>
    <w:rsid w:val="555B2034"/>
    <w:rsid w:val="555C7B5A"/>
    <w:rsid w:val="555D2250"/>
    <w:rsid w:val="555D5DAC"/>
    <w:rsid w:val="55653051"/>
    <w:rsid w:val="55674E7D"/>
    <w:rsid w:val="55676C2B"/>
    <w:rsid w:val="55680542"/>
    <w:rsid w:val="55684751"/>
    <w:rsid w:val="556A2277"/>
    <w:rsid w:val="556B6EC3"/>
    <w:rsid w:val="556C2493"/>
    <w:rsid w:val="556C5FEF"/>
    <w:rsid w:val="556E620B"/>
    <w:rsid w:val="556E7FB9"/>
    <w:rsid w:val="556F788D"/>
    <w:rsid w:val="55741347"/>
    <w:rsid w:val="55747599"/>
    <w:rsid w:val="55755020"/>
    <w:rsid w:val="557650C0"/>
    <w:rsid w:val="55780E38"/>
    <w:rsid w:val="55782BE6"/>
    <w:rsid w:val="5579070C"/>
    <w:rsid w:val="557A2957"/>
    <w:rsid w:val="557D01FC"/>
    <w:rsid w:val="557E3F74"/>
    <w:rsid w:val="55801A9A"/>
    <w:rsid w:val="55807CEC"/>
    <w:rsid w:val="55825812"/>
    <w:rsid w:val="55833339"/>
    <w:rsid w:val="558570B1"/>
    <w:rsid w:val="55863ACB"/>
    <w:rsid w:val="55872E29"/>
    <w:rsid w:val="558A0B6B"/>
    <w:rsid w:val="558A46C7"/>
    <w:rsid w:val="558C0B67"/>
    <w:rsid w:val="558D2466"/>
    <w:rsid w:val="558D768C"/>
    <w:rsid w:val="55915A56"/>
    <w:rsid w:val="55943798"/>
    <w:rsid w:val="5594755F"/>
    <w:rsid w:val="559519EA"/>
    <w:rsid w:val="559674D1"/>
    <w:rsid w:val="55990DAE"/>
    <w:rsid w:val="559A7000"/>
    <w:rsid w:val="559E0172"/>
    <w:rsid w:val="559E6310"/>
    <w:rsid w:val="55A0213D"/>
    <w:rsid w:val="55A27C63"/>
    <w:rsid w:val="55A35789"/>
    <w:rsid w:val="55A734CB"/>
    <w:rsid w:val="55A82D9F"/>
    <w:rsid w:val="55AA2FBB"/>
    <w:rsid w:val="55AC0AE1"/>
    <w:rsid w:val="55AC288F"/>
    <w:rsid w:val="55AE4859"/>
    <w:rsid w:val="55B055F7"/>
    <w:rsid w:val="55B160F8"/>
    <w:rsid w:val="55B32AE8"/>
    <w:rsid w:val="55B43A74"/>
    <w:rsid w:val="55B47996"/>
    <w:rsid w:val="55B55408"/>
    <w:rsid w:val="55B654BC"/>
    <w:rsid w:val="55BB2AD2"/>
    <w:rsid w:val="55BB6F76"/>
    <w:rsid w:val="55BE25C3"/>
    <w:rsid w:val="55C0633B"/>
    <w:rsid w:val="55C20305"/>
    <w:rsid w:val="55C27A0C"/>
    <w:rsid w:val="55C4407D"/>
    <w:rsid w:val="55C45E2B"/>
    <w:rsid w:val="55C7591B"/>
    <w:rsid w:val="55C776C9"/>
    <w:rsid w:val="55C8213D"/>
    <w:rsid w:val="55C93441"/>
    <w:rsid w:val="55C951EF"/>
    <w:rsid w:val="55CA0D6F"/>
    <w:rsid w:val="55CA71B9"/>
    <w:rsid w:val="55CB540B"/>
    <w:rsid w:val="55CE2806"/>
    <w:rsid w:val="55CE76F0"/>
    <w:rsid w:val="55CF47D0"/>
    <w:rsid w:val="55D02010"/>
    <w:rsid w:val="55D122F6"/>
    <w:rsid w:val="55D1679A"/>
    <w:rsid w:val="55D342C0"/>
    <w:rsid w:val="55D3606E"/>
    <w:rsid w:val="55D43B94"/>
    <w:rsid w:val="55D50038"/>
    <w:rsid w:val="55D63DB0"/>
    <w:rsid w:val="55D83684"/>
    <w:rsid w:val="55D911AB"/>
    <w:rsid w:val="55DA73FC"/>
    <w:rsid w:val="55DB13C7"/>
    <w:rsid w:val="55DD0C9B"/>
    <w:rsid w:val="55DD513F"/>
    <w:rsid w:val="55DD6EED"/>
    <w:rsid w:val="55DF4A13"/>
    <w:rsid w:val="55E0078B"/>
    <w:rsid w:val="55E4027B"/>
    <w:rsid w:val="55EB785C"/>
    <w:rsid w:val="55EC7130"/>
    <w:rsid w:val="55EE10FA"/>
    <w:rsid w:val="55EE2EA8"/>
    <w:rsid w:val="55EE4C56"/>
    <w:rsid w:val="55F04E72"/>
    <w:rsid w:val="55F14746"/>
    <w:rsid w:val="55F34962"/>
    <w:rsid w:val="55F61D5C"/>
    <w:rsid w:val="55F668FC"/>
    <w:rsid w:val="55F671B4"/>
    <w:rsid w:val="55F77D8C"/>
    <w:rsid w:val="55F81F79"/>
    <w:rsid w:val="55F97F96"/>
    <w:rsid w:val="55FA3B3C"/>
    <w:rsid w:val="55FA7A9F"/>
    <w:rsid w:val="55FC3817"/>
    <w:rsid w:val="55FD133D"/>
    <w:rsid w:val="55FF3307"/>
    <w:rsid w:val="55FF50B5"/>
    <w:rsid w:val="56002BDB"/>
    <w:rsid w:val="56004989"/>
    <w:rsid w:val="560079AE"/>
    <w:rsid w:val="56010E2D"/>
    <w:rsid w:val="56014180"/>
    <w:rsid w:val="56052390"/>
    <w:rsid w:val="560721BC"/>
    <w:rsid w:val="56091A90"/>
    <w:rsid w:val="56095F34"/>
    <w:rsid w:val="56097CE2"/>
    <w:rsid w:val="560B4AC1"/>
    <w:rsid w:val="560B7692"/>
    <w:rsid w:val="56124994"/>
    <w:rsid w:val="56130276"/>
    <w:rsid w:val="5613290E"/>
    <w:rsid w:val="561A3C9D"/>
    <w:rsid w:val="561B45B6"/>
    <w:rsid w:val="561B7A15"/>
    <w:rsid w:val="561C5C67"/>
    <w:rsid w:val="561D553B"/>
    <w:rsid w:val="561F43C7"/>
    <w:rsid w:val="5621502B"/>
    <w:rsid w:val="56226FF5"/>
    <w:rsid w:val="56242D6E"/>
    <w:rsid w:val="562543F0"/>
    <w:rsid w:val="56270168"/>
    <w:rsid w:val="56286BBA"/>
    <w:rsid w:val="5629004A"/>
    <w:rsid w:val="56293EE0"/>
    <w:rsid w:val="562B7C58"/>
    <w:rsid w:val="562C1C22"/>
    <w:rsid w:val="562E14F6"/>
    <w:rsid w:val="56327239"/>
    <w:rsid w:val="56334D5F"/>
    <w:rsid w:val="56352885"/>
    <w:rsid w:val="563665FD"/>
    <w:rsid w:val="563805C7"/>
    <w:rsid w:val="56382375"/>
    <w:rsid w:val="563D5BDD"/>
    <w:rsid w:val="563E4FDC"/>
    <w:rsid w:val="564231F4"/>
    <w:rsid w:val="56464A92"/>
    <w:rsid w:val="5647080A"/>
    <w:rsid w:val="564725B8"/>
    <w:rsid w:val="56474D13"/>
    <w:rsid w:val="564A0FF8"/>
    <w:rsid w:val="564C7BCE"/>
    <w:rsid w:val="565076BF"/>
    <w:rsid w:val="56551179"/>
    <w:rsid w:val="56552F27"/>
    <w:rsid w:val="56574EF1"/>
    <w:rsid w:val="56576C9F"/>
    <w:rsid w:val="565847C5"/>
    <w:rsid w:val="565A22EB"/>
    <w:rsid w:val="565C42B5"/>
    <w:rsid w:val="565D1DDC"/>
    <w:rsid w:val="565E627F"/>
    <w:rsid w:val="565F7902"/>
    <w:rsid w:val="5661367A"/>
    <w:rsid w:val="56617B1E"/>
    <w:rsid w:val="56625644"/>
    <w:rsid w:val="566B44F9"/>
    <w:rsid w:val="566C201F"/>
    <w:rsid w:val="566E223B"/>
    <w:rsid w:val="56701B0F"/>
    <w:rsid w:val="567053AF"/>
    <w:rsid w:val="56723AD9"/>
    <w:rsid w:val="56725887"/>
    <w:rsid w:val="5673115F"/>
    <w:rsid w:val="567315FF"/>
    <w:rsid w:val="567535C9"/>
    <w:rsid w:val="56755377"/>
    <w:rsid w:val="56764C4B"/>
    <w:rsid w:val="567710EF"/>
    <w:rsid w:val="567809C3"/>
    <w:rsid w:val="56786C15"/>
    <w:rsid w:val="56792400"/>
    <w:rsid w:val="56794E67"/>
    <w:rsid w:val="567A0BDF"/>
    <w:rsid w:val="567A473C"/>
    <w:rsid w:val="567C04B4"/>
    <w:rsid w:val="567F7FA4"/>
    <w:rsid w:val="56813763"/>
    <w:rsid w:val="56815ACA"/>
    <w:rsid w:val="56821842"/>
    <w:rsid w:val="56892BD1"/>
    <w:rsid w:val="568D446F"/>
    <w:rsid w:val="568E6439"/>
    <w:rsid w:val="56920730"/>
    <w:rsid w:val="56925F29"/>
    <w:rsid w:val="5697353F"/>
    <w:rsid w:val="5697709C"/>
    <w:rsid w:val="56981066"/>
    <w:rsid w:val="569A4DDE"/>
    <w:rsid w:val="569E48CE"/>
    <w:rsid w:val="569F41A2"/>
    <w:rsid w:val="56A17F1A"/>
    <w:rsid w:val="56A2240C"/>
    <w:rsid w:val="56A25A40"/>
    <w:rsid w:val="56A45C5C"/>
    <w:rsid w:val="56A619D5"/>
    <w:rsid w:val="56A63783"/>
    <w:rsid w:val="56A66BBF"/>
    <w:rsid w:val="56A874FB"/>
    <w:rsid w:val="56AB6FEB"/>
    <w:rsid w:val="56AD4B11"/>
    <w:rsid w:val="56AD68BF"/>
    <w:rsid w:val="56AF0889"/>
    <w:rsid w:val="56AF6ADB"/>
    <w:rsid w:val="56B20379"/>
    <w:rsid w:val="56B45E9F"/>
    <w:rsid w:val="56B57E6A"/>
    <w:rsid w:val="56B7773E"/>
    <w:rsid w:val="56B85264"/>
    <w:rsid w:val="56B91708"/>
    <w:rsid w:val="56BA5480"/>
    <w:rsid w:val="56BC0DE5"/>
    <w:rsid w:val="56BC4D54"/>
    <w:rsid w:val="56BE0ACC"/>
    <w:rsid w:val="56C1236A"/>
    <w:rsid w:val="56C61E97"/>
    <w:rsid w:val="56C8194B"/>
    <w:rsid w:val="56C836F9"/>
    <w:rsid w:val="56C87B9D"/>
    <w:rsid w:val="56CD6F61"/>
    <w:rsid w:val="56CE4A87"/>
    <w:rsid w:val="56CE6835"/>
    <w:rsid w:val="56CF0F2B"/>
    <w:rsid w:val="56CF2CD9"/>
    <w:rsid w:val="56D007FF"/>
    <w:rsid w:val="56D26326"/>
    <w:rsid w:val="56D402F0"/>
    <w:rsid w:val="56D457A6"/>
    <w:rsid w:val="56D46032"/>
    <w:rsid w:val="56D71B8E"/>
    <w:rsid w:val="56D7455D"/>
    <w:rsid w:val="56D93B58"/>
    <w:rsid w:val="56DA342C"/>
    <w:rsid w:val="56DB436E"/>
    <w:rsid w:val="56DE011E"/>
    <w:rsid w:val="56DE4CCA"/>
    <w:rsid w:val="56DF6C95"/>
    <w:rsid w:val="56E10C5F"/>
    <w:rsid w:val="56E147BB"/>
    <w:rsid w:val="56E322E1"/>
    <w:rsid w:val="56E568B0"/>
    <w:rsid w:val="56E61DD1"/>
    <w:rsid w:val="56E83D9B"/>
    <w:rsid w:val="56E85B49"/>
    <w:rsid w:val="56EB388B"/>
    <w:rsid w:val="56ED13B1"/>
    <w:rsid w:val="56ED315F"/>
    <w:rsid w:val="56ED7603"/>
    <w:rsid w:val="56EE27E4"/>
    <w:rsid w:val="56EF2533"/>
    <w:rsid w:val="56EF6ED8"/>
    <w:rsid w:val="56F00EA2"/>
    <w:rsid w:val="56F11165"/>
    <w:rsid w:val="56F20776"/>
    <w:rsid w:val="56F24C1A"/>
    <w:rsid w:val="56F52014"/>
    <w:rsid w:val="56F72230"/>
    <w:rsid w:val="56F73FDE"/>
    <w:rsid w:val="56F75D8C"/>
    <w:rsid w:val="56FA587C"/>
    <w:rsid w:val="56FA762A"/>
    <w:rsid w:val="56FC15F5"/>
    <w:rsid w:val="56FC33A3"/>
    <w:rsid w:val="56FE35BF"/>
    <w:rsid w:val="56FF2E93"/>
    <w:rsid w:val="57007337"/>
    <w:rsid w:val="57014E5D"/>
    <w:rsid w:val="57016C0B"/>
    <w:rsid w:val="570219CD"/>
    <w:rsid w:val="57032B8C"/>
    <w:rsid w:val="57034731"/>
    <w:rsid w:val="570375C9"/>
    <w:rsid w:val="57062473"/>
    <w:rsid w:val="57064221"/>
    <w:rsid w:val="57066F23"/>
    <w:rsid w:val="57071EFB"/>
    <w:rsid w:val="570B1838"/>
    <w:rsid w:val="570D015C"/>
    <w:rsid w:val="570D1A54"/>
    <w:rsid w:val="5711443D"/>
    <w:rsid w:val="57122BC6"/>
    <w:rsid w:val="571444FF"/>
    <w:rsid w:val="571526B6"/>
    <w:rsid w:val="57160908"/>
    <w:rsid w:val="57166E1F"/>
    <w:rsid w:val="571702AF"/>
    <w:rsid w:val="57184310"/>
    <w:rsid w:val="571A1A7B"/>
    <w:rsid w:val="571C57F3"/>
    <w:rsid w:val="571E156B"/>
    <w:rsid w:val="57203535"/>
    <w:rsid w:val="57213F32"/>
    <w:rsid w:val="57243FF4"/>
    <w:rsid w:val="57256D9D"/>
    <w:rsid w:val="572A43B4"/>
    <w:rsid w:val="572A6725"/>
    <w:rsid w:val="572A7F10"/>
    <w:rsid w:val="572E462E"/>
    <w:rsid w:val="572F3778"/>
    <w:rsid w:val="572F5526"/>
    <w:rsid w:val="573174F0"/>
    <w:rsid w:val="573338E1"/>
    <w:rsid w:val="57336347"/>
    <w:rsid w:val="57390153"/>
    <w:rsid w:val="573963A5"/>
    <w:rsid w:val="573A3ECB"/>
    <w:rsid w:val="573B036F"/>
    <w:rsid w:val="573B211D"/>
    <w:rsid w:val="573C7C43"/>
    <w:rsid w:val="573E1C0D"/>
    <w:rsid w:val="574014E1"/>
    <w:rsid w:val="57405985"/>
    <w:rsid w:val="574216FD"/>
    <w:rsid w:val="57435475"/>
    <w:rsid w:val="57476390"/>
    <w:rsid w:val="57482A8C"/>
    <w:rsid w:val="5749313E"/>
    <w:rsid w:val="574A6804"/>
    <w:rsid w:val="574B719F"/>
    <w:rsid w:val="574D3BFE"/>
    <w:rsid w:val="574F3E1A"/>
    <w:rsid w:val="574F7976"/>
    <w:rsid w:val="575136EE"/>
    <w:rsid w:val="575256B8"/>
    <w:rsid w:val="57541431"/>
    <w:rsid w:val="575431DF"/>
    <w:rsid w:val="57572926"/>
    <w:rsid w:val="57580F21"/>
    <w:rsid w:val="575925A3"/>
    <w:rsid w:val="57596A47"/>
    <w:rsid w:val="575A40C3"/>
    <w:rsid w:val="575F3ED4"/>
    <w:rsid w:val="57607DD5"/>
    <w:rsid w:val="576378C6"/>
    <w:rsid w:val="57650F48"/>
    <w:rsid w:val="5765363E"/>
    <w:rsid w:val="57684EDC"/>
    <w:rsid w:val="57686C8A"/>
    <w:rsid w:val="576A2A02"/>
    <w:rsid w:val="576B22D6"/>
    <w:rsid w:val="576C677A"/>
    <w:rsid w:val="576D3E72"/>
    <w:rsid w:val="576F626A"/>
    <w:rsid w:val="5772234A"/>
    <w:rsid w:val="57727B09"/>
    <w:rsid w:val="57734F1B"/>
    <w:rsid w:val="5774562F"/>
    <w:rsid w:val="577613A7"/>
    <w:rsid w:val="57792C45"/>
    <w:rsid w:val="577B076B"/>
    <w:rsid w:val="577B62F9"/>
    <w:rsid w:val="577D0987"/>
    <w:rsid w:val="577D745D"/>
    <w:rsid w:val="577E025B"/>
    <w:rsid w:val="57811AFA"/>
    <w:rsid w:val="5781726E"/>
    <w:rsid w:val="57821531"/>
    <w:rsid w:val="57831D16"/>
    <w:rsid w:val="57833AC4"/>
    <w:rsid w:val="57834874"/>
    <w:rsid w:val="57853398"/>
    <w:rsid w:val="57861C50"/>
    <w:rsid w:val="578810DA"/>
    <w:rsid w:val="578C5AC2"/>
    <w:rsid w:val="578D66F1"/>
    <w:rsid w:val="578F4217"/>
    <w:rsid w:val="579161E1"/>
    <w:rsid w:val="579221F0"/>
    <w:rsid w:val="5794182D"/>
    <w:rsid w:val="57944254"/>
    <w:rsid w:val="57947A7F"/>
    <w:rsid w:val="57956B74"/>
    <w:rsid w:val="579730CB"/>
    <w:rsid w:val="579857A6"/>
    <w:rsid w:val="579B705F"/>
    <w:rsid w:val="579D2DD8"/>
    <w:rsid w:val="579E445A"/>
    <w:rsid w:val="57A06424"/>
    <w:rsid w:val="57A44166"/>
    <w:rsid w:val="57A51C8C"/>
    <w:rsid w:val="57A9177C"/>
    <w:rsid w:val="57AC301B"/>
    <w:rsid w:val="57AC4DC9"/>
    <w:rsid w:val="57AE6D93"/>
    <w:rsid w:val="57B04EBD"/>
    <w:rsid w:val="57B1418D"/>
    <w:rsid w:val="57B60D2F"/>
    <w:rsid w:val="57B679F5"/>
    <w:rsid w:val="57BB14B0"/>
    <w:rsid w:val="57BB325E"/>
    <w:rsid w:val="57BB500C"/>
    <w:rsid w:val="57BC345F"/>
    <w:rsid w:val="57BD6FD6"/>
    <w:rsid w:val="57BF2D4E"/>
    <w:rsid w:val="57C02622"/>
    <w:rsid w:val="57C245EC"/>
    <w:rsid w:val="57C2639A"/>
    <w:rsid w:val="57C55E8A"/>
    <w:rsid w:val="57C71C02"/>
    <w:rsid w:val="57C87729"/>
    <w:rsid w:val="57C93BCD"/>
    <w:rsid w:val="57CA16F3"/>
    <w:rsid w:val="57CC0FC7"/>
    <w:rsid w:val="57CF0AB7"/>
    <w:rsid w:val="57CF6D09"/>
    <w:rsid w:val="57D416E6"/>
    <w:rsid w:val="57D4431F"/>
    <w:rsid w:val="57D63BF4"/>
    <w:rsid w:val="57D65496"/>
    <w:rsid w:val="57D85BBE"/>
    <w:rsid w:val="57D8796C"/>
    <w:rsid w:val="57DB56AE"/>
    <w:rsid w:val="57E00F16"/>
    <w:rsid w:val="57E207EA"/>
    <w:rsid w:val="57E2517A"/>
    <w:rsid w:val="57E36310"/>
    <w:rsid w:val="57E427B4"/>
    <w:rsid w:val="57E722A5"/>
    <w:rsid w:val="57E82253"/>
    <w:rsid w:val="57EA3B43"/>
    <w:rsid w:val="57EA769F"/>
    <w:rsid w:val="57EB796D"/>
    <w:rsid w:val="57EC1669"/>
    <w:rsid w:val="57EC78BB"/>
    <w:rsid w:val="57EE3633"/>
    <w:rsid w:val="57EE371D"/>
    <w:rsid w:val="57EF1159"/>
    <w:rsid w:val="57EF2F07"/>
    <w:rsid w:val="57F16C7F"/>
    <w:rsid w:val="57F325DA"/>
    <w:rsid w:val="57F56770"/>
    <w:rsid w:val="57F66044"/>
    <w:rsid w:val="57FA1FD8"/>
    <w:rsid w:val="57FD73D2"/>
    <w:rsid w:val="57FF75EE"/>
    <w:rsid w:val="58005114"/>
    <w:rsid w:val="58006EC2"/>
    <w:rsid w:val="58030761"/>
    <w:rsid w:val="5804088A"/>
    <w:rsid w:val="58044C05"/>
    <w:rsid w:val="5809221B"/>
    <w:rsid w:val="58093FC9"/>
    <w:rsid w:val="58095D77"/>
    <w:rsid w:val="580A7D41"/>
    <w:rsid w:val="580C5867"/>
    <w:rsid w:val="580E7831"/>
    <w:rsid w:val="58117322"/>
    <w:rsid w:val="58164938"/>
    <w:rsid w:val="58172929"/>
    <w:rsid w:val="581A7F84"/>
    <w:rsid w:val="58207565"/>
    <w:rsid w:val="582157B7"/>
    <w:rsid w:val="5822508B"/>
    <w:rsid w:val="58254B7B"/>
    <w:rsid w:val="58262DCD"/>
    <w:rsid w:val="5829466B"/>
    <w:rsid w:val="582A3F3F"/>
    <w:rsid w:val="582B03E3"/>
    <w:rsid w:val="582E1C82"/>
    <w:rsid w:val="582E3A30"/>
    <w:rsid w:val="583077A8"/>
    <w:rsid w:val="58310F4D"/>
    <w:rsid w:val="58331046"/>
    <w:rsid w:val="5833642D"/>
    <w:rsid w:val="58360200"/>
    <w:rsid w:val="58385F74"/>
    <w:rsid w:val="583A0626"/>
    <w:rsid w:val="583A6878"/>
    <w:rsid w:val="583D0117"/>
    <w:rsid w:val="583D7215"/>
    <w:rsid w:val="583F3E8F"/>
    <w:rsid w:val="58405511"/>
    <w:rsid w:val="5842572D"/>
    <w:rsid w:val="58461A08"/>
    <w:rsid w:val="58472D43"/>
    <w:rsid w:val="58490869"/>
    <w:rsid w:val="584B45E2"/>
    <w:rsid w:val="584D65AC"/>
    <w:rsid w:val="584E7C2E"/>
    <w:rsid w:val="58501BF8"/>
    <w:rsid w:val="58523BC2"/>
    <w:rsid w:val="58550FBC"/>
    <w:rsid w:val="58564D34"/>
    <w:rsid w:val="58586CFE"/>
    <w:rsid w:val="585D4315"/>
    <w:rsid w:val="586236D9"/>
    <w:rsid w:val="58627B7D"/>
    <w:rsid w:val="58654F91"/>
    <w:rsid w:val="5866141B"/>
    <w:rsid w:val="58694A68"/>
    <w:rsid w:val="586A0E03"/>
    <w:rsid w:val="586C4558"/>
    <w:rsid w:val="586D09FC"/>
    <w:rsid w:val="587020A4"/>
    <w:rsid w:val="58704048"/>
    <w:rsid w:val="58711B6E"/>
    <w:rsid w:val="58733B38"/>
    <w:rsid w:val="5875165E"/>
    <w:rsid w:val="58753345"/>
    <w:rsid w:val="58754A86"/>
    <w:rsid w:val="58773629"/>
    <w:rsid w:val="587A0A23"/>
    <w:rsid w:val="587C0647"/>
    <w:rsid w:val="587C0C3F"/>
    <w:rsid w:val="587D0513"/>
    <w:rsid w:val="587D6765"/>
    <w:rsid w:val="587F6039"/>
    <w:rsid w:val="58800458"/>
    <w:rsid w:val="588150A1"/>
    <w:rsid w:val="58823D7B"/>
    <w:rsid w:val="58831FCD"/>
    <w:rsid w:val="588418A2"/>
    <w:rsid w:val="5886561A"/>
    <w:rsid w:val="588673C8"/>
    <w:rsid w:val="5889335C"/>
    <w:rsid w:val="58896EB8"/>
    <w:rsid w:val="588B2C30"/>
    <w:rsid w:val="588B70D4"/>
    <w:rsid w:val="588D2644"/>
    <w:rsid w:val="588D4BFA"/>
    <w:rsid w:val="588E0972"/>
    <w:rsid w:val="58906498"/>
    <w:rsid w:val="58920462"/>
    <w:rsid w:val="589715D5"/>
    <w:rsid w:val="5897524F"/>
    <w:rsid w:val="58975A79"/>
    <w:rsid w:val="589917F1"/>
    <w:rsid w:val="589A10C5"/>
    <w:rsid w:val="589A3F2C"/>
    <w:rsid w:val="589A7317"/>
    <w:rsid w:val="589C308F"/>
    <w:rsid w:val="589E6E07"/>
    <w:rsid w:val="58A3441E"/>
    <w:rsid w:val="58A40F94"/>
    <w:rsid w:val="58A41F44"/>
    <w:rsid w:val="58A74D44"/>
    <w:rsid w:val="58A81A34"/>
    <w:rsid w:val="58A9755A"/>
    <w:rsid w:val="58AB1524"/>
    <w:rsid w:val="58AC2BA6"/>
    <w:rsid w:val="58AD0DF8"/>
    <w:rsid w:val="58AD704A"/>
    <w:rsid w:val="58AE691E"/>
    <w:rsid w:val="58AF60A7"/>
    <w:rsid w:val="58B008E9"/>
    <w:rsid w:val="58B02697"/>
    <w:rsid w:val="58B101BD"/>
    <w:rsid w:val="58B2640F"/>
    <w:rsid w:val="58B303D9"/>
    <w:rsid w:val="58B33F35"/>
    <w:rsid w:val="58B35EB8"/>
    <w:rsid w:val="58B37FCA"/>
    <w:rsid w:val="58B525B4"/>
    <w:rsid w:val="58B55EFF"/>
    <w:rsid w:val="58B62A6F"/>
    <w:rsid w:val="58B73A25"/>
    <w:rsid w:val="58B8779D"/>
    <w:rsid w:val="58B959EF"/>
    <w:rsid w:val="58BA52C3"/>
    <w:rsid w:val="58BB464A"/>
    <w:rsid w:val="58BF28DA"/>
    <w:rsid w:val="58BF6D7E"/>
    <w:rsid w:val="58C12AF6"/>
    <w:rsid w:val="58C46142"/>
    <w:rsid w:val="58C6010C"/>
    <w:rsid w:val="58C61EBA"/>
    <w:rsid w:val="58C63C68"/>
    <w:rsid w:val="58CB74D0"/>
    <w:rsid w:val="58CE6FC1"/>
    <w:rsid w:val="58D00F8B"/>
    <w:rsid w:val="58D04AE7"/>
    <w:rsid w:val="58D053E0"/>
    <w:rsid w:val="58D36385"/>
    <w:rsid w:val="58D42829"/>
    <w:rsid w:val="58D565A1"/>
    <w:rsid w:val="58D63E23"/>
    <w:rsid w:val="58D72319"/>
    <w:rsid w:val="58D75E75"/>
    <w:rsid w:val="58D81BED"/>
    <w:rsid w:val="58D97BD3"/>
    <w:rsid w:val="58DA1063"/>
    <w:rsid w:val="58DA5965"/>
    <w:rsid w:val="58DC50C4"/>
    <w:rsid w:val="58DC7B4E"/>
    <w:rsid w:val="58DE5456"/>
    <w:rsid w:val="58DF11CE"/>
    <w:rsid w:val="58DF2F7C"/>
    <w:rsid w:val="58E3481A"/>
    <w:rsid w:val="58E660B8"/>
    <w:rsid w:val="58E81E30"/>
    <w:rsid w:val="58E976C8"/>
    <w:rsid w:val="58EA0B58"/>
    <w:rsid w:val="58EA204C"/>
    <w:rsid w:val="58EB7B73"/>
    <w:rsid w:val="58ED38EB"/>
    <w:rsid w:val="58F015D0"/>
    <w:rsid w:val="58F05189"/>
    <w:rsid w:val="58F20F01"/>
    <w:rsid w:val="58F22CAF"/>
    <w:rsid w:val="58F5279F"/>
    <w:rsid w:val="58F76517"/>
    <w:rsid w:val="58FA7DB6"/>
    <w:rsid w:val="58FD3402"/>
    <w:rsid w:val="58FE78A6"/>
    <w:rsid w:val="59011144"/>
    <w:rsid w:val="59017396"/>
    <w:rsid w:val="59026DDF"/>
    <w:rsid w:val="59044790"/>
    <w:rsid w:val="590824D3"/>
    <w:rsid w:val="59084281"/>
    <w:rsid w:val="59094834"/>
    <w:rsid w:val="59096985"/>
    <w:rsid w:val="590A624B"/>
    <w:rsid w:val="590B5B1F"/>
    <w:rsid w:val="590D7AE9"/>
    <w:rsid w:val="590F1AB3"/>
    <w:rsid w:val="590F3861"/>
    <w:rsid w:val="591075D9"/>
    <w:rsid w:val="59126EAD"/>
    <w:rsid w:val="5915074C"/>
    <w:rsid w:val="5915699E"/>
    <w:rsid w:val="59170968"/>
    <w:rsid w:val="591744C4"/>
    <w:rsid w:val="5919023C"/>
    <w:rsid w:val="5919648E"/>
    <w:rsid w:val="591A2206"/>
    <w:rsid w:val="591E1CF6"/>
    <w:rsid w:val="591E6307"/>
    <w:rsid w:val="591F15CA"/>
    <w:rsid w:val="59205A6E"/>
    <w:rsid w:val="59215342"/>
    <w:rsid w:val="592310BA"/>
    <w:rsid w:val="59232E69"/>
    <w:rsid w:val="5923730C"/>
    <w:rsid w:val="59246BE1"/>
    <w:rsid w:val="59282B75"/>
    <w:rsid w:val="592866D1"/>
    <w:rsid w:val="5929550C"/>
    <w:rsid w:val="592B61C1"/>
    <w:rsid w:val="592E180D"/>
    <w:rsid w:val="592F09CD"/>
    <w:rsid w:val="593037D7"/>
    <w:rsid w:val="593212FE"/>
    <w:rsid w:val="59345076"/>
    <w:rsid w:val="593651C5"/>
    <w:rsid w:val="59396B30"/>
    <w:rsid w:val="593C03CE"/>
    <w:rsid w:val="593E4146"/>
    <w:rsid w:val="593F3A1A"/>
    <w:rsid w:val="59401C6C"/>
    <w:rsid w:val="594159E5"/>
    <w:rsid w:val="59441031"/>
    <w:rsid w:val="59480B21"/>
    <w:rsid w:val="594A2AEB"/>
    <w:rsid w:val="594A4899"/>
    <w:rsid w:val="594A6647"/>
    <w:rsid w:val="594D4389"/>
    <w:rsid w:val="594F0101"/>
    <w:rsid w:val="5952374E"/>
    <w:rsid w:val="595474C6"/>
    <w:rsid w:val="5955323E"/>
    <w:rsid w:val="59570D64"/>
    <w:rsid w:val="59575007"/>
    <w:rsid w:val="59575208"/>
    <w:rsid w:val="59576FB6"/>
    <w:rsid w:val="59586497"/>
    <w:rsid w:val="59594ADC"/>
    <w:rsid w:val="595B6AA6"/>
    <w:rsid w:val="595D3DAB"/>
    <w:rsid w:val="59605E6B"/>
    <w:rsid w:val="59617E35"/>
    <w:rsid w:val="59633BAD"/>
    <w:rsid w:val="59657925"/>
    <w:rsid w:val="5966544B"/>
    <w:rsid w:val="596811C3"/>
    <w:rsid w:val="596A4F3B"/>
    <w:rsid w:val="596B480F"/>
    <w:rsid w:val="596C5D9D"/>
    <w:rsid w:val="596D2336"/>
    <w:rsid w:val="596D4A2C"/>
    <w:rsid w:val="59701E26"/>
    <w:rsid w:val="597162CA"/>
    <w:rsid w:val="5973309F"/>
    <w:rsid w:val="59741916"/>
    <w:rsid w:val="5975743C"/>
    <w:rsid w:val="59771406"/>
    <w:rsid w:val="59772EB0"/>
    <w:rsid w:val="597933D0"/>
    <w:rsid w:val="597A4A53"/>
    <w:rsid w:val="597B0EF6"/>
    <w:rsid w:val="597B2CA5"/>
    <w:rsid w:val="598002BB"/>
    <w:rsid w:val="5980475F"/>
    <w:rsid w:val="5980650D"/>
    <w:rsid w:val="59831B59"/>
    <w:rsid w:val="59875AED"/>
    <w:rsid w:val="5988716F"/>
    <w:rsid w:val="598C4EB2"/>
    <w:rsid w:val="598D4786"/>
    <w:rsid w:val="598F49A2"/>
    <w:rsid w:val="5991071A"/>
    <w:rsid w:val="59934492"/>
    <w:rsid w:val="59975605"/>
    <w:rsid w:val="59981AA8"/>
    <w:rsid w:val="59995821"/>
    <w:rsid w:val="599B6EA3"/>
    <w:rsid w:val="599D70BF"/>
    <w:rsid w:val="599E2E37"/>
    <w:rsid w:val="59A044B9"/>
    <w:rsid w:val="59A26483"/>
    <w:rsid w:val="59A33FA9"/>
    <w:rsid w:val="59A53FC9"/>
    <w:rsid w:val="59A55F73"/>
    <w:rsid w:val="59A673BE"/>
    <w:rsid w:val="59A7084E"/>
    <w:rsid w:val="59A71CEC"/>
    <w:rsid w:val="59A815C0"/>
    <w:rsid w:val="59AC1815"/>
    <w:rsid w:val="59AC7302"/>
    <w:rsid w:val="59AD307A"/>
    <w:rsid w:val="59AD4E28"/>
    <w:rsid w:val="59AD6BD6"/>
    <w:rsid w:val="59B12B6A"/>
    <w:rsid w:val="59B212B6"/>
    <w:rsid w:val="59B2243E"/>
    <w:rsid w:val="59B47F65"/>
    <w:rsid w:val="59B55A23"/>
    <w:rsid w:val="59B63CDD"/>
    <w:rsid w:val="59B77A55"/>
    <w:rsid w:val="59B83EF9"/>
    <w:rsid w:val="59B85CA7"/>
    <w:rsid w:val="59B91A1F"/>
    <w:rsid w:val="59BB12F3"/>
    <w:rsid w:val="59BB7545"/>
    <w:rsid w:val="59BE5645"/>
    <w:rsid w:val="59C02B36"/>
    <w:rsid w:val="59C06909"/>
    <w:rsid w:val="59C4289D"/>
    <w:rsid w:val="59C503C4"/>
    <w:rsid w:val="59C7413C"/>
    <w:rsid w:val="59C75EEA"/>
    <w:rsid w:val="59C77C98"/>
    <w:rsid w:val="59CA3C2C"/>
    <w:rsid w:val="59CA7788"/>
    <w:rsid w:val="59CC3500"/>
    <w:rsid w:val="59CD1026"/>
    <w:rsid w:val="59CD7278"/>
    <w:rsid w:val="59D2488F"/>
    <w:rsid w:val="59D2663D"/>
    <w:rsid w:val="59D4243C"/>
    <w:rsid w:val="59D625D1"/>
    <w:rsid w:val="59D6437F"/>
    <w:rsid w:val="59D6612D"/>
    <w:rsid w:val="59D81EA5"/>
    <w:rsid w:val="59D93E6F"/>
    <w:rsid w:val="59DB3743"/>
    <w:rsid w:val="59DD74BB"/>
    <w:rsid w:val="59DE4C2F"/>
    <w:rsid w:val="59E051FD"/>
    <w:rsid w:val="59E20F76"/>
    <w:rsid w:val="59E36A9C"/>
    <w:rsid w:val="59E44CEE"/>
    <w:rsid w:val="59E56370"/>
    <w:rsid w:val="59E720E8"/>
    <w:rsid w:val="59E85E60"/>
    <w:rsid w:val="59EC76FE"/>
    <w:rsid w:val="59EF3692"/>
    <w:rsid w:val="59F36CDF"/>
    <w:rsid w:val="59F41A26"/>
    <w:rsid w:val="59F42A57"/>
    <w:rsid w:val="59F667CF"/>
    <w:rsid w:val="59F82547"/>
    <w:rsid w:val="59F842F5"/>
    <w:rsid w:val="59FB5B93"/>
    <w:rsid w:val="5A0013FC"/>
    <w:rsid w:val="5A0233C6"/>
    <w:rsid w:val="5A030F2C"/>
    <w:rsid w:val="5A056A12"/>
    <w:rsid w:val="5A074538"/>
    <w:rsid w:val="5A0802B0"/>
    <w:rsid w:val="5A0A5DD6"/>
    <w:rsid w:val="5A0C7DA1"/>
    <w:rsid w:val="5A0D3E42"/>
    <w:rsid w:val="5A0D79FC"/>
    <w:rsid w:val="5A1153B7"/>
    <w:rsid w:val="5A13112F"/>
    <w:rsid w:val="5A1530F9"/>
    <w:rsid w:val="5A1629CD"/>
    <w:rsid w:val="5A166E71"/>
    <w:rsid w:val="5A184997"/>
    <w:rsid w:val="5A1A070F"/>
    <w:rsid w:val="5A1D1FAE"/>
    <w:rsid w:val="5A1F5D26"/>
    <w:rsid w:val="5A2055FA"/>
    <w:rsid w:val="5A217302"/>
    <w:rsid w:val="5A233363"/>
    <w:rsid w:val="5A2570B4"/>
    <w:rsid w:val="5A290952"/>
    <w:rsid w:val="5A2C0443"/>
    <w:rsid w:val="5A2C3F9F"/>
    <w:rsid w:val="5A2E5F69"/>
    <w:rsid w:val="5A2F1CE1"/>
    <w:rsid w:val="5A33357F"/>
    <w:rsid w:val="5A3410A5"/>
    <w:rsid w:val="5A3572F7"/>
    <w:rsid w:val="5A3612C1"/>
    <w:rsid w:val="5A36306F"/>
    <w:rsid w:val="5A364E1D"/>
    <w:rsid w:val="5A366BCB"/>
    <w:rsid w:val="5A371FB4"/>
    <w:rsid w:val="5A386DE8"/>
    <w:rsid w:val="5A3966BC"/>
    <w:rsid w:val="5A3D43FE"/>
    <w:rsid w:val="5A3E3C43"/>
    <w:rsid w:val="5A403EEE"/>
    <w:rsid w:val="5A405C9C"/>
    <w:rsid w:val="5A4100FB"/>
    <w:rsid w:val="5A421A14"/>
    <w:rsid w:val="5A44578C"/>
    <w:rsid w:val="5A44753A"/>
    <w:rsid w:val="5A470DD9"/>
    <w:rsid w:val="5A47702B"/>
    <w:rsid w:val="5A4A08C9"/>
    <w:rsid w:val="5A4E03B9"/>
    <w:rsid w:val="5A4E2167"/>
    <w:rsid w:val="5A4F5EDF"/>
    <w:rsid w:val="5A517EA9"/>
    <w:rsid w:val="5A53777D"/>
    <w:rsid w:val="5A584D94"/>
    <w:rsid w:val="5A594B73"/>
    <w:rsid w:val="5A597744"/>
    <w:rsid w:val="5A5A6D5E"/>
    <w:rsid w:val="5A5B4884"/>
    <w:rsid w:val="5A5B7493"/>
    <w:rsid w:val="5A5D684E"/>
    <w:rsid w:val="5A603305"/>
    <w:rsid w:val="5A64198B"/>
    <w:rsid w:val="5A67147B"/>
    <w:rsid w:val="5A6B0418"/>
    <w:rsid w:val="5A6E45B7"/>
    <w:rsid w:val="5A6F20DD"/>
    <w:rsid w:val="5A70032F"/>
    <w:rsid w:val="5A7122F9"/>
    <w:rsid w:val="5A7140A7"/>
    <w:rsid w:val="5A751DEA"/>
    <w:rsid w:val="5A752C0B"/>
    <w:rsid w:val="5A753B98"/>
    <w:rsid w:val="5A76552B"/>
    <w:rsid w:val="5A767910"/>
    <w:rsid w:val="5A7866BB"/>
    <w:rsid w:val="5A7A2F5C"/>
    <w:rsid w:val="5A7C4F26"/>
    <w:rsid w:val="5A7D2A4C"/>
    <w:rsid w:val="5A7E3E82"/>
    <w:rsid w:val="5A7F0572"/>
    <w:rsid w:val="5A82520F"/>
    <w:rsid w:val="5A865DA5"/>
    <w:rsid w:val="5A8738CB"/>
    <w:rsid w:val="5A875679"/>
    <w:rsid w:val="5A897643"/>
    <w:rsid w:val="5A8C2C8F"/>
    <w:rsid w:val="5A8E07B6"/>
    <w:rsid w:val="5A8E2EAB"/>
    <w:rsid w:val="5A9102A6"/>
    <w:rsid w:val="5A93401E"/>
    <w:rsid w:val="5A947624"/>
    <w:rsid w:val="5A955FE8"/>
    <w:rsid w:val="5A957D96"/>
    <w:rsid w:val="5A974C33"/>
    <w:rsid w:val="5A981634"/>
    <w:rsid w:val="5A9A53AC"/>
    <w:rsid w:val="5A9D4E9D"/>
    <w:rsid w:val="5A9F29C3"/>
    <w:rsid w:val="5A9F5E78"/>
    <w:rsid w:val="5AA004E9"/>
    <w:rsid w:val="5AA12BDF"/>
    <w:rsid w:val="5AA1498D"/>
    <w:rsid w:val="5AA4622B"/>
    <w:rsid w:val="5AA47FD9"/>
    <w:rsid w:val="5AA61FA3"/>
    <w:rsid w:val="5AA63D51"/>
    <w:rsid w:val="5AAB1367"/>
    <w:rsid w:val="5AAB580B"/>
    <w:rsid w:val="5AAC50E0"/>
    <w:rsid w:val="5AAE0E58"/>
    <w:rsid w:val="5AAE2C06"/>
    <w:rsid w:val="5AB02E22"/>
    <w:rsid w:val="5AB126F6"/>
    <w:rsid w:val="5AB20948"/>
    <w:rsid w:val="5AB3021C"/>
    <w:rsid w:val="5AB32912"/>
    <w:rsid w:val="5AB346C0"/>
    <w:rsid w:val="5AB53F94"/>
    <w:rsid w:val="5AB640FE"/>
    <w:rsid w:val="5AB67D0C"/>
    <w:rsid w:val="5AB741B0"/>
    <w:rsid w:val="5AB83A84"/>
    <w:rsid w:val="5AB915EF"/>
    <w:rsid w:val="5ABA15AB"/>
    <w:rsid w:val="5ABB5323"/>
    <w:rsid w:val="5ABB65E5"/>
    <w:rsid w:val="5ABD72ED"/>
    <w:rsid w:val="5ABF12B7"/>
    <w:rsid w:val="5AC643F3"/>
    <w:rsid w:val="5AC73CC7"/>
    <w:rsid w:val="5AC8016B"/>
    <w:rsid w:val="5AC8583D"/>
    <w:rsid w:val="5ACC12DE"/>
    <w:rsid w:val="5ACE0C44"/>
    <w:rsid w:val="5ACE14FA"/>
    <w:rsid w:val="5ACE5056"/>
    <w:rsid w:val="5AD07020"/>
    <w:rsid w:val="5AD14B46"/>
    <w:rsid w:val="5AD20FEA"/>
    <w:rsid w:val="5AD308BE"/>
    <w:rsid w:val="5AD3266C"/>
    <w:rsid w:val="5AD36B10"/>
    <w:rsid w:val="5AD84127"/>
    <w:rsid w:val="5AD86008"/>
    <w:rsid w:val="5ADA1C4D"/>
    <w:rsid w:val="5ADA39FB"/>
    <w:rsid w:val="5ADD173D"/>
    <w:rsid w:val="5ADD34EB"/>
    <w:rsid w:val="5ADF1011"/>
    <w:rsid w:val="5ADF3707"/>
    <w:rsid w:val="5AE1122D"/>
    <w:rsid w:val="5AE2054A"/>
    <w:rsid w:val="5AE40D1D"/>
    <w:rsid w:val="5AE42ACB"/>
    <w:rsid w:val="5AE44879"/>
    <w:rsid w:val="5AE605F2"/>
    <w:rsid w:val="5AE623A0"/>
    <w:rsid w:val="5AE66844"/>
    <w:rsid w:val="5AE8436A"/>
    <w:rsid w:val="5AEB3E5A"/>
    <w:rsid w:val="5AEB5C08"/>
    <w:rsid w:val="5AF010C6"/>
    <w:rsid w:val="5AF30F60"/>
    <w:rsid w:val="5AF34ABD"/>
    <w:rsid w:val="5AFD6893"/>
    <w:rsid w:val="5AFF16B3"/>
    <w:rsid w:val="5B01367D"/>
    <w:rsid w:val="5B01542B"/>
    <w:rsid w:val="5B0166A4"/>
    <w:rsid w:val="5B04316E"/>
    <w:rsid w:val="5B063DE8"/>
    <w:rsid w:val="5B084A0C"/>
    <w:rsid w:val="5B0867BA"/>
    <w:rsid w:val="5B0B2327"/>
    <w:rsid w:val="5B0E7B48"/>
    <w:rsid w:val="5B0F0CA8"/>
    <w:rsid w:val="5B1213E7"/>
    <w:rsid w:val="5B123195"/>
    <w:rsid w:val="5B127639"/>
    <w:rsid w:val="5B154B1A"/>
    <w:rsid w:val="5B157129"/>
    <w:rsid w:val="5B16743A"/>
    <w:rsid w:val="5B174C4F"/>
    <w:rsid w:val="5B182775"/>
    <w:rsid w:val="5B1909C7"/>
    <w:rsid w:val="5B215ACE"/>
    <w:rsid w:val="5B21787C"/>
    <w:rsid w:val="5B231846"/>
    <w:rsid w:val="5B2335F4"/>
    <w:rsid w:val="5B242EC8"/>
    <w:rsid w:val="5B2630E4"/>
    <w:rsid w:val="5B26435E"/>
    <w:rsid w:val="5B280C0A"/>
    <w:rsid w:val="5B294982"/>
    <w:rsid w:val="5B2A2BD4"/>
    <w:rsid w:val="5B2A416F"/>
    <w:rsid w:val="5B2B24A8"/>
    <w:rsid w:val="5B2D1660"/>
    <w:rsid w:val="5B2E3D47"/>
    <w:rsid w:val="5B321A89"/>
    <w:rsid w:val="5B323837"/>
    <w:rsid w:val="5B3255E5"/>
    <w:rsid w:val="5B341533"/>
    <w:rsid w:val="5B345801"/>
    <w:rsid w:val="5B3550D5"/>
    <w:rsid w:val="5B3752F1"/>
    <w:rsid w:val="5B381344"/>
    <w:rsid w:val="5B3A093D"/>
    <w:rsid w:val="5B3C1155"/>
    <w:rsid w:val="5B3C2907"/>
    <w:rsid w:val="5B3C46B5"/>
    <w:rsid w:val="5B3D3F8A"/>
    <w:rsid w:val="5B3E21DC"/>
    <w:rsid w:val="5B3F5F54"/>
    <w:rsid w:val="5B411CCC"/>
    <w:rsid w:val="5B413A7A"/>
    <w:rsid w:val="5B4250C0"/>
    <w:rsid w:val="5B435A44"/>
    <w:rsid w:val="5B445318"/>
    <w:rsid w:val="5B4517BC"/>
    <w:rsid w:val="5B4812AC"/>
    <w:rsid w:val="5B484E08"/>
    <w:rsid w:val="5B4A5024"/>
    <w:rsid w:val="5B4E356A"/>
    <w:rsid w:val="5B4F43E9"/>
    <w:rsid w:val="5B523ED9"/>
    <w:rsid w:val="5B5419FF"/>
    <w:rsid w:val="5B557525"/>
    <w:rsid w:val="5B567708"/>
    <w:rsid w:val="5B57329D"/>
    <w:rsid w:val="5B5A2D8E"/>
    <w:rsid w:val="5B5C4D58"/>
    <w:rsid w:val="5B5F5C30"/>
    <w:rsid w:val="5B60703B"/>
    <w:rsid w:val="5B61236E"/>
    <w:rsid w:val="5B6245B1"/>
    <w:rsid w:val="5B631C42"/>
    <w:rsid w:val="5B6339F0"/>
    <w:rsid w:val="5B6360E6"/>
    <w:rsid w:val="5B653C0C"/>
    <w:rsid w:val="5B687259"/>
    <w:rsid w:val="5B6B0AF7"/>
    <w:rsid w:val="5B6D6AF3"/>
    <w:rsid w:val="5B6F05E7"/>
    <w:rsid w:val="5B70610D"/>
    <w:rsid w:val="5B7150DC"/>
    <w:rsid w:val="5B726329"/>
    <w:rsid w:val="5B7420A1"/>
    <w:rsid w:val="5B745BFD"/>
    <w:rsid w:val="5B751975"/>
    <w:rsid w:val="5B77068B"/>
    <w:rsid w:val="5B772776"/>
    <w:rsid w:val="5B791466"/>
    <w:rsid w:val="5B7C0F56"/>
    <w:rsid w:val="5B7C2D04"/>
    <w:rsid w:val="5B7C4AB2"/>
    <w:rsid w:val="5B7C71A8"/>
    <w:rsid w:val="5B7E082A"/>
    <w:rsid w:val="5B844D7A"/>
    <w:rsid w:val="5B870FE2"/>
    <w:rsid w:val="5B87226B"/>
    <w:rsid w:val="5B8816A9"/>
    <w:rsid w:val="5B885B4D"/>
    <w:rsid w:val="5B8B2F47"/>
    <w:rsid w:val="5B8D6CBF"/>
    <w:rsid w:val="5B9067AF"/>
    <w:rsid w:val="5B914A01"/>
    <w:rsid w:val="5B922527"/>
    <w:rsid w:val="5B94004E"/>
    <w:rsid w:val="5B9462A0"/>
    <w:rsid w:val="5B977B3E"/>
    <w:rsid w:val="5B9B5880"/>
    <w:rsid w:val="5B9B5E45"/>
    <w:rsid w:val="5B9B762E"/>
    <w:rsid w:val="5B9F1982"/>
    <w:rsid w:val="5BA34735"/>
    <w:rsid w:val="5BA504AD"/>
    <w:rsid w:val="5BA65FD3"/>
    <w:rsid w:val="5BA67D81"/>
    <w:rsid w:val="5BA760CF"/>
    <w:rsid w:val="5BAA7871"/>
    <w:rsid w:val="5BAD55B3"/>
    <w:rsid w:val="5BAF30D9"/>
    <w:rsid w:val="5BB10BFF"/>
    <w:rsid w:val="5BB22BCA"/>
    <w:rsid w:val="5BB46942"/>
    <w:rsid w:val="5BB57FC4"/>
    <w:rsid w:val="5BB64468"/>
    <w:rsid w:val="5BB66216"/>
    <w:rsid w:val="5BB73D3C"/>
    <w:rsid w:val="5BB95D06"/>
    <w:rsid w:val="5BBB382C"/>
    <w:rsid w:val="5BBC75A4"/>
    <w:rsid w:val="5BBE639B"/>
    <w:rsid w:val="5BC00E43"/>
    <w:rsid w:val="5BC07095"/>
    <w:rsid w:val="5BC14BBB"/>
    <w:rsid w:val="5BC36B85"/>
    <w:rsid w:val="5BC528FD"/>
    <w:rsid w:val="5BC8419B"/>
    <w:rsid w:val="5BC85F49"/>
    <w:rsid w:val="5BCA607F"/>
    <w:rsid w:val="5BCB77E7"/>
    <w:rsid w:val="5BCC5A39"/>
    <w:rsid w:val="5BD13050"/>
    <w:rsid w:val="5BD14DFE"/>
    <w:rsid w:val="5BD3501A"/>
    <w:rsid w:val="5BD4669C"/>
    <w:rsid w:val="5BD53192"/>
    <w:rsid w:val="5BD90156"/>
    <w:rsid w:val="5BD92FA3"/>
    <w:rsid w:val="5BDE576D"/>
    <w:rsid w:val="5BE2700B"/>
    <w:rsid w:val="5BE30FD5"/>
    <w:rsid w:val="5BE36C26"/>
    <w:rsid w:val="5BE70AC5"/>
    <w:rsid w:val="5BE81608"/>
    <w:rsid w:val="5BE865EB"/>
    <w:rsid w:val="5BEA2363"/>
    <w:rsid w:val="5BEC1C38"/>
    <w:rsid w:val="5BED59B0"/>
    <w:rsid w:val="5BEF1728"/>
    <w:rsid w:val="5BF3746A"/>
    <w:rsid w:val="5BF46D3E"/>
    <w:rsid w:val="5BF5103B"/>
    <w:rsid w:val="5BF5277C"/>
    <w:rsid w:val="5BF60D08"/>
    <w:rsid w:val="5BF752E5"/>
    <w:rsid w:val="5BF77C6D"/>
    <w:rsid w:val="5BF9258D"/>
    <w:rsid w:val="5BFB1E7B"/>
    <w:rsid w:val="5BFC5BF3"/>
    <w:rsid w:val="5C043425"/>
    <w:rsid w:val="5C050F4B"/>
    <w:rsid w:val="5C05117C"/>
    <w:rsid w:val="5C052271"/>
    <w:rsid w:val="5C073450"/>
    <w:rsid w:val="5C074CC3"/>
    <w:rsid w:val="5C090A3C"/>
    <w:rsid w:val="5C0A47B4"/>
    <w:rsid w:val="5C0A6562"/>
    <w:rsid w:val="5C0C4088"/>
    <w:rsid w:val="5C1178F0"/>
    <w:rsid w:val="5C1271C4"/>
    <w:rsid w:val="5C1560D8"/>
    <w:rsid w:val="5C1967A5"/>
    <w:rsid w:val="5C1B076F"/>
    <w:rsid w:val="5C1F025F"/>
    <w:rsid w:val="5C2238AB"/>
    <w:rsid w:val="5C225659"/>
    <w:rsid w:val="5C237623"/>
    <w:rsid w:val="5C2515ED"/>
    <w:rsid w:val="5C25514A"/>
    <w:rsid w:val="5C272C70"/>
    <w:rsid w:val="5C2869E8"/>
    <w:rsid w:val="5C2A2760"/>
    <w:rsid w:val="5C2E04A2"/>
    <w:rsid w:val="5C2E290C"/>
    <w:rsid w:val="5C2F421A"/>
    <w:rsid w:val="5C2F5FC8"/>
    <w:rsid w:val="5C2F7D76"/>
    <w:rsid w:val="5C32128D"/>
    <w:rsid w:val="5C333BAD"/>
    <w:rsid w:val="5C34538D"/>
    <w:rsid w:val="5C3830CF"/>
    <w:rsid w:val="5C384E7D"/>
    <w:rsid w:val="5C3B2BBF"/>
    <w:rsid w:val="5C3B671B"/>
    <w:rsid w:val="5C3D06E5"/>
    <w:rsid w:val="5C3E620B"/>
    <w:rsid w:val="5C3E7FB9"/>
    <w:rsid w:val="5C3F26AF"/>
    <w:rsid w:val="5C403D31"/>
    <w:rsid w:val="5C423F4D"/>
    <w:rsid w:val="5C427AAA"/>
    <w:rsid w:val="5C447CC6"/>
    <w:rsid w:val="5C4557EC"/>
    <w:rsid w:val="5C45759A"/>
    <w:rsid w:val="5C472023"/>
    <w:rsid w:val="5C4750C0"/>
    <w:rsid w:val="5C493DA9"/>
    <w:rsid w:val="5C4952DC"/>
    <w:rsid w:val="5C4C6B7A"/>
    <w:rsid w:val="5C4E28F2"/>
    <w:rsid w:val="5C4E46A0"/>
    <w:rsid w:val="5C4F0418"/>
    <w:rsid w:val="5C4F21C6"/>
    <w:rsid w:val="5C502358"/>
    <w:rsid w:val="5C514191"/>
    <w:rsid w:val="5C533A65"/>
    <w:rsid w:val="5C537F09"/>
    <w:rsid w:val="5C545A2F"/>
    <w:rsid w:val="5C5477DD"/>
    <w:rsid w:val="5C553C81"/>
    <w:rsid w:val="5C58107B"/>
    <w:rsid w:val="5C5A1297"/>
    <w:rsid w:val="5C5B0B6B"/>
    <w:rsid w:val="5C5B500F"/>
    <w:rsid w:val="5C5B6DBD"/>
    <w:rsid w:val="5C5C0771"/>
    <w:rsid w:val="5C5D0D87"/>
    <w:rsid w:val="5C5D2B35"/>
    <w:rsid w:val="5C5D48E3"/>
    <w:rsid w:val="5C5E240A"/>
    <w:rsid w:val="5C5F065B"/>
    <w:rsid w:val="5C62639E"/>
    <w:rsid w:val="5C645C72"/>
    <w:rsid w:val="5C6519EA"/>
    <w:rsid w:val="5C653798"/>
    <w:rsid w:val="5C6715FE"/>
    <w:rsid w:val="5C6739B4"/>
    <w:rsid w:val="5C677510"/>
    <w:rsid w:val="5C6E089F"/>
    <w:rsid w:val="5C6E4D42"/>
    <w:rsid w:val="5C6F4617"/>
    <w:rsid w:val="5C71038F"/>
    <w:rsid w:val="5C735EB5"/>
    <w:rsid w:val="5C73646F"/>
    <w:rsid w:val="5C780E51"/>
    <w:rsid w:val="5C78171D"/>
    <w:rsid w:val="5C7834CB"/>
    <w:rsid w:val="5C78796F"/>
    <w:rsid w:val="5C7D6D34"/>
    <w:rsid w:val="5C7E485A"/>
    <w:rsid w:val="5C814A76"/>
    <w:rsid w:val="5C82259C"/>
    <w:rsid w:val="5C8400C2"/>
    <w:rsid w:val="5C871960"/>
    <w:rsid w:val="5C877BB2"/>
    <w:rsid w:val="5C89392A"/>
    <w:rsid w:val="5C8A1451"/>
    <w:rsid w:val="5C8A22AD"/>
    <w:rsid w:val="5C8B76A2"/>
    <w:rsid w:val="5C8E2CEF"/>
    <w:rsid w:val="5C8F4507"/>
    <w:rsid w:val="5C902F0B"/>
    <w:rsid w:val="5C910A31"/>
    <w:rsid w:val="5C91458D"/>
    <w:rsid w:val="5C9347A9"/>
    <w:rsid w:val="5C950521"/>
    <w:rsid w:val="5C967DF5"/>
    <w:rsid w:val="5C98591B"/>
    <w:rsid w:val="5C99018A"/>
    <w:rsid w:val="5C9A1694"/>
    <w:rsid w:val="5C9A5B38"/>
    <w:rsid w:val="5C9B365E"/>
    <w:rsid w:val="5C9B540C"/>
    <w:rsid w:val="5C9D2F32"/>
    <w:rsid w:val="5C9D73D6"/>
    <w:rsid w:val="5CA02A22"/>
    <w:rsid w:val="5CA263B9"/>
    <w:rsid w:val="5CA50038"/>
    <w:rsid w:val="5CA52A3F"/>
    <w:rsid w:val="5CA644DC"/>
    <w:rsid w:val="5CA72002"/>
    <w:rsid w:val="5CA73DB1"/>
    <w:rsid w:val="5CA95D7B"/>
    <w:rsid w:val="5CAC586B"/>
    <w:rsid w:val="5CAE513F"/>
    <w:rsid w:val="5CAF66C2"/>
    <w:rsid w:val="5CB07109"/>
    <w:rsid w:val="5CB12E81"/>
    <w:rsid w:val="5CB169DD"/>
    <w:rsid w:val="5CB364D3"/>
    <w:rsid w:val="5CB44D92"/>
    <w:rsid w:val="5CB564CD"/>
    <w:rsid w:val="5CB62246"/>
    <w:rsid w:val="5CBA7F88"/>
    <w:rsid w:val="5CC05F06"/>
    <w:rsid w:val="5CC35FC8"/>
    <w:rsid w:val="5CC61D78"/>
    <w:rsid w:val="5CC6692D"/>
    <w:rsid w:val="5CC73208"/>
    <w:rsid w:val="5CC74453"/>
    <w:rsid w:val="5CC76201"/>
    <w:rsid w:val="5CC826A5"/>
    <w:rsid w:val="5CC93D27"/>
    <w:rsid w:val="5CCB7A9F"/>
    <w:rsid w:val="5CCE3A33"/>
    <w:rsid w:val="5CD2031B"/>
    <w:rsid w:val="5CD252D1"/>
    <w:rsid w:val="5CD31049"/>
    <w:rsid w:val="5CD821BC"/>
    <w:rsid w:val="5CD96D5E"/>
    <w:rsid w:val="5CDA23D8"/>
    <w:rsid w:val="5CDA4186"/>
    <w:rsid w:val="5CDA5F34"/>
    <w:rsid w:val="5CDB3A5A"/>
    <w:rsid w:val="5CDC3F9E"/>
    <w:rsid w:val="5CDD3C76"/>
    <w:rsid w:val="5CDD77D2"/>
    <w:rsid w:val="5CDF79EE"/>
    <w:rsid w:val="5CE054F0"/>
    <w:rsid w:val="5CE13766"/>
    <w:rsid w:val="5CE15514"/>
    <w:rsid w:val="5CE21551"/>
    <w:rsid w:val="5CE2303B"/>
    <w:rsid w:val="5CE45005"/>
    <w:rsid w:val="5CE46DB3"/>
    <w:rsid w:val="5CE60D7D"/>
    <w:rsid w:val="5CE648D9"/>
    <w:rsid w:val="5CE943C9"/>
    <w:rsid w:val="5CEB6393"/>
    <w:rsid w:val="5CEE7C31"/>
    <w:rsid w:val="5CF039A9"/>
    <w:rsid w:val="5CF05758"/>
    <w:rsid w:val="5CF07506"/>
    <w:rsid w:val="5CF16475"/>
    <w:rsid w:val="5CF214D0"/>
    <w:rsid w:val="5CF30D95"/>
    <w:rsid w:val="5CF52D6E"/>
    <w:rsid w:val="5CF74D38"/>
    <w:rsid w:val="5CF80AB0"/>
    <w:rsid w:val="5CF8285E"/>
    <w:rsid w:val="5CF8460C"/>
    <w:rsid w:val="5CFD7E74"/>
    <w:rsid w:val="5CFF599B"/>
    <w:rsid w:val="5D0447D5"/>
    <w:rsid w:val="5D0631CD"/>
    <w:rsid w:val="5D07484F"/>
    <w:rsid w:val="5D080CF3"/>
    <w:rsid w:val="5D0905C7"/>
    <w:rsid w:val="5D094A6B"/>
    <w:rsid w:val="5D096819"/>
    <w:rsid w:val="5D0A5B8C"/>
    <w:rsid w:val="5D0B04AC"/>
    <w:rsid w:val="5D0B433F"/>
    <w:rsid w:val="5D0E2082"/>
    <w:rsid w:val="5D0E3E30"/>
    <w:rsid w:val="5D0E5BDE"/>
    <w:rsid w:val="5D107BA8"/>
    <w:rsid w:val="5D131446"/>
    <w:rsid w:val="5D137698"/>
    <w:rsid w:val="5D1551BE"/>
    <w:rsid w:val="5D156F6C"/>
    <w:rsid w:val="5D1755BF"/>
    <w:rsid w:val="5D177188"/>
    <w:rsid w:val="5D1A27D4"/>
    <w:rsid w:val="5D1C479E"/>
    <w:rsid w:val="5D1C654D"/>
    <w:rsid w:val="5D1D22C5"/>
    <w:rsid w:val="5D1D4073"/>
    <w:rsid w:val="5D1E0517"/>
    <w:rsid w:val="5D245401"/>
    <w:rsid w:val="5D261179"/>
    <w:rsid w:val="5D26561D"/>
    <w:rsid w:val="5D2673CB"/>
    <w:rsid w:val="5D284EF1"/>
    <w:rsid w:val="5D2940F3"/>
    <w:rsid w:val="5D2B49E2"/>
    <w:rsid w:val="5D2E002E"/>
    <w:rsid w:val="5D303DA6"/>
    <w:rsid w:val="5D331AE8"/>
    <w:rsid w:val="5D355860"/>
    <w:rsid w:val="5D3715D8"/>
    <w:rsid w:val="5D380EAD"/>
    <w:rsid w:val="5D395350"/>
    <w:rsid w:val="5D3C274B"/>
    <w:rsid w:val="5D3C6BEF"/>
    <w:rsid w:val="5D3E2967"/>
    <w:rsid w:val="5D3F048D"/>
    <w:rsid w:val="5D3F5F0C"/>
    <w:rsid w:val="5D423AD9"/>
    <w:rsid w:val="5D437F7D"/>
    <w:rsid w:val="5D45063D"/>
    <w:rsid w:val="5D456D93"/>
    <w:rsid w:val="5D46181B"/>
    <w:rsid w:val="5D475B2E"/>
    <w:rsid w:val="5D485594"/>
    <w:rsid w:val="5D487342"/>
    <w:rsid w:val="5D4930BA"/>
    <w:rsid w:val="5D4A301F"/>
    <w:rsid w:val="5D4B5084"/>
    <w:rsid w:val="5D4D19A0"/>
    <w:rsid w:val="5D4F6922"/>
    <w:rsid w:val="5D50269A"/>
    <w:rsid w:val="5D55380D"/>
    <w:rsid w:val="5D557CB0"/>
    <w:rsid w:val="5D573A29"/>
    <w:rsid w:val="5D5757D7"/>
    <w:rsid w:val="5D577585"/>
    <w:rsid w:val="5D59154F"/>
    <w:rsid w:val="5D5977A1"/>
    <w:rsid w:val="5D5A52C7"/>
    <w:rsid w:val="5D5A7075"/>
    <w:rsid w:val="5D5B7D11"/>
    <w:rsid w:val="5D5E4DB7"/>
    <w:rsid w:val="5D5F468B"/>
    <w:rsid w:val="5D616655"/>
    <w:rsid w:val="5D6323CD"/>
    <w:rsid w:val="5D647EF4"/>
    <w:rsid w:val="5D665A1A"/>
    <w:rsid w:val="5D69550A"/>
    <w:rsid w:val="5D6B1282"/>
    <w:rsid w:val="5D6B74D4"/>
    <w:rsid w:val="5D6D6DA8"/>
    <w:rsid w:val="5D6F0D72"/>
    <w:rsid w:val="5D710D9B"/>
    <w:rsid w:val="5D72616D"/>
    <w:rsid w:val="5D731EE5"/>
    <w:rsid w:val="5D740137"/>
    <w:rsid w:val="5D753EAF"/>
    <w:rsid w:val="5D7719D5"/>
    <w:rsid w:val="5D777C27"/>
    <w:rsid w:val="5D7C348F"/>
    <w:rsid w:val="5D7C6FEB"/>
    <w:rsid w:val="5D7E0FB5"/>
    <w:rsid w:val="5D7E2D63"/>
    <w:rsid w:val="5D7E5BC5"/>
    <w:rsid w:val="5D7E7207"/>
    <w:rsid w:val="5D83037A"/>
    <w:rsid w:val="5D83481E"/>
    <w:rsid w:val="5D845EA0"/>
    <w:rsid w:val="5D867E6A"/>
    <w:rsid w:val="5D881E34"/>
    <w:rsid w:val="5D891708"/>
    <w:rsid w:val="5D8A04B2"/>
    <w:rsid w:val="5D8A795A"/>
    <w:rsid w:val="5D8B36D2"/>
    <w:rsid w:val="5D8D11F8"/>
    <w:rsid w:val="5D8F31C2"/>
    <w:rsid w:val="5D8F6D1E"/>
    <w:rsid w:val="5D917B71"/>
    <w:rsid w:val="5D92680F"/>
    <w:rsid w:val="5D932CA5"/>
    <w:rsid w:val="5D9500AD"/>
    <w:rsid w:val="5D9562FF"/>
    <w:rsid w:val="5D972077"/>
    <w:rsid w:val="5D99194B"/>
    <w:rsid w:val="5D9F2CDA"/>
    <w:rsid w:val="5D9F3E18"/>
    <w:rsid w:val="5DA0717E"/>
    <w:rsid w:val="5DA12EF6"/>
    <w:rsid w:val="5DA30A1C"/>
    <w:rsid w:val="5DA36C6E"/>
    <w:rsid w:val="5DA56542"/>
    <w:rsid w:val="5DA6050C"/>
    <w:rsid w:val="5DA64068"/>
    <w:rsid w:val="5DA65748"/>
    <w:rsid w:val="5DA86F24"/>
    <w:rsid w:val="5DA87DE0"/>
    <w:rsid w:val="5DAB167E"/>
    <w:rsid w:val="5DAB77EA"/>
    <w:rsid w:val="5DAB78D0"/>
    <w:rsid w:val="5DAD53F7"/>
    <w:rsid w:val="5DAF5613"/>
    <w:rsid w:val="5DAF73C1"/>
    <w:rsid w:val="5DB021CC"/>
    <w:rsid w:val="5DB03139"/>
    <w:rsid w:val="5DB22A0D"/>
    <w:rsid w:val="5DB42C29"/>
    <w:rsid w:val="5DB449D7"/>
    <w:rsid w:val="5DB604FE"/>
    <w:rsid w:val="5DB669A1"/>
    <w:rsid w:val="5DBA7B13"/>
    <w:rsid w:val="5DBB5D65"/>
    <w:rsid w:val="5DBE13B2"/>
    <w:rsid w:val="5DC01B63"/>
    <w:rsid w:val="5DC310BE"/>
    <w:rsid w:val="5DC751A5"/>
    <w:rsid w:val="5DC80482"/>
    <w:rsid w:val="5DC82230"/>
    <w:rsid w:val="5DC92D73"/>
    <w:rsid w:val="5DCA244C"/>
    <w:rsid w:val="5DCA7D57"/>
    <w:rsid w:val="5DCD7847"/>
    <w:rsid w:val="5DCF7A63"/>
    <w:rsid w:val="5DD15589"/>
    <w:rsid w:val="5DD24E5D"/>
    <w:rsid w:val="5DD46E27"/>
    <w:rsid w:val="5DD5494D"/>
    <w:rsid w:val="5DD62B9F"/>
    <w:rsid w:val="5DD72473"/>
    <w:rsid w:val="5DD86F40"/>
    <w:rsid w:val="5DDB6408"/>
    <w:rsid w:val="5DDC3F2E"/>
    <w:rsid w:val="5DDC5CDC"/>
    <w:rsid w:val="5DDC7A8A"/>
    <w:rsid w:val="5DDE1A54"/>
    <w:rsid w:val="5DDE7CA6"/>
    <w:rsid w:val="5DE0757A"/>
    <w:rsid w:val="5DE11544"/>
    <w:rsid w:val="5DE352BC"/>
    <w:rsid w:val="5DE54B90"/>
    <w:rsid w:val="5DE60909"/>
    <w:rsid w:val="5DE66B5A"/>
    <w:rsid w:val="5DE74DAC"/>
    <w:rsid w:val="5DE828D3"/>
    <w:rsid w:val="5DEA03F9"/>
    <w:rsid w:val="5DEC23C3"/>
    <w:rsid w:val="5DED1C97"/>
    <w:rsid w:val="5DED613B"/>
    <w:rsid w:val="5DEF3C61"/>
    <w:rsid w:val="5DF03535"/>
    <w:rsid w:val="5DF11787"/>
    <w:rsid w:val="5DF50B4C"/>
    <w:rsid w:val="5DF66D9E"/>
    <w:rsid w:val="5DF77617"/>
    <w:rsid w:val="5DFB2606"/>
    <w:rsid w:val="5DFB43B4"/>
    <w:rsid w:val="5DFE30F3"/>
    <w:rsid w:val="5E0019CA"/>
    <w:rsid w:val="5E007154"/>
    <w:rsid w:val="5E0170BB"/>
    <w:rsid w:val="5E023994"/>
    <w:rsid w:val="5E03770C"/>
    <w:rsid w:val="5E042D10"/>
    <w:rsid w:val="5E055781"/>
    <w:rsid w:val="5E070FAB"/>
    <w:rsid w:val="5E0771FD"/>
    <w:rsid w:val="5E0D1758"/>
    <w:rsid w:val="5E0F60B1"/>
    <w:rsid w:val="5E111569"/>
    <w:rsid w:val="5E113BD7"/>
    <w:rsid w:val="5E115985"/>
    <w:rsid w:val="5E12784E"/>
    <w:rsid w:val="5E1611EE"/>
    <w:rsid w:val="5E176D14"/>
    <w:rsid w:val="5E1B2CA8"/>
    <w:rsid w:val="5E1B6804"/>
    <w:rsid w:val="5E1C257C"/>
    <w:rsid w:val="5E1E62F4"/>
    <w:rsid w:val="5E20206C"/>
    <w:rsid w:val="5E224037"/>
    <w:rsid w:val="5E244E0E"/>
    <w:rsid w:val="5E2558D5"/>
    <w:rsid w:val="5E2733FB"/>
    <w:rsid w:val="5E28234D"/>
    <w:rsid w:val="5E2A6A47"/>
    <w:rsid w:val="5E2B2110"/>
    <w:rsid w:val="5E2F0501"/>
    <w:rsid w:val="5E2F22B0"/>
    <w:rsid w:val="5E31427A"/>
    <w:rsid w:val="5E316028"/>
    <w:rsid w:val="5E317DD6"/>
    <w:rsid w:val="5E345B18"/>
    <w:rsid w:val="5E3653EC"/>
    <w:rsid w:val="5E371DF4"/>
    <w:rsid w:val="5E385608"/>
    <w:rsid w:val="5E3B0C54"/>
    <w:rsid w:val="5E3C5C66"/>
    <w:rsid w:val="5E3C677A"/>
    <w:rsid w:val="5E3D49CC"/>
    <w:rsid w:val="5E4044BD"/>
    <w:rsid w:val="5E414336"/>
    <w:rsid w:val="5E437B09"/>
    <w:rsid w:val="5E443FAD"/>
    <w:rsid w:val="5E453881"/>
    <w:rsid w:val="5E483371"/>
    <w:rsid w:val="5E4915C3"/>
    <w:rsid w:val="5E4E693A"/>
    <w:rsid w:val="5E5A3B45"/>
    <w:rsid w:val="5E5B4BC6"/>
    <w:rsid w:val="5E5B4E53"/>
    <w:rsid w:val="5E6006BB"/>
    <w:rsid w:val="5E622685"/>
    <w:rsid w:val="5E631F59"/>
    <w:rsid w:val="5E652175"/>
    <w:rsid w:val="5E655CD1"/>
    <w:rsid w:val="5E6737F7"/>
    <w:rsid w:val="5E68756F"/>
    <w:rsid w:val="5E693A13"/>
    <w:rsid w:val="5E6C3504"/>
    <w:rsid w:val="5E6D4B86"/>
    <w:rsid w:val="5E6E460B"/>
    <w:rsid w:val="5E714676"/>
    <w:rsid w:val="5E735D35"/>
    <w:rsid w:val="5E744166"/>
    <w:rsid w:val="5E745F14"/>
    <w:rsid w:val="5E766130"/>
    <w:rsid w:val="5E770717"/>
    <w:rsid w:val="5E781EA8"/>
    <w:rsid w:val="5E783C56"/>
    <w:rsid w:val="5E7A5C21"/>
    <w:rsid w:val="5E7B72A3"/>
    <w:rsid w:val="5E7E3CD9"/>
    <w:rsid w:val="5E7E6D93"/>
    <w:rsid w:val="5E802B0B"/>
    <w:rsid w:val="5E826883"/>
    <w:rsid w:val="5E856373"/>
    <w:rsid w:val="5E875C48"/>
    <w:rsid w:val="5E886ACB"/>
    <w:rsid w:val="5E897C12"/>
    <w:rsid w:val="5E8B1BDC"/>
    <w:rsid w:val="5E8C325E"/>
    <w:rsid w:val="5E8E6FD6"/>
    <w:rsid w:val="5E8F0FA0"/>
    <w:rsid w:val="5E9071F2"/>
    <w:rsid w:val="5E907E2E"/>
    <w:rsid w:val="5E914D18"/>
    <w:rsid w:val="5E916AC6"/>
    <w:rsid w:val="5E93283E"/>
    <w:rsid w:val="5E9345EC"/>
    <w:rsid w:val="5E960581"/>
    <w:rsid w:val="5E993BCD"/>
    <w:rsid w:val="5E9B6246"/>
    <w:rsid w:val="5EA26F25"/>
    <w:rsid w:val="5EA52305"/>
    <w:rsid w:val="5EA54320"/>
    <w:rsid w:val="5EA762EA"/>
    <w:rsid w:val="5EA902B4"/>
    <w:rsid w:val="5EA92062"/>
    <w:rsid w:val="5EAA5DDA"/>
    <w:rsid w:val="5EAA7B88"/>
    <w:rsid w:val="5EAC56AE"/>
    <w:rsid w:val="5EAE7678"/>
    <w:rsid w:val="5EB033F0"/>
    <w:rsid w:val="5EB153BA"/>
    <w:rsid w:val="5EB17168"/>
    <w:rsid w:val="5EB34C8F"/>
    <w:rsid w:val="5EB47229"/>
    <w:rsid w:val="5EB506B9"/>
    <w:rsid w:val="5EB6477F"/>
    <w:rsid w:val="5EB654B8"/>
    <w:rsid w:val="5EB6652D"/>
    <w:rsid w:val="5EB72FD9"/>
    <w:rsid w:val="5EB904CA"/>
    <w:rsid w:val="5EBF3633"/>
    <w:rsid w:val="5EC073AC"/>
    <w:rsid w:val="5EC21376"/>
    <w:rsid w:val="5EC24ED2"/>
    <w:rsid w:val="5EC32CBD"/>
    <w:rsid w:val="5EC450EE"/>
    <w:rsid w:val="5EC549C2"/>
    <w:rsid w:val="5EC85A56"/>
    <w:rsid w:val="5EC92704"/>
    <w:rsid w:val="5EC93728"/>
    <w:rsid w:val="5EC96260"/>
    <w:rsid w:val="5ECA1FD8"/>
    <w:rsid w:val="5ECC3FA2"/>
    <w:rsid w:val="5ED115B9"/>
    <w:rsid w:val="5ED15115"/>
    <w:rsid w:val="5ED2780B"/>
    <w:rsid w:val="5ED30E8D"/>
    <w:rsid w:val="5ED54C05"/>
    <w:rsid w:val="5ED6097D"/>
    <w:rsid w:val="5ED82947"/>
    <w:rsid w:val="5ED864A3"/>
    <w:rsid w:val="5EDA221B"/>
    <w:rsid w:val="5EDA4AF4"/>
    <w:rsid w:val="5EDA54F9"/>
    <w:rsid w:val="5EDB3860"/>
    <w:rsid w:val="5EDB5F93"/>
    <w:rsid w:val="5EDE292E"/>
    <w:rsid w:val="5EDE78C5"/>
    <w:rsid w:val="5EDF5A84"/>
    <w:rsid w:val="5EDF7832"/>
    <w:rsid w:val="5EE41FF6"/>
    <w:rsid w:val="5EE50BC0"/>
    <w:rsid w:val="5EE51C0B"/>
    <w:rsid w:val="5EE674E7"/>
    <w:rsid w:val="5EEA61D6"/>
    <w:rsid w:val="5EEB1EC9"/>
    <w:rsid w:val="5EEC1F4F"/>
    <w:rsid w:val="5EEC3359"/>
    <w:rsid w:val="5EEE3F19"/>
    <w:rsid w:val="5EF07C91"/>
    <w:rsid w:val="5EF342BA"/>
    <w:rsid w:val="5EF62DCD"/>
    <w:rsid w:val="5EF64B7B"/>
    <w:rsid w:val="5EF86B45"/>
    <w:rsid w:val="5EFA0B0F"/>
    <w:rsid w:val="5EFD415C"/>
    <w:rsid w:val="5EFD5F0A"/>
    <w:rsid w:val="5EFF1C82"/>
    <w:rsid w:val="5EFF7ED4"/>
    <w:rsid w:val="5F021772"/>
    <w:rsid w:val="5F0674B4"/>
    <w:rsid w:val="5F08322C"/>
    <w:rsid w:val="5F096FA4"/>
    <w:rsid w:val="5F0B6879"/>
    <w:rsid w:val="5F0C439F"/>
    <w:rsid w:val="5F0E0D60"/>
    <w:rsid w:val="5F100333"/>
    <w:rsid w:val="5F125E59"/>
    <w:rsid w:val="5F1514A5"/>
    <w:rsid w:val="5F1576F7"/>
    <w:rsid w:val="5F16521D"/>
    <w:rsid w:val="5F1665C5"/>
    <w:rsid w:val="5F194F46"/>
    <w:rsid w:val="5F1A3805"/>
    <w:rsid w:val="5F1B7866"/>
    <w:rsid w:val="5F1C0A86"/>
    <w:rsid w:val="5F1D035A"/>
    <w:rsid w:val="5F1D47FE"/>
    <w:rsid w:val="5F1D65AC"/>
    <w:rsid w:val="5F1F40D2"/>
    <w:rsid w:val="5F217E4A"/>
    <w:rsid w:val="5F221E14"/>
    <w:rsid w:val="5F2534E9"/>
    <w:rsid w:val="5F265461"/>
    <w:rsid w:val="5F2711D9"/>
    <w:rsid w:val="5F28567D"/>
    <w:rsid w:val="5F296CFF"/>
    <w:rsid w:val="5F2A478A"/>
    <w:rsid w:val="5F2A5ECB"/>
    <w:rsid w:val="5F2B0CC9"/>
    <w:rsid w:val="5F2E2567"/>
    <w:rsid w:val="5F2E6A0B"/>
    <w:rsid w:val="5F335DCF"/>
    <w:rsid w:val="5F351B48"/>
    <w:rsid w:val="5F357D99"/>
    <w:rsid w:val="5F36141C"/>
    <w:rsid w:val="5F3758FE"/>
    <w:rsid w:val="5F3A715E"/>
    <w:rsid w:val="5F3D09FC"/>
    <w:rsid w:val="5F3D27AA"/>
    <w:rsid w:val="5F3F6C61"/>
    <w:rsid w:val="5F405520"/>
    <w:rsid w:val="5F4104EC"/>
    <w:rsid w:val="5F41229A"/>
    <w:rsid w:val="5F463D55"/>
    <w:rsid w:val="5F4928E4"/>
    <w:rsid w:val="5F4973A1"/>
    <w:rsid w:val="5F4A29C5"/>
    <w:rsid w:val="5F4D50E3"/>
    <w:rsid w:val="5F4E2C09"/>
    <w:rsid w:val="5F4E6765"/>
    <w:rsid w:val="5F4F0E5B"/>
    <w:rsid w:val="5F50072F"/>
    <w:rsid w:val="5F506981"/>
    <w:rsid w:val="5F5244A8"/>
    <w:rsid w:val="5F531FCE"/>
    <w:rsid w:val="5F542AD4"/>
    <w:rsid w:val="5F5C0E82"/>
    <w:rsid w:val="5F5C70D4"/>
    <w:rsid w:val="5F5D7619"/>
    <w:rsid w:val="5F630463"/>
    <w:rsid w:val="5F64242D"/>
    <w:rsid w:val="5F645F89"/>
    <w:rsid w:val="5F6D12E1"/>
    <w:rsid w:val="5F6D7533"/>
    <w:rsid w:val="5F700DD2"/>
    <w:rsid w:val="5F702B80"/>
    <w:rsid w:val="5F7206A6"/>
    <w:rsid w:val="5F735163"/>
    <w:rsid w:val="5F7408C2"/>
    <w:rsid w:val="5F751F44"/>
    <w:rsid w:val="5F772160"/>
    <w:rsid w:val="5F773F0E"/>
    <w:rsid w:val="5F7A57AC"/>
    <w:rsid w:val="5F7C32D2"/>
    <w:rsid w:val="5F7DB685"/>
    <w:rsid w:val="5F8328B3"/>
    <w:rsid w:val="5F864151"/>
    <w:rsid w:val="5F8A2976"/>
    <w:rsid w:val="5F8B5C0B"/>
    <w:rsid w:val="5F8D1984"/>
    <w:rsid w:val="5F8D3732"/>
    <w:rsid w:val="5F8F3BE9"/>
    <w:rsid w:val="5F904FD0"/>
    <w:rsid w:val="5F916509"/>
    <w:rsid w:val="5F920D48"/>
    <w:rsid w:val="5F9422B9"/>
    <w:rsid w:val="5F97010C"/>
    <w:rsid w:val="5F97635E"/>
    <w:rsid w:val="5F990328"/>
    <w:rsid w:val="5F9A19AB"/>
    <w:rsid w:val="5F9A7BFD"/>
    <w:rsid w:val="5F9C3975"/>
    <w:rsid w:val="5F9E149B"/>
    <w:rsid w:val="5F9F3465"/>
    <w:rsid w:val="5FA10F8B"/>
    <w:rsid w:val="5FA171DD"/>
    <w:rsid w:val="5FA32F55"/>
    <w:rsid w:val="5FA34D03"/>
    <w:rsid w:val="5FA41DAE"/>
    <w:rsid w:val="5FA665A1"/>
    <w:rsid w:val="5FA82319"/>
    <w:rsid w:val="5FA91061"/>
    <w:rsid w:val="5FA97E40"/>
    <w:rsid w:val="5FAB005C"/>
    <w:rsid w:val="5FAD5B82"/>
    <w:rsid w:val="5FAF18FA"/>
    <w:rsid w:val="5FAF36A8"/>
    <w:rsid w:val="5FB147E6"/>
    <w:rsid w:val="5FB23198"/>
    <w:rsid w:val="5FB66D94"/>
    <w:rsid w:val="5FB962D5"/>
    <w:rsid w:val="5FBA3DFB"/>
    <w:rsid w:val="5FBC14C5"/>
    <w:rsid w:val="5FBC2C06"/>
    <w:rsid w:val="5FBC5DC5"/>
    <w:rsid w:val="5FBC7B73"/>
    <w:rsid w:val="5FBE7D8F"/>
    <w:rsid w:val="5FBF1411"/>
    <w:rsid w:val="5FC37153"/>
    <w:rsid w:val="5FC44C79"/>
    <w:rsid w:val="5FC559AE"/>
    <w:rsid w:val="5FC609F2"/>
    <w:rsid w:val="5FC8476A"/>
    <w:rsid w:val="5FC86518"/>
    <w:rsid w:val="5FCA04E2"/>
    <w:rsid w:val="5FCA6734"/>
    <w:rsid w:val="5FCB425A"/>
    <w:rsid w:val="5FCD3B2E"/>
    <w:rsid w:val="5FCD7FD2"/>
    <w:rsid w:val="5FCF3D4A"/>
    <w:rsid w:val="5FCF78A6"/>
    <w:rsid w:val="5FD0793B"/>
    <w:rsid w:val="5FD17AC2"/>
    <w:rsid w:val="5FD4310E"/>
    <w:rsid w:val="5FD650D9"/>
    <w:rsid w:val="5FD90725"/>
    <w:rsid w:val="5FD924D3"/>
    <w:rsid w:val="5FE07D05"/>
    <w:rsid w:val="5FE13A7D"/>
    <w:rsid w:val="5FE33352"/>
    <w:rsid w:val="5FE5356E"/>
    <w:rsid w:val="5FE5531C"/>
    <w:rsid w:val="5FE570CA"/>
    <w:rsid w:val="5FE62E42"/>
    <w:rsid w:val="5FE75BC2"/>
    <w:rsid w:val="5FE86BBA"/>
    <w:rsid w:val="5FEA0B84"/>
    <w:rsid w:val="5FEB0458"/>
    <w:rsid w:val="5FEB66AA"/>
    <w:rsid w:val="5FF05A6E"/>
    <w:rsid w:val="5FF11F12"/>
    <w:rsid w:val="5FF23595"/>
    <w:rsid w:val="5FF358A6"/>
    <w:rsid w:val="5FF4730D"/>
    <w:rsid w:val="5FF53085"/>
    <w:rsid w:val="5FF64227"/>
    <w:rsid w:val="5FF67529"/>
    <w:rsid w:val="5FFB68ED"/>
    <w:rsid w:val="5FFC08B7"/>
    <w:rsid w:val="5FFC4413"/>
    <w:rsid w:val="5FFE018B"/>
    <w:rsid w:val="5FFE462F"/>
    <w:rsid w:val="60031C46"/>
    <w:rsid w:val="6005151A"/>
    <w:rsid w:val="60067040"/>
    <w:rsid w:val="600734E4"/>
    <w:rsid w:val="60082DB8"/>
    <w:rsid w:val="600A2FD4"/>
    <w:rsid w:val="600A4D82"/>
    <w:rsid w:val="600F05EB"/>
    <w:rsid w:val="60151D76"/>
    <w:rsid w:val="60163727"/>
    <w:rsid w:val="601856F1"/>
    <w:rsid w:val="60193217"/>
    <w:rsid w:val="60196D73"/>
    <w:rsid w:val="601C6864"/>
    <w:rsid w:val="601E438A"/>
    <w:rsid w:val="601F1CF2"/>
    <w:rsid w:val="602045A6"/>
    <w:rsid w:val="602120CC"/>
    <w:rsid w:val="60215D53"/>
    <w:rsid w:val="60234096"/>
    <w:rsid w:val="60251BBC"/>
    <w:rsid w:val="60255718"/>
    <w:rsid w:val="60285208"/>
    <w:rsid w:val="602A2D2E"/>
    <w:rsid w:val="602A71D2"/>
    <w:rsid w:val="602C2F4B"/>
    <w:rsid w:val="602D0A71"/>
    <w:rsid w:val="602D281F"/>
    <w:rsid w:val="602F17E7"/>
    <w:rsid w:val="602F3F48"/>
    <w:rsid w:val="603040BD"/>
    <w:rsid w:val="60310561"/>
    <w:rsid w:val="6031230F"/>
    <w:rsid w:val="603218A9"/>
    <w:rsid w:val="60340051"/>
    <w:rsid w:val="60363DC9"/>
    <w:rsid w:val="603718EF"/>
    <w:rsid w:val="60395667"/>
    <w:rsid w:val="603B318E"/>
    <w:rsid w:val="603D6F06"/>
    <w:rsid w:val="603E4A2C"/>
    <w:rsid w:val="603E67DA"/>
    <w:rsid w:val="6042451C"/>
    <w:rsid w:val="60432042"/>
    <w:rsid w:val="60433DF0"/>
    <w:rsid w:val="6043627C"/>
    <w:rsid w:val="604364E6"/>
    <w:rsid w:val="6045400C"/>
    <w:rsid w:val="60455DBA"/>
    <w:rsid w:val="60477D84"/>
    <w:rsid w:val="604858AA"/>
    <w:rsid w:val="604A517F"/>
    <w:rsid w:val="604C38E0"/>
    <w:rsid w:val="604C539B"/>
    <w:rsid w:val="604F4E8B"/>
    <w:rsid w:val="6051475F"/>
    <w:rsid w:val="605162C2"/>
    <w:rsid w:val="605424A1"/>
    <w:rsid w:val="60561D75"/>
    <w:rsid w:val="605660D3"/>
    <w:rsid w:val="60566219"/>
    <w:rsid w:val="60575AEE"/>
    <w:rsid w:val="60583D40"/>
    <w:rsid w:val="60597AB8"/>
    <w:rsid w:val="605C0804"/>
    <w:rsid w:val="605E0C2A"/>
    <w:rsid w:val="605E50CE"/>
    <w:rsid w:val="605E6E7C"/>
    <w:rsid w:val="60600E46"/>
    <w:rsid w:val="60602BF4"/>
    <w:rsid w:val="606326E4"/>
    <w:rsid w:val="60695F4D"/>
    <w:rsid w:val="606A1DD1"/>
    <w:rsid w:val="606A5821"/>
    <w:rsid w:val="606C1599"/>
    <w:rsid w:val="606D5311"/>
    <w:rsid w:val="606D7301"/>
    <w:rsid w:val="6074044E"/>
    <w:rsid w:val="6074165C"/>
    <w:rsid w:val="607448F1"/>
    <w:rsid w:val="607466A0"/>
    <w:rsid w:val="607641C6"/>
    <w:rsid w:val="60787F3E"/>
    <w:rsid w:val="60795A64"/>
    <w:rsid w:val="607D3E4F"/>
    <w:rsid w:val="607D5554"/>
    <w:rsid w:val="607E307A"/>
    <w:rsid w:val="60803296"/>
    <w:rsid w:val="60806DF2"/>
    <w:rsid w:val="6085265B"/>
    <w:rsid w:val="60870181"/>
    <w:rsid w:val="60883EF9"/>
    <w:rsid w:val="60885CA7"/>
    <w:rsid w:val="608A1A1F"/>
    <w:rsid w:val="608A7C71"/>
    <w:rsid w:val="608C5797"/>
    <w:rsid w:val="608E59B3"/>
    <w:rsid w:val="608F7035"/>
    <w:rsid w:val="60911000"/>
    <w:rsid w:val="60912DAE"/>
    <w:rsid w:val="60917251"/>
    <w:rsid w:val="60922013"/>
    <w:rsid w:val="60932FCA"/>
    <w:rsid w:val="60936B26"/>
    <w:rsid w:val="60944CF0"/>
    <w:rsid w:val="60950994"/>
    <w:rsid w:val="6098413C"/>
    <w:rsid w:val="60996106"/>
    <w:rsid w:val="60997EB4"/>
    <w:rsid w:val="609A3376"/>
    <w:rsid w:val="60A26D69"/>
    <w:rsid w:val="60A32AE1"/>
    <w:rsid w:val="60A46F85"/>
    <w:rsid w:val="60A52CFD"/>
    <w:rsid w:val="60A56859"/>
    <w:rsid w:val="60A70823"/>
    <w:rsid w:val="60A76A75"/>
    <w:rsid w:val="60AA3E6F"/>
    <w:rsid w:val="60AC408B"/>
    <w:rsid w:val="60AC7BE7"/>
    <w:rsid w:val="60AE3960"/>
    <w:rsid w:val="60AE3E98"/>
    <w:rsid w:val="60AF592A"/>
    <w:rsid w:val="60AF76D8"/>
    <w:rsid w:val="60B44CEE"/>
    <w:rsid w:val="60B861AE"/>
    <w:rsid w:val="60B92304"/>
    <w:rsid w:val="60BE791B"/>
    <w:rsid w:val="60BF5B6D"/>
    <w:rsid w:val="60C211B9"/>
    <w:rsid w:val="60C2565D"/>
    <w:rsid w:val="60C43183"/>
    <w:rsid w:val="60C55458"/>
    <w:rsid w:val="60C7268E"/>
    <w:rsid w:val="60C767CF"/>
    <w:rsid w:val="60CC3634"/>
    <w:rsid w:val="60D07D7A"/>
    <w:rsid w:val="60D13AF2"/>
    <w:rsid w:val="60D1764E"/>
    <w:rsid w:val="60D333C6"/>
    <w:rsid w:val="60D3786A"/>
    <w:rsid w:val="60D40EEC"/>
    <w:rsid w:val="60D55390"/>
    <w:rsid w:val="60D61108"/>
    <w:rsid w:val="60D809DC"/>
    <w:rsid w:val="60D84E80"/>
    <w:rsid w:val="60D97F3A"/>
    <w:rsid w:val="60DA0BF8"/>
    <w:rsid w:val="60DB04CD"/>
    <w:rsid w:val="60DB671F"/>
    <w:rsid w:val="60E107A2"/>
    <w:rsid w:val="60E455D3"/>
    <w:rsid w:val="60E5134B"/>
    <w:rsid w:val="60E6197D"/>
    <w:rsid w:val="60E6759D"/>
    <w:rsid w:val="60E7023C"/>
    <w:rsid w:val="60E92BEA"/>
    <w:rsid w:val="60EA02FE"/>
    <w:rsid w:val="60EA0710"/>
    <w:rsid w:val="60EB4BB4"/>
    <w:rsid w:val="60EE0200"/>
    <w:rsid w:val="60F021CA"/>
    <w:rsid w:val="60F03F78"/>
    <w:rsid w:val="60F375C4"/>
    <w:rsid w:val="60F65306"/>
    <w:rsid w:val="60F82E2D"/>
    <w:rsid w:val="60FA6BA5"/>
    <w:rsid w:val="60FB46CB"/>
    <w:rsid w:val="61016185"/>
    <w:rsid w:val="61042335"/>
    <w:rsid w:val="61045C75"/>
    <w:rsid w:val="610537C5"/>
    <w:rsid w:val="610572F8"/>
    <w:rsid w:val="610619ED"/>
    <w:rsid w:val="610A2B60"/>
    <w:rsid w:val="610C38DB"/>
    <w:rsid w:val="610E43FE"/>
    <w:rsid w:val="610F3929"/>
    <w:rsid w:val="610F53E2"/>
    <w:rsid w:val="6110461A"/>
    <w:rsid w:val="61113EEE"/>
    <w:rsid w:val="61120392"/>
    <w:rsid w:val="61135EB8"/>
    <w:rsid w:val="611462E7"/>
    <w:rsid w:val="61151C31"/>
    <w:rsid w:val="611539DF"/>
    <w:rsid w:val="6115578D"/>
    <w:rsid w:val="61167757"/>
    <w:rsid w:val="611759A9"/>
    <w:rsid w:val="61181721"/>
    <w:rsid w:val="611A7247"/>
    <w:rsid w:val="611B6B1B"/>
    <w:rsid w:val="61204131"/>
    <w:rsid w:val="612105D5"/>
    <w:rsid w:val="612400C6"/>
    <w:rsid w:val="61243C22"/>
    <w:rsid w:val="61265BEC"/>
    <w:rsid w:val="61273712"/>
    <w:rsid w:val="61291238"/>
    <w:rsid w:val="61292BC0"/>
    <w:rsid w:val="612956DC"/>
    <w:rsid w:val="6129748A"/>
    <w:rsid w:val="612B1454"/>
    <w:rsid w:val="612B3202"/>
    <w:rsid w:val="612C6F7A"/>
    <w:rsid w:val="613100ED"/>
    <w:rsid w:val="61314591"/>
    <w:rsid w:val="61355E2F"/>
    <w:rsid w:val="6138591F"/>
    <w:rsid w:val="613B0F6B"/>
    <w:rsid w:val="613C7BA6"/>
    <w:rsid w:val="613D1187"/>
    <w:rsid w:val="613D48BD"/>
    <w:rsid w:val="613D4CE3"/>
    <w:rsid w:val="613F0A5C"/>
    <w:rsid w:val="613F6527"/>
    <w:rsid w:val="61412A26"/>
    <w:rsid w:val="614147D4"/>
    <w:rsid w:val="6146003C"/>
    <w:rsid w:val="61461DEA"/>
    <w:rsid w:val="61477910"/>
    <w:rsid w:val="61483DB4"/>
    <w:rsid w:val="61497B2C"/>
    <w:rsid w:val="614C3178"/>
    <w:rsid w:val="614C5F5A"/>
    <w:rsid w:val="614E6EF1"/>
    <w:rsid w:val="614F48DB"/>
    <w:rsid w:val="6151078F"/>
    <w:rsid w:val="615171FB"/>
    <w:rsid w:val="61535E2D"/>
    <w:rsid w:val="615362B5"/>
    <w:rsid w:val="6155027F"/>
    <w:rsid w:val="615564D1"/>
    <w:rsid w:val="61572FDD"/>
    <w:rsid w:val="6157306D"/>
    <w:rsid w:val="615747AE"/>
    <w:rsid w:val="615838CB"/>
    <w:rsid w:val="615C33BC"/>
    <w:rsid w:val="616109D2"/>
    <w:rsid w:val="616404C2"/>
    <w:rsid w:val="61646714"/>
    <w:rsid w:val="61686204"/>
    <w:rsid w:val="61691F7C"/>
    <w:rsid w:val="61693D2A"/>
    <w:rsid w:val="616B35FF"/>
    <w:rsid w:val="616C7377"/>
    <w:rsid w:val="616F4A68"/>
    <w:rsid w:val="61700C15"/>
    <w:rsid w:val="61702784"/>
    <w:rsid w:val="6170330B"/>
    <w:rsid w:val="6171498D"/>
    <w:rsid w:val="61720E31"/>
    <w:rsid w:val="61727C75"/>
    <w:rsid w:val="61734BA9"/>
    <w:rsid w:val="6175447D"/>
    <w:rsid w:val="61783F6D"/>
    <w:rsid w:val="617A1A94"/>
    <w:rsid w:val="617A5F38"/>
    <w:rsid w:val="617C3A5E"/>
    <w:rsid w:val="617C580C"/>
    <w:rsid w:val="617E75CD"/>
    <w:rsid w:val="617F52FC"/>
    <w:rsid w:val="61812E22"/>
    <w:rsid w:val="618172C6"/>
    <w:rsid w:val="61840B64"/>
    <w:rsid w:val="61860438"/>
    <w:rsid w:val="61864679"/>
    <w:rsid w:val="618648DC"/>
    <w:rsid w:val="6186757B"/>
    <w:rsid w:val="618741B1"/>
    <w:rsid w:val="618943CD"/>
    <w:rsid w:val="618C17C7"/>
    <w:rsid w:val="61915DCF"/>
    <w:rsid w:val="6192502F"/>
    <w:rsid w:val="61937245"/>
    <w:rsid w:val="61946FF9"/>
    <w:rsid w:val="61954B1F"/>
    <w:rsid w:val="619568CD"/>
    <w:rsid w:val="6198016C"/>
    <w:rsid w:val="619863BE"/>
    <w:rsid w:val="61994610"/>
    <w:rsid w:val="619A3EE4"/>
    <w:rsid w:val="619C1A0A"/>
    <w:rsid w:val="619C5EAE"/>
    <w:rsid w:val="619F14FA"/>
    <w:rsid w:val="619F599E"/>
    <w:rsid w:val="61A15272"/>
    <w:rsid w:val="61A22D98"/>
    <w:rsid w:val="61A44245"/>
    <w:rsid w:val="61A44D62"/>
    <w:rsid w:val="61A81485"/>
    <w:rsid w:val="61A82AA5"/>
    <w:rsid w:val="61A84853"/>
    <w:rsid w:val="61A86601"/>
    <w:rsid w:val="61A94127"/>
    <w:rsid w:val="61AB7E9F"/>
    <w:rsid w:val="61AD1E69"/>
    <w:rsid w:val="61AD3C17"/>
    <w:rsid w:val="61AE5BE1"/>
    <w:rsid w:val="61AF1358"/>
    <w:rsid w:val="61B054B5"/>
    <w:rsid w:val="61B2122D"/>
    <w:rsid w:val="61B551C2"/>
    <w:rsid w:val="61B56F70"/>
    <w:rsid w:val="61B72CE8"/>
    <w:rsid w:val="61B96A60"/>
    <w:rsid w:val="61BC0067"/>
    <w:rsid w:val="61C01D80"/>
    <w:rsid w:val="61C15914"/>
    <w:rsid w:val="61C176C2"/>
    <w:rsid w:val="61C41CD1"/>
    <w:rsid w:val="61C4751D"/>
    <w:rsid w:val="61C55405"/>
    <w:rsid w:val="61C91EFF"/>
    <w:rsid w:val="61CB22EF"/>
    <w:rsid w:val="61CC0880"/>
    <w:rsid w:val="61CD3451"/>
    <w:rsid w:val="61CE1DDF"/>
    <w:rsid w:val="61D27B22"/>
    <w:rsid w:val="61D4389A"/>
    <w:rsid w:val="61D5316E"/>
    <w:rsid w:val="61D54F1C"/>
    <w:rsid w:val="61D70C94"/>
    <w:rsid w:val="61DA0784"/>
    <w:rsid w:val="61DB4C28"/>
    <w:rsid w:val="61DC274E"/>
    <w:rsid w:val="61DC44FC"/>
    <w:rsid w:val="61DD43D6"/>
    <w:rsid w:val="61DE0274"/>
    <w:rsid w:val="61E17D65"/>
    <w:rsid w:val="61E20F86"/>
    <w:rsid w:val="61E33ADD"/>
    <w:rsid w:val="61E635CD"/>
    <w:rsid w:val="61E6537B"/>
    <w:rsid w:val="61E824DC"/>
    <w:rsid w:val="61E86918"/>
    <w:rsid w:val="61EA4E6B"/>
    <w:rsid w:val="61ED6709"/>
    <w:rsid w:val="61F061FA"/>
    <w:rsid w:val="61F0653B"/>
    <w:rsid w:val="61F07C7B"/>
    <w:rsid w:val="61F07FA8"/>
    <w:rsid w:val="61F21F72"/>
    <w:rsid w:val="61F33B70"/>
    <w:rsid w:val="61F45CEA"/>
    <w:rsid w:val="61F76DFB"/>
    <w:rsid w:val="61F9246E"/>
    <w:rsid w:val="61FC4B9F"/>
    <w:rsid w:val="61FE0917"/>
    <w:rsid w:val="6200643D"/>
    <w:rsid w:val="62013F63"/>
    <w:rsid w:val="62015D11"/>
    <w:rsid w:val="62037CDB"/>
    <w:rsid w:val="62061579"/>
    <w:rsid w:val="62065A1D"/>
    <w:rsid w:val="62092E18"/>
    <w:rsid w:val="620B4DE2"/>
    <w:rsid w:val="620B6B90"/>
    <w:rsid w:val="620D6DAC"/>
    <w:rsid w:val="620F48D2"/>
    <w:rsid w:val="621023F8"/>
    <w:rsid w:val="621041A6"/>
    <w:rsid w:val="621106F4"/>
    <w:rsid w:val="621161CD"/>
    <w:rsid w:val="62123462"/>
    <w:rsid w:val="62126170"/>
    <w:rsid w:val="62127F1E"/>
    <w:rsid w:val="621517BC"/>
    <w:rsid w:val="62157A0E"/>
    <w:rsid w:val="62195750"/>
    <w:rsid w:val="621974FF"/>
    <w:rsid w:val="621A250E"/>
    <w:rsid w:val="621A5025"/>
    <w:rsid w:val="621E4B15"/>
    <w:rsid w:val="6220088D"/>
    <w:rsid w:val="62216AA8"/>
    <w:rsid w:val="62245B18"/>
    <w:rsid w:val="622540F5"/>
    <w:rsid w:val="62257C51"/>
    <w:rsid w:val="62261C1B"/>
    <w:rsid w:val="622639C9"/>
    <w:rsid w:val="62265778"/>
    <w:rsid w:val="622814F0"/>
    <w:rsid w:val="62285994"/>
    <w:rsid w:val="62287742"/>
    <w:rsid w:val="622A34BA"/>
    <w:rsid w:val="622B7232"/>
    <w:rsid w:val="622F287E"/>
    <w:rsid w:val="622F6D22"/>
    <w:rsid w:val="62314848"/>
    <w:rsid w:val="6232236E"/>
    <w:rsid w:val="62326812"/>
    <w:rsid w:val="62344338"/>
    <w:rsid w:val="62347E94"/>
    <w:rsid w:val="62375BD7"/>
    <w:rsid w:val="62377985"/>
    <w:rsid w:val="623954AB"/>
    <w:rsid w:val="62397BA1"/>
    <w:rsid w:val="623B56C7"/>
    <w:rsid w:val="623E0D13"/>
    <w:rsid w:val="623E51B7"/>
    <w:rsid w:val="623E6F65"/>
    <w:rsid w:val="623F6839"/>
    <w:rsid w:val="62402CDD"/>
    <w:rsid w:val="62414951"/>
    <w:rsid w:val="62426A55"/>
    <w:rsid w:val="624327CD"/>
    <w:rsid w:val="6243457B"/>
    <w:rsid w:val="62436329"/>
    <w:rsid w:val="624520A2"/>
    <w:rsid w:val="62456545"/>
    <w:rsid w:val="62481B92"/>
    <w:rsid w:val="62483940"/>
    <w:rsid w:val="62487DE4"/>
    <w:rsid w:val="624C78D4"/>
    <w:rsid w:val="624D53FA"/>
    <w:rsid w:val="624F1172"/>
    <w:rsid w:val="62540537"/>
    <w:rsid w:val="625614D2"/>
    <w:rsid w:val="62570027"/>
    <w:rsid w:val="625B7B17"/>
    <w:rsid w:val="625C563D"/>
    <w:rsid w:val="625D29E9"/>
    <w:rsid w:val="625D388F"/>
    <w:rsid w:val="6260512D"/>
    <w:rsid w:val="62652744"/>
    <w:rsid w:val="626544F2"/>
    <w:rsid w:val="6267026A"/>
    <w:rsid w:val="626764BC"/>
    <w:rsid w:val="62682234"/>
    <w:rsid w:val="626A1B08"/>
    <w:rsid w:val="626B6B00"/>
    <w:rsid w:val="626B762E"/>
    <w:rsid w:val="626C5880"/>
    <w:rsid w:val="626F12BB"/>
    <w:rsid w:val="6271733B"/>
    <w:rsid w:val="627209BD"/>
    <w:rsid w:val="62724E61"/>
    <w:rsid w:val="62744735"/>
    <w:rsid w:val="62775FD3"/>
    <w:rsid w:val="627806C9"/>
    <w:rsid w:val="627961EF"/>
    <w:rsid w:val="62797F9D"/>
    <w:rsid w:val="627B3D15"/>
    <w:rsid w:val="627D5CDF"/>
    <w:rsid w:val="627E3805"/>
    <w:rsid w:val="62813525"/>
    <w:rsid w:val="62830E1C"/>
    <w:rsid w:val="62854B94"/>
    <w:rsid w:val="6287090C"/>
    <w:rsid w:val="628801E0"/>
    <w:rsid w:val="628C5A67"/>
    <w:rsid w:val="628F156F"/>
    <w:rsid w:val="628F5A13"/>
    <w:rsid w:val="629152E7"/>
    <w:rsid w:val="62922E0D"/>
    <w:rsid w:val="629266F3"/>
    <w:rsid w:val="62943029"/>
    <w:rsid w:val="62946B85"/>
    <w:rsid w:val="629848C7"/>
    <w:rsid w:val="629C7113"/>
    <w:rsid w:val="629D3C8C"/>
    <w:rsid w:val="629E17B2"/>
    <w:rsid w:val="629E7A04"/>
    <w:rsid w:val="62A0552A"/>
    <w:rsid w:val="62A56FE4"/>
    <w:rsid w:val="62A72D5C"/>
    <w:rsid w:val="62A82630"/>
    <w:rsid w:val="62AE2542"/>
    <w:rsid w:val="62AE40EB"/>
    <w:rsid w:val="62AE5E99"/>
    <w:rsid w:val="62AF7E63"/>
    <w:rsid w:val="62B10EC3"/>
    <w:rsid w:val="62B15989"/>
    <w:rsid w:val="62B40FD5"/>
    <w:rsid w:val="62B45479"/>
    <w:rsid w:val="62B463B4"/>
    <w:rsid w:val="62B47227"/>
    <w:rsid w:val="62B56103"/>
    <w:rsid w:val="62B57844"/>
    <w:rsid w:val="62B611F1"/>
    <w:rsid w:val="62B62F9F"/>
    <w:rsid w:val="62B72874"/>
    <w:rsid w:val="62B9483E"/>
    <w:rsid w:val="62B965EC"/>
    <w:rsid w:val="62BD432E"/>
    <w:rsid w:val="62BE1E54"/>
    <w:rsid w:val="62C1664D"/>
    <w:rsid w:val="62C27B96"/>
    <w:rsid w:val="62C31218"/>
    <w:rsid w:val="62C3746A"/>
    <w:rsid w:val="62C54F90"/>
    <w:rsid w:val="62C70D09"/>
    <w:rsid w:val="62C75DED"/>
    <w:rsid w:val="62C84A81"/>
    <w:rsid w:val="62CA07F9"/>
    <w:rsid w:val="62CC27C3"/>
    <w:rsid w:val="62CC4571"/>
    <w:rsid w:val="62CE02E9"/>
    <w:rsid w:val="62CE653B"/>
    <w:rsid w:val="62CF187B"/>
    <w:rsid w:val="62CF4061"/>
    <w:rsid w:val="62CF7BBD"/>
    <w:rsid w:val="62D358FF"/>
    <w:rsid w:val="62D502BE"/>
    <w:rsid w:val="62D653F0"/>
    <w:rsid w:val="62D66B7D"/>
    <w:rsid w:val="62D6719E"/>
    <w:rsid w:val="62D81168"/>
    <w:rsid w:val="62D84CC4"/>
    <w:rsid w:val="62D90A3C"/>
    <w:rsid w:val="62D96C8E"/>
    <w:rsid w:val="62DB2A06"/>
    <w:rsid w:val="62DB496E"/>
    <w:rsid w:val="62DD530F"/>
    <w:rsid w:val="62DE7EE0"/>
    <w:rsid w:val="62E0001C"/>
    <w:rsid w:val="62E01DCA"/>
    <w:rsid w:val="62E0626E"/>
    <w:rsid w:val="62E23D94"/>
    <w:rsid w:val="62E278F0"/>
    <w:rsid w:val="62E33669"/>
    <w:rsid w:val="62E47B0C"/>
    <w:rsid w:val="62E96ED1"/>
    <w:rsid w:val="62EA2C49"/>
    <w:rsid w:val="62EA49F7"/>
    <w:rsid w:val="62EE098B"/>
    <w:rsid w:val="62EE44E7"/>
    <w:rsid w:val="62EF200D"/>
    <w:rsid w:val="62EF64B1"/>
    <w:rsid w:val="62F53AC8"/>
    <w:rsid w:val="62F6339C"/>
    <w:rsid w:val="62F64A26"/>
    <w:rsid w:val="62F72908"/>
    <w:rsid w:val="62F77414"/>
    <w:rsid w:val="62F92E8C"/>
    <w:rsid w:val="62FB09B2"/>
    <w:rsid w:val="62FB30A8"/>
    <w:rsid w:val="62FB4E56"/>
    <w:rsid w:val="62FD0BCE"/>
    <w:rsid w:val="62FF244A"/>
    <w:rsid w:val="63016CD4"/>
    <w:rsid w:val="630261E5"/>
    <w:rsid w:val="63035AB9"/>
    <w:rsid w:val="63051831"/>
    <w:rsid w:val="63055C5C"/>
    <w:rsid w:val="63057A83"/>
    <w:rsid w:val="63065CD5"/>
    <w:rsid w:val="63071A4D"/>
    <w:rsid w:val="630737FB"/>
    <w:rsid w:val="630C038D"/>
    <w:rsid w:val="630C0A5E"/>
    <w:rsid w:val="630E06E5"/>
    <w:rsid w:val="630E2DDB"/>
    <w:rsid w:val="630F445E"/>
    <w:rsid w:val="6315416A"/>
    <w:rsid w:val="63161C90"/>
    <w:rsid w:val="63163A3E"/>
    <w:rsid w:val="631657EC"/>
    <w:rsid w:val="63181501"/>
    <w:rsid w:val="631D37BF"/>
    <w:rsid w:val="631D4DCC"/>
    <w:rsid w:val="631D6B7A"/>
    <w:rsid w:val="632443AD"/>
    <w:rsid w:val="632779F9"/>
    <w:rsid w:val="63293771"/>
    <w:rsid w:val="632A1297"/>
    <w:rsid w:val="632B573B"/>
    <w:rsid w:val="63343EC4"/>
    <w:rsid w:val="63352116"/>
    <w:rsid w:val="63361EB9"/>
    <w:rsid w:val="633839B4"/>
    <w:rsid w:val="633A3BD0"/>
    <w:rsid w:val="633A597E"/>
    <w:rsid w:val="633B16F7"/>
    <w:rsid w:val="633D546F"/>
    <w:rsid w:val="633F2F95"/>
    <w:rsid w:val="63400ABB"/>
    <w:rsid w:val="63402869"/>
    <w:rsid w:val="63414F5F"/>
    <w:rsid w:val="634265E1"/>
    <w:rsid w:val="634560D1"/>
    <w:rsid w:val="63493A10"/>
    <w:rsid w:val="63493E13"/>
    <w:rsid w:val="634A36E8"/>
    <w:rsid w:val="634B193A"/>
    <w:rsid w:val="634C56B2"/>
    <w:rsid w:val="634E31D8"/>
    <w:rsid w:val="63500CFE"/>
    <w:rsid w:val="635051A2"/>
    <w:rsid w:val="635307EE"/>
    <w:rsid w:val="6353259C"/>
    <w:rsid w:val="63534C92"/>
    <w:rsid w:val="63576530"/>
    <w:rsid w:val="635822A8"/>
    <w:rsid w:val="63584057"/>
    <w:rsid w:val="63585E05"/>
    <w:rsid w:val="635A392B"/>
    <w:rsid w:val="635B2744"/>
    <w:rsid w:val="635F7193"/>
    <w:rsid w:val="63600D6B"/>
    <w:rsid w:val="63612F0B"/>
    <w:rsid w:val="63620A31"/>
    <w:rsid w:val="63624ED5"/>
    <w:rsid w:val="636447A9"/>
    <w:rsid w:val="63666773"/>
    <w:rsid w:val="63672428"/>
    <w:rsid w:val="6367429A"/>
    <w:rsid w:val="63676048"/>
    <w:rsid w:val="63696264"/>
    <w:rsid w:val="636B3D8A"/>
    <w:rsid w:val="636C18B0"/>
    <w:rsid w:val="636C7B02"/>
    <w:rsid w:val="636E387A"/>
    <w:rsid w:val="636E5628"/>
    <w:rsid w:val="636E73D6"/>
    <w:rsid w:val="637013A0"/>
    <w:rsid w:val="6370314E"/>
    <w:rsid w:val="63715118"/>
    <w:rsid w:val="63716A7D"/>
    <w:rsid w:val="63776102"/>
    <w:rsid w:val="637846F9"/>
    <w:rsid w:val="637864A7"/>
    <w:rsid w:val="637A5D7B"/>
    <w:rsid w:val="637B1AF3"/>
    <w:rsid w:val="637C5F97"/>
    <w:rsid w:val="637C7D45"/>
    <w:rsid w:val="637D586B"/>
    <w:rsid w:val="637F15E3"/>
    <w:rsid w:val="63807109"/>
    <w:rsid w:val="638135AD"/>
    <w:rsid w:val="6381535B"/>
    <w:rsid w:val="63842DDF"/>
    <w:rsid w:val="6384309D"/>
    <w:rsid w:val="63892462"/>
    <w:rsid w:val="638B2319"/>
    <w:rsid w:val="638B28E8"/>
    <w:rsid w:val="638C2CB2"/>
    <w:rsid w:val="638E1826"/>
    <w:rsid w:val="638E5CCA"/>
    <w:rsid w:val="639130C5"/>
    <w:rsid w:val="639332E1"/>
    <w:rsid w:val="6393508F"/>
    <w:rsid w:val="63952BB5"/>
    <w:rsid w:val="63957059"/>
    <w:rsid w:val="63984453"/>
    <w:rsid w:val="639B64F3"/>
    <w:rsid w:val="639C0BAB"/>
    <w:rsid w:val="639C3F43"/>
    <w:rsid w:val="639F1128"/>
    <w:rsid w:val="639F3A33"/>
    <w:rsid w:val="639F57E1"/>
    <w:rsid w:val="63A1155A"/>
    <w:rsid w:val="63A4729C"/>
    <w:rsid w:val="63A64DC2"/>
    <w:rsid w:val="63AB23D8"/>
    <w:rsid w:val="63AB4186"/>
    <w:rsid w:val="63AD43A2"/>
    <w:rsid w:val="63AE1EC8"/>
    <w:rsid w:val="63B020AD"/>
    <w:rsid w:val="63B05E97"/>
    <w:rsid w:val="63B079EF"/>
    <w:rsid w:val="63B15515"/>
    <w:rsid w:val="63B3128D"/>
    <w:rsid w:val="63B75221"/>
    <w:rsid w:val="63B81CCF"/>
    <w:rsid w:val="63BC2837"/>
    <w:rsid w:val="63BD210C"/>
    <w:rsid w:val="63BD3EBA"/>
    <w:rsid w:val="63BF40D6"/>
    <w:rsid w:val="63C11BFC"/>
    <w:rsid w:val="63C35974"/>
    <w:rsid w:val="63C45248"/>
    <w:rsid w:val="63C82F8A"/>
    <w:rsid w:val="63C83BAD"/>
    <w:rsid w:val="63C90AB0"/>
    <w:rsid w:val="63C94F54"/>
    <w:rsid w:val="63C96D02"/>
    <w:rsid w:val="63CD41A6"/>
    <w:rsid w:val="63D01E3F"/>
    <w:rsid w:val="63D538F9"/>
    <w:rsid w:val="63D556A7"/>
    <w:rsid w:val="63D57455"/>
    <w:rsid w:val="63D731CD"/>
    <w:rsid w:val="63D80CF3"/>
    <w:rsid w:val="63D812B9"/>
    <w:rsid w:val="63DD630A"/>
    <w:rsid w:val="63DE27AE"/>
    <w:rsid w:val="63DF02D4"/>
    <w:rsid w:val="63DF2082"/>
    <w:rsid w:val="63DF6526"/>
    <w:rsid w:val="63DF65BB"/>
    <w:rsid w:val="63E36016"/>
    <w:rsid w:val="63E87188"/>
    <w:rsid w:val="63E91153"/>
    <w:rsid w:val="63EB0A27"/>
    <w:rsid w:val="63EB6C79"/>
    <w:rsid w:val="63ED0C43"/>
    <w:rsid w:val="63ED479F"/>
    <w:rsid w:val="63EE0517"/>
    <w:rsid w:val="63EE6769"/>
    <w:rsid w:val="63F20007"/>
    <w:rsid w:val="63F35B2D"/>
    <w:rsid w:val="63F35EC1"/>
    <w:rsid w:val="63F43D7F"/>
    <w:rsid w:val="63F47351"/>
    <w:rsid w:val="63F7386F"/>
    <w:rsid w:val="63F773CC"/>
    <w:rsid w:val="63F83144"/>
    <w:rsid w:val="63F97162"/>
    <w:rsid w:val="63F975E8"/>
    <w:rsid w:val="63FA3360"/>
    <w:rsid w:val="63FA510E"/>
    <w:rsid w:val="63FA6EBC"/>
    <w:rsid w:val="63FE4BFE"/>
    <w:rsid w:val="63FE69AC"/>
    <w:rsid w:val="63FF0976"/>
    <w:rsid w:val="63FF2724"/>
    <w:rsid w:val="63FF44D2"/>
    <w:rsid w:val="64030466"/>
    <w:rsid w:val="64032214"/>
    <w:rsid w:val="64047D3A"/>
    <w:rsid w:val="64061766"/>
    <w:rsid w:val="64061D04"/>
    <w:rsid w:val="640815D9"/>
    <w:rsid w:val="640B10C9"/>
    <w:rsid w:val="640C3FC6"/>
    <w:rsid w:val="640D6BEF"/>
    <w:rsid w:val="6410048D"/>
    <w:rsid w:val="64104931"/>
    <w:rsid w:val="641066DF"/>
    <w:rsid w:val="64122457"/>
    <w:rsid w:val="64144421"/>
    <w:rsid w:val="641461CF"/>
    <w:rsid w:val="6417181C"/>
    <w:rsid w:val="6419500B"/>
    <w:rsid w:val="64195594"/>
    <w:rsid w:val="641F0E7D"/>
    <w:rsid w:val="642108EC"/>
    <w:rsid w:val="6421269A"/>
    <w:rsid w:val="642277FE"/>
    <w:rsid w:val="642301C1"/>
    <w:rsid w:val="64243F39"/>
    <w:rsid w:val="6426760F"/>
    <w:rsid w:val="64287ECD"/>
    <w:rsid w:val="642A59F3"/>
    <w:rsid w:val="642A5F90"/>
    <w:rsid w:val="642A7243"/>
    <w:rsid w:val="642B176B"/>
    <w:rsid w:val="642B1CB3"/>
    <w:rsid w:val="642D7291"/>
    <w:rsid w:val="642F125B"/>
    <w:rsid w:val="643028DD"/>
    <w:rsid w:val="64312FEF"/>
    <w:rsid w:val="64346872"/>
    <w:rsid w:val="64370110"/>
    <w:rsid w:val="64373C6C"/>
    <w:rsid w:val="64383165"/>
    <w:rsid w:val="64395A85"/>
    <w:rsid w:val="643A0656"/>
    <w:rsid w:val="643B19AE"/>
    <w:rsid w:val="643C5726"/>
    <w:rsid w:val="643C74D4"/>
    <w:rsid w:val="643F0D73"/>
    <w:rsid w:val="64401153"/>
    <w:rsid w:val="64412D3D"/>
    <w:rsid w:val="64414AEB"/>
    <w:rsid w:val="644256A7"/>
    <w:rsid w:val="64426DE8"/>
    <w:rsid w:val="644545DB"/>
    <w:rsid w:val="64485E79"/>
    <w:rsid w:val="644D16E1"/>
    <w:rsid w:val="64504D2E"/>
    <w:rsid w:val="645111D2"/>
    <w:rsid w:val="64542A70"/>
    <w:rsid w:val="64547FAC"/>
    <w:rsid w:val="645962D8"/>
    <w:rsid w:val="645B798F"/>
    <w:rsid w:val="645E38EF"/>
    <w:rsid w:val="645E569D"/>
    <w:rsid w:val="645F77A0"/>
    <w:rsid w:val="64600C30"/>
    <w:rsid w:val="64601415"/>
    <w:rsid w:val="64632CB3"/>
    <w:rsid w:val="64636121"/>
    <w:rsid w:val="64656A2B"/>
    <w:rsid w:val="646863BA"/>
    <w:rsid w:val="646A2293"/>
    <w:rsid w:val="646A3423"/>
    <w:rsid w:val="646C67BE"/>
    <w:rsid w:val="646F1658"/>
    <w:rsid w:val="646F3406"/>
    <w:rsid w:val="647153D0"/>
    <w:rsid w:val="64721148"/>
    <w:rsid w:val="64722EF6"/>
    <w:rsid w:val="64760C38"/>
    <w:rsid w:val="6477050C"/>
    <w:rsid w:val="647749B0"/>
    <w:rsid w:val="6477675E"/>
    <w:rsid w:val="64790728"/>
    <w:rsid w:val="647924D6"/>
    <w:rsid w:val="647A5AE9"/>
    <w:rsid w:val="647C1FC7"/>
    <w:rsid w:val="64803865"/>
    <w:rsid w:val="64805613"/>
    <w:rsid w:val="64813139"/>
    <w:rsid w:val="64835103"/>
    <w:rsid w:val="64836EB1"/>
    <w:rsid w:val="648375B3"/>
    <w:rsid w:val="64850E7B"/>
    <w:rsid w:val="648844C8"/>
    <w:rsid w:val="648A0240"/>
    <w:rsid w:val="648C045C"/>
    <w:rsid w:val="648D1ADE"/>
    <w:rsid w:val="648E281E"/>
    <w:rsid w:val="648F5856"/>
    <w:rsid w:val="64947310"/>
    <w:rsid w:val="64963088"/>
    <w:rsid w:val="64966BE4"/>
    <w:rsid w:val="64970BAF"/>
    <w:rsid w:val="64980C11"/>
    <w:rsid w:val="64992B79"/>
    <w:rsid w:val="649A4E9E"/>
    <w:rsid w:val="649C61C5"/>
    <w:rsid w:val="649E1F3D"/>
    <w:rsid w:val="649E3CEB"/>
    <w:rsid w:val="64A05CB5"/>
    <w:rsid w:val="64A15589"/>
    <w:rsid w:val="64A31301"/>
    <w:rsid w:val="64A37553"/>
    <w:rsid w:val="64A62BA0"/>
    <w:rsid w:val="64A733C5"/>
    <w:rsid w:val="64A82DBC"/>
    <w:rsid w:val="64AA2690"/>
    <w:rsid w:val="64AC3D17"/>
    <w:rsid w:val="64AF414A"/>
    <w:rsid w:val="64AF5EF8"/>
    <w:rsid w:val="64B17EC2"/>
    <w:rsid w:val="64B21544"/>
    <w:rsid w:val="64B27796"/>
    <w:rsid w:val="64B61035"/>
    <w:rsid w:val="64B66E59"/>
    <w:rsid w:val="64B90B25"/>
    <w:rsid w:val="64B96D77"/>
    <w:rsid w:val="64BD6867"/>
    <w:rsid w:val="64BE613B"/>
    <w:rsid w:val="64C01EB3"/>
    <w:rsid w:val="64C2170E"/>
    <w:rsid w:val="64C23E7D"/>
    <w:rsid w:val="64C319A4"/>
    <w:rsid w:val="64C37BF6"/>
    <w:rsid w:val="64C5571C"/>
    <w:rsid w:val="64C64FF0"/>
    <w:rsid w:val="64CA0F84"/>
    <w:rsid w:val="64CF0348"/>
    <w:rsid w:val="64CF20F6"/>
    <w:rsid w:val="64CF659A"/>
    <w:rsid w:val="64D21BE7"/>
    <w:rsid w:val="64D326E6"/>
    <w:rsid w:val="64D4595F"/>
    <w:rsid w:val="64D4770D"/>
    <w:rsid w:val="64D63485"/>
    <w:rsid w:val="64D771FD"/>
    <w:rsid w:val="64D8544F"/>
    <w:rsid w:val="64DA6254"/>
    <w:rsid w:val="64DC3745"/>
    <w:rsid w:val="64DD0CB7"/>
    <w:rsid w:val="64DD2A65"/>
    <w:rsid w:val="64DD4813"/>
    <w:rsid w:val="64DE67DD"/>
    <w:rsid w:val="64DF0C36"/>
    <w:rsid w:val="64DF4A2F"/>
    <w:rsid w:val="64E04304"/>
    <w:rsid w:val="64E2007C"/>
    <w:rsid w:val="64E21E2A"/>
    <w:rsid w:val="64E30A47"/>
    <w:rsid w:val="64E33DF4"/>
    <w:rsid w:val="64E42046"/>
    <w:rsid w:val="64E5191A"/>
    <w:rsid w:val="64E673C8"/>
    <w:rsid w:val="64E75692"/>
    <w:rsid w:val="64E81CE8"/>
    <w:rsid w:val="64ED07CF"/>
    <w:rsid w:val="64EE6A20"/>
    <w:rsid w:val="64F1206D"/>
    <w:rsid w:val="64F34037"/>
    <w:rsid w:val="64F41B5D"/>
    <w:rsid w:val="64F46001"/>
    <w:rsid w:val="64F71571"/>
    <w:rsid w:val="64F8789F"/>
    <w:rsid w:val="64F93617"/>
    <w:rsid w:val="64F97173"/>
    <w:rsid w:val="64FA41EC"/>
    <w:rsid w:val="64FB2EEB"/>
    <w:rsid w:val="64FD3107"/>
    <w:rsid w:val="65053D6A"/>
    <w:rsid w:val="65055B18"/>
    <w:rsid w:val="65071890"/>
    <w:rsid w:val="6509385A"/>
    <w:rsid w:val="650E0E71"/>
    <w:rsid w:val="6511270F"/>
    <w:rsid w:val="65113AC4"/>
    <w:rsid w:val="651144BD"/>
    <w:rsid w:val="65130235"/>
    <w:rsid w:val="651346D9"/>
    <w:rsid w:val="65136487"/>
    <w:rsid w:val="65143FAD"/>
    <w:rsid w:val="65150451"/>
    <w:rsid w:val="651641C9"/>
    <w:rsid w:val="65167D25"/>
    <w:rsid w:val="651915C4"/>
    <w:rsid w:val="651B533C"/>
    <w:rsid w:val="651D2E62"/>
    <w:rsid w:val="651E4E2C"/>
    <w:rsid w:val="65206DF6"/>
    <w:rsid w:val="65211C0B"/>
    <w:rsid w:val="65224A49"/>
    <w:rsid w:val="652266CA"/>
    <w:rsid w:val="65247369"/>
    <w:rsid w:val="65257F68"/>
    <w:rsid w:val="65271F32"/>
    <w:rsid w:val="65293EFC"/>
    <w:rsid w:val="65295CAB"/>
    <w:rsid w:val="65297A59"/>
    <w:rsid w:val="652E32C1"/>
    <w:rsid w:val="65312DB1"/>
    <w:rsid w:val="65314B5F"/>
    <w:rsid w:val="6532453E"/>
    <w:rsid w:val="653603C7"/>
    <w:rsid w:val="65362175"/>
    <w:rsid w:val="65366619"/>
    <w:rsid w:val="65386C6F"/>
    <w:rsid w:val="653D1651"/>
    <w:rsid w:val="653D3504"/>
    <w:rsid w:val="653F54CE"/>
    <w:rsid w:val="65402FF4"/>
    <w:rsid w:val="65404DA2"/>
    <w:rsid w:val="65426D6C"/>
    <w:rsid w:val="6546685C"/>
    <w:rsid w:val="65472765"/>
    <w:rsid w:val="65476131"/>
    <w:rsid w:val="6549634D"/>
    <w:rsid w:val="65497BF4"/>
    <w:rsid w:val="654A5C21"/>
    <w:rsid w:val="654A79CF"/>
    <w:rsid w:val="654B487E"/>
    <w:rsid w:val="654C3747"/>
    <w:rsid w:val="654F3A66"/>
    <w:rsid w:val="654F7AC4"/>
    <w:rsid w:val="65530F79"/>
    <w:rsid w:val="65532D27"/>
    <w:rsid w:val="65534AD5"/>
    <w:rsid w:val="65554CF2"/>
    <w:rsid w:val="655834A3"/>
    <w:rsid w:val="655A5E64"/>
    <w:rsid w:val="655B7E2E"/>
    <w:rsid w:val="655C606A"/>
    <w:rsid w:val="655F347A"/>
    <w:rsid w:val="655F355B"/>
    <w:rsid w:val="655F791E"/>
    <w:rsid w:val="65622F6B"/>
    <w:rsid w:val="6562740E"/>
    <w:rsid w:val="65644F35"/>
    <w:rsid w:val="65660CAD"/>
    <w:rsid w:val="65702D9F"/>
    <w:rsid w:val="657038D9"/>
    <w:rsid w:val="65717652"/>
    <w:rsid w:val="65731720"/>
    <w:rsid w:val="657333CA"/>
    <w:rsid w:val="65736F26"/>
    <w:rsid w:val="65750EF0"/>
    <w:rsid w:val="65752C9E"/>
    <w:rsid w:val="65757142"/>
    <w:rsid w:val="657607C4"/>
    <w:rsid w:val="65764C68"/>
    <w:rsid w:val="65766A16"/>
    <w:rsid w:val="657809E0"/>
    <w:rsid w:val="6578278E"/>
    <w:rsid w:val="657A0163"/>
    <w:rsid w:val="657B402C"/>
    <w:rsid w:val="657D1878"/>
    <w:rsid w:val="657D1B52"/>
    <w:rsid w:val="657D53A3"/>
    <w:rsid w:val="65801643"/>
    <w:rsid w:val="65817895"/>
    <w:rsid w:val="658253BB"/>
    <w:rsid w:val="65826E09"/>
    <w:rsid w:val="65836819"/>
    <w:rsid w:val="65841133"/>
    <w:rsid w:val="65856C59"/>
    <w:rsid w:val="658630FD"/>
    <w:rsid w:val="65864EAB"/>
    <w:rsid w:val="65870C23"/>
    <w:rsid w:val="6587477F"/>
    <w:rsid w:val="658B2578"/>
    <w:rsid w:val="658E3D60"/>
    <w:rsid w:val="658E6328"/>
    <w:rsid w:val="65905D2A"/>
    <w:rsid w:val="65931376"/>
    <w:rsid w:val="659375C8"/>
    <w:rsid w:val="659550EE"/>
    <w:rsid w:val="65956E9C"/>
    <w:rsid w:val="65962C14"/>
    <w:rsid w:val="659661FB"/>
    <w:rsid w:val="65991E30"/>
    <w:rsid w:val="659A0BDD"/>
    <w:rsid w:val="659B022A"/>
    <w:rsid w:val="659D1DBC"/>
    <w:rsid w:val="659D3FA3"/>
    <w:rsid w:val="659F09EE"/>
    <w:rsid w:val="659F5F6D"/>
    <w:rsid w:val="659F7D1B"/>
    <w:rsid w:val="65A05841"/>
    <w:rsid w:val="65A13A93"/>
    <w:rsid w:val="65A17F37"/>
    <w:rsid w:val="65A2780B"/>
    <w:rsid w:val="65A90B99"/>
    <w:rsid w:val="65A94671"/>
    <w:rsid w:val="65AA3866"/>
    <w:rsid w:val="65AB66C0"/>
    <w:rsid w:val="65AC068A"/>
    <w:rsid w:val="65AE7F5E"/>
    <w:rsid w:val="65B03CD6"/>
    <w:rsid w:val="65B337C6"/>
    <w:rsid w:val="65B512EC"/>
    <w:rsid w:val="65B65064"/>
    <w:rsid w:val="65BB267B"/>
    <w:rsid w:val="65BC08CD"/>
    <w:rsid w:val="65BC6B1F"/>
    <w:rsid w:val="65BD2897"/>
    <w:rsid w:val="65C15EE3"/>
    <w:rsid w:val="65C459D3"/>
    <w:rsid w:val="65C47781"/>
    <w:rsid w:val="65C634F9"/>
    <w:rsid w:val="65C77271"/>
    <w:rsid w:val="65CB4FB4"/>
    <w:rsid w:val="65CD0D2C"/>
    <w:rsid w:val="65CF638C"/>
    <w:rsid w:val="65D04378"/>
    <w:rsid w:val="65D06126"/>
    <w:rsid w:val="65D200F0"/>
    <w:rsid w:val="65D35C16"/>
    <w:rsid w:val="65D8147F"/>
    <w:rsid w:val="65D8322D"/>
    <w:rsid w:val="65DA349F"/>
    <w:rsid w:val="65DA6FA5"/>
    <w:rsid w:val="65DD1E20"/>
    <w:rsid w:val="65DF6369"/>
    <w:rsid w:val="65E120E1"/>
    <w:rsid w:val="65E9368C"/>
    <w:rsid w:val="65EB2F60"/>
    <w:rsid w:val="65EC0A86"/>
    <w:rsid w:val="65ED6CD8"/>
    <w:rsid w:val="65EE2A50"/>
    <w:rsid w:val="65EE47FE"/>
    <w:rsid w:val="65F00576"/>
    <w:rsid w:val="65F52031"/>
    <w:rsid w:val="65F71905"/>
    <w:rsid w:val="65F77B57"/>
    <w:rsid w:val="65F91B21"/>
    <w:rsid w:val="65FA2A89"/>
    <w:rsid w:val="65FC53A9"/>
    <w:rsid w:val="65FD7CC9"/>
    <w:rsid w:val="65FF6A0B"/>
    <w:rsid w:val="66014531"/>
    <w:rsid w:val="660202AA"/>
    <w:rsid w:val="6603474E"/>
    <w:rsid w:val="660758C0"/>
    <w:rsid w:val="66094DDC"/>
    <w:rsid w:val="660B715E"/>
    <w:rsid w:val="660C375D"/>
    <w:rsid w:val="660E127B"/>
    <w:rsid w:val="660E4EA0"/>
    <w:rsid w:val="660F30F2"/>
    <w:rsid w:val="66104CAF"/>
    <w:rsid w:val="661204ED"/>
    <w:rsid w:val="66133630"/>
    <w:rsid w:val="66157FDD"/>
    <w:rsid w:val="661673E0"/>
    <w:rsid w:val="661701F9"/>
    <w:rsid w:val="6618187B"/>
    <w:rsid w:val="66187ACD"/>
    <w:rsid w:val="661A3845"/>
    <w:rsid w:val="661C3252"/>
    <w:rsid w:val="661F0E5C"/>
    <w:rsid w:val="661F2C0A"/>
    <w:rsid w:val="66214BD4"/>
    <w:rsid w:val="66216982"/>
    <w:rsid w:val="66246472"/>
    <w:rsid w:val="66252916"/>
    <w:rsid w:val="662621A5"/>
    <w:rsid w:val="662621EA"/>
    <w:rsid w:val="66263F98"/>
    <w:rsid w:val="66287D10"/>
    <w:rsid w:val="662B15AE"/>
    <w:rsid w:val="662D5327"/>
    <w:rsid w:val="66320B8F"/>
    <w:rsid w:val="663314D9"/>
    <w:rsid w:val="663366B5"/>
    <w:rsid w:val="66344907"/>
    <w:rsid w:val="6635067F"/>
    <w:rsid w:val="6639016F"/>
    <w:rsid w:val="663A7A43"/>
    <w:rsid w:val="663B1F75"/>
    <w:rsid w:val="663F14FE"/>
    <w:rsid w:val="663F32AC"/>
    <w:rsid w:val="6640264D"/>
    <w:rsid w:val="66430FEE"/>
    <w:rsid w:val="66434B4A"/>
    <w:rsid w:val="66442670"/>
    <w:rsid w:val="6646288C"/>
    <w:rsid w:val="664A237C"/>
    <w:rsid w:val="664A5800"/>
    <w:rsid w:val="664B39FF"/>
    <w:rsid w:val="664B7EA3"/>
    <w:rsid w:val="664D3C1B"/>
    <w:rsid w:val="664D7777"/>
    <w:rsid w:val="6650370B"/>
    <w:rsid w:val="665054B9"/>
    <w:rsid w:val="66507267"/>
    <w:rsid w:val="66522FDF"/>
    <w:rsid w:val="66524D8D"/>
    <w:rsid w:val="66540B05"/>
    <w:rsid w:val="66541D94"/>
    <w:rsid w:val="66552ACF"/>
    <w:rsid w:val="665821D8"/>
    <w:rsid w:val="6659436D"/>
    <w:rsid w:val="665A00E6"/>
    <w:rsid w:val="665A1E94"/>
    <w:rsid w:val="665B6338"/>
    <w:rsid w:val="665E7BD6"/>
    <w:rsid w:val="665F43C6"/>
    <w:rsid w:val="665F56FC"/>
    <w:rsid w:val="66601C37"/>
    <w:rsid w:val="666130C7"/>
    <w:rsid w:val="666305B8"/>
    <w:rsid w:val="66630D48"/>
    <w:rsid w:val="666351EC"/>
    <w:rsid w:val="66652341"/>
    <w:rsid w:val="66666A8A"/>
    <w:rsid w:val="666920D7"/>
    <w:rsid w:val="666B6D4A"/>
    <w:rsid w:val="666F3B91"/>
    <w:rsid w:val="667016B7"/>
    <w:rsid w:val="667271DD"/>
    <w:rsid w:val="66742F55"/>
    <w:rsid w:val="66763171"/>
    <w:rsid w:val="667967BE"/>
    <w:rsid w:val="667C62AE"/>
    <w:rsid w:val="667F18FA"/>
    <w:rsid w:val="66807B4C"/>
    <w:rsid w:val="668138C4"/>
    <w:rsid w:val="66833198"/>
    <w:rsid w:val="668478F0"/>
    <w:rsid w:val="668A09CB"/>
    <w:rsid w:val="668A3762"/>
    <w:rsid w:val="668D4017"/>
    <w:rsid w:val="668F4233"/>
    <w:rsid w:val="668F5FE1"/>
    <w:rsid w:val="66903B07"/>
    <w:rsid w:val="66911D59"/>
    <w:rsid w:val="66924AC5"/>
    <w:rsid w:val="66925AD1"/>
    <w:rsid w:val="66961477"/>
    <w:rsid w:val="66974E96"/>
    <w:rsid w:val="66976C44"/>
    <w:rsid w:val="66985D66"/>
    <w:rsid w:val="669D1BD8"/>
    <w:rsid w:val="669E3068"/>
    <w:rsid w:val="66A03D4A"/>
    <w:rsid w:val="66A15D14"/>
    <w:rsid w:val="66A219E9"/>
    <w:rsid w:val="66A55805"/>
    <w:rsid w:val="66A82BFF"/>
    <w:rsid w:val="66AD46B9"/>
    <w:rsid w:val="66AD6467"/>
    <w:rsid w:val="66AF21DF"/>
    <w:rsid w:val="66B15F58"/>
    <w:rsid w:val="66B45A48"/>
    <w:rsid w:val="66B477F6"/>
    <w:rsid w:val="66B617C0"/>
    <w:rsid w:val="66B6356E"/>
    <w:rsid w:val="66B912B0"/>
    <w:rsid w:val="66BA2932"/>
    <w:rsid w:val="66BC2B4E"/>
    <w:rsid w:val="66BC3A20"/>
    <w:rsid w:val="66C11F13"/>
    <w:rsid w:val="66C30D22"/>
    <w:rsid w:val="66C51A03"/>
    <w:rsid w:val="66C57C55"/>
    <w:rsid w:val="66C8504F"/>
    <w:rsid w:val="66CA526B"/>
    <w:rsid w:val="66CC0FE3"/>
    <w:rsid w:val="66CC3515"/>
    <w:rsid w:val="66CE7576"/>
    <w:rsid w:val="66CF2882"/>
    <w:rsid w:val="66CF63DE"/>
    <w:rsid w:val="66D25ECE"/>
    <w:rsid w:val="66D41C46"/>
    <w:rsid w:val="66D439F4"/>
    <w:rsid w:val="66D659BE"/>
    <w:rsid w:val="66D734E4"/>
    <w:rsid w:val="66DB1226"/>
    <w:rsid w:val="66DB4D83"/>
    <w:rsid w:val="66DD4F9F"/>
    <w:rsid w:val="66DE1695"/>
    <w:rsid w:val="66E0683D"/>
    <w:rsid w:val="66E16111"/>
    <w:rsid w:val="66E3632D"/>
    <w:rsid w:val="66E53E53"/>
    <w:rsid w:val="66E77BCB"/>
    <w:rsid w:val="66EA3218"/>
    <w:rsid w:val="66EC3956"/>
    <w:rsid w:val="66EC51E2"/>
    <w:rsid w:val="66ED0F5A"/>
    <w:rsid w:val="66ED2D08"/>
    <w:rsid w:val="66F10A4A"/>
    <w:rsid w:val="66F61BBC"/>
    <w:rsid w:val="66F916AD"/>
    <w:rsid w:val="66FB5425"/>
    <w:rsid w:val="670047E9"/>
    <w:rsid w:val="67022244"/>
    <w:rsid w:val="67024A05"/>
    <w:rsid w:val="6703252B"/>
    <w:rsid w:val="67050051"/>
    <w:rsid w:val="670544F5"/>
    <w:rsid w:val="67065B78"/>
    <w:rsid w:val="670964B1"/>
    <w:rsid w:val="670A5668"/>
    <w:rsid w:val="670A6088"/>
    <w:rsid w:val="670B4947"/>
    <w:rsid w:val="670C5884"/>
    <w:rsid w:val="670D5158"/>
    <w:rsid w:val="670F0ED0"/>
    <w:rsid w:val="67112E9A"/>
    <w:rsid w:val="67114C48"/>
    <w:rsid w:val="671169F6"/>
    <w:rsid w:val="6712276E"/>
    <w:rsid w:val="67140294"/>
    <w:rsid w:val="671464E6"/>
    <w:rsid w:val="6716225F"/>
    <w:rsid w:val="6716400D"/>
    <w:rsid w:val="67177D85"/>
    <w:rsid w:val="67191D4F"/>
    <w:rsid w:val="671958AB"/>
    <w:rsid w:val="671B7875"/>
    <w:rsid w:val="671D35ED"/>
    <w:rsid w:val="671E1113"/>
    <w:rsid w:val="671F55B7"/>
    <w:rsid w:val="672229B1"/>
    <w:rsid w:val="6722430F"/>
    <w:rsid w:val="67236729"/>
    <w:rsid w:val="67242BCD"/>
    <w:rsid w:val="672500BF"/>
    <w:rsid w:val="6727446C"/>
    <w:rsid w:val="67281F92"/>
    <w:rsid w:val="67283D40"/>
    <w:rsid w:val="672901E4"/>
    <w:rsid w:val="672929F4"/>
    <w:rsid w:val="67292AA1"/>
    <w:rsid w:val="672A7AB8"/>
    <w:rsid w:val="672C7CD4"/>
    <w:rsid w:val="672F1572"/>
    <w:rsid w:val="672F50CE"/>
    <w:rsid w:val="67310E46"/>
    <w:rsid w:val="67317098"/>
    <w:rsid w:val="67363C15"/>
    <w:rsid w:val="6736645D"/>
    <w:rsid w:val="67381006"/>
    <w:rsid w:val="67386679"/>
    <w:rsid w:val="673A3A26"/>
    <w:rsid w:val="673B1CC5"/>
    <w:rsid w:val="673D3C8F"/>
    <w:rsid w:val="673D5A3D"/>
    <w:rsid w:val="673D77EB"/>
    <w:rsid w:val="673E3563"/>
    <w:rsid w:val="673F7A07"/>
    <w:rsid w:val="674072DB"/>
    <w:rsid w:val="674212A6"/>
    <w:rsid w:val="67423054"/>
    <w:rsid w:val="67472418"/>
    <w:rsid w:val="674B49AB"/>
    <w:rsid w:val="674C7A2E"/>
    <w:rsid w:val="674E7C4A"/>
    <w:rsid w:val="674F751F"/>
    <w:rsid w:val="6751773B"/>
    <w:rsid w:val="675608AD"/>
    <w:rsid w:val="67566AFF"/>
    <w:rsid w:val="67585B1F"/>
    <w:rsid w:val="6759214B"/>
    <w:rsid w:val="675A65EF"/>
    <w:rsid w:val="675B2367"/>
    <w:rsid w:val="675B5EC3"/>
    <w:rsid w:val="675D60DF"/>
    <w:rsid w:val="675F4935"/>
    <w:rsid w:val="67627252"/>
    <w:rsid w:val="6764746E"/>
    <w:rsid w:val="67650123"/>
    <w:rsid w:val="67650AF0"/>
    <w:rsid w:val="67654F94"/>
    <w:rsid w:val="67674868"/>
    <w:rsid w:val="676821EE"/>
    <w:rsid w:val="676A15F4"/>
    <w:rsid w:val="676B07FC"/>
    <w:rsid w:val="676B21F5"/>
    <w:rsid w:val="676C00D0"/>
    <w:rsid w:val="67705E13"/>
    <w:rsid w:val="677156E7"/>
    <w:rsid w:val="67727B56"/>
    <w:rsid w:val="6773145F"/>
    <w:rsid w:val="6773320D"/>
    <w:rsid w:val="67753429"/>
    <w:rsid w:val="677551D7"/>
    <w:rsid w:val="677671A1"/>
    <w:rsid w:val="67772538"/>
    <w:rsid w:val="67784CC7"/>
    <w:rsid w:val="677D408C"/>
    <w:rsid w:val="677F6056"/>
    <w:rsid w:val="67801DCE"/>
    <w:rsid w:val="6780215A"/>
    <w:rsid w:val="67803B7C"/>
    <w:rsid w:val="6780592A"/>
    <w:rsid w:val="67814A7A"/>
    <w:rsid w:val="678216A2"/>
    <w:rsid w:val="6784366C"/>
    <w:rsid w:val="6787202D"/>
    <w:rsid w:val="6787315C"/>
    <w:rsid w:val="67876CB8"/>
    <w:rsid w:val="6789494D"/>
    <w:rsid w:val="678A0557"/>
    <w:rsid w:val="678B4F37"/>
    <w:rsid w:val="678C2521"/>
    <w:rsid w:val="678D79A7"/>
    <w:rsid w:val="678F07BF"/>
    <w:rsid w:val="67901C4F"/>
    <w:rsid w:val="67902011"/>
    <w:rsid w:val="67955879"/>
    <w:rsid w:val="679562E8"/>
    <w:rsid w:val="67960D6F"/>
    <w:rsid w:val="6796339F"/>
    <w:rsid w:val="67992D01"/>
    <w:rsid w:val="679D028A"/>
    <w:rsid w:val="679D472E"/>
    <w:rsid w:val="679E56E3"/>
    <w:rsid w:val="679F4002"/>
    <w:rsid w:val="67A14064"/>
    <w:rsid w:val="67A36984"/>
    <w:rsid w:val="67A41618"/>
    <w:rsid w:val="67A755AC"/>
    <w:rsid w:val="67A927F6"/>
    <w:rsid w:val="67A930D3"/>
    <w:rsid w:val="67A96C2F"/>
    <w:rsid w:val="67AA29A7"/>
    <w:rsid w:val="67AB6E4B"/>
    <w:rsid w:val="67AE693B"/>
    <w:rsid w:val="67AF7FBD"/>
    <w:rsid w:val="67B0620F"/>
    <w:rsid w:val="67B22418"/>
    <w:rsid w:val="67B33F51"/>
    <w:rsid w:val="67B51A77"/>
    <w:rsid w:val="67B57CC9"/>
    <w:rsid w:val="67BA708E"/>
    <w:rsid w:val="67BB4BB4"/>
    <w:rsid w:val="67BB4C0B"/>
    <w:rsid w:val="67BF46A4"/>
    <w:rsid w:val="67C1666E"/>
    <w:rsid w:val="67C223E6"/>
    <w:rsid w:val="67C5345F"/>
    <w:rsid w:val="67C65A33"/>
    <w:rsid w:val="67C717AB"/>
    <w:rsid w:val="67C80950"/>
    <w:rsid w:val="67CA53A9"/>
    <w:rsid w:val="67CC5B90"/>
    <w:rsid w:val="67CF4511"/>
    <w:rsid w:val="67D0065F"/>
    <w:rsid w:val="67D16185"/>
    <w:rsid w:val="67D30150"/>
    <w:rsid w:val="67D5211A"/>
    <w:rsid w:val="67D53EC8"/>
    <w:rsid w:val="67D55C76"/>
    <w:rsid w:val="67D57A24"/>
    <w:rsid w:val="67D619EE"/>
    <w:rsid w:val="67D6379C"/>
    <w:rsid w:val="67D77C40"/>
    <w:rsid w:val="67D81F32"/>
    <w:rsid w:val="67D839B8"/>
    <w:rsid w:val="67D87514"/>
    <w:rsid w:val="67DB0DB2"/>
    <w:rsid w:val="67DD2D7C"/>
    <w:rsid w:val="67DD4B2A"/>
    <w:rsid w:val="67DF4D46"/>
    <w:rsid w:val="67DF6AF4"/>
    <w:rsid w:val="67E1461B"/>
    <w:rsid w:val="67E20393"/>
    <w:rsid w:val="67E4235D"/>
    <w:rsid w:val="67E452A7"/>
    <w:rsid w:val="67E52927"/>
    <w:rsid w:val="67E660D5"/>
    <w:rsid w:val="67EB5179"/>
    <w:rsid w:val="67EC1211"/>
    <w:rsid w:val="67EC2FBF"/>
    <w:rsid w:val="67EC5B5E"/>
    <w:rsid w:val="67ED7A99"/>
    <w:rsid w:val="67EE0F29"/>
    <w:rsid w:val="67EE14A3"/>
    <w:rsid w:val="67EE31DB"/>
    <w:rsid w:val="67F00D02"/>
    <w:rsid w:val="67F105D6"/>
    <w:rsid w:val="67F3434E"/>
    <w:rsid w:val="67F51E74"/>
    <w:rsid w:val="67F56318"/>
    <w:rsid w:val="67F65BEC"/>
    <w:rsid w:val="67FA0C0D"/>
    <w:rsid w:val="67FB4030"/>
    <w:rsid w:val="67FC76A6"/>
    <w:rsid w:val="67FF0F45"/>
    <w:rsid w:val="67FF7197"/>
    <w:rsid w:val="68010AE0"/>
    <w:rsid w:val="68012F0F"/>
    <w:rsid w:val="68024591"/>
    <w:rsid w:val="68040309"/>
    <w:rsid w:val="680508F1"/>
    <w:rsid w:val="6809591F"/>
    <w:rsid w:val="680B1B92"/>
    <w:rsid w:val="680B5B3B"/>
    <w:rsid w:val="680B78E9"/>
    <w:rsid w:val="680C5BF3"/>
    <w:rsid w:val="680D1544"/>
    <w:rsid w:val="68103152"/>
    <w:rsid w:val="681349F0"/>
    <w:rsid w:val="6813679E"/>
    <w:rsid w:val="6817003C"/>
    <w:rsid w:val="68183DB4"/>
    <w:rsid w:val="681C38A5"/>
    <w:rsid w:val="681E586F"/>
    <w:rsid w:val="681F15E7"/>
    <w:rsid w:val="681F5143"/>
    <w:rsid w:val="68204069"/>
    <w:rsid w:val="68210EBB"/>
    <w:rsid w:val="682409AB"/>
    <w:rsid w:val="68246BFD"/>
    <w:rsid w:val="68264723"/>
    <w:rsid w:val="68297D70"/>
    <w:rsid w:val="682B1D3A"/>
    <w:rsid w:val="682B7F8C"/>
    <w:rsid w:val="682D4F2C"/>
    <w:rsid w:val="683055A2"/>
    <w:rsid w:val="683138AD"/>
    <w:rsid w:val="683230C8"/>
    <w:rsid w:val="68354966"/>
    <w:rsid w:val="68354DFF"/>
    <w:rsid w:val="683926A8"/>
    <w:rsid w:val="683A1C07"/>
    <w:rsid w:val="683A1F7D"/>
    <w:rsid w:val="683A3D2B"/>
    <w:rsid w:val="683B2101"/>
    <w:rsid w:val="683C3F47"/>
    <w:rsid w:val="683E7CBF"/>
    <w:rsid w:val="683F3A37"/>
    <w:rsid w:val="683F7593"/>
    <w:rsid w:val="68403B19"/>
    <w:rsid w:val="68430893"/>
    <w:rsid w:val="68441D23"/>
    <w:rsid w:val="68464DC5"/>
    <w:rsid w:val="68476448"/>
    <w:rsid w:val="684921C0"/>
    <w:rsid w:val="684B23DC"/>
    <w:rsid w:val="684B5F38"/>
    <w:rsid w:val="68525518"/>
    <w:rsid w:val="6853303E"/>
    <w:rsid w:val="68534DEC"/>
    <w:rsid w:val="68541290"/>
    <w:rsid w:val="68541818"/>
    <w:rsid w:val="68556DB7"/>
    <w:rsid w:val="68564138"/>
    <w:rsid w:val="68580655"/>
    <w:rsid w:val="685968A7"/>
    <w:rsid w:val="685A617B"/>
    <w:rsid w:val="6861575B"/>
    <w:rsid w:val="6864130D"/>
    <w:rsid w:val="6864524C"/>
    <w:rsid w:val="6865105C"/>
    <w:rsid w:val="68660FC4"/>
    <w:rsid w:val="68686AEA"/>
    <w:rsid w:val="68692862"/>
    <w:rsid w:val="686D4100"/>
    <w:rsid w:val="6870599E"/>
    <w:rsid w:val="68721717"/>
    <w:rsid w:val="6873723D"/>
    <w:rsid w:val="687436E1"/>
    <w:rsid w:val="687476C1"/>
    <w:rsid w:val="68751207"/>
    <w:rsid w:val="687731D1"/>
    <w:rsid w:val="68776D2D"/>
    <w:rsid w:val="68784853"/>
    <w:rsid w:val="68786042"/>
    <w:rsid w:val="68792AA5"/>
    <w:rsid w:val="687A4A6F"/>
    <w:rsid w:val="687A681D"/>
    <w:rsid w:val="687C07E7"/>
    <w:rsid w:val="687C2595"/>
    <w:rsid w:val="687D7DEE"/>
    <w:rsid w:val="687E455F"/>
    <w:rsid w:val="687F3E33"/>
    <w:rsid w:val="688558EE"/>
    <w:rsid w:val="68863414"/>
    <w:rsid w:val="68880F3A"/>
    <w:rsid w:val="68896A60"/>
    <w:rsid w:val="688B4586"/>
    <w:rsid w:val="688D6550"/>
    <w:rsid w:val="688F501A"/>
    <w:rsid w:val="68907DEF"/>
    <w:rsid w:val="68914293"/>
    <w:rsid w:val="68925915"/>
    <w:rsid w:val="6893581B"/>
    <w:rsid w:val="68945B31"/>
    <w:rsid w:val="68972A5B"/>
    <w:rsid w:val="689773CF"/>
    <w:rsid w:val="68993147"/>
    <w:rsid w:val="689A2A1B"/>
    <w:rsid w:val="689B286C"/>
    <w:rsid w:val="689C2C37"/>
    <w:rsid w:val="689E075E"/>
    <w:rsid w:val="689E69AF"/>
    <w:rsid w:val="689F0032"/>
    <w:rsid w:val="689F6284"/>
    <w:rsid w:val="68A13DAA"/>
    <w:rsid w:val="68A51AEC"/>
    <w:rsid w:val="68A613C0"/>
    <w:rsid w:val="68A8338A"/>
    <w:rsid w:val="68AA0EB0"/>
    <w:rsid w:val="68AA5354"/>
    <w:rsid w:val="68AA7102"/>
    <w:rsid w:val="68AB69D7"/>
    <w:rsid w:val="68AD09A1"/>
    <w:rsid w:val="68AD274F"/>
    <w:rsid w:val="68B03FED"/>
    <w:rsid w:val="68B22234"/>
    <w:rsid w:val="68B27663"/>
    <w:rsid w:val="68B63CF9"/>
    <w:rsid w:val="68B910F3"/>
    <w:rsid w:val="68BA4E6C"/>
    <w:rsid w:val="68BC5088"/>
    <w:rsid w:val="68BF2482"/>
    <w:rsid w:val="68BF2C71"/>
    <w:rsid w:val="68C06926"/>
    <w:rsid w:val="68C301C4"/>
    <w:rsid w:val="68C31F72"/>
    <w:rsid w:val="68C700A5"/>
    <w:rsid w:val="68C8445A"/>
    <w:rsid w:val="68CA77A4"/>
    <w:rsid w:val="68CB0E27"/>
    <w:rsid w:val="68CB7079"/>
    <w:rsid w:val="68CC52CB"/>
    <w:rsid w:val="68CD1043"/>
    <w:rsid w:val="68D02BEC"/>
    <w:rsid w:val="68D0468F"/>
    <w:rsid w:val="68D20407"/>
    <w:rsid w:val="68D26659"/>
    <w:rsid w:val="68D401A1"/>
    <w:rsid w:val="68D73C6F"/>
    <w:rsid w:val="68D777CC"/>
    <w:rsid w:val="68D91796"/>
    <w:rsid w:val="68DB550E"/>
    <w:rsid w:val="68DB72BC"/>
    <w:rsid w:val="68DC1286"/>
    <w:rsid w:val="68DC3034"/>
    <w:rsid w:val="68DC4DE2"/>
    <w:rsid w:val="68DD3D60"/>
    <w:rsid w:val="68DE0B5A"/>
    <w:rsid w:val="68DE6DAC"/>
    <w:rsid w:val="68E00D76"/>
    <w:rsid w:val="68E026E1"/>
    <w:rsid w:val="68E02B24"/>
    <w:rsid w:val="68E258A1"/>
    <w:rsid w:val="68ED0CA1"/>
    <w:rsid w:val="68ED2114"/>
    <w:rsid w:val="68ED5241"/>
    <w:rsid w:val="68EF0FB9"/>
    <w:rsid w:val="68EF4B15"/>
    <w:rsid w:val="68F22857"/>
    <w:rsid w:val="68F23B23"/>
    <w:rsid w:val="68F44821"/>
    <w:rsid w:val="68F465CF"/>
    <w:rsid w:val="68F62348"/>
    <w:rsid w:val="68F71C1C"/>
    <w:rsid w:val="68F91E38"/>
    <w:rsid w:val="68FB170C"/>
    <w:rsid w:val="68FC70B6"/>
    <w:rsid w:val="68FC7232"/>
    <w:rsid w:val="68FD36D6"/>
    <w:rsid w:val="68FE11FC"/>
    <w:rsid w:val="68FE2FAA"/>
    <w:rsid w:val="69020CEC"/>
    <w:rsid w:val="69036813"/>
    <w:rsid w:val="69054339"/>
    <w:rsid w:val="690600B1"/>
    <w:rsid w:val="6907588C"/>
    <w:rsid w:val="69076303"/>
    <w:rsid w:val="6908045D"/>
    <w:rsid w:val="69085BD7"/>
    <w:rsid w:val="690A420D"/>
    <w:rsid w:val="690B56C7"/>
    <w:rsid w:val="690C3919"/>
    <w:rsid w:val="690D143F"/>
    <w:rsid w:val="690D635E"/>
    <w:rsid w:val="690E58E3"/>
    <w:rsid w:val="690F51B7"/>
    <w:rsid w:val="691415D1"/>
    <w:rsid w:val="691722BE"/>
    <w:rsid w:val="691A37DC"/>
    <w:rsid w:val="691B0000"/>
    <w:rsid w:val="691B3B5C"/>
    <w:rsid w:val="691C1682"/>
    <w:rsid w:val="691E53FA"/>
    <w:rsid w:val="691F4FA3"/>
    <w:rsid w:val="69216C99"/>
    <w:rsid w:val="6922138F"/>
    <w:rsid w:val="69224EEB"/>
    <w:rsid w:val="69232A11"/>
    <w:rsid w:val="69250E15"/>
    <w:rsid w:val="69252556"/>
    <w:rsid w:val="692622A5"/>
    <w:rsid w:val="69280027"/>
    <w:rsid w:val="69286279"/>
    <w:rsid w:val="692A0243"/>
    <w:rsid w:val="692A1FF1"/>
    <w:rsid w:val="692D1AE1"/>
    <w:rsid w:val="692D388F"/>
    <w:rsid w:val="692E2178"/>
    <w:rsid w:val="692F7608"/>
    <w:rsid w:val="693115D2"/>
    <w:rsid w:val="69313380"/>
    <w:rsid w:val="69342E70"/>
    <w:rsid w:val="69344C1E"/>
    <w:rsid w:val="69362744"/>
    <w:rsid w:val="6938470E"/>
    <w:rsid w:val="693B41FE"/>
    <w:rsid w:val="693D709C"/>
    <w:rsid w:val="693E3CEF"/>
    <w:rsid w:val="693E784B"/>
    <w:rsid w:val="694035C3"/>
    <w:rsid w:val="6940715E"/>
    <w:rsid w:val="69431305"/>
    <w:rsid w:val="69433957"/>
    <w:rsid w:val="69435ADF"/>
    <w:rsid w:val="69450BD9"/>
    <w:rsid w:val="6945582E"/>
    <w:rsid w:val="69456E2B"/>
    <w:rsid w:val="69470DF5"/>
    <w:rsid w:val="694766FF"/>
    <w:rsid w:val="69482477"/>
    <w:rsid w:val="694858F0"/>
    <w:rsid w:val="6949691B"/>
    <w:rsid w:val="694A2693"/>
    <w:rsid w:val="694F3806"/>
    <w:rsid w:val="69513A22"/>
    <w:rsid w:val="6951757E"/>
    <w:rsid w:val="69540E1C"/>
    <w:rsid w:val="69564B94"/>
    <w:rsid w:val="69565B9C"/>
    <w:rsid w:val="695928D6"/>
    <w:rsid w:val="695D6FA8"/>
    <w:rsid w:val="69601EB7"/>
    <w:rsid w:val="696279DD"/>
    <w:rsid w:val="6965127B"/>
    <w:rsid w:val="69653029"/>
    <w:rsid w:val="696574CD"/>
    <w:rsid w:val="69676DA1"/>
    <w:rsid w:val="69690D6B"/>
    <w:rsid w:val="696A6892"/>
    <w:rsid w:val="696C085C"/>
    <w:rsid w:val="696F3EA8"/>
    <w:rsid w:val="69715E72"/>
    <w:rsid w:val="69735746"/>
    <w:rsid w:val="697414BE"/>
    <w:rsid w:val="69744561"/>
    <w:rsid w:val="69796AD5"/>
    <w:rsid w:val="697B3165"/>
    <w:rsid w:val="697D0373"/>
    <w:rsid w:val="697D65C5"/>
    <w:rsid w:val="697F233D"/>
    <w:rsid w:val="69807E63"/>
    <w:rsid w:val="69821E2D"/>
    <w:rsid w:val="69825989"/>
    <w:rsid w:val="69841830"/>
    <w:rsid w:val="69845BA5"/>
    <w:rsid w:val="6985191D"/>
    <w:rsid w:val="69855479"/>
    <w:rsid w:val="69872FA0"/>
    <w:rsid w:val="69882D82"/>
    <w:rsid w:val="698931BC"/>
    <w:rsid w:val="698C4A5A"/>
    <w:rsid w:val="698E2580"/>
    <w:rsid w:val="6990454A"/>
    <w:rsid w:val="699102C2"/>
    <w:rsid w:val="69923ACD"/>
    <w:rsid w:val="69931944"/>
    <w:rsid w:val="69935DE8"/>
    <w:rsid w:val="6994390F"/>
    <w:rsid w:val="699456BD"/>
    <w:rsid w:val="69951B60"/>
    <w:rsid w:val="699658D9"/>
    <w:rsid w:val="699B6A4B"/>
    <w:rsid w:val="699E714C"/>
    <w:rsid w:val="699F478D"/>
    <w:rsid w:val="69A04061"/>
    <w:rsid w:val="69A078C8"/>
    <w:rsid w:val="69A27000"/>
    <w:rsid w:val="69A43B52"/>
    <w:rsid w:val="69A55B1C"/>
    <w:rsid w:val="69A71894"/>
    <w:rsid w:val="69A753F0"/>
    <w:rsid w:val="69A9560C"/>
    <w:rsid w:val="69AB0181"/>
    <w:rsid w:val="69AE677E"/>
    <w:rsid w:val="69AF0748"/>
    <w:rsid w:val="69AF24F6"/>
    <w:rsid w:val="69B144C0"/>
    <w:rsid w:val="69B67D29"/>
    <w:rsid w:val="69B875FD"/>
    <w:rsid w:val="69BA15C7"/>
    <w:rsid w:val="69BA3375"/>
    <w:rsid w:val="69BE2739"/>
    <w:rsid w:val="69BE2E51"/>
    <w:rsid w:val="69BE5A22"/>
    <w:rsid w:val="69BF6BDD"/>
    <w:rsid w:val="69C266CE"/>
    <w:rsid w:val="69C42446"/>
    <w:rsid w:val="69C51D1A"/>
    <w:rsid w:val="69C53AC8"/>
    <w:rsid w:val="69CB37D4"/>
    <w:rsid w:val="69CC4E56"/>
    <w:rsid w:val="69CC68E5"/>
    <w:rsid w:val="69CE4E6D"/>
    <w:rsid w:val="69CE6E20"/>
    <w:rsid w:val="69D106BF"/>
    <w:rsid w:val="69D65CD5"/>
    <w:rsid w:val="69D72179"/>
    <w:rsid w:val="69D97A59"/>
    <w:rsid w:val="69DC778F"/>
    <w:rsid w:val="69DD52B6"/>
    <w:rsid w:val="69DF4B8A"/>
    <w:rsid w:val="69E06B54"/>
    <w:rsid w:val="69E2224C"/>
    <w:rsid w:val="69E33E32"/>
    <w:rsid w:val="69E440D1"/>
    <w:rsid w:val="69E46644"/>
    <w:rsid w:val="69EA0B91"/>
    <w:rsid w:val="69EA352F"/>
    <w:rsid w:val="69EB1780"/>
    <w:rsid w:val="69EB79D2"/>
    <w:rsid w:val="69EE1271"/>
    <w:rsid w:val="69EE301F"/>
    <w:rsid w:val="69EE74C3"/>
    <w:rsid w:val="69F06D97"/>
    <w:rsid w:val="69F10D61"/>
    <w:rsid w:val="69F12B0F"/>
    <w:rsid w:val="69F60125"/>
    <w:rsid w:val="69F820EF"/>
    <w:rsid w:val="69FB2DF3"/>
    <w:rsid w:val="69FD3262"/>
    <w:rsid w:val="69FF6FDA"/>
    <w:rsid w:val="6A002D52"/>
    <w:rsid w:val="6A022F6E"/>
    <w:rsid w:val="6A0445F0"/>
    <w:rsid w:val="6A0501B7"/>
    <w:rsid w:val="6A06480C"/>
    <w:rsid w:val="6A0665BA"/>
    <w:rsid w:val="6A0942FC"/>
    <w:rsid w:val="6A0960AB"/>
    <w:rsid w:val="6A097E59"/>
    <w:rsid w:val="6A0B1E23"/>
    <w:rsid w:val="6A0C16F7"/>
    <w:rsid w:val="6A0C3D78"/>
    <w:rsid w:val="6A0D6949"/>
    <w:rsid w:val="6A0E7379"/>
    <w:rsid w:val="6A1011E7"/>
    <w:rsid w:val="6A107439"/>
    <w:rsid w:val="6A114F5F"/>
    <w:rsid w:val="6A116D0D"/>
    <w:rsid w:val="6A136F29"/>
    <w:rsid w:val="6A152CA1"/>
    <w:rsid w:val="6A1862EE"/>
    <w:rsid w:val="6A1A2066"/>
    <w:rsid w:val="6A1D00FB"/>
    <w:rsid w:val="6A1F142A"/>
    <w:rsid w:val="6A1F767C"/>
    <w:rsid w:val="6A2151A2"/>
    <w:rsid w:val="6A222CC8"/>
    <w:rsid w:val="6A22716C"/>
    <w:rsid w:val="6A2353BE"/>
    <w:rsid w:val="6A2829D5"/>
    <w:rsid w:val="6A2A0A42"/>
    <w:rsid w:val="6A2B7DCF"/>
    <w:rsid w:val="6A2C3B47"/>
    <w:rsid w:val="6A31115D"/>
    <w:rsid w:val="6A334ED5"/>
    <w:rsid w:val="6A341AF4"/>
    <w:rsid w:val="6A3446C5"/>
    <w:rsid w:val="6A350C4E"/>
    <w:rsid w:val="6A38073E"/>
    <w:rsid w:val="6A3824EC"/>
    <w:rsid w:val="6A386990"/>
    <w:rsid w:val="6A3A1929"/>
    <w:rsid w:val="6A3B3D8A"/>
    <w:rsid w:val="6A3C1FDC"/>
    <w:rsid w:val="6A3D3FA6"/>
    <w:rsid w:val="6A3D5D54"/>
    <w:rsid w:val="6A3F0348"/>
    <w:rsid w:val="6A3F387A"/>
    <w:rsid w:val="6A413A96"/>
    <w:rsid w:val="6A4175F2"/>
    <w:rsid w:val="6A42336B"/>
    <w:rsid w:val="6A4315BC"/>
    <w:rsid w:val="6A4341E3"/>
    <w:rsid w:val="6A440E91"/>
    <w:rsid w:val="6A445335"/>
    <w:rsid w:val="6A4470E3"/>
    <w:rsid w:val="6A462E5B"/>
    <w:rsid w:val="6A470981"/>
    <w:rsid w:val="6A4A3D1A"/>
    <w:rsid w:val="6A4A545B"/>
    <w:rsid w:val="6A4B0471"/>
    <w:rsid w:val="6A4B0DB5"/>
    <w:rsid w:val="6A4B221F"/>
    <w:rsid w:val="6A4B7D7B"/>
    <w:rsid w:val="6A4E1D0F"/>
    <w:rsid w:val="6A50275D"/>
    <w:rsid w:val="6A52507D"/>
    <w:rsid w:val="6A527A52"/>
    <w:rsid w:val="6A537C4E"/>
    <w:rsid w:val="6A5512F0"/>
    <w:rsid w:val="6A554E4C"/>
    <w:rsid w:val="6A5645D8"/>
    <w:rsid w:val="6A570BC4"/>
    <w:rsid w:val="6A575068"/>
    <w:rsid w:val="6A5A06B4"/>
    <w:rsid w:val="6A5A4B58"/>
    <w:rsid w:val="6A5C61DA"/>
    <w:rsid w:val="6A615EE7"/>
    <w:rsid w:val="6A6257BB"/>
    <w:rsid w:val="6A627569"/>
    <w:rsid w:val="6A650922"/>
    <w:rsid w:val="6A6652AB"/>
    <w:rsid w:val="6A687275"/>
    <w:rsid w:val="6A694D9B"/>
    <w:rsid w:val="6A6B28C1"/>
    <w:rsid w:val="6A6B466F"/>
    <w:rsid w:val="6A6D6639"/>
    <w:rsid w:val="6A6E5F0E"/>
    <w:rsid w:val="6A701C86"/>
    <w:rsid w:val="6A723C50"/>
    <w:rsid w:val="6A745C1A"/>
    <w:rsid w:val="6A790228"/>
    <w:rsid w:val="6A793230"/>
    <w:rsid w:val="6A7A48B2"/>
    <w:rsid w:val="6A7B6F4F"/>
    <w:rsid w:val="6A7E0847"/>
    <w:rsid w:val="6A8120E5"/>
    <w:rsid w:val="6A8219B9"/>
    <w:rsid w:val="6A8355EC"/>
    <w:rsid w:val="6A8614A9"/>
    <w:rsid w:val="6A876FCF"/>
    <w:rsid w:val="6A883473"/>
    <w:rsid w:val="6A885221"/>
    <w:rsid w:val="6A8D0A8A"/>
    <w:rsid w:val="6A8E035E"/>
    <w:rsid w:val="6A8E26FF"/>
    <w:rsid w:val="6A933BC6"/>
    <w:rsid w:val="6A94279C"/>
    <w:rsid w:val="6A9516EC"/>
    <w:rsid w:val="6A955B90"/>
    <w:rsid w:val="6A971908"/>
    <w:rsid w:val="6A972321"/>
    <w:rsid w:val="6A975464"/>
    <w:rsid w:val="6A9A4F55"/>
    <w:rsid w:val="6A9C0CCD"/>
    <w:rsid w:val="6A9C6F1F"/>
    <w:rsid w:val="6A9E67F3"/>
    <w:rsid w:val="6A9F07BD"/>
    <w:rsid w:val="6AA10091"/>
    <w:rsid w:val="6AA12E96"/>
    <w:rsid w:val="6AA17D67"/>
    <w:rsid w:val="6AA302AD"/>
    <w:rsid w:val="6AA33E09"/>
    <w:rsid w:val="6AA45DD3"/>
    <w:rsid w:val="6AA87672"/>
    <w:rsid w:val="6AAB53B4"/>
    <w:rsid w:val="6AAB7162"/>
    <w:rsid w:val="6AAD6A36"/>
    <w:rsid w:val="6AAF0A00"/>
    <w:rsid w:val="6AB029CA"/>
    <w:rsid w:val="6AB04778"/>
    <w:rsid w:val="6AB44268"/>
    <w:rsid w:val="6AB51D8E"/>
    <w:rsid w:val="6AB57FE0"/>
    <w:rsid w:val="6AB73D58"/>
    <w:rsid w:val="6AB853DB"/>
    <w:rsid w:val="6ABA1153"/>
    <w:rsid w:val="6ABA73A5"/>
    <w:rsid w:val="6ABC311D"/>
    <w:rsid w:val="6ABF49BB"/>
    <w:rsid w:val="6ABF6769"/>
    <w:rsid w:val="6AC10733"/>
    <w:rsid w:val="6AC124E1"/>
    <w:rsid w:val="6AC16985"/>
    <w:rsid w:val="6AC326FD"/>
    <w:rsid w:val="6AC344AB"/>
    <w:rsid w:val="6AC56475"/>
    <w:rsid w:val="6AC67AF8"/>
    <w:rsid w:val="6AC77CBF"/>
    <w:rsid w:val="6AC81AC2"/>
    <w:rsid w:val="6AC83870"/>
    <w:rsid w:val="6AC87D14"/>
    <w:rsid w:val="6ACA3A8C"/>
    <w:rsid w:val="6ACB7804"/>
    <w:rsid w:val="6ACD532A"/>
    <w:rsid w:val="6ACF10A2"/>
    <w:rsid w:val="6ACF2E50"/>
    <w:rsid w:val="6AD00976"/>
    <w:rsid w:val="6AD06BC8"/>
    <w:rsid w:val="6AD20B92"/>
    <w:rsid w:val="6AD246EE"/>
    <w:rsid w:val="6AD24DD2"/>
    <w:rsid w:val="6AD777B4"/>
    <w:rsid w:val="6AD77F57"/>
    <w:rsid w:val="6ADA35A3"/>
    <w:rsid w:val="6ADC37BF"/>
    <w:rsid w:val="6ADE12E5"/>
    <w:rsid w:val="6AE00865"/>
    <w:rsid w:val="6AE108FC"/>
    <w:rsid w:val="6AE34B4E"/>
    <w:rsid w:val="6AE35D56"/>
    <w:rsid w:val="6AE368FC"/>
    <w:rsid w:val="6AE41DB7"/>
    <w:rsid w:val="6AE461D0"/>
    <w:rsid w:val="6AE7388C"/>
    <w:rsid w:val="6AE81BC8"/>
    <w:rsid w:val="6AE82164"/>
    <w:rsid w:val="6AE83309"/>
    <w:rsid w:val="6AEA1A38"/>
    <w:rsid w:val="6AEA5C29"/>
    <w:rsid w:val="6AEC0549"/>
    <w:rsid w:val="6AEC1C54"/>
    <w:rsid w:val="6AED1528"/>
    <w:rsid w:val="6AED32D6"/>
    <w:rsid w:val="6AEF704E"/>
    <w:rsid w:val="6AF208ED"/>
    <w:rsid w:val="6AF24D91"/>
    <w:rsid w:val="6AF503DD"/>
    <w:rsid w:val="6AF61E2F"/>
    <w:rsid w:val="6AF74155"/>
    <w:rsid w:val="6AF86AEC"/>
    <w:rsid w:val="6AF86D19"/>
    <w:rsid w:val="6AFB546D"/>
    <w:rsid w:val="6AFE7291"/>
    <w:rsid w:val="6B00125C"/>
    <w:rsid w:val="6B0074AE"/>
    <w:rsid w:val="6B040620"/>
    <w:rsid w:val="6B054AC4"/>
    <w:rsid w:val="6B064398"/>
    <w:rsid w:val="6B07083C"/>
    <w:rsid w:val="6B080BC9"/>
    <w:rsid w:val="6B0845B4"/>
    <w:rsid w:val="6B0B7C00"/>
    <w:rsid w:val="6B0D1BCA"/>
    <w:rsid w:val="6B105217"/>
    <w:rsid w:val="6B107944"/>
    <w:rsid w:val="6B1116BB"/>
    <w:rsid w:val="6B120F8F"/>
    <w:rsid w:val="6B122D3D"/>
    <w:rsid w:val="6B166CD1"/>
    <w:rsid w:val="6B1765A5"/>
    <w:rsid w:val="6B182A49"/>
    <w:rsid w:val="6B187566"/>
    <w:rsid w:val="6B19056F"/>
    <w:rsid w:val="6B19231D"/>
    <w:rsid w:val="6B1A35C7"/>
    <w:rsid w:val="6B1B42E7"/>
    <w:rsid w:val="6B1D005F"/>
    <w:rsid w:val="6B2018FE"/>
    <w:rsid w:val="6B2036AC"/>
    <w:rsid w:val="6B225676"/>
    <w:rsid w:val="6B23319C"/>
    <w:rsid w:val="6B250CC2"/>
    <w:rsid w:val="6B2667E8"/>
    <w:rsid w:val="6B272C8C"/>
    <w:rsid w:val="6B282560"/>
    <w:rsid w:val="6B2A62D8"/>
    <w:rsid w:val="6B2C02A3"/>
    <w:rsid w:val="6B317667"/>
    <w:rsid w:val="6B321631"/>
    <w:rsid w:val="6B332CDE"/>
    <w:rsid w:val="6B3358AF"/>
    <w:rsid w:val="6B361121"/>
    <w:rsid w:val="6B362ECF"/>
    <w:rsid w:val="6B3727A3"/>
    <w:rsid w:val="6B380692"/>
    <w:rsid w:val="6B39476E"/>
    <w:rsid w:val="6B3B04E6"/>
    <w:rsid w:val="6B3B2900"/>
    <w:rsid w:val="6B3B4041"/>
    <w:rsid w:val="6B3C7DBA"/>
    <w:rsid w:val="6B3D425E"/>
    <w:rsid w:val="6B3E1D84"/>
    <w:rsid w:val="6B3E29C2"/>
    <w:rsid w:val="6B4078AA"/>
    <w:rsid w:val="6B421874"/>
    <w:rsid w:val="6B4355EC"/>
    <w:rsid w:val="6B43739A"/>
    <w:rsid w:val="6B451364"/>
    <w:rsid w:val="6B454EC0"/>
    <w:rsid w:val="6B460C38"/>
    <w:rsid w:val="6B480E55"/>
    <w:rsid w:val="6B485417"/>
    <w:rsid w:val="6B491760"/>
    <w:rsid w:val="6B4A24D7"/>
    <w:rsid w:val="6B4B624F"/>
    <w:rsid w:val="6B4C44A1"/>
    <w:rsid w:val="6B4E646B"/>
    <w:rsid w:val="6B4F3F91"/>
    <w:rsid w:val="6B511AB7"/>
    <w:rsid w:val="6B533A81"/>
    <w:rsid w:val="6B543355"/>
    <w:rsid w:val="6B574BF4"/>
    <w:rsid w:val="6B59096C"/>
    <w:rsid w:val="6B5975CA"/>
    <w:rsid w:val="6B5B0B88"/>
    <w:rsid w:val="6B5B1EEA"/>
    <w:rsid w:val="6B5C045C"/>
    <w:rsid w:val="6B5C220A"/>
    <w:rsid w:val="6B5E2426"/>
    <w:rsid w:val="6B5E5F82"/>
    <w:rsid w:val="6B601CFA"/>
    <w:rsid w:val="6B621F16"/>
    <w:rsid w:val="6B655563"/>
    <w:rsid w:val="6B67048D"/>
    <w:rsid w:val="6B6932A5"/>
    <w:rsid w:val="6B6A0DCB"/>
    <w:rsid w:val="6B6C069F"/>
    <w:rsid w:val="6B6D2669"/>
    <w:rsid w:val="6B6E08BB"/>
    <w:rsid w:val="6B6F17F0"/>
    <w:rsid w:val="6B715CB5"/>
    <w:rsid w:val="6B741C4A"/>
    <w:rsid w:val="6B7439F8"/>
    <w:rsid w:val="6B7834E8"/>
    <w:rsid w:val="6B785296"/>
    <w:rsid w:val="6B79100E"/>
    <w:rsid w:val="6B792DBC"/>
    <w:rsid w:val="6B7C465A"/>
    <w:rsid w:val="6B7E03D2"/>
    <w:rsid w:val="6B7E4876"/>
    <w:rsid w:val="6B8005EE"/>
    <w:rsid w:val="6B811C71"/>
    <w:rsid w:val="6B826114"/>
    <w:rsid w:val="6B841E8D"/>
    <w:rsid w:val="6B87372B"/>
    <w:rsid w:val="6B882FFF"/>
    <w:rsid w:val="6B8974A3"/>
    <w:rsid w:val="6B8A4FC9"/>
    <w:rsid w:val="6B8C6F93"/>
    <w:rsid w:val="6B8D6867"/>
    <w:rsid w:val="6B8E1219"/>
    <w:rsid w:val="6B8F25DF"/>
    <w:rsid w:val="6B930322"/>
    <w:rsid w:val="6B945E48"/>
    <w:rsid w:val="6B95030D"/>
    <w:rsid w:val="6B9660DC"/>
    <w:rsid w:val="6B97756C"/>
    <w:rsid w:val="6B985938"/>
    <w:rsid w:val="6B9B0F84"/>
    <w:rsid w:val="6B9B71D6"/>
    <w:rsid w:val="6B9D2F4E"/>
    <w:rsid w:val="6BA047ED"/>
    <w:rsid w:val="6BA20565"/>
    <w:rsid w:val="6BA41FF0"/>
    <w:rsid w:val="6BA442DD"/>
    <w:rsid w:val="6BA53BB1"/>
    <w:rsid w:val="6BA75B7B"/>
    <w:rsid w:val="6BA8544F"/>
    <w:rsid w:val="6BAD1792"/>
    <w:rsid w:val="6BAD2A66"/>
    <w:rsid w:val="6BAF4A30"/>
    <w:rsid w:val="6BAF67DE"/>
    <w:rsid w:val="6BB34520"/>
    <w:rsid w:val="6BB35604"/>
    <w:rsid w:val="6BB40298"/>
    <w:rsid w:val="6BB42046"/>
    <w:rsid w:val="6BB64010"/>
    <w:rsid w:val="6BB77FE6"/>
    <w:rsid w:val="6BBB1626"/>
    <w:rsid w:val="6BBD539F"/>
    <w:rsid w:val="6BC26511"/>
    <w:rsid w:val="6BC524A5"/>
    <w:rsid w:val="6BC63A7A"/>
    <w:rsid w:val="6BC80F6B"/>
    <w:rsid w:val="6BC8789F"/>
    <w:rsid w:val="6BCC7390"/>
    <w:rsid w:val="6BCD763B"/>
    <w:rsid w:val="6BCF0C2E"/>
    <w:rsid w:val="6BCF3B63"/>
    <w:rsid w:val="6BCF6E80"/>
    <w:rsid w:val="6BD050D2"/>
    <w:rsid w:val="6BD12BF8"/>
    <w:rsid w:val="6BD34BC2"/>
    <w:rsid w:val="6BD46244"/>
    <w:rsid w:val="6BD5340E"/>
    <w:rsid w:val="6BD6020E"/>
    <w:rsid w:val="6BD83F86"/>
    <w:rsid w:val="6BD85D34"/>
    <w:rsid w:val="6BDB5825"/>
    <w:rsid w:val="6BE0108D"/>
    <w:rsid w:val="6BE20961"/>
    <w:rsid w:val="6BE24E05"/>
    <w:rsid w:val="6BE4292B"/>
    <w:rsid w:val="6BE446D9"/>
    <w:rsid w:val="6BE50451"/>
    <w:rsid w:val="6BE744F4"/>
    <w:rsid w:val="6BE96194"/>
    <w:rsid w:val="6BE97F42"/>
    <w:rsid w:val="6BEB0F26"/>
    <w:rsid w:val="6BEC5C84"/>
    <w:rsid w:val="6BED17F6"/>
    <w:rsid w:val="6BEE37AA"/>
    <w:rsid w:val="6BF055A6"/>
    <w:rsid w:val="6BF3491C"/>
    <w:rsid w:val="6BF46AF8"/>
    <w:rsid w:val="6BF84629"/>
    <w:rsid w:val="6BF905D1"/>
    <w:rsid w:val="6BF95CAB"/>
    <w:rsid w:val="6BFA214F"/>
    <w:rsid w:val="6BFB1A23"/>
    <w:rsid w:val="6BFD6C57"/>
    <w:rsid w:val="6BFF0A82"/>
    <w:rsid w:val="6C021003"/>
    <w:rsid w:val="6C022DB1"/>
    <w:rsid w:val="6C046B2A"/>
    <w:rsid w:val="6C054650"/>
    <w:rsid w:val="6C066D46"/>
    <w:rsid w:val="6C0905E4"/>
    <w:rsid w:val="6C092392"/>
    <w:rsid w:val="6C0C1E82"/>
    <w:rsid w:val="6C0E1756"/>
    <w:rsid w:val="6C0E5BFA"/>
    <w:rsid w:val="6C101972"/>
    <w:rsid w:val="6C117498"/>
    <w:rsid w:val="6C1256EA"/>
    <w:rsid w:val="6C134FBF"/>
    <w:rsid w:val="6C136D6D"/>
    <w:rsid w:val="6C164AAF"/>
    <w:rsid w:val="6C172D01"/>
    <w:rsid w:val="6C1825D5"/>
    <w:rsid w:val="6C184383"/>
    <w:rsid w:val="6C186A79"/>
    <w:rsid w:val="6C1B20C5"/>
    <w:rsid w:val="6C1C0317"/>
    <w:rsid w:val="6C1F1AB4"/>
    <w:rsid w:val="6C1F3963"/>
    <w:rsid w:val="6C1F5711"/>
    <w:rsid w:val="6C21592D"/>
    <w:rsid w:val="6C223454"/>
    <w:rsid w:val="6C225202"/>
    <w:rsid w:val="6C276CBC"/>
    <w:rsid w:val="6C2B67AC"/>
    <w:rsid w:val="6C2C6080"/>
    <w:rsid w:val="6C2C7E2E"/>
    <w:rsid w:val="6C2D40B8"/>
    <w:rsid w:val="6C2E0119"/>
    <w:rsid w:val="6C2E3BA6"/>
    <w:rsid w:val="6C2F3B9C"/>
    <w:rsid w:val="6C303DC2"/>
    <w:rsid w:val="6C3118E9"/>
    <w:rsid w:val="6C315445"/>
    <w:rsid w:val="6C327B3B"/>
    <w:rsid w:val="6C375151"/>
    <w:rsid w:val="6C384A25"/>
    <w:rsid w:val="6C3A079D"/>
    <w:rsid w:val="6C3A254B"/>
    <w:rsid w:val="6C3A3AEB"/>
    <w:rsid w:val="6C3D64DF"/>
    <w:rsid w:val="6C3F4006"/>
    <w:rsid w:val="6C3F7B62"/>
    <w:rsid w:val="6C417D7E"/>
    <w:rsid w:val="6C4258A4"/>
    <w:rsid w:val="6C427652"/>
    <w:rsid w:val="6C44161C"/>
    <w:rsid w:val="6C4433CA"/>
    <w:rsid w:val="6C445178"/>
    <w:rsid w:val="6C44786E"/>
    <w:rsid w:val="6C465394"/>
    <w:rsid w:val="6C467142"/>
    <w:rsid w:val="6C4760EF"/>
    <w:rsid w:val="6C4909E0"/>
    <w:rsid w:val="6C4B4758"/>
    <w:rsid w:val="6C4E4249"/>
    <w:rsid w:val="6C517895"/>
    <w:rsid w:val="6C524942"/>
    <w:rsid w:val="6C55623F"/>
    <w:rsid w:val="6C5630FD"/>
    <w:rsid w:val="6C57134F"/>
    <w:rsid w:val="6C580C23"/>
    <w:rsid w:val="6C5850C7"/>
    <w:rsid w:val="6C5A2BED"/>
    <w:rsid w:val="6C5C6966"/>
    <w:rsid w:val="6C5D26DE"/>
    <w:rsid w:val="6C5E0930"/>
    <w:rsid w:val="6C5F0204"/>
    <w:rsid w:val="6C5F6456"/>
    <w:rsid w:val="6C611866"/>
    <w:rsid w:val="6C615D2A"/>
    <w:rsid w:val="6C621AA2"/>
    <w:rsid w:val="6C643A6C"/>
    <w:rsid w:val="6C64581A"/>
    <w:rsid w:val="6C661592"/>
    <w:rsid w:val="6C67530A"/>
    <w:rsid w:val="6C6770B8"/>
    <w:rsid w:val="6C68355C"/>
    <w:rsid w:val="6C6D0B73"/>
    <w:rsid w:val="6C6D2921"/>
    <w:rsid w:val="6C700663"/>
    <w:rsid w:val="6C702411"/>
    <w:rsid w:val="6C726189"/>
    <w:rsid w:val="6C727F37"/>
    <w:rsid w:val="6C733CAF"/>
    <w:rsid w:val="6C735A5D"/>
    <w:rsid w:val="6C740442"/>
    <w:rsid w:val="6C75116C"/>
    <w:rsid w:val="6C7517D5"/>
    <w:rsid w:val="6C7672FB"/>
    <w:rsid w:val="6C787517"/>
    <w:rsid w:val="6C7A3290"/>
    <w:rsid w:val="6C7A503E"/>
    <w:rsid w:val="6C7B4FDE"/>
    <w:rsid w:val="6C7C2B64"/>
    <w:rsid w:val="6C7D068A"/>
    <w:rsid w:val="6C7F2654"/>
    <w:rsid w:val="6C8079C0"/>
    <w:rsid w:val="6C823EF2"/>
    <w:rsid w:val="6C830396"/>
    <w:rsid w:val="6C832144"/>
    <w:rsid w:val="6C833770"/>
    <w:rsid w:val="6C841A18"/>
    <w:rsid w:val="6C845EBC"/>
    <w:rsid w:val="6C865790"/>
    <w:rsid w:val="6C867440"/>
    <w:rsid w:val="6C8934D3"/>
    <w:rsid w:val="6C893580"/>
    <w:rsid w:val="6C904861"/>
    <w:rsid w:val="6C917204"/>
    <w:rsid w:val="6C921DD5"/>
    <w:rsid w:val="6C951E77"/>
    <w:rsid w:val="6C9854C4"/>
    <w:rsid w:val="6C9A748E"/>
    <w:rsid w:val="6C9B14F3"/>
    <w:rsid w:val="6C9C1458"/>
    <w:rsid w:val="6C9C3206"/>
    <w:rsid w:val="6C9C4317"/>
    <w:rsid w:val="6C9C4FB4"/>
    <w:rsid w:val="6C9D2ADA"/>
    <w:rsid w:val="6C9F4AA4"/>
    <w:rsid w:val="6CA32D5A"/>
    <w:rsid w:val="6CA67BE1"/>
    <w:rsid w:val="6CA9147F"/>
    <w:rsid w:val="6CA976D1"/>
    <w:rsid w:val="6CAB169B"/>
    <w:rsid w:val="6CAD5413"/>
    <w:rsid w:val="6CAE4B4B"/>
    <w:rsid w:val="6CAE4CE7"/>
    <w:rsid w:val="6CAE6A95"/>
    <w:rsid w:val="6CAF118B"/>
    <w:rsid w:val="6CB00A5F"/>
    <w:rsid w:val="6CB22A29"/>
    <w:rsid w:val="6CB247D7"/>
    <w:rsid w:val="6CB26586"/>
    <w:rsid w:val="6CB30550"/>
    <w:rsid w:val="6CB57E24"/>
    <w:rsid w:val="6CB71DEE"/>
    <w:rsid w:val="6CB953EE"/>
    <w:rsid w:val="6CBA368C"/>
    <w:rsid w:val="6CBC7404"/>
    <w:rsid w:val="6CBD4D91"/>
    <w:rsid w:val="6CBE13CE"/>
    <w:rsid w:val="6CBF5146"/>
    <w:rsid w:val="6CBF6EF4"/>
    <w:rsid w:val="6CC1090D"/>
    <w:rsid w:val="6CC30793"/>
    <w:rsid w:val="6CC938CF"/>
    <w:rsid w:val="6CCB7647"/>
    <w:rsid w:val="6CCD7863"/>
    <w:rsid w:val="6CCF08E7"/>
    <w:rsid w:val="6CCF5389"/>
    <w:rsid w:val="6CD01102"/>
    <w:rsid w:val="6CD02EB0"/>
    <w:rsid w:val="6CD04C5E"/>
    <w:rsid w:val="6CD209D6"/>
    <w:rsid w:val="6CD24E7A"/>
    <w:rsid w:val="6CD40BF2"/>
    <w:rsid w:val="6CD429A0"/>
    <w:rsid w:val="6CD504C6"/>
    <w:rsid w:val="6CD7423E"/>
    <w:rsid w:val="6CD97FB6"/>
    <w:rsid w:val="6CDC1854"/>
    <w:rsid w:val="6CDE737B"/>
    <w:rsid w:val="6CDF03DC"/>
    <w:rsid w:val="6CE16E6B"/>
    <w:rsid w:val="6CE36AAC"/>
    <w:rsid w:val="6CE40709"/>
    <w:rsid w:val="6CE626D3"/>
    <w:rsid w:val="6CE63F9D"/>
    <w:rsid w:val="6CE64481"/>
    <w:rsid w:val="6CE801F9"/>
    <w:rsid w:val="6CE93925"/>
    <w:rsid w:val="6CEF1361"/>
    <w:rsid w:val="6CEF77DA"/>
    <w:rsid w:val="6CF070AE"/>
    <w:rsid w:val="6CF21078"/>
    <w:rsid w:val="6CF50B68"/>
    <w:rsid w:val="6CF66663"/>
    <w:rsid w:val="6CF90658"/>
    <w:rsid w:val="6CFA1CDB"/>
    <w:rsid w:val="6CFA7F2C"/>
    <w:rsid w:val="6CFD7212"/>
    <w:rsid w:val="6CFE5C6F"/>
    <w:rsid w:val="6CFE7A1D"/>
    <w:rsid w:val="6D0112BB"/>
    <w:rsid w:val="6D01750D"/>
    <w:rsid w:val="6D035033"/>
    <w:rsid w:val="6D036DE1"/>
    <w:rsid w:val="6D042B59"/>
    <w:rsid w:val="6D062D75"/>
    <w:rsid w:val="6D064B23"/>
    <w:rsid w:val="6D08089B"/>
    <w:rsid w:val="6D082649"/>
    <w:rsid w:val="6D0A36F2"/>
    <w:rsid w:val="6D0A4613"/>
    <w:rsid w:val="6D0C0889"/>
    <w:rsid w:val="6D0D5EB2"/>
    <w:rsid w:val="6D0D7C60"/>
    <w:rsid w:val="6D0F1C2A"/>
    <w:rsid w:val="6D0F4639"/>
    <w:rsid w:val="6D122FBA"/>
    <w:rsid w:val="6D142D9C"/>
    <w:rsid w:val="6D15307C"/>
    <w:rsid w:val="6D170ADE"/>
    <w:rsid w:val="6D175EDC"/>
    <w:rsid w:val="6D1B05CF"/>
    <w:rsid w:val="6D1C4347"/>
    <w:rsid w:val="6D1C7EA3"/>
    <w:rsid w:val="6D1E00BF"/>
    <w:rsid w:val="6D1E3C1B"/>
    <w:rsid w:val="6D203E37"/>
    <w:rsid w:val="6D205BE5"/>
    <w:rsid w:val="6D21370B"/>
    <w:rsid w:val="6D237483"/>
    <w:rsid w:val="6D25144D"/>
    <w:rsid w:val="6D2531FB"/>
    <w:rsid w:val="6D254FA9"/>
    <w:rsid w:val="6D2A6A64"/>
    <w:rsid w:val="6D2B6338"/>
    <w:rsid w:val="6D301BA0"/>
    <w:rsid w:val="6D30394E"/>
    <w:rsid w:val="6D317DF2"/>
    <w:rsid w:val="6D321474"/>
    <w:rsid w:val="6D323B6A"/>
    <w:rsid w:val="6D325918"/>
    <w:rsid w:val="6D341C97"/>
    <w:rsid w:val="6D350F65"/>
    <w:rsid w:val="6D365409"/>
    <w:rsid w:val="6D3671B7"/>
    <w:rsid w:val="6D396CA7"/>
    <w:rsid w:val="6D3A657B"/>
    <w:rsid w:val="6D3B2A1F"/>
    <w:rsid w:val="6D3B47CD"/>
    <w:rsid w:val="6D3C22F3"/>
    <w:rsid w:val="6D3E0B47"/>
    <w:rsid w:val="6D3E42BD"/>
    <w:rsid w:val="6D3E606B"/>
    <w:rsid w:val="6D400035"/>
    <w:rsid w:val="6D401DE3"/>
    <w:rsid w:val="6D4573FA"/>
    <w:rsid w:val="6D463172"/>
    <w:rsid w:val="6D485F0B"/>
    <w:rsid w:val="6D4A4A10"/>
    <w:rsid w:val="6D4B0788"/>
    <w:rsid w:val="6D4B488C"/>
    <w:rsid w:val="6D4D4500"/>
    <w:rsid w:val="6D52044D"/>
    <w:rsid w:val="6D561607"/>
    <w:rsid w:val="6D57537F"/>
    <w:rsid w:val="6D57712D"/>
    <w:rsid w:val="6D5835D1"/>
    <w:rsid w:val="6D592EA5"/>
    <w:rsid w:val="6D5B4E6F"/>
    <w:rsid w:val="6D5E04BB"/>
    <w:rsid w:val="6D5E2269"/>
    <w:rsid w:val="6D5E495F"/>
    <w:rsid w:val="6D5E670D"/>
    <w:rsid w:val="6D6078E9"/>
    <w:rsid w:val="6D617FAC"/>
    <w:rsid w:val="6D6261FE"/>
    <w:rsid w:val="6D632B13"/>
    <w:rsid w:val="6D635AD2"/>
    <w:rsid w:val="6D655CEE"/>
    <w:rsid w:val="6D667370"/>
    <w:rsid w:val="6D68758C"/>
    <w:rsid w:val="6D6A3304"/>
    <w:rsid w:val="6D6B4986"/>
    <w:rsid w:val="6D6C0E2A"/>
    <w:rsid w:val="6D6F3C62"/>
    <w:rsid w:val="6D714693"/>
    <w:rsid w:val="6D723F67"/>
    <w:rsid w:val="6D745F31"/>
    <w:rsid w:val="6D761CA9"/>
    <w:rsid w:val="6D763A57"/>
    <w:rsid w:val="6D77157D"/>
    <w:rsid w:val="6D793547"/>
    <w:rsid w:val="6D800432"/>
    <w:rsid w:val="6D82064E"/>
    <w:rsid w:val="6D82752C"/>
    <w:rsid w:val="6D8343C6"/>
    <w:rsid w:val="6D836174"/>
    <w:rsid w:val="6D837F22"/>
    <w:rsid w:val="6D885538"/>
    <w:rsid w:val="6D8A5754"/>
    <w:rsid w:val="6D8B6DD7"/>
    <w:rsid w:val="6D8C327A"/>
    <w:rsid w:val="6D8F2D6B"/>
    <w:rsid w:val="6D9143ED"/>
    <w:rsid w:val="6D9263B7"/>
    <w:rsid w:val="6D9914F3"/>
    <w:rsid w:val="6D995997"/>
    <w:rsid w:val="6D9A57B3"/>
    <w:rsid w:val="6D9E3E83"/>
    <w:rsid w:val="6D9E4D5C"/>
    <w:rsid w:val="6D9E55C4"/>
    <w:rsid w:val="6DA51185"/>
    <w:rsid w:val="6DA5433C"/>
    <w:rsid w:val="6DAC7479"/>
    <w:rsid w:val="6DAC7BC8"/>
    <w:rsid w:val="6DB36A59"/>
    <w:rsid w:val="6DB63E53"/>
    <w:rsid w:val="6DB66549"/>
    <w:rsid w:val="6DB8406F"/>
    <w:rsid w:val="6DB91902"/>
    <w:rsid w:val="6DB97DE8"/>
    <w:rsid w:val="6DBB76BC"/>
    <w:rsid w:val="6DBE53FE"/>
    <w:rsid w:val="6DC01176"/>
    <w:rsid w:val="6DC1095E"/>
    <w:rsid w:val="6DC347C2"/>
    <w:rsid w:val="6DC61953"/>
    <w:rsid w:val="6DC742B3"/>
    <w:rsid w:val="6DC9002B"/>
    <w:rsid w:val="6DCA3DA3"/>
    <w:rsid w:val="6DCA78FF"/>
    <w:rsid w:val="6DCF3167"/>
    <w:rsid w:val="6DCF760B"/>
    <w:rsid w:val="6DD16EDF"/>
    <w:rsid w:val="6DD45692"/>
    <w:rsid w:val="6DD8201C"/>
    <w:rsid w:val="6DD95D94"/>
    <w:rsid w:val="6DDB1B0C"/>
    <w:rsid w:val="6DDD3AD6"/>
    <w:rsid w:val="6DDD523A"/>
    <w:rsid w:val="6DDE15FC"/>
    <w:rsid w:val="6DDF2123"/>
    <w:rsid w:val="6DE07122"/>
    <w:rsid w:val="6DE213D7"/>
    <w:rsid w:val="6DE22E9A"/>
    <w:rsid w:val="6DE24C48"/>
    <w:rsid w:val="6DE2733E"/>
    <w:rsid w:val="6DE44E65"/>
    <w:rsid w:val="6DE468C8"/>
    <w:rsid w:val="6DE50BDD"/>
    <w:rsid w:val="6DE54739"/>
    <w:rsid w:val="6DE704B1"/>
    <w:rsid w:val="6DE74955"/>
    <w:rsid w:val="6DEA61F3"/>
    <w:rsid w:val="6DEA7FA1"/>
    <w:rsid w:val="6DEC3D19"/>
    <w:rsid w:val="6DEE7A91"/>
    <w:rsid w:val="6DEF7365"/>
    <w:rsid w:val="6DF350A8"/>
    <w:rsid w:val="6DF57072"/>
    <w:rsid w:val="6DF606F4"/>
    <w:rsid w:val="6DF64B98"/>
    <w:rsid w:val="6DF80910"/>
    <w:rsid w:val="6DF901E4"/>
    <w:rsid w:val="6DFB0400"/>
    <w:rsid w:val="6DFB21AE"/>
    <w:rsid w:val="6DFB5D0A"/>
    <w:rsid w:val="6DFD5F26"/>
    <w:rsid w:val="6DFE57FA"/>
    <w:rsid w:val="6E02353D"/>
    <w:rsid w:val="6E030710"/>
    <w:rsid w:val="6E0472B5"/>
    <w:rsid w:val="6E056B89"/>
    <w:rsid w:val="6E070B53"/>
    <w:rsid w:val="6E0819B1"/>
    <w:rsid w:val="6E0A419F"/>
    <w:rsid w:val="6E0C6169"/>
    <w:rsid w:val="6E0F17B6"/>
    <w:rsid w:val="6E1119D2"/>
    <w:rsid w:val="6E13574A"/>
    <w:rsid w:val="6E153FB5"/>
    <w:rsid w:val="6E166FE8"/>
    <w:rsid w:val="6E184B0E"/>
    <w:rsid w:val="6E1A6AD8"/>
    <w:rsid w:val="6E1B63AC"/>
    <w:rsid w:val="6E1D0376"/>
    <w:rsid w:val="6E2039C3"/>
    <w:rsid w:val="6E217E67"/>
    <w:rsid w:val="6E22598D"/>
    <w:rsid w:val="6E22773B"/>
    <w:rsid w:val="6E23118A"/>
    <w:rsid w:val="6E24261A"/>
    <w:rsid w:val="6E2434B3"/>
    <w:rsid w:val="6E276AFF"/>
    <w:rsid w:val="6E2A648C"/>
    <w:rsid w:val="6E2C2368"/>
    <w:rsid w:val="6E2F0E6E"/>
    <w:rsid w:val="6E3000AA"/>
    <w:rsid w:val="6E314E89"/>
    <w:rsid w:val="6E31797E"/>
    <w:rsid w:val="6E337EF0"/>
    <w:rsid w:val="6E3556C0"/>
    <w:rsid w:val="6E364F94"/>
    <w:rsid w:val="6E380D0C"/>
    <w:rsid w:val="6E3A2CD6"/>
    <w:rsid w:val="6E3A5F81"/>
    <w:rsid w:val="6E3B07FD"/>
    <w:rsid w:val="6E3B25AB"/>
    <w:rsid w:val="6E3B6A4F"/>
    <w:rsid w:val="6E3D1D31"/>
    <w:rsid w:val="6E3D4575"/>
    <w:rsid w:val="6E3D6323"/>
    <w:rsid w:val="6E414065"/>
    <w:rsid w:val="6E4A0A40"/>
    <w:rsid w:val="6E4B4EE4"/>
    <w:rsid w:val="6E4C0C5C"/>
    <w:rsid w:val="6E4E22DE"/>
    <w:rsid w:val="6E4E5887"/>
    <w:rsid w:val="6E4E6782"/>
    <w:rsid w:val="6E4F6056"/>
    <w:rsid w:val="6E5042A8"/>
    <w:rsid w:val="6E5378F4"/>
    <w:rsid w:val="6E547FB8"/>
    <w:rsid w:val="6E564019"/>
    <w:rsid w:val="6E587601"/>
    <w:rsid w:val="6E5A0C83"/>
    <w:rsid w:val="6E5D4C17"/>
    <w:rsid w:val="6E5F1B3B"/>
    <w:rsid w:val="6E6042B7"/>
    <w:rsid w:val="6E6050CB"/>
    <w:rsid w:val="6E645FA5"/>
    <w:rsid w:val="6E647AAD"/>
    <w:rsid w:val="6E6E22A0"/>
    <w:rsid w:val="6E6E2980"/>
    <w:rsid w:val="6E7004A6"/>
    <w:rsid w:val="6E70494A"/>
    <w:rsid w:val="6E7206C2"/>
    <w:rsid w:val="6E736112"/>
    <w:rsid w:val="6E753D0F"/>
    <w:rsid w:val="6E775CD9"/>
    <w:rsid w:val="6E7C32EF"/>
    <w:rsid w:val="6E7C509D"/>
    <w:rsid w:val="6E7F06E9"/>
    <w:rsid w:val="6E7F60F5"/>
    <w:rsid w:val="6E804461"/>
    <w:rsid w:val="6E82467D"/>
    <w:rsid w:val="6E851A78"/>
    <w:rsid w:val="6E8757F0"/>
    <w:rsid w:val="6E8977BA"/>
    <w:rsid w:val="6E8B3532"/>
    <w:rsid w:val="6E8C2E06"/>
    <w:rsid w:val="6E900B48"/>
    <w:rsid w:val="6E91666F"/>
    <w:rsid w:val="6E9313EA"/>
    <w:rsid w:val="6E9323E7"/>
    <w:rsid w:val="6E9543B1"/>
    <w:rsid w:val="6E95615F"/>
    <w:rsid w:val="6E957F0D"/>
    <w:rsid w:val="6E971ED7"/>
    <w:rsid w:val="6E9A19C7"/>
    <w:rsid w:val="6E9B2B83"/>
    <w:rsid w:val="6E9C129B"/>
    <w:rsid w:val="6E9D5013"/>
    <w:rsid w:val="6EA2262A"/>
    <w:rsid w:val="6EA32620"/>
    <w:rsid w:val="6EA840E4"/>
    <w:rsid w:val="6EA939B8"/>
    <w:rsid w:val="6EA97E5C"/>
    <w:rsid w:val="6EAB7671"/>
    <w:rsid w:val="6EAB7730"/>
    <w:rsid w:val="6EAE0FCF"/>
    <w:rsid w:val="6EB1286D"/>
    <w:rsid w:val="6EB14973"/>
    <w:rsid w:val="6EB32A89"/>
    <w:rsid w:val="6EB56801"/>
    <w:rsid w:val="6EB719DE"/>
    <w:rsid w:val="6EB74327"/>
    <w:rsid w:val="6EB760D5"/>
    <w:rsid w:val="6EBA5BC5"/>
    <w:rsid w:val="6EBD1212"/>
    <w:rsid w:val="6EBE06B8"/>
    <w:rsid w:val="6EBF1B48"/>
    <w:rsid w:val="6EBF4F8A"/>
    <w:rsid w:val="6EC16F54"/>
    <w:rsid w:val="6EC258F8"/>
    <w:rsid w:val="6EC30F1E"/>
    <w:rsid w:val="6EC425A0"/>
    <w:rsid w:val="6EC46A44"/>
    <w:rsid w:val="6EC72090"/>
    <w:rsid w:val="6ECB7DD2"/>
    <w:rsid w:val="6ECC2CBC"/>
    <w:rsid w:val="6ECD414C"/>
    <w:rsid w:val="6ECE1671"/>
    <w:rsid w:val="6ECF78C3"/>
    <w:rsid w:val="6ED07197"/>
    <w:rsid w:val="6ED32DF2"/>
    <w:rsid w:val="6ED50C51"/>
    <w:rsid w:val="6ED547AD"/>
    <w:rsid w:val="6ED651FE"/>
    <w:rsid w:val="6ED722D3"/>
    <w:rsid w:val="6ED8604B"/>
    <w:rsid w:val="6ED924EF"/>
    <w:rsid w:val="6ED926EF"/>
    <w:rsid w:val="6EDA0016"/>
    <w:rsid w:val="6EDA1DC4"/>
    <w:rsid w:val="6EDA6267"/>
    <w:rsid w:val="6EDC1FE0"/>
    <w:rsid w:val="6EDC5B3C"/>
    <w:rsid w:val="6EDE7B06"/>
    <w:rsid w:val="6EDF387E"/>
    <w:rsid w:val="6EE251B7"/>
    <w:rsid w:val="6EE3336E"/>
    <w:rsid w:val="6EE36ECA"/>
    <w:rsid w:val="6EE40E94"/>
    <w:rsid w:val="6EE90259"/>
    <w:rsid w:val="6EE90D5D"/>
    <w:rsid w:val="6EE964AB"/>
    <w:rsid w:val="6EE97C7B"/>
    <w:rsid w:val="6EEA3674"/>
    <w:rsid w:val="6EEA46FD"/>
    <w:rsid w:val="6EEE586F"/>
    <w:rsid w:val="6EEF1D13"/>
    <w:rsid w:val="6EF07839"/>
    <w:rsid w:val="6EF32E85"/>
    <w:rsid w:val="6EF8049C"/>
    <w:rsid w:val="6EFA2466"/>
    <w:rsid w:val="6EFA4214"/>
    <w:rsid w:val="6EFC4430"/>
    <w:rsid w:val="6EFE3D04"/>
    <w:rsid w:val="6EFF7A7C"/>
    <w:rsid w:val="6F0137F4"/>
    <w:rsid w:val="6F0155A2"/>
    <w:rsid w:val="6F0357BE"/>
    <w:rsid w:val="6F03756C"/>
    <w:rsid w:val="6F046DEC"/>
    <w:rsid w:val="6F046E40"/>
    <w:rsid w:val="6F0532E4"/>
    <w:rsid w:val="6F060E0B"/>
    <w:rsid w:val="6F062BB9"/>
    <w:rsid w:val="6F086931"/>
    <w:rsid w:val="6F0926A9"/>
    <w:rsid w:val="6F0B6CBF"/>
    <w:rsid w:val="6F0D2199"/>
    <w:rsid w:val="6F0D3F47"/>
    <w:rsid w:val="6F107CF3"/>
    <w:rsid w:val="6F125A01"/>
    <w:rsid w:val="6F145EFB"/>
    <w:rsid w:val="6F152DFC"/>
    <w:rsid w:val="6F157D71"/>
    <w:rsid w:val="6F1654F2"/>
    <w:rsid w:val="6F173018"/>
    <w:rsid w:val="6F1866F2"/>
    <w:rsid w:val="6F196D90"/>
    <w:rsid w:val="6F1B2B08"/>
    <w:rsid w:val="6F1C062E"/>
    <w:rsid w:val="6F1C23DC"/>
    <w:rsid w:val="6F1E6154"/>
    <w:rsid w:val="6F1E7F02"/>
    <w:rsid w:val="6F213E96"/>
    <w:rsid w:val="6F2179F2"/>
    <w:rsid w:val="6F2614AD"/>
    <w:rsid w:val="6F280D81"/>
    <w:rsid w:val="6F282B2F"/>
    <w:rsid w:val="6F285225"/>
    <w:rsid w:val="6F2968A7"/>
    <w:rsid w:val="6F2A2D4B"/>
    <w:rsid w:val="6F2D45E9"/>
    <w:rsid w:val="6F2D6397"/>
    <w:rsid w:val="6F2F210F"/>
    <w:rsid w:val="6F2F65B3"/>
    <w:rsid w:val="6F305E87"/>
    <w:rsid w:val="6F321C00"/>
    <w:rsid w:val="6F327E52"/>
    <w:rsid w:val="6F345978"/>
    <w:rsid w:val="6F3507EB"/>
    <w:rsid w:val="6F35349E"/>
    <w:rsid w:val="6F35524C"/>
    <w:rsid w:val="6F3911E0"/>
    <w:rsid w:val="6F394D3C"/>
    <w:rsid w:val="6F3A0AB4"/>
    <w:rsid w:val="6F3A720A"/>
    <w:rsid w:val="6F3C43AC"/>
    <w:rsid w:val="6F3C482C"/>
    <w:rsid w:val="6F411E43"/>
    <w:rsid w:val="6F4162E7"/>
    <w:rsid w:val="6F437969"/>
    <w:rsid w:val="6F457B85"/>
    <w:rsid w:val="6F4B0F13"/>
    <w:rsid w:val="6F4B2CC1"/>
    <w:rsid w:val="6F4D07E7"/>
    <w:rsid w:val="6F4F27B2"/>
    <w:rsid w:val="6F5002D8"/>
    <w:rsid w:val="6F502086"/>
    <w:rsid w:val="6F5222A2"/>
    <w:rsid w:val="6F524050"/>
    <w:rsid w:val="6F54601A"/>
    <w:rsid w:val="6F547DC8"/>
    <w:rsid w:val="6F5558EE"/>
    <w:rsid w:val="6F583B84"/>
    <w:rsid w:val="6F5A7BE5"/>
    <w:rsid w:val="6F5B73A8"/>
    <w:rsid w:val="6F5B7934"/>
    <w:rsid w:val="6F5C0A2B"/>
    <w:rsid w:val="6F5C4ECE"/>
    <w:rsid w:val="6F5E0C47"/>
    <w:rsid w:val="6F5E29F5"/>
    <w:rsid w:val="6F5E47A3"/>
    <w:rsid w:val="6F60051B"/>
    <w:rsid w:val="6F607EA9"/>
    <w:rsid w:val="6F631DB9"/>
    <w:rsid w:val="6F63625D"/>
    <w:rsid w:val="6F643647"/>
    <w:rsid w:val="6F655B31"/>
    <w:rsid w:val="6F6618A9"/>
    <w:rsid w:val="6F667618"/>
    <w:rsid w:val="6F670AA8"/>
    <w:rsid w:val="6F683873"/>
    <w:rsid w:val="6F6A3147"/>
    <w:rsid w:val="6F6B5112"/>
    <w:rsid w:val="6F6C3363"/>
    <w:rsid w:val="6F6D0E8A"/>
    <w:rsid w:val="6F6D49E6"/>
    <w:rsid w:val="6F7044D6"/>
    <w:rsid w:val="6F71097A"/>
    <w:rsid w:val="6F72024E"/>
    <w:rsid w:val="6F7264A0"/>
    <w:rsid w:val="6F7272FC"/>
    <w:rsid w:val="6F751AEC"/>
    <w:rsid w:val="6F755C7D"/>
    <w:rsid w:val="6F781A2D"/>
    <w:rsid w:val="6F79782E"/>
    <w:rsid w:val="6F7E69B3"/>
    <w:rsid w:val="6F800BBD"/>
    <w:rsid w:val="6F806E0F"/>
    <w:rsid w:val="6F810491"/>
    <w:rsid w:val="6F8166E3"/>
    <w:rsid w:val="6F8306AD"/>
    <w:rsid w:val="6F834209"/>
    <w:rsid w:val="6F871F4B"/>
    <w:rsid w:val="6F8A04D3"/>
    <w:rsid w:val="6F8B1310"/>
    <w:rsid w:val="6F8D6E36"/>
    <w:rsid w:val="6F8F0E00"/>
    <w:rsid w:val="6F911144"/>
    <w:rsid w:val="6F944668"/>
    <w:rsid w:val="6F946416"/>
    <w:rsid w:val="6F9603E0"/>
    <w:rsid w:val="6F974FB6"/>
    <w:rsid w:val="6F991C7F"/>
    <w:rsid w:val="6F9A5078"/>
    <w:rsid w:val="6F9B59F7"/>
    <w:rsid w:val="6F9E1043"/>
    <w:rsid w:val="6F9E4E89"/>
    <w:rsid w:val="6F9E7295"/>
    <w:rsid w:val="6FA128E1"/>
    <w:rsid w:val="6FA26D85"/>
    <w:rsid w:val="6FA523D2"/>
    <w:rsid w:val="6FA56875"/>
    <w:rsid w:val="6FA67EF8"/>
    <w:rsid w:val="6FA7439C"/>
    <w:rsid w:val="6FA75E74"/>
    <w:rsid w:val="6FAA3E8C"/>
    <w:rsid w:val="6FAC3760"/>
    <w:rsid w:val="6FAD1286"/>
    <w:rsid w:val="6FAF3250"/>
    <w:rsid w:val="6FAF4FFE"/>
    <w:rsid w:val="6FB0729E"/>
    <w:rsid w:val="6FB22D40"/>
    <w:rsid w:val="6FB2689C"/>
    <w:rsid w:val="6FB46AB9"/>
    <w:rsid w:val="6FB619CF"/>
    <w:rsid w:val="6FB645DF"/>
    <w:rsid w:val="6FB75A30"/>
    <w:rsid w:val="6FB82179"/>
    <w:rsid w:val="6FB91A91"/>
    <w:rsid w:val="6FBB7E47"/>
    <w:rsid w:val="6FBC771B"/>
    <w:rsid w:val="6FBD3BBF"/>
    <w:rsid w:val="6FBD596D"/>
    <w:rsid w:val="6FC30AAA"/>
    <w:rsid w:val="6FC52A74"/>
    <w:rsid w:val="6FC54822"/>
    <w:rsid w:val="6FC565D0"/>
    <w:rsid w:val="6FC82564"/>
    <w:rsid w:val="6FCA008A"/>
    <w:rsid w:val="6FCA12D5"/>
    <w:rsid w:val="6FCA2A16"/>
    <w:rsid w:val="6FCB3EA6"/>
    <w:rsid w:val="6FCD1928"/>
    <w:rsid w:val="6FD11419"/>
    <w:rsid w:val="6FD114CF"/>
    <w:rsid w:val="6FD26F3F"/>
    <w:rsid w:val="6FD46699"/>
    <w:rsid w:val="6FD66A2F"/>
    <w:rsid w:val="6FD809F9"/>
    <w:rsid w:val="6FD864AA"/>
    <w:rsid w:val="6FD9651F"/>
    <w:rsid w:val="6FDD600F"/>
    <w:rsid w:val="6FDE7692"/>
    <w:rsid w:val="6FE0340A"/>
    <w:rsid w:val="6FE078AE"/>
    <w:rsid w:val="6FE3114C"/>
    <w:rsid w:val="6FE32EFA"/>
    <w:rsid w:val="6FE4739E"/>
    <w:rsid w:val="6FE54EC4"/>
    <w:rsid w:val="6FE56C72"/>
    <w:rsid w:val="6FE80510"/>
    <w:rsid w:val="6FEA24DA"/>
    <w:rsid w:val="6FEC1DAE"/>
    <w:rsid w:val="6FF04731"/>
    <w:rsid w:val="6FF15617"/>
    <w:rsid w:val="6FF2313D"/>
    <w:rsid w:val="6FF375E1"/>
    <w:rsid w:val="6FF44542"/>
    <w:rsid w:val="6FF45107"/>
    <w:rsid w:val="6FF60E7F"/>
    <w:rsid w:val="6FF9096F"/>
    <w:rsid w:val="6FF9271D"/>
    <w:rsid w:val="6FF944CB"/>
    <w:rsid w:val="6FFB6495"/>
    <w:rsid w:val="6FFD045F"/>
    <w:rsid w:val="6FFD3FBC"/>
    <w:rsid w:val="6FFE1AE2"/>
    <w:rsid w:val="70001CFE"/>
    <w:rsid w:val="700215D2"/>
    <w:rsid w:val="70027824"/>
    <w:rsid w:val="7003534A"/>
    <w:rsid w:val="70050DD8"/>
    <w:rsid w:val="70090BB2"/>
    <w:rsid w:val="700C2451"/>
    <w:rsid w:val="700E441B"/>
    <w:rsid w:val="700F3CEF"/>
    <w:rsid w:val="70115CB9"/>
    <w:rsid w:val="70117A67"/>
    <w:rsid w:val="70131A31"/>
    <w:rsid w:val="701337DF"/>
    <w:rsid w:val="70141305"/>
    <w:rsid w:val="70143B2C"/>
    <w:rsid w:val="70147557"/>
    <w:rsid w:val="7015387B"/>
    <w:rsid w:val="70154FBC"/>
    <w:rsid w:val="7016507D"/>
    <w:rsid w:val="70165DEE"/>
    <w:rsid w:val="701778DC"/>
    <w:rsid w:val="70180D6C"/>
    <w:rsid w:val="70180DF5"/>
    <w:rsid w:val="70185150"/>
    <w:rsid w:val="701D01BA"/>
    <w:rsid w:val="702275C0"/>
    <w:rsid w:val="7024730F"/>
    <w:rsid w:val="70253512"/>
    <w:rsid w:val="7027728A"/>
    <w:rsid w:val="70291255"/>
    <w:rsid w:val="70294DB1"/>
    <w:rsid w:val="702A28D7"/>
    <w:rsid w:val="702A6D7B"/>
    <w:rsid w:val="702C48A1"/>
    <w:rsid w:val="702E23C7"/>
    <w:rsid w:val="702E5B63"/>
    <w:rsid w:val="702F4391"/>
    <w:rsid w:val="702F7EED"/>
    <w:rsid w:val="70310109"/>
    <w:rsid w:val="70335C2F"/>
    <w:rsid w:val="70366EC6"/>
    <w:rsid w:val="703674CE"/>
    <w:rsid w:val="70383246"/>
    <w:rsid w:val="70390D6C"/>
    <w:rsid w:val="70392C76"/>
    <w:rsid w:val="703A6FBE"/>
    <w:rsid w:val="703D6AAE"/>
    <w:rsid w:val="70422316"/>
    <w:rsid w:val="704240C4"/>
    <w:rsid w:val="70425469"/>
    <w:rsid w:val="70425E72"/>
    <w:rsid w:val="70441BEA"/>
    <w:rsid w:val="704716DB"/>
    <w:rsid w:val="704B11CB"/>
    <w:rsid w:val="704C4F43"/>
    <w:rsid w:val="704C6CF1"/>
    <w:rsid w:val="704E0CBB"/>
    <w:rsid w:val="704F233D"/>
    <w:rsid w:val="705067E1"/>
    <w:rsid w:val="70512559"/>
    <w:rsid w:val="7055204A"/>
    <w:rsid w:val="70560B9A"/>
    <w:rsid w:val="7056191E"/>
    <w:rsid w:val="70587444"/>
    <w:rsid w:val="705B5186"/>
    <w:rsid w:val="705B6F34"/>
    <w:rsid w:val="705D2CAC"/>
    <w:rsid w:val="7060454A"/>
    <w:rsid w:val="706109EE"/>
    <w:rsid w:val="70650803"/>
    <w:rsid w:val="70651B61"/>
    <w:rsid w:val="70657DB3"/>
    <w:rsid w:val="706633D4"/>
    <w:rsid w:val="70674864"/>
    <w:rsid w:val="70691651"/>
    <w:rsid w:val="706978A3"/>
    <w:rsid w:val="706B4675"/>
    <w:rsid w:val="706C7393"/>
    <w:rsid w:val="706D598E"/>
    <w:rsid w:val="706E4EB9"/>
    <w:rsid w:val="70730722"/>
    <w:rsid w:val="707359D8"/>
    <w:rsid w:val="70741DA4"/>
    <w:rsid w:val="7075449A"/>
    <w:rsid w:val="70757FF6"/>
    <w:rsid w:val="70761FC0"/>
    <w:rsid w:val="70781894"/>
    <w:rsid w:val="707840A8"/>
    <w:rsid w:val="70787AE6"/>
    <w:rsid w:val="707A560C"/>
    <w:rsid w:val="707A6132"/>
    <w:rsid w:val="707A6F5B"/>
    <w:rsid w:val="707F2C23"/>
    <w:rsid w:val="707F70C6"/>
    <w:rsid w:val="7080699B"/>
    <w:rsid w:val="70853FB1"/>
    <w:rsid w:val="7089584F"/>
    <w:rsid w:val="708F6BDE"/>
    <w:rsid w:val="70903082"/>
    <w:rsid w:val="70904E30"/>
    <w:rsid w:val="70910BA8"/>
    <w:rsid w:val="70926DFA"/>
    <w:rsid w:val="709366CE"/>
    <w:rsid w:val="70984E6B"/>
    <w:rsid w:val="709A3F00"/>
    <w:rsid w:val="709A5CAE"/>
    <w:rsid w:val="709A7A5C"/>
    <w:rsid w:val="709C1A26"/>
    <w:rsid w:val="709C34A3"/>
    <w:rsid w:val="709C4BE4"/>
    <w:rsid w:val="709D754D"/>
    <w:rsid w:val="70A1703D"/>
    <w:rsid w:val="70A41C35"/>
    <w:rsid w:val="70A628A5"/>
    <w:rsid w:val="70A84617"/>
    <w:rsid w:val="70A94143"/>
    <w:rsid w:val="70AC59E2"/>
    <w:rsid w:val="70AC7790"/>
    <w:rsid w:val="70AE3508"/>
    <w:rsid w:val="70AF6D48"/>
    <w:rsid w:val="70B054D2"/>
    <w:rsid w:val="70B07280"/>
    <w:rsid w:val="70B12FF8"/>
    <w:rsid w:val="70B14239"/>
    <w:rsid w:val="70B14DA6"/>
    <w:rsid w:val="70B328CC"/>
    <w:rsid w:val="70B32E6B"/>
    <w:rsid w:val="70B7060E"/>
    <w:rsid w:val="70B825D8"/>
    <w:rsid w:val="70B84386"/>
    <w:rsid w:val="70BD199D"/>
    <w:rsid w:val="70BD374B"/>
    <w:rsid w:val="70BF5715"/>
    <w:rsid w:val="70C0289D"/>
    <w:rsid w:val="70C1148D"/>
    <w:rsid w:val="70C1323B"/>
    <w:rsid w:val="70C20D61"/>
    <w:rsid w:val="70C251BD"/>
    <w:rsid w:val="70C40F7D"/>
    <w:rsid w:val="70C426AE"/>
    <w:rsid w:val="70C76378"/>
    <w:rsid w:val="70C83C00"/>
    <w:rsid w:val="70C90342"/>
    <w:rsid w:val="70CB79B0"/>
    <w:rsid w:val="70CD7E32"/>
    <w:rsid w:val="70CE3BAA"/>
    <w:rsid w:val="70D0347E"/>
    <w:rsid w:val="70D24CB2"/>
    <w:rsid w:val="70D311C0"/>
    <w:rsid w:val="70D34D1C"/>
    <w:rsid w:val="70D50A94"/>
    <w:rsid w:val="70D51C49"/>
    <w:rsid w:val="70D75F53"/>
    <w:rsid w:val="70DC1E23"/>
    <w:rsid w:val="70DD3DED"/>
    <w:rsid w:val="70DF1913"/>
    <w:rsid w:val="70DF7B65"/>
    <w:rsid w:val="70E37655"/>
    <w:rsid w:val="70E62CA2"/>
    <w:rsid w:val="70E909E4"/>
    <w:rsid w:val="70EB650A"/>
    <w:rsid w:val="70ED2282"/>
    <w:rsid w:val="70ED448B"/>
    <w:rsid w:val="70EE1B56"/>
    <w:rsid w:val="70EE5FFA"/>
    <w:rsid w:val="70EE7DA8"/>
    <w:rsid w:val="70F03B20"/>
    <w:rsid w:val="70F21646"/>
    <w:rsid w:val="70F25AEA"/>
    <w:rsid w:val="70F33611"/>
    <w:rsid w:val="70F3716D"/>
    <w:rsid w:val="70F52EE5"/>
    <w:rsid w:val="70F57389"/>
    <w:rsid w:val="70F829D5"/>
    <w:rsid w:val="70F96E79"/>
    <w:rsid w:val="70FC26EE"/>
    <w:rsid w:val="70FE283F"/>
    <w:rsid w:val="70FE623D"/>
    <w:rsid w:val="70FF3D63"/>
    <w:rsid w:val="710111C0"/>
    <w:rsid w:val="71024D5F"/>
    <w:rsid w:val="71031AA6"/>
    <w:rsid w:val="71033854"/>
    <w:rsid w:val="7104581E"/>
    <w:rsid w:val="71050B09"/>
    <w:rsid w:val="71080E6A"/>
    <w:rsid w:val="710864C2"/>
    <w:rsid w:val="71092E34"/>
    <w:rsid w:val="710941EB"/>
    <w:rsid w:val="71096990"/>
    <w:rsid w:val="710B6BAC"/>
    <w:rsid w:val="710C022E"/>
    <w:rsid w:val="710C7A14"/>
    <w:rsid w:val="710D46D2"/>
    <w:rsid w:val="710D6480"/>
    <w:rsid w:val="710E21F8"/>
    <w:rsid w:val="710F37C4"/>
    <w:rsid w:val="71105F71"/>
    <w:rsid w:val="71123A97"/>
    <w:rsid w:val="71155335"/>
    <w:rsid w:val="71175551"/>
    <w:rsid w:val="711772FF"/>
    <w:rsid w:val="71184E25"/>
    <w:rsid w:val="71186BD3"/>
    <w:rsid w:val="711A1479"/>
    <w:rsid w:val="711A294B"/>
    <w:rsid w:val="711A67B6"/>
    <w:rsid w:val="711C5DC8"/>
    <w:rsid w:val="711F61B4"/>
    <w:rsid w:val="711F7F62"/>
    <w:rsid w:val="71211F2C"/>
    <w:rsid w:val="712330CA"/>
    <w:rsid w:val="71235CA4"/>
    <w:rsid w:val="712437CA"/>
    <w:rsid w:val="71265794"/>
    <w:rsid w:val="7128150C"/>
    <w:rsid w:val="712832BA"/>
    <w:rsid w:val="71285068"/>
    <w:rsid w:val="712B4B58"/>
    <w:rsid w:val="712B6906"/>
    <w:rsid w:val="712E4649"/>
    <w:rsid w:val="713003C1"/>
    <w:rsid w:val="7130216F"/>
    <w:rsid w:val="71333A0D"/>
    <w:rsid w:val="71341C5F"/>
    <w:rsid w:val="71347EB1"/>
    <w:rsid w:val="713A4D9B"/>
    <w:rsid w:val="713E488C"/>
    <w:rsid w:val="713F0604"/>
    <w:rsid w:val="713F23B2"/>
    <w:rsid w:val="714125CE"/>
    <w:rsid w:val="714300F4"/>
    <w:rsid w:val="71431EA2"/>
    <w:rsid w:val="71445C1A"/>
    <w:rsid w:val="714874B8"/>
    <w:rsid w:val="714A76D4"/>
    <w:rsid w:val="714D6337"/>
    <w:rsid w:val="714F4CEB"/>
    <w:rsid w:val="71502811"/>
    <w:rsid w:val="7150636D"/>
    <w:rsid w:val="71535E5D"/>
    <w:rsid w:val="71554849"/>
    <w:rsid w:val="71571FBA"/>
    <w:rsid w:val="715916C6"/>
    <w:rsid w:val="71593474"/>
    <w:rsid w:val="715A093B"/>
    <w:rsid w:val="715A543E"/>
    <w:rsid w:val="715C7408"/>
    <w:rsid w:val="715F4802"/>
    <w:rsid w:val="716360A0"/>
    <w:rsid w:val="71665B90"/>
    <w:rsid w:val="71682F3F"/>
    <w:rsid w:val="71685DAD"/>
    <w:rsid w:val="7169742F"/>
    <w:rsid w:val="716F2C97"/>
    <w:rsid w:val="717007BD"/>
    <w:rsid w:val="717209D9"/>
    <w:rsid w:val="71722787"/>
    <w:rsid w:val="71744751"/>
    <w:rsid w:val="71745F02"/>
    <w:rsid w:val="717464FF"/>
    <w:rsid w:val="71771B4C"/>
    <w:rsid w:val="717B5AE0"/>
    <w:rsid w:val="717C1858"/>
    <w:rsid w:val="717C7162"/>
    <w:rsid w:val="717E2EDA"/>
    <w:rsid w:val="717E737E"/>
    <w:rsid w:val="71803CE9"/>
    <w:rsid w:val="718129CA"/>
    <w:rsid w:val="718304F0"/>
    <w:rsid w:val="71877958"/>
    <w:rsid w:val="718801FD"/>
    <w:rsid w:val="718A5D23"/>
    <w:rsid w:val="718A62D9"/>
    <w:rsid w:val="718B3849"/>
    <w:rsid w:val="718B55F7"/>
    <w:rsid w:val="718F50E7"/>
    <w:rsid w:val="71902C0D"/>
    <w:rsid w:val="719170B1"/>
    <w:rsid w:val="719426FE"/>
    <w:rsid w:val="719646C8"/>
    <w:rsid w:val="7196487C"/>
    <w:rsid w:val="71973F9C"/>
    <w:rsid w:val="7198719C"/>
    <w:rsid w:val="71997D14"/>
    <w:rsid w:val="719C15B2"/>
    <w:rsid w:val="719E17CE"/>
    <w:rsid w:val="719E300E"/>
    <w:rsid w:val="71A1306D"/>
    <w:rsid w:val="71A16BC9"/>
    <w:rsid w:val="71A212BE"/>
    <w:rsid w:val="71A30B93"/>
    <w:rsid w:val="71A462ED"/>
    <w:rsid w:val="71A55281"/>
    <w:rsid w:val="71A62431"/>
    <w:rsid w:val="71A768D5"/>
    <w:rsid w:val="71A843FB"/>
    <w:rsid w:val="71A861A9"/>
    <w:rsid w:val="71A87F57"/>
    <w:rsid w:val="71AA3CCF"/>
    <w:rsid w:val="71B132B0"/>
    <w:rsid w:val="71B20DD6"/>
    <w:rsid w:val="71B33DA4"/>
    <w:rsid w:val="71B45234"/>
    <w:rsid w:val="71B72890"/>
    <w:rsid w:val="71B763EC"/>
    <w:rsid w:val="71B92164"/>
    <w:rsid w:val="71B96608"/>
    <w:rsid w:val="71BB2380"/>
    <w:rsid w:val="71BB5107"/>
    <w:rsid w:val="71C11019"/>
    <w:rsid w:val="71C11862"/>
    <w:rsid w:val="71C1726B"/>
    <w:rsid w:val="71C31235"/>
    <w:rsid w:val="71C44D29"/>
    <w:rsid w:val="71C50B09"/>
    <w:rsid w:val="71C8627B"/>
    <w:rsid w:val="71CB1E97"/>
    <w:rsid w:val="71CD79BE"/>
    <w:rsid w:val="71CF7BDA"/>
    <w:rsid w:val="71D118A9"/>
    <w:rsid w:val="71D23226"/>
    <w:rsid w:val="71D376CA"/>
    <w:rsid w:val="71D40D4C"/>
    <w:rsid w:val="71D46F9E"/>
    <w:rsid w:val="71D62D16"/>
    <w:rsid w:val="71D7083C"/>
    <w:rsid w:val="71D84CE0"/>
    <w:rsid w:val="71DB46F1"/>
    <w:rsid w:val="71E01DE7"/>
    <w:rsid w:val="71E03B95"/>
    <w:rsid w:val="71E05072"/>
    <w:rsid w:val="71E371E1"/>
    <w:rsid w:val="71E52F59"/>
    <w:rsid w:val="71E573FD"/>
    <w:rsid w:val="71E76CD1"/>
    <w:rsid w:val="71EC078C"/>
    <w:rsid w:val="71EC42E8"/>
    <w:rsid w:val="71ED1E0E"/>
    <w:rsid w:val="71F118FE"/>
    <w:rsid w:val="71F15DA2"/>
    <w:rsid w:val="71F17B50"/>
    <w:rsid w:val="71F32978"/>
    <w:rsid w:val="71F370EC"/>
    <w:rsid w:val="71F413EE"/>
    <w:rsid w:val="71F633B8"/>
    <w:rsid w:val="71F72C8D"/>
    <w:rsid w:val="71F80EDE"/>
    <w:rsid w:val="71F87130"/>
    <w:rsid w:val="71FC02A3"/>
    <w:rsid w:val="71FD482A"/>
    <w:rsid w:val="71FD5767"/>
    <w:rsid w:val="71FE226D"/>
    <w:rsid w:val="71FE401B"/>
    <w:rsid w:val="71FE6305"/>
    <w:rsid w:val="72001B41"/>
    <w:rsid w:val="7201640C"/>
    <w:rsid w:val="72023B0B"/>
    <w:rsid w:val="720553A9"/>
    <w:rsid w:val="72062ED0"/>
    <w:rsid w:val="72084E9A"/>
    <w:rsid w:val="720A602E"/>
    <w:rsid w:val="720A6E64"/>
    <w:rsid w:val="720B208F"/>
    <w:rsid w:val="720D425E"/>
    <w:rsid w:val="720E0702"/>
    <w:rsid w:val="720F6228"/>
    <w:rsid w:val="720F7FD6"/>
    <w:rsid w:val="72113D4E"/>
    <w:rsid w:val="72181581"/>
    <w:rsid w:val="72183203"/>
    <w:rsid w:val="72190E55"/>
    <w:rsid w:val="721970A7"/>
    <w:rsid w:val="721B4BCD"/>
    <w:rsid w:val="721D26F3"/>
    <w:rsid w:val="721E646B"/>
    <w:rsid w:val="72200435"/>
    <w:rsid w:val="722241AD"/>
    <w:rsid w:val="72247F25"/>
    <w:rsid w:val="72255A4C"/>
    <w:rsid w:val="72256827"/>
    <w:rsid w:val="722A3062"/>
    <w:rsid w:val="722C0B88"/>
    <w:rsid w:val="722C6DDA"/>
    <w:rsid w:val="722D2858"/>
    <w:rsid w:val="722F68CA"/>
    <w:rsid w:val="723143F0"/>
    <w:rsid w:val="72330169"/>
    <w:rsid w:val="72331F17"/>
    <w:rsid w:val="72345C8F"/>
    <w:rsid w:val="723839D1"/>
    <w:rsid w:val="723914F7"/>
    <w:rsid w:val="723932A5"/>
    <w:rsid w:val="723D3A8D"/>
    <w:rsid w:val="723E08BB"/>
    <w:rsid w:val="723E2669"/>
    <w:rsid w:val="72404633"/>
    <w:rsid w:val="724063E2"/>
    <w:rsid w:val="72477770"/>
    <w:rsid w:val="724A7260"/>
    <w:rsid w:val="724D0AFE"/>
    <w:rsid w:val="72516841"/>
    <w:rsid w:val="7252339E"/>
    <w:rsid w:val="725400DF"/>
    <w:rsid w:val="72541E8D"/>
    <w:rsid w:val="72564634"/>
    <w:rsid w:val="72565C05"/>
    <w:rsid w:val="7258197D"/>
    <w:rsid w:val="72587BCF"/>
    <w:rsid w:val="725974A3"/>
    <w:rsid w:val="725A3947"/>
    <w:rsid w:val="725D6D65"/>
    <w:rsid w:val="725D6F93"/>
    <w:rsid w:val="725F0F5E"/>
    <w:rsid w:val="72600832"/>
    <w:rsid w:val="726227FC"/>
    <w:rsid w:val="72646574"/>
    <w:rsid w:val="726522EC"/>
    <w:rsid w:val="72655E48"/>
    <w:rsid w:val="72664129"/>
    <w:rsid w:val="72676064"/>
    <w:rsid w:val="72691DDC"/>
    <w:rsid w:val="726A345E"/>
    <w:rsid w:val="726A7902"/>
    <w:rsid w:val="726B5B54"/>
    <w:rsid w:val="726C71D7"/>
    <w:rsid w:val="726E2F4F"/>
    <w:rsid w:val="726F4F19"/>
    <w:rsid w:val="726F6CC7"/>
    <w:rsid w:val="727051DB"/>
    <w:rsid w:val="72710C91"/>
    <w:rsid w:val="7271123C"/>
    <w:rsid w:val="72730565"/>
    <w:rsid w:val="72734A09"/>
    <w:rsid w:val="727442DD"/>
    <w:rsid w:val="72744FEC"/>
    <w:rsid w:val="72785B7B"/>
    <w:rsid w:val="727918F3"/>
    <w:rsid w:val="727A55F7"/>
    <w:rsid w:val="727F33AE"/>
    <w:rsid w:val="72802C82"/>
    <w:rsid w:val="728269FA"/>
    <w:rsid w:val="72842772"/>
    <w:rsid w:val="72850298"/>
    <w:rsid w:val="7285473C"/>
    <w:rsid w:val="728564EA"/>
    <w:rsid w:val="72895FDA"/>
    <w:rsid w:val="72897D89"/>
    <w:rsid w:val="728A3B01"/>
    <w:rsid w:val="728A58AF"/>
    <w:rsid w:val="728C5ACB"/>
    <w:rsid w:val="728C7879"/>
    <w:rsid w:val="728E0764"/>
    <w:rsid w:val="728E1843"/>
    <w:rsid w:val="72907369"/>
    <w:rsid w:val="72930C07"/>
    <w:rsid w:val="72936E59"/>
    <w:rsid w:val="72955A66"/>
    <w:rsid w:val="729624A5"/>
    <w:rsid w:val="7298446F"/>
    <w:rsid w:val="7298621E"/>
    <w:rsid w:val="72987FCC"/>
    <w:rsid w:val="729A01E8"/>
    <w:rsid w:val="729A1F96"/>
    <w:rsid w:val="729A3D44"/>
    <w:rsid w:val="729B7ABC"/>
    <w:rsid w:val="729C3F60"/>
    <w:rsid w:val="729F135A"/>
    <w:rsid w:val="729F57FE"/>
    <w:rsid w:val="72A11576"/>
    <w:rsid w:val="72A42EE3"/>
    <w:rsid w:val="72A44BC2"/>
    <w:rsid w:val="72A526E9"/>
    <w:rsid w:val="72A66B8C"/>
    <w:rsid w:val="72A76461"/>
    <w:rsid w:val="72A77E7B"/>
    <w:rsid w:val="72A9042B"/>
    <w:rsid w:val="72AA6492"/>
    <w:rsid w:val="72AA7CFF"/>
    <w:rsid w:val="72AB41A3"/>
    <w:rsid w:val="72AC3A77"/>
    <w:rsid w:val="72AC7F1B"/>
    <w:rsid w:val="72AE5A41"/>
    <w:rsid w:val="72B15531"/>
    <w:rsid w:val="72B172DF"/>
    <w:rsid w:val="72B666A4"/>
    <w:rsid w:val="72B868C0"/>
    <w:rsid w:val="72BA2638"/>
    <w:rsid w:val="72BA43E6"/>
    <w:rsid w:val="72BB015E"/>
    <w:rsid w:val="72BD5C84"/>
    <w:rsid w:val="72BD7A32"/>
    <w:rsid w:val="72BF37AA"/>
    <w:rsid w:val="72C45265"/>
    <w:rsid w:val="72C47013"/>
    <w:rsid w:val="72C54B39"/>
    <w:rsid w:val="72C9287B"/>
    <w:rsid w:val="72C94629"/>
    <w:rsid w:val="72CB03A1"/>
    <w:rsid w:val="72CD4767"/>
    <w:rsid w:val="72CE3026"/>
    <w:rsid w:val="72CE7E91"/>
    <w:rsid w:val="72D24194"/>
    <w:rsid w:val="72D354A8"/>
    <w:rsid w:val="72D37256"/>
    <w:rsid w:val="72D57472"/>
    <w:rsid w:val="72D64389"/>
    <w:rsid w:val="72D66D46"/>
    <w:rsid w:val="72D74F98"/>
    <w:rsid w:val="72D80D10"/>
    <w:rsid w:val="72DA05E4"/>
    <w:rsid w:val="72DA6836"/>
    <w:rsid w:val="72DD425C"/>
    <w:rsid w:val="72DF209E"/>
    <w:rsid w:val="72DF3E4C"/>
    <w:rsid w:val="72DF5BFA"/>
    <w:rsid w:val="72E13945"/>
    <w:rsid w:val="72E2393D"/>
    <w:rsid w:val="72E256EB"/>
    <w:rsid w:val="72E66F89"/>
    <w:rsid w:val="72EB0A43"/>
    <w:rsid w:val="72EC0317"/>
    <w:rsid w:val="72ED47BB"/>
    <w:rsid w:val="72EE22E1"/>
    <w:rsid w:val="72EE5E3E"/>
    <w:rsid w:val="72F07E08"/>
    <w:rsid w:val="72F1592E"/>
    <w:rsid w:val="72F20CDA"/>
    <w:rsid w:val="72F21DD2"/>
    <w:rsid w:val="72F35B4A"/>
    <w:rsid w:val="72F378F8"/>
    <w:rsid w:val="72F431B5"/>
    <w:rsid w:val="72F62F44"/>
    <w:rsid w:val="72F83160"/>
    <w:rsid w:val="72F84F0E"/>
    <w:rsid w:val="72F9312A"/>
    <w:rsid w:val="72F97723"/>
    <w:rsid w:val="72FA0C86"/>
    <w:rsid w:val="72FD2525"/>
    <w:rsid w:val="72FD42D3"/>
    <w:rsid w:val="73010267"/>
    <w:rsid w:val="73027B3B"/>
    <w:rsid w:val="73065C4E"/>
    <w:rsid w:val="73090EC9"/>
    <w:rsid w:val="73092C77"/>
    <w:rsid w:val="730B2E93"/>
    <w:rsid w:val="730D09BA"/>
    <w:rsid w:val="730E028E"/>
    <w:rsid w:val="73102258"/>
    <w:rsid w:val="73104006"/>
    <w:rsid w:val="73113A82"/>
    <w:rsid w:val="73124222"/>
    <w:rsid w:val="73125FD0"/>
    <w:rsid w:val="73133AF6"/>
    <w:rsid w:val="73137F9A"/>
    <w:rsid w:val="73165394"/>
    <w:rsid w:val="73172CAC"/>
    <w:rsid w:val="7318110C"/>
    <w:rsid w:val="731955B0"/>
    <w:rsid w:val="731A1328"/>
    <w:rsid w:val="731A2D6E"/>
    <w:rsid w:val="731A30D6"/>
    <w:rsid w:val="731E2BC7"/>
    <w:rsid w:val="73223D39"/>
    <w:rsid w:val="73257E81"/>
    <w:rsid w:val="73261A7B"/>
    <w:rsid w:val="73263829"/>
    <w:rsid w:val="732727A1"/>
    <w:rsid w:val="732857F3"/>
    <w:rsid w:val="7329230A"/>
    <w:rsid w:val="732A3D34"/>
    <w:rsid w:val="732B7092"/>
    <w:rsid w:val="732C5183"/>
    <w:rsid w:val="732E6B82"/>
    <w:rsid w:val="732F4E6A"/>
    <w:rsid w:val="73307239"/>
    <w:rsid w:val="73316424"/>
    <w:rsid w:val="73335F46"/>
    <w:rsid w:val="73373C88"/>
    <w:rsid w:val="733A1083"/>
    <w:rsid w:val="733D0B73"/>
    <w:rsid w:val="733E5017"/>
    <w:rsid w:val="733F0D8F"/>
    <w:rsid w:val="733F2B3D"/>
    <w:rsid w:val="733F48EB"/>
    <w:rsid w:val="73412411"/>
    <w:rsid w:val="73421F7A"/>
    <w:rsid w:val="73426189"/>
    <w:rsid w:val="7343262D"/>
    <w:rsid w:val="73441CC9"/>
    <w:rsid w:val="734463A5"/>
    <w:rsid w:val="73497518"/>
    <w:rsid w:val="734B7734"/>
    <w:rsid w:val="734F19AD"/>
    <w:rsid w:val="73504D4A"/>
    <w:rsid w:val="73506AF8"/>
    <w:rsid w:val="7352461E"/>
    <w:rsid w:val="73532145"/>
    <w:rsid w:val="735465E8"/>
    <w:rsid w:val="73571880"/>
    <w:rsid w:val="735859AD"/>
    <w:rsid w:val="7358775B"/>
    <w:rsid w:val="735A34D3"/>
    <w:rsid w:val="735C36EF"/>
    <w:rsid w:val="735C549D"/>
    <w:rsid w:val="735E1215"/>
    <w:rsid w:val="735E7467"/>
    <w:rsid w:val="736305DA"/>
    <w:rsid w:val="73634A7D"/>
    <w:rsid w:val="736D3206"/>
    <w:rsid w:val="736E51D0"/>
    <w:rsid w:val="736F73AB"/>
    <w:rsid w:val="73700F48"/>
    <w:rsid w:val="73702CF6"/>
    <w:rsid w:val="7372081D"/>
    <w:rsid w:val="73740A39"/>
    <w:rsid w:val="73742238"/>
    <w:rsid w:val="7375030D"/>
    <w:rsid w:val="737547B1"/>
    <w:rsid w:val="7375655F"/>
    <w:rsid w:val="7376359C"/>
    <w:rsid w:val="73774085"/>
    <w:rsid w:val="73797DFD"/>
    <w:rsid w:val="737A3B75"/>
    <w:rsid w:val="737C169B"/>
    <w:rsid w:val="737C5B3F"/>
    <w:rsid w:val="737E18B7"/>
    <w:rsid w:val="737E5805"/>
    <w:rsid w:val="737F118B"/>
    <w:rsid w:val="737F2F3A"/>
    <w:rsid w:val="73814F04"/>
    <w:rsid w:val="73816CB2"/>
    <w:rsid w:val="73830C7C"/>
    <w:rsid w:val="73830E95"/>
    <w:rsid w:val="73832A2A"/>
    <w:rsid w:val="73842E33"/>
    <w:rsid w:val="738467A2"/>
    <w:rsid w:val="738531BD"/>
    <w:rsid w:val="738549F4"/>
    <w:rsid w:val="7386251A"/>
    <w:rsid w:val="738642C8"/>
    <w:rsid w:val="73886F6D"/>
    <w:rsid w:val="73893DB8"/>
    <w:rsid w:val="738A025C"/>
    <w:rsid w:val="738F5872"/>
    <w:rsid w:val="739015EB"/>
    <w:rsid w:val="73903399"/>
    <w:rsid w:val="73920EBF"/>
    <w:rsid w:val="73922C6D"/>
    <w:rsid w:val="73941822"/>
    <w:rsid w:val="73944C37"/>
    <w:rsid w:val="7395275D"/>
    <w:rsid w:val="73970283"/>
    <w:rsid w:val="739764D5"/>
    <w:rsid w:val="73981633"/>
    <w:rsid w:val="7399224D"/>
    <w:rsid w:val="73993FFB"/>
    <w:rsid w:val="739A5FC5"/>
    <w:rsid w:val="739C3AEB"/>
    <w:rsid w:val="739E54A5"/>
    <w:rsid w:val="739E7864"/>
    <w:rsid w:val="739F538A"/>
    <w:rsid w:val="73A0182E"/>
    <w:rsid w:val="73A47BD6"/>
    <w:rsid w:val="73A51066"/>
    <w:rsid w:val="73A82490"/>
    <w:rsid w:val="73A92E61"/>
    <w:rsid w:val="73AA6208"/>
    <w:rsid w:val="73AB01D2"/>
    <w:rsid w:val="73AB1F81"/>
    <w:rsid w:val="73AB4594"/>
    <w:rsid w:val="73AD7AA7"/>
    <w:rsid w:val="73AF3858"/>
    <w:rsid w:val="73B01345"/>
    <w:rsid w:val="73B07597"/>
    <w:rsid w:val="73B21561"/>
    <w:rsid w:val="73B2330F"/>
    <w:rsid w:val="73B250BD"/>
    <w:rsid w:val="73B33669"/>
    <w:rsid w:val="73B40E35"/>
    <w:rsid w:val="73B452D9"/>
    <w:rsid w:val="73B47087"/>
    <w:rsid w:val="73B74BBB"/>
    <w:rsid w:val="73B81C95"/>
    <w:rsid w:val="73BB0416"/>
    <w:rsid w:val="73BC5F3C"/>
    <w:rsid w:val="73BE1CB4"/>
    <w:rsid w:val="73BE3A62"/>
    <w:rsid w:val="73BF77DA"/>
    <w:rsid w:val="73C05A2C"/>
    <w:rsid w:val="73C13552"/>
    <w:rsid w:val="73C31078"/>
    <w:rsid w:val="73C51294"/>
    <w:rsid w:val="73C53042"/>
    <w:rsid w:val="73C61ADF"/>
    <w:rsid w:val="73C6500C"/>
    <w:rsid w:val="73C66DBA"/>
    <w:rsid w:val="73CA68AB"/>
    <w:rsid w:val="73CB43D1"/>
    <w:rsid w:val="73CC7E08"/>
    <w:rsid w:val="73CD639B"/>
    <w:rsid w:val="73CE0271"/>
    <w:rsid w:val="73D414D7"/>
    <w:rsid w:val="73D634A1"/>
    <w:rsid w:val="73D6524F"/>
    <w:rsid w:val="73D6656C"/>
    <w:rsid w:val="73D72D76"/>
    <w:rsid w:val="73D74111"/>
    <w:rsid w:val="73D74B24"/>
    <w:rsid w:val="73D76F2A"/>
    <w:rsid w:val="73D94D40"/>
    <w:rsid w:val="73DA13E5"/>
    <w:rsid w:val="73DA4614"/>
    <w:rsid w:val="73DB0AB8"/>
    <w:rsid w:val="73DC038C"/>
    <w:rsid w:val="73DD5195"/>
    <w:rsid w:val="73E01C2A"/>
    <w:rsid w:val="73E13BF4"/>
    <w:rsid w:val="73E3171A"/>
    <w:rsid w:val="73E536E4"/>
    <w:rsid w:val="73E57241"/>
    <w:rsid w:val="73E62FB9"/>
    <w:rsid w:val="73E84F83"/>
    <w:rsid w:val="73E86D31"/>
    <w:rsid w:val="73EA0CFB"/>
    <w:rsid w:val="73EA4857"/>
    <w:rsid w:val="73EB6821"/>
    <w:rsid w:val="73ED07EB"/>
    <w:rsid w:val="73EF00BF"/>
    <w:rsid w:val="73EF1E6D"/>
    <w:rsid w:val="73F05BE5"/>
    <w:rsid w:val="73F6144E"/>
    <w:rsid w:val="73F751C6"/>
    <w:rsid w:val="73F90F3E"/>
    <w:rsid w:val="73F92CEC"/>
    <w:rsid w:val="73FB2F08"/>
    <w:rsid w:val="73FC0A2E"/>
    <w:rsid w:val="73FE6554"/>
    <w:rsid w:val="73FE7350"/>
    <w:rsid w:val="74021175"/>
    <w:rsid w:val="74031D63"/>
    <w:rsid w:val="74031DBD"/>
    <w:rsid w:val="74035919"/>
    <w:rsid w:val="74055AE2"/>
    <w:rsid w:val="740643A1"/>
    <w:rsid w:val="74070402"/>
    <w:rsid w:val="7407365B"/>
    <w:rsid w:val="74081892"/>
    <w:rsid w:val="74085625"/>
    <w:rsid w:val="740873D3"/>
    <w:rsid w:val="740A314B"/>
    <w:rsid w:val="740A4EF9"/>
    <w:rsid w:val="740B21FC"/>
    <w:rsid w:val="740B2A1F"/>
    <w:rsid w:val="740D6797"/>
    <w:rsid w:val="740F250F"/>
    <w:rsid w:val="74145D78"/>
    <w:rsid w:val="74182CF8"/>
    <w:rsid w:val="741915E0"/>
    <w:rsid w:val="7419513C"/>
    <w:rsid w:val="74196B2F"/>
    <w:rsid w:val="741B2C62"/>
    <w:rsid w:val="741B7106"/>
    <w:rsid w:val="741C0050"/>
    <w:rsid w:val="741C4C2C"/>
    <w:rsid w:val="74275AAB"/>
    <w:rsid w:val="74281823"/>
    <w:rsid w:val="742835D1"/>
    <w:rsid w:val="7428537F"/>
    <w:rsid w:val="742A7349"/>
    <w:rsid w:val="742F2BB2"/>
    <w:rsid w:val="743106D8"/>
    <w:rsid w:val="7431692A"/>
    <w:rsid w:val="743261FE"/>
    <w:rsid w:val="74345465"/>
    <w:rsid w:val="7434641A"/>
    <w:rsid w:val="74373814"/>
    <w:rsid w:val="74381980"/>
    <w:rsid w:val="74381A66"/>
    <w:rsid w:val="743B1556"/>
    <w:rsid w:val="743C0782"/>
    <w:rsid w:val="74416441"/>
    <w:rsid w:val="7443040B"/>
    <w:rsid w:val="74463A57"/>
    <w:rsid w:val="74471CA9"/>
    <w:rsid w:val="744A2D86"/>
    <w:rsid w:val="744B4216"/>
    <w:rsid w:val="744C5512"/>
    <w:rsid w:val="74557E99"/>
    <w:rsid w:val="745A5E80"/>
    <w:rsid w:val="745B39A7"/>
    <w:rsid w:val="745D14CD"/>
    <w:rsid w:val="745E5245"/>
    <w:rsid w:val="745F3497"/>
    <w:rsid w:val="74602D6B"/>
    <w:rsid w:val="74604B19"/>
    <w:rsid w:val="7460720F"/>
    <w:rsid w:val="7463392D"/>
    <w:rsid w:val="74640AAD"/>
    <w:rsid w:val="74650381"/>
    <w:rsid w:val="74654825"/>
    <w:rsid w:val="746639EF"/>
    <w:rsid w:val="74670575"/>
    <w:rsid w:val="74675EA7"/>
    <w:rsid w:val="746A1E3C"/>
    <w:rsid w:val="746A5998"/>
    <w:rsid w:val="746C1710"/>
    <w:rsid w:val="746E36DA"/>
    <w:rsid w:val="746F7452"/>
    <w:rsid w:val="747131CA"/>
    <w:rsid w:val="74716D26"/>
    <w:rsid w:val="74732A9E"/>
    <w:rsid w:val="74744A68"/>
    <w:rsid w:val="74746816"/>
    <w:rsid w:val="7476433D"/>
    <w:rsid w:val="747932AA"/>
    <w:rsid w:val="747A3D00"/>
    <w:rsid w:val="747D1B6F"/>
    <w:rsid w:val="747D56CB"/>
    <w:rsid w:val="74827185"/>
    <w:rsid w:val="74866CC7"/>
    <w:rsid w:val="748702F8"/>
    <w:rsid w:val="74890514"/>
    <w:rsid w:val="748C0004"/>
    <w:rsid w:val="748C250E"/>
    <w:rsid w:val="748C590E"/>
    <w:rsid w:val="748E607C"/>
    <w:rsid w:val="749018A2"/>
    <w:rsid w:val="7490551B"/>
    <w:rsid w:val="749169AB"/>
    <w:rsid w:val="74942A15"/>
    <w:rsid w:val="7496138D"/>
    <w:rsid w:val="74962C31"/>
    <w:rsid w:val="7496678D"/>
    <w:rsid w:val="7497281D"/>
    <w:rsid w:val="74983CAD"/>
    <w:rsid w:val="7499002B"/>
    <w:rsid w:val="7499627D"/>
    <w:rsid w:val="74A0585D"/>
    <w:rsid w:val="74A138CF"/>
    <w:rsid w:val="74A40EAA"/>
    <w:rsid w:val="74A43991"/>
    <w:rsid w:val="74A67741"/>
    <w:rsid w:val="74A964C0"/>
    <w:rsid w:val="74AA048A"/>
    <w:rsid w:val="74AA2238"/>
    <w:rsid w:val="74AC4202"/>
    <w:rsid w:val="74AC5FB0"/>
    <w:rsid w:val="74AE3AD6"/>
    <w:rsid w:val="74B35591"/>
    <w:rsid w:val="74B44E65"/>
    <w:rsid w:val="74B51309"/>
    <w:rsid w:val="74B60BDD"/>
    <w:rsid w:val="74B65081"/>
    <w:rsid w:val="74BD640F"/>
    <w:rsid w:val="74BE59C8"/>
    <w:rsid w:val="74C23A26"/>
    <w:rsid w:val="74C4154C"/>
    <w:rsid w:val="74C432FA"/>
    <w:rsid w:val="74C50E20"/>
    <w:rsid w:val="74C57072"/>
    <w:rsid w:val="74C652C4"/>
    <w:rsid w:val="74C7103C"/>
    <w:rsid w:val="74C72DEA"/>
    <w:rsid w:val="74C90910"/>
    <w:rsid w:val="74C96B62"/>
    <w:rsid w:val="74CB28DA"/>
    <w:rsid w:val="74CE23CA"/>
    <w:rsid w:val="74D379E1"/>
    <w:rsid w:val="74D53759"/>
    <w:rsid w:val="74D6302D"/>
    <w:rsid w:val="74D77CB0"/>
    <w:rsid w:val="74D80B53"/>
    <w:rsid w:val="74D86DA5"/>
    <w:rsid w:val="74DA3A60"/>
    <w:rsid w:val="74DB4EF0"/>
    <w:rsid w:val="74DD3B22"/>
    <w:rsid w:val="74E05C5A"/>
    <w:rsid w:val="74E120FE"/>
    <w:rsid w:val="74E219D2"/>
    <w:rsid w:val="74E7348C"/>
    <w:rsid w:val="74E97204"/>
    <w:rsid w:val="74ED65A8"/>
    <w:rsid w:val="74EE0377"/>
    <w:rsid w:val="74EE65C9"/>
    <w:rsid w:val="74EE6765"/>
    <w:rsid w:val="74F00593"/>
    <w:rsid w:val="74F11C15"/>
    <w:rsid w:val="74F248B8"/>
    <w:rsid w:val="74F31E31"/>
    <w:rsid w:val="74F3598D"/>
    <w:rsid w:val="74F51705"/>
    <w:rsid w:val="74F57957"/>
    <w:rsid w:val="74F6547D"/>
    <w:rsid w:val="74F6722B"/>
    <w:rsid w:val="74F71921"/>
    <w:rsid w:val="74F7482A"/>
    <w:rsid w:val="74F778EB"/>
    <w:rsid w:val="74F87447"/>
    <w:rsid w:val="74FD4A5E"/>
    <w:rsid w:val="7501454E"/>
    <w:rsid w:val="750162FC"/>
    <w:rsid w:val="750202C6"/>
    <w:rsid w:val="75022074"/>
    <w:rsid w:val="7505015D"/>
    <w:rsid w:val="75061B64"/>
    <w:rsid w:val="75063912"/>
    <w:rsid w:val="75071439"/>
    <w:rsid w:val="750758DC"/>
    <w:rsid w:val="75093403"/>
    <w:rsid w:val="750951B1"/>
    <w:rsid w:val="750B71C1"/>
    <w:rsid w:val="750D2EF3"/>
    <w:rsid w:val="750E120F"/>
    <w:rsid w:val="750E6C6B"/>
    <w:rsid w:val="751002ED"/>
    <w:rsid w:val="751112D1"/>
    <w:rsid w:val="7513602F"/>
    <w:rsid w:val="75153B55"/>
    <w:rsid w:val="7516167C"/>
    <w:rsid w:val="75175B20"/>
    <w:rsid w:val="75181898"/>
    <w:rsid w:val="75183646"/>
    <w:rsid w:val="751A5610"/>
    <w:rsid w:val="751D6EAE"/>
    <w:rsid w:val="751F6782"/>
    <w:rsid w:val="75204D65"/>
    <w:rsid w:val="7521074C"/>
    <w:rsid w:val="75210DC6"/>
    <w:rsid w:val="752124FA"/>
    <w:rsid w:val="75226272"/>
    <w:rsid w:val="75232716"/>
    <w:rsid w:val="75267495"/>
    <w:rsid w:val="75273889"/>
    <w:rsid w:val="75287D2D"/>
    <w:rsid w:val="75297C98"/>
    <w:rsid w:val="752B3379"/>
    <w:rsid w:val="752B3E5C"/>
    <w:rsid w:val="752B4A48"/>
    <w:rsid w:val="752C0E9F"/>
    <w:rsid w:val="752C3307"/>
    <w:rsid w:val="752D7368"/>
    <w:rsid w:val="752F4586"/>
    <w:rsid w:val="7530098F"/>
    <w:rsid w:val="753164B5"/>
    <w:rsid w:val="75324707"/>
    <w:rsid w:val="75363ACC"/>
    <w:rsid w:val="75377F70"/>
    <w:rsid w:val="75385A96"/>
    <w:rsid w:val="753A35BC"/>
    <w:rsid w:val="753B10E2"/>
    <w:rsid w:val="753D12FE"/>
    <w:rsid w:val="753D4E5A"/>
    <w:rsid w:val="75436915"/>
    <w:rsid w:val="754461E9"/>
    <w:rsid w:val="754601B3"/>
    <w:rsid w:val="75461F61"/>
    <w:rsid w:val="7548217D"/>
    <w:rsid w:val="75491A51"/>
    <w:rsid w:val="75497CA3"/>
    <w:rsid w:val="754B3A1B"/>
    <w:rsid w:val="754D5211"/>
    <w:rsid w:val="754E350B"/>
    <w:rsid w:val="754E52B9"/>
    <w:rsid w:val="75501031"/>
    <w:rsid w:val="75502DDF"/>
    <w:rsid w:val="75524DAA"/>
    <w:rsid w:val="75530B22"/>
    <w:rsid w:val="755521A4"/>
    <w:rsid w:val="755774A8"/>
    <w:rsid w:val="75596138"/>
    <w:rsid w:val="755A5A0C"/>
    <w:rsid w:val="755B6EDC"/>
    <w:rsid w:val="755C0CA5"/>
    <w:rsid w:val="755C3532"/>
    <w:rsid w:val="755D54FC"/>
    <w:rsid w:val="755D7AAE"/>
    <w:rsid w:val="755E374E"/>
    <w:rsid w:val="755F74C6"/>
    <w:rsid w:val="7561323F"/>
    <w:rsid w:val="75616D9B"/>
    <w:rsid w:val="75622B13"/>
    <w:rsid w:val="7563404D"/>
    <w:rsid w:val="75640639"/>
    <w:rsid w:val="7564688B"/>
    <w:rsid w:val="75671ED7"/>
    <w:rsid w:val="75681E19"/>
    <w:rsid w:val="7568637B"/>
    <w:rsid w:val="756920F3"/>
    <w:rsid w:val="756A5E7A"/>
    <w:rsid w:val="756B5E6B"/>
    <w:rsid w:val="756B7C19"/>
    <w:rsid w:val="756D1BE3"/>
    <w:rsid w:val="756D573F"/>
    <w:rsid w:val="756E3266"/>
    <w:rsid w:val="75705230"/>
    <w:rsid w:val="757271FA"/>
    <w:rsid w:val="757765BE"/>
    <w:rsid w:val="757A1C0A"/>
    <w:rsid w:val="757A4300"/>
    <w:rsid w:val="757C1E26"/>
    <w:rsid w:val="757C3BD5"/>
    <w:rsid w:val="757D16FB"/>
    <w:rsid w:val="757E5B9F"/>
    <w:rsid w:val="757F5473"/>
    <w:rsid w:val="757F6C10"/>
    <w:rsid w:val="75840CDB"/>
    <w:rsid w:val="75862CA5"/>
    <w:rsid w:val="75864A53"/>
    <w:rsid w:val="75866801"/>
    <w:rsid w:val="7587042E"/>
    <w:rsid w:val="758807CB"/>
    <w:rsid w:val="75894543"/>
    <w:rsid w:val="758B02BC"/>
    <w:rsid w:val="758D193E"/>
    <w:rsid w:val="758D5DE2"/>
    <w:rsid w:val="758F1B5A"/>
    <w:rsid w:val="7590142E"/>
    <w:rsid w:val="75907680"/>
    <w:rsid w:val="75930F1E"/>
    <w:rsid w:val="75932CCC"/>
    <w:rsid w:val="75970A0E"/>
    <w:rsid w:val="75976C60"/>
    <w:rsid w:val="75986535"/>
    <w:rsid w:val="759A405B"/>
    <w:rsid w:val="759C4277"/>
    <w:rsid w:val="759C6025"/>
    <w:rsid w:val="759C7DD3"/>
    <w:rsid w:val="759E3B4B"/>
    <w:rsid w:val="75A03D67"/>
    <w:rsid w:val="75A1188D"/>
    <w:rsid w:val="75A24B7B"/>
    <w:rsid w:val="75A629FF"/>
    <w:rsid w:val="75A650F5"/>
    <w:rsid w:val="75A86778"/>
    <w:rsid w:val="75AB270C"/>
    <w:rsid w:val="75AB44BA"/>
    <w:rsid w:val="75AE311E"/>
    <w:rsid w:val="75AF3FAA"/>
    <w:rsid w:val="75B0387E"/>
    <w:rsid w:val="75B25848"/>
    <w:rsid w:val="75B3511C"/>
    <w:rsid w:val="75B35B00"/>
    <w:rsid w:val="75B4584F"/>
    <w:rsid w:val="75B50E95"/>
    <w:rsid w:val="75B570E6"/>
    <w:rsid w:val="75B74C0D"/>
    <w:rsid w:val="75B90231"/>
    <w:rsid w:val="75B90985"/>
    <w:rsid w:val="75BE243F"/>
    <w:rsid w:val="75BF1D13"/>
    <w:rsid w:val="75C15A8B"/>
    <w:rsid w:val="75C335B1"/>
    <w:rsid w:val="75C37A55"/>
    <w:rsid w:val="75C612F4"/>
    <w:rsid w:val="75CA2B92"/>
    <w:rsid w:val="75CD2682"/>
    <w:rsid w:val="75CD61DE"/>
    <w:rsid w:val="75CE1F56"/>
    <w:rsid w:val="75CF01A8"/>
    <w:rsid w:val="75D164B8"/>
    <w:rsid w:val="75D237F5"/>
    <w:rsid w:val="75D25EEA"/>
    <w:rsid w:val="75D27C98"/>
    <w:rsid w:val="75D457BF"/>
    <w:rsid w:val="75D51537"/>
    <w:rsid w:val="75D532E5"/>
    <w:rsid w:val="75D57A0A"/>
    <w:rsid w:val="75D7705D"/>
    <w:rsid w:val="75D92DD5"/>
    <w:rsid w:val="75DA132A"/>
    <w:rsid w:val="75DA6B4D"/>
    <w:rsid w:val="75DB3E57"/>
    <w:rsid w:val="75DC28C5"/>
    <w:rsid w:val="75DE0ABC"/>
    <w:rsid w:val="75DE488F"/>
    <w:rsid w:val="75DE663D"/>
    <w:rsid w:val="75E023B5"/>
    <w:rsid w:val="75E17EDC"/>
    <w:rsid w:val="75E23A15"/>
    <w:rsid w:val="75E308CD"/>
    <w:rsid w:val="75E31EA6"/>
    <w:rsid w:val="75E706DE"/>
    <w:rsid w:val="75E8126A"/>
    <w:rsid w:val="75E874BC"/>
    <w:rsid w:val="75E9473F"/>
    <w:rsid w:val="75EA4FE2"/>
    <w:rsid w:val="75EA6D90"/>
    <w:rsid w:val="75EA705F"/>
    <w:rsid w:val="75EB0D5A"/>
    <w:rsid w:val="75EB2B08"/>
    <w:rsid w:val="75EB48B6"/>
    <w:rsid w:val="75ED4AD2"/>
    <w:rsid w:val="75ED6880"/>
    <w:rsid w:val="75EE59E0"/>
    <w:rsid w:val="75EF084A"/>
    <w:rsid w:val="75EF43A6"/>
    <w:rsid w:val="75F145C2"/>
    <w:rsid w:val="75F55735"/>
    <w:rsid w:val="75FB0F9D"/>
    <w:rsid w:val="75FB71EF"/>
    <w:rsid w:val="75FC4D15"/>
    <w:rsid w:val="75FC6AC3"/>
    <w:rsid w:val="75FE6CDF"/>
    <w:rsid w:val="75FF0362"/>
    <w:rsid w:val="76004806"/>
    <w:rsid w:val="760065B4"/>
    <w:rsid w:val="76007DF5"/>
    <w:rsid w:val="760246AA"/>
    <w:rsid w:val="760342F6"/>
    <w:rsid w:val="760360A4"/>
    <w:rsid w:val="76045978"/>
    <w:rsid w:val="760616F0"/>
    <w:rsid w:val="76065B94"/>
    <w:rsid w:val="760836BA"/>
    <w:rsid w:val="760A30F8"/>
    <w:rsid w:val="760B6D06"/>
    <w:rsid w:val="760C31AA"/>
    <w:rsid w:val="760D6F22"/>
    <w:rsid w:val="760F2C9B"/>
    <w:rsid w:val="760F67F7"/>
    <w:rsid w:val="7610256F"/>
    <w:rsid w:val="7610431D"/>
    <w:rsid w:val="761262E7"/>
    <w:rsid w:val="761364A1"/>
    <w:rsid w:val="7614205F"/>
    <w:rsid w:val="76157686"/>
    <w:rsid w:val="761756AB"/>
    <w:rsid w:val="761958C7"/>
    <w:rsid w:val="761A613E"/>
    <w:rsid w:val="761C0A5E"/>
    <w:rsid w:val="761D53B8"/>
    <w:rsid w:val="761E2EDE"/>
    <w:rsid w:val="761E5F4F"/>
    <w:rsid w:val="7621477C"/>
    <w:rsid w:val="762304F4"/>
    <w:rsid w:val="76236746"/>
    <w:rsid w:val="76253251"/>
    <w:rsid w:val="762878B8"/>
    <w:rsid w:val="762A53DF"/>
    <w:rsid w:val="762D1373"/>
    <w:rsid w:val="762D4ECF"/>
    <w:rsid w:val="762F0C47"/>
    <w:rsid w:val="762F6E99"/>
    <w:rsid w:val="76320737"/>
    <w:rsid w:val="76326989"/>
    <w:rsid w:val="76366479"/>
    <w:rsid w:val="763A3FE7"/>
    <w:rsid w:val="763F69C9"/>
    <w:rsid w:val="764010A6"/>
    <w:rsid w:val="7645046A"/>
    <w:rsid w:val="76452218"/>
    <w:rsid w:val="764741E2"/>
    <w:rsid w:val="7649264C"/>
    <w:rsid w:val="764A5A81"/>
    <w:rsid w:val="764A782F"/>
    <w:rsid w:val="764C17F9"/>
    <w:rsid w:val="764D37C3"/>
    <w:rsid w:val="764F12E9"/>
    <w:rsid w:val="76500BBD"/>
    <w:rsid w:val="765138A2"/>
    <w:rsid w:val="76515061"/>
    <w:rsid w:val="76516E0F"/>
    <w:rsid w:val="765406AD"/>
    <w:rsid w:val="76562678"/>
    <w:rsid w:val="7657019E"/>
    <w:rsid w:val="765863F0"/>
    <w:rsid w:val="76592168"/>
    <w:rsid w:val="76595CC4"/>
    <w:rsid w:val="765B7C8E"/>
    <w:rsid w:val="765C3329"/>
    <w:rsid w:val="765E152C"/>
    <w:rsid w:val="765E32DA"/>
    <w:rsid w:val="765E6B9E"/>
    <w:rsid w:val="765E777E"/>
    <w:rsid w:val="76607052"/>
    <w:rsid w:val="7664783D"/>
    <w:rsid w:val="76674885"/>
    <w:rsid w:val="76685F07"/>
    <w:rsid w:val="766A1985"/>
    <w:rsid w:val="766A1C7F"/>
    <w:rsid w:val="766A6123"/>
    <w:rsid w:val="766B2E15"/>
    <w:rsid w:val="766C1E9B"/>
    <w:rsid w:val="766C59E6"/>
    <w:rsid w:val="7671300D"/>
    <w:rsid w:val="76764AC8"/>
    <w:rsid w:val="76766876"/>
    <w:rsid w:val="76780840"/>
    <w:rsid w:val="767945B8"/>
    <w:rsid w:val="76796366"/>
    <w:rsid w:val="767C19B2"/>
    <w:rsid w:val="767D5E56"/>
    <w:rsid w:val="767D7C04"/>
    <w:rsid w:val="768014A2"/>
    <w:rsid w:val="768076F4"/>
    <w:rsid w:val="768216BE"/>
    <w:rsid w:val="7682521B"/>
    <w:rsid w:val="76832D41"/>
    <w:rsid w:val="76854D0B"/>
    <w:rsid w:val="76856AB9"/>
    <w:rsid w:val="76870A83"/>
    <w:rsid w:val="768865A9"/>
    <w:rsid w:val="76894F0E"/>
    <w:rsid w:val="768A0573"/>
    <w:rsid w:val="768A2321"/>
    <w:rsid w:val="768D3BBF"/>
    <w:rsid w:val="768E1E11"/>
    <w:rsid w:val="768F16E6"/>
    <w:rsid w:val="768F5B89"/>
    <w:rsid w:val="7691545E"/>
    <w:rsid w:val="7693567A"/>
    <w:rsid w:val="76937428"/>
    <w:rsid w:val="76944F4E"/>
    <w:rsid w:val="76962A74"/>
    <w:rsid w:val="769637E1"/>
    <w:rsid w:val="76992564"/>
    <w:rsid w:val="769A0A64"/>
    <w:rsid w:val="769A6A08"/>
    <w:rsid w:val="769E5DCD"/>
    <w:rsid w:val="769F401E"/>
    <w:rsid w:val="76A038F3"/>
    <w:rsid w:val="76A07D97"/>
    <w:rsid w:val="76A21419"/>
    <w:rsid w:val="76A258BD"/>
    <w:rsid w:val="76A30685"/>
    <w:rsid w:val="76A35191"/>
    <w:rsid w:val="76A41635"/>
    <w:rsid w:val="76A50F09"/>
    <w:rsid w:val="76A74C81"/>
    <w:rsid w:val="76A809F9"/>
    <w:rsid w:val="76A827A7"/>
    <w:rsid w:val="76AC2297"/>
    <w:rsid w:val="76AE24B4"/>
    <w:rsid w:val="76AE5798"/>
    <w:rsid w:val="76AE6010"/>
    <w:rsid w:val="76B13D52"/>
    <w:rsid w:val="76B4160A"/>
    <w:rsid w:val="76B61368"/>
    <w:rsid w:val="76B63116"/>
    <w:rsid w:val="76B66AFB"/>
    <w:rsid w:val="76B850E0"/>
    <w:rsid w:val="76BA0E58"/>
    <w:rsid w:val="76BB072D"/>
    <w:rsid w:val="76BC296D"/>
    <w:rsid w:val="76BD44A5"/>
    <w:rsid w:val="76BE1FCB"/>
    <w:rsid w:val="76C23869"/>
    <w:rsid w:val="76C27D0D"/>
    <w:rsid w:val="76C375E1"/>
    <w:rsid w:val="76C45833"/>
    <w:rsid w:val="76C5258F"/>
    <w:rsid w:val="76C53359"/>
    <w:rsid w:val="76C77A80"/>
    <w:rsid w:val="76CA0970"/>
    <w:rsid w:val="76CA6BC2"/>
    <w:rsid w:val="76CC46E8"/>
    <w:rsid w:val="76CE0460"/>
    <w:rsid w:val="76CF5F86"/>
    <w:rsid w:val="76D11CFE"/>
    <w:rsid w:val="76D37B64"/>
    <w:rsid w:val="76D637B8"/>
    <w:rsid w:val="76D812DE"/>
    <w:rsid w:val="76D86460"/>
    <w:rsid w:val="76D872C4"/>
    <w:rsid w:val="76D87530"/>
    <w:rsid w:val="76D96E05"/>
    <w:rsid w:val="76DD06A3"/>
    <w:rsid w:val="76E072B7"/>
    <w:rsid w:val="76E47C83"/>
    <w:rsid w:val="76E539FB"/>
    <w:rsid w:val="76E71522"/>
    <w:rsid w:val="76E82107"/>
    <w:rsid w:val="76E934EC"/>
    <w:rsid w:val="76E9529A"/>
    <w:rsid w:val="76EA1012"/>
    <w:rsid w:val="76EB6E7B"/>
    <w:rsid w:val="76EC2FDC"/>
    <w:rsid w:val="76EC6B38"/>
    <w:rsid w:val="76EE0B02"/>
    <w:rsid w:val="76EF03D6"/>
    <w:rsid w:val="76F105F2"/>
    <w:rsid w:val="76F123A0"/>
    <w:rsid w:val="76F1414E"/>
    <w:rsid w:val="76F33ECC"/>
    <w:rsid w:val="76F37EC6"/>
    <w:rsid w:val="76F51E90"/>
    <w:rsid w:val="76F53C3E"/>
    <w:rsid w:val="76F65C09"/>
    <w:rsid w:val="76F8372F"/>
    <w:rsid w:val="76FA74A7"/>
    <w:rsid w:val="76FB321F"/>
    <w:rsid w:val="76FB4FCD"/>
    <w:rsid w:val="76FE0619"/>
    <w:rsid w:val="77000835"/>
    <w:rsid w:val="77003D79"/>
    <w:rsid w:val="7702378C"/>
    <w:rsid w:val="770245AD"/>
    <w:rsid w:val="77043E82"/>
    <w:rsid w:val="77057BFA"/>
    <w:rsid w:val="77075720"/>
    <w:rsid w:val="77093CF3"/>
    <w:rsid w:val="7709593C"/>
    <w:rsid w:val="770B16B4"/>
    <w:rsid w:val="770E4D00"/>
    <w:rsid w:val="770E6AAE"/>
    <w:rsid w:val="770F2826"/>
    <w:rsid w:val="771147F0"/>
    <w:rsid w:val="77130569"/>
    <w:rsid w:val="771340C5"/>
    <w:rsid w:val="77147E3D"/>
    <w:rsid w:val="77161E07"/>
    <w:rsid w:val="77163BB5"/>
    <w:rsid w:val="77183DD1"/>
    <w:rsid w:val="77197ED4"/>
    <w:rsid w:val="771D13E7"/>
    <w:rsid w:val="771D2C61"/>
    <w:rsid w:val="771D3195"/>
    <w:rsid w:val="771F6F0D"/>
    <w:rsid w:val="7722255A"/>
    <w:rsid w:val="7725204A"/>
    <w:rsid w:val="77274014"/>
    <w:rsid w:val="77275DC2"/>
    <w:rsid w:val="7728424C"/>
    <w:rsid w:val="772938E8"/>
    <w:rsid w:val="772B3B04"/>
    <w:rsid w:val="772C33D8"/>
    <w:rsid w:val="772E0EFE"/>
    <w:rsid w:val="772E53A2"/>
    <w:rsid w:val="772E7150"/>
    <w:rsid w:val="773109EF"/>
    <w:rsid w:val="7731279D"/>
    <w:rsid w:val="773329B9"/>
    <w:rsid w:val="77334767"/>
    <w:rsid w:val="77364257"/>
    <w:rsid w:val="77371170"/>
    <w:rsid w:val="773724A9"/>
    <w:rsid w:val="77381D7D"/>
    <w:rsid w:val="77383B2B"/>
    <w:rsid w:val="773A5AF5"/>
    <w:rsid w:val="773D4FE2"/>
    <w:rsid w:val="773F310C"/>
    <w:rsid w:val="774150D6"/>
    <w:rsid w:val="77420E4E"/>
    <w:rsid w:val="774249AA"/>
    <w:rsid w:val="77440722"/>
    <w:rsid w:val="774424D0"/>
    <w:rsid w:val="77471FC0"/>
    <w:rsid w:val="774A385E"/>
    <w:rsid w:val="774A6156"/>
    <w:rsid w:val="774B1AB0"/>
    <w:rsid w:val="774E334F"/>
    <w:rsid w:val="775070C7"/>
    <w:rsid w:val="77521091"/>
    <w:rsid w:val="77536BB7"/>
    <w:rsid w:val="77550B81"/>
    <w:rsid w:val="77562203"/>
    <w:rsid w:val="7758241F"/>
    <w:rsid w:val="775C3CBE"/>
    <w:rsid w:val="775D7A36"/>
    <w:rsid w:val="7760037C"/>
    <w:rsid w:val="77660698"/>
    <w:rsid w:val="77664B3C"/>
    <w:rsid w:val="776808B4"/>
    <w:rsid w:val="77690189"/>
    <w:rsid w:val="7769462C"/>
    <w:rsid w:val="776963DA"/>
    <w:rsid w:val="776B2153"/>
    <w:rsid w:val="776C7C79"/>
    <w:rsid w:val="776D5ECB"/>
    <w:rsid w:val="776E1C43"/>
    <w:rsid w:val="77706C81"/>
    <w:rsid w:val="77707769"/>
    <w:rsid w:val="7771703D"/>
    <w:rsid w:val="77732DB5"/>
    <w:rsid w:val="77752FD1"/>
    <w:rsid w:val="77763CE3"/>
    <w:rsid w:val="77764653"/>
    <w:rsid w:val="77770AF7"/>
    <w:rsid w:val="777803CC"/>
    <w:rsid w:val="777811D4"/>
    <w:rsid w:val="777A4144"/>
    <w:rsid w:val="777D1E86"/>
    <w:rsid w:val="777D3BB6"/>
    <w:rsid w:val="777D59E2"/>
    <w:rsid w:val="777F79AC"/>
    <w:rsid w:val="77811976"/>
    <w:rsid w:val="7783749C"/>
    <w:rsid w:val="77843214"/>
    <w:rsid w:val="77862AE9"/>
    <w:rsid w:val="77874C68"/>
    <w:rsid w:val="778760F8"/>
    <w:rsid w:val="77877839"/>
    <w:rsid w:val="77882D05"/>
    <w:rsid w:val="77884AB3"/>
    <w:rsid w:val="778925D9"/>
    <w:rsid w:val="778A35E9"/>
    <w:rsid w:val="778B4A79"/>
    <w:rsid w:val="778C5F09"/>
    <w:rsid w:val="778D031B"/>
    <w:rsid w:val="778D20C9"/>
    <w:rsid w:val="77903967"/>
    <w:rsid w:val="7792494C"/>
    <w:rsid w:val="779276DF"/>
    <w:rsid w:val="77935205"/>
    <w:rsid w:val="77973CC0"/>
    <w:rsid w:val="7798281C"/>
    <w:rsid w:val="77996CC0"/>
    <w:rsid w:val="779A199D"/>
    <w:rsid w:val="779F004E"/>
    <w:rsid w:val="779F3BAA"/>
    <w:rsid w:val="77A2369A"/>
    <w:rsid w:val="77A411C1"/>
    <w:rsid w:val="77A45665"/>
    <w:rsid w:val="77A6318B"/>
    <w:rsid w:val="77A64F39"/>
    <w:rsid w:val="77A85155"/>
    <w:rsid w:val="77A86F03"/>
    <w:rsid w:val="77A92C7B"/>
    <w:rsid w:val="77A94A29"/>
    <w:rsid w:val="77AB69F3"/>
    <w:rsid w:val="77AE203F"/>
    <w:rsid w:val="77AE29E4"/>
    <w:rsid w:val="77B04009"/>
    <w:rsid w:val="77B21B30"/>
    <w:rsid w:val="77B37656"/>
    <w:rsid w:val="77B43AFA"/>
    <w:rsid w:val="77B5517C"/>
    <w:rsid w:val="77B746D8"/>
    <w:rsid w:val="77B77146"/>
    <w:rsid w:val="77B84C6C"/>
    <w:rsid w:val="77BA4E88"/>
    <w:rsid w:val="77BC650A"/>
    <w:rsid w:val="77BD2282"/>
    <w:rsid w:val="77BE04D4"/>
    <w:rsid w:val="77BF249E"/>
    <w:rsid w:val="77C16289"/>
    <w:rsid w:val="77C41863"/>
    <w:rsid w:val="77C5609A"/>
    <w:rsid w:val="77C6382D"/>
    <w:rsid w:val="77C81E5A"/>
    <w:rsid w:val="77C875A5"/>
    <w:rsid w:val="77C975EC"/>
    <w:rsid w:val="77CD6969"/>
    <w:rsid w:val="77CE623E"/>
    <w:rsid w:val="77CF26E1"/>
    <w:rsid w:val="77CF345E"/>
    <w:rsid w:val="77D00208"/>
    <w:rsid w:val="77D31AA6"/>
    <w:rsid w:val="77D5581E"/>
    <w:rsid w:val="77D61BF0"/>
    <w:rsid w:val="77D93560"/>
    <w:rsid w:val="77DA1086"/>
    <w:rsid w:val="77DA2E34"/>
    <w:rsid w:val="77DA4BE2"/>
    <w:rsid w:val="77DC4DFE"/>
    <w:rsid w:val="77DF669D"/>
    <w:rsid w:val="77E141C3"/>
    <w:rsid w:val="77E31CE9"/>
    <w:rsid w:val="77E43CB3"/>
    <w:rsid w:val="77E51F05"/>
    <w:rsid w:val="77E617D9"/>
    <w:rsid w:val="77E85551"/>
    <w:rsid w:val="77E912C9"/>
    <w:rsid w:val="77ED2B68"/>
    <w:rsid w:val="77ED3E16"/>
    <w:rsid w:val="77EF7A44"/>
    <w:rsid w:val="77F008AA"/>
    <w:rsid w:val="77F04406"/>
    <w:rsid w:val="77F263D0"/>
    <w:rsid w:val="77F35CA4"/>
    <w:rsid w:val="77F51A1C"/>
    <w:rsid w:val="77F57C6E"/>
    <w:rsid w:val="77F71C38"/>
    <w:rsid w:val="77F739E6"/>
    <w:rsid w:val="77F923B9"/>
    <w:rsid w:val="77F959B0"/>
    <w:rsid w:val="77FA34D6"/>
    <w:rsid w:val="77FA5285"/>
    <w:rsid w:val="77FC0FFD"/>
    <w:rsid w:val="77FC2DAB"/>
    <w:rsid w:val="77FF76BB"/>
    <w:rsid w:val="78016613"/>
    <w:rsid w:val="78047EB1"/>
    <w:rsid w:val="78054355"/>
    <w:rsid w:val="780600CD"/>
    <w:rsid w:val="78063C29"/>
    <w:rsid w:val="78080A1E"/>
    <w:rsid w:val="7808174F"/>
    <w:rsid w:val="780B1240"/>
    <w:rsid w:val="780B7492"/>
    <w:rsid w:val="780D320A"/>
    <w:rsid w:val="780D4FB8"/>
    <w:rsid w:val="780D6D66"/>
    <w:rsid w:val="780F08F1"/>
    <w:rsid w:val="78106856"/>
    <w:rsid w:val="78120820"/>
    <w:rsid w:val="78126A72"/>
    <w:rsid w:val="781520BE"/>
    <w:rsid w:val="78153022"/>
    <w:rsid w:val="7819395D"/>
    <w:rsid w:val="781A76D5"/>
    <w:rsid w:val="781C51FB"/>
    <w:rsid w:val="781E6FB1"/>
    <w:rsid w:val="781E71C5"/>
    <w:rsid w:val="781F4CEB"/>
    <w:rsid w:val="78200134"/>
    <w:rsid w:val="7820118F"/>
    <w:rsid w:val="78210A63"/>
    <w:rsid w:val="78232A2D"/>
    <w:rsid w:val="78250553"/>
    <w:rsid w:val="782567A5"/>
    <w:rsid w:val="78267E28"/>
    <w:rsid w:val="78283BA0"/>
    <w:rsid w:val="78295597"/>
    <w:rsid w:val="782B18E2"/>
    <w:rsid w:val="782B3690"/>
    <w:rsid w:val="782D7408"/>
    <w:rsid w:val="782F4F2E"/>
    <w:rsid w:val="7831514A"/>
    <w:rsid w:val="78320EC2"/>
    <w:rsid w:val="78322C70"/>
    <w:rsid w:val="783267CC"/>
    <w:rsid w:val="78342545"/>
    <w:rsid w:val="78362761"/>
    <w:rsid w:val="783A38D3"/>
    <w:rsid w:val="783C3AEF"/>
    <w:rsid w:val="783C589D"/>
    <w:rsid w:val="783E1615"/>
    <w:rsid w:val="783E33C3"/>
    <w:rsid w:val="783F22F1"/>
    <w:rsid w:val="78411105"/>
    <w:rsid w:val="78412EB3"/>
    <w:rsid w:val="78427666"/>
    <w:rsid w:val="784309DA"/>
    <w:rsid w:val="784529A4"/>
    <w:rsid w:val="78482494"/>
    <w:rsid w:val="78491F11"/>
    <w:rsid w:val="784A7FBA"/>
    <w:rsid w:val="784B5AE0"/>
    <w:rsid w:val="784B788E"/>
    <w:rsid w:val="784C3D32"/>
    <w:rsid w:val="784C764C"/>
    <w:rsid w:val="78511348"/>
    <w:rsid w:val="7851759A"/>
    <w:rsid w:val="78520C1D"/>
    <w:rsid w:val="78532FC3"/>
    <w:rsid w:val="78542BE7"/>
    <w:rsid w:val="7855070D"/>
    <w:rsid w:val="78570929"/>
    <w:rsid w:val="785B21C7"/>
    <w:rsid w:val="785B5D23"/>
    <w:rsid w:val="785D5F3F"/>
    <w:rsid w:val="7860333A"/>
    <w:rsid w:val="78623556"/>
    <w:rsid w:val="78650950"/>
    <w:rsid w:val="786A240A"/>
    <w:rsid w:val="786B1CDE"/>
    <w:rsid w:val="786D1EFA"/>
    <w:rsid w:val="786D3CA8"/>
    <w:rsid w:val="786F17CF"/>
    <w:rsid w:val="786F7A21"/>
    <w:rsid w:val="78713799"/>
    <w:rsid w:val="787279DC"/>
    <w:rsid w:val="78762B5D"/>
    <w:rsid w:val="7879089F"/>
    <w:rsid w:val="787B63C5"/>
    <w:rsid w:val="787E0B50"/>
    <w:rsid w:val="78811502"/>
    <w:rsid w:val="78816041"/>
    <w:rsid w:val="78852DA0"/>
    <w:rsid w:val="788569AE"/>
    <w:rsid w:val="78857244"/>
    <w:rsid w:val="78872FBC"/>
    <w:rsid w:val="78895C63"/>
    <w:rsid w:val="788A6608"/>
    <w:rsid w:val="789254BD"/>
    <w:rsid w:val="789456D9"/>
    <w:rsid w:val="78947487"/>
    <w:rsid w:val="78955947"/>
    <w:rsid w:val="78961451"/>
    <w:rsid w:val="78992B87"/>
    <w:rsid w:val="78994A9D"/>
    <w:rsid w:val="789B0816"/>
    <w:rsid w:val="789D27E0"/>
    <w:rsid w:val="789D458E"/>
    <w:rsid w:val="78A07BDA"/>
    <w:rsid w:val="78A23952"/>
    <w:rsid w:val="78A27DF6"/>
    <w:rsid w:val="78A3591C"/>
    <w:rsid w:val="78A376CA"/>
    <w:rsid w:val="78A551F0"/>
    <w:rsid w:val="78A7540C"/>
    <w:rsid w:val="78A82F32"/>
    <w:rsid w:val="78AA2807"/>
    <w:rsid w:val="78AA6CAB"/>
    <w:rsid w:val="78AC0FFD"/>
    <w:rsid w:val="78AD22F7"/>
    <w:rsid w:val="78B0254F"/>
    <w:rsid w:val="78B33DB1"/>
    <w:rsid w:val="78B35B5F"/>
    <w:rsid w:val="78B47B29"/>
    <w:rsid w:val="78B64C80"/>
    <w:rsid w:val="78B95140"/>
    <w:rsid w:val="78BB0EB8"/>
    <w:rsid w:val="78BB4A14"/>
    <w:rsid w:val="78BB4A91"/>
    <w:rsid w:val="78BD078C"/>
    <w:rsid w:val="78BD69DE"/>
    <w:rsid w:val="78BE62B2"/>
    <w:rsid w:val="78C064CE"/>
    <w:rsid w:val="78C57641"/>
    <w:rsid w:val="78C80EDF"/>
    <w:rsid w:val="78C87131"/>
    <w:rsid w:val="78CA30F6"/>
    <w:rsid w:val="78CC05E7"/>
    <w:rsid w:val="78CC09CF"/>
    <w:rsid w:val="78CD4747"/>
    <w:rsid w:val="78CF226D"/>
    <w:rsid w:val="78CF4963"/>
    <w:rsid w:val="78D12FC9"/>
    <w:rsid w:val="78D21D5D"/>
    <w:rsid w:val="78D41F79"/>
    <w:rsid w:val="78D6184E"/>
    <w:rsid w:val="78D9133E"/>
    <w:rsid w:val="78DF4BA6"/>
    <w:rsid w:val="78E026CC"/>
    <w:rsid w:val="78E201F2"/>
    <w:rsid w:val="78E21FA1"/>
    <w:rsid w:val="78E353DE"/>
    <w:rsid w:val="78E51A91"/>
    <w:rsid w:val="78E81581"/>
    <w:rsid w:val="78EA354B"/>
    <w:rsid w:val="78EE4DE9"/>
    <w:rsid w:val="78EE6B97"/>
    <w:rsid w:val="78EF290F"/>
    <w:rsid w:val="78F10436"/>
    <w:rsid w:val="78F30652"/>
    <w:rsid w:val="78F61EF0"/>
    <w:rsid w:val="78F71F52"/>
    <w:rsid w:val="78F87A16"/>
    <w:rsid w:val="78FB12B4"/>
    <w:rsid w:val="78FB3062"/>
    <w:rsid w:val="78FB5758"/>
    <w:rsid w:val="78FF0DA4"/>
    <w:rsid w:val="78FF6FF6"/>
    <w:rsid w:val="79017226"/>
    <w:rsid w:val="79020895"/>
    <w:rsid w:val="79022643"/>
    <w:rsid w:val="79030169"/>
    <w:rsid w:val="790463BB"/>
    <w:rsid w:val="79050385"/>
    <w:rsid w:val="79052133"/>
    <w:rsid w:val="790747E8"/>
    <w:rsid w:val="79084528"/>
    <w:rsid w:val="790939D1"/>
    <w:rsid w:val="790A599B"/>
    <w:rsid w:val="790A7BB4"/>
    <w:rsid w:val="790C526F"/>
    <w:rsid w:val="790E2D96"/>
    <w:rsid w:val="790F4D60"/>
    <w:rsid w:val="790F6B0E"/>
    <w:rsid w:val="79102FB2"/>
    <w:rsid w:val="79146DDD"/>
    <w:rsid w:val="791B1956"/>
    <w:rsid w:val="791B54B2"/>
    <w:rsid w:val="791F131F"/>
    <w:rsid w:val="792213E1"/>
    <w:rsid w:val="79222CE5"/>
    <w:rsid w:val="79224A93"/>
    <w:rsid w:val="79226841"/>
    <w:rsid w:val="7924080B"/>
    <w:rsid w:val="79244A8E"/>
    <w:rsid w:val="79246A5D"/>
    <w:rsid w:val="79254583"/>
    <w:rsid w:val="79256331"/>
    <w:rsid w:val="79273E57"/>
    <w:rsid w:val="792A3948"/>
    <w:rsid w:val="79305402"/>
    <w:rsid w:val="79330A4E"/>
    <w:rsid w:val="79344C86"/>
    <w:rsid w:val="79352A18"/>
    <w:rsid w:val="793A002E"/>
    <w:rsid w:val="793A1DDD"/>
    <w:rsid w:val="793A6280"/>
    <w:rsid w:val="793B3DA7"/>
    <w:rsid w:val="793D18CD"/>
    <w:rsid w:val="793D7B1F"/>
    <w:rsid w:val="793F71C8"/>
    <w:rsid w:val="794013BD"/>
    <w:rsid w:val="79426EE3"/>
    <w:rsid w:val="79440EAD"/>
    <w:rsid w:val="794644CA"/>
    <w:rsid w:val="7947274B"/>
    <w:rsid w:val="794744F9"/>
    <w:rsid w:val="79492020"/>
    <w:rsid w:val="794A5D98"/>
    <w:rsid w:val="794C5FB4"/>
    <w:rsid w:val="794F6CBD"/>
    <w:rsid w:val="795135CA"/>
    <w:rsid w:val="79517126"/>
    <w:rsid w:val="79534C4C"/>
    <w:rsid w:val="79536ACE"/>
    <w:rsid w:val="79537342"/>
    <w:rsid w:val="795409C4"/>
    <w:rsid w:val="79552B2F"/>
    <w:rsid w:val="79556C16"/>
    <w:rsid w:val="79592940"/>
    <w:rsid w:val="795A5511"/>
    <w:rsid w:val="795A5FDB"/>
    <w:rsid w:val="795C2A02"/>
    <w:rsid w:val="795D1F6F"/>
    <w:rsid w:val="79607369"/>
    <w:rsid w:val="7961380D"/>
    <w:rsid w:val="796450AB"/>
    <w:rsid w:val="79652BD2"/>
    <w:rsid w:val="796706F8"/>
    <w:rsid w:val="7967694A"/>
    <w:rsid w:val="796926C2"/>
    <w:rsid w:val="796C0DB6"/>
    <w:rsid w:val="796C6C45"/>
    <w:rsid w:val="796E1A86"/>
    <w:rsid w:val="796F2815"/>
    <w:rsid w:val="797057FE"/>
    <w:rsid w:val="79707737"/>
    <w:rsid w:val="797177C8"/>
    <w:rsid w:val="79733540"/>
    <w:rsid w:val="797352EE"/>
    <w:rsid w:val="79747D71"/>
    <w:rsid w:val="79752E15"/>
    <w:rsid w:val="797535A9"/>
    <w:rsid w:val="79773031"/>
    <w:rsid w:val="79775EC9"/>
    <w:rsid w:val="79786DA9"/>
    <w:rsid w:val="797B41A3"/>
    <w:rsid w:val="797D616D"/>
    <w:rsid w:val="797F0137"/>
    <w:rsid w:val="797F3C93"/>
    <w:rsid w:val="79815C5D"/>
    <w:rsid w:val="798C24D3"/>
    <w:rsid w:val="799040F2"/>
    <w:rsid w:val="7991079E"/>
    <w:rsid w:val="79915775"/>
    <w:rsid w:val="79927E6B"/>
    <w:rsid w:val="79955265"/>
    <w:rsid w:val="79975481"/>
    <w:rsid w:val="79982FA7"/>
    <w:rsid w:val="79986942"/>
    <w:rsid w:val="799A0ACD"/>
    <w:rsid w:val="799A6D1F"/>
    <w:rsid w:val="799B3E33"/>
    <w:rsid w:val="799B65F3"/>
    <w:rsid w:val="799E680F"/>
    <w:rsid w:val="799F4335"/>
    <w:rsid w:val="79A11E5C"/>
    <w:rsid w:val="79A33A55"/>
    <w:rsid w:val="79A33E26"/>
    <w:rsid w:val="79A378BF"/>
    <w:rsid w:val="79A454A8"/>
    <w:rsid w:val="79A61220"/>
    <w:rsid w:val="79A74F98"/>
    <w:rsid w:val="79A90D10"/>
    <w:rsid w:val="79AC031A"/>
    <w:rsid w:val="79AC0800"/>
    <w:rsid w:val="79AC25AE"/>
    <w:rsid w:val="79AE27CB"/>
    <w:rsid w:val="79B002F1"/>
    <w:rsid w:val="79B55907"/>
    <w:rsid w:val="79B60840"/>
    <w:rsid w:val="79B80F53"/>
    <w:rsid w:val="79B847EB"/>
    <w:rsid w:val="79BA116F"/>
    <w:rsid w:val="79BA1199"/>
    <w:rsid w:val="79BA4CCB"/>
    <w:rsid w:val="79BC5D3D"/>
    <w:rsid w:val="79BC6C95"/>
    <w:rsid w:val="79BD47BC"/>
    <w:rsid w:val="79BF6786"/>
    <w:rsid w:val="79C43D9C"/>
    <w:rsid w:val="79C63670"/>
    <w:rsid w:val="79C913B2"/>
    <w:rsid w:val="79C97604"/>
    <w:rsid w:val="79CB0C87"/>
    <w:rsid w:val="79CD0EA3"/>
    <w:rsid w:val="79CE69C9"/>
    <w:rsid w:val="79D00993"/>
    <w:rsid w:val="79D12015"/>
    <w:rsid w:val="79D55FA9"/>
    <w:rsid w:val="79D56C3E"/>
    <w:rsid w:val="79D815F5"/>
    <w:rsid w:val="79D97847"/>
    <w:rsid w:val="79DA711C"/>
    <w:rsid w:val="79DB12C6"/>
    <w:rsid w:val="79DF2984"/>
    <w:rsid w:val="79E24222"/>
    <w:rsid w:val="79E35140"/>
    <w:rsid w:val="79E461EC"/>
    <w:rsid w:val="79E47F9A"/>
    <w:rsid w:val="79E61F64"/>
    <w:rsid w:val="79E7243A"/>
    <w:rsid w:val="79E77FA9"/>
    <w:rsid w:val="79E92285"/>
    <w:rsid w:val="79E9735F"/>
    <w:rsid w:val="79EA1A55"/>
    <w:rsid w:val="79EB30D7"/>
    <w:rsid w:val="79EF2560"/>
    <w:rsid w:val="79EF706B"/>
    <w:rsid w:val="79F0693F"/>
    <w:rsid w:val="79F20909"/>
    <w:rsid w:val="79F24465"/>
    <w:rsid w:val="79F44681"/>
    <w:rsid w:val="79F77CCE"/>
    <w:rsid w:val="79F91C98"/>
    <w:rsid w:val="79F93A46"/>
    <w:rsid w:val="79FA6E68"/>
    <w:rsid w:val="79FD1A8F"/>
    <w:rsid w:val="79FD2E0A"/>
    <w:rsid w:val="79FE105C"/>
    <w:rsid w:val="79FF4DD4"/>
    <w:rsid w:val="79FF6B82"/>
    <w:rsid w:val="7A001B51"/>
    <w:rsid w:val="7A0128FA"/>
    <w:rsid w:val="7A04063C"/>
    <w:rsid w:val="7A067F11"/>
    <w:rsid w:val="7A081EDB"/>
    <w:rsid w:val="7A0A4093"/>
    <w:rsid w:val="7A0D129F"/>
    <w:rsid w:val="7A0D5743"/>
    <w:rsid w:val="7A0D74F1"/>
    <w:rsid w:val="7A0F14BB"/>
    <w:rsid w:val="7A0F3269"/>
    <w:rsid w:val="7A100D8F"/>
    <w:rsid w:val="7A102B3D"/>
    <w:rsid w:val="7A106FE1"/>
    <w:rsid w:val="7A107F05"/>
    <w:rsid w:val="7A1545F8"/>
    <w:rsid w:val="7A181D66"/>
    <w:rsid w:val="7A187C44"/>
    <w:rsid w:val="7A1926F8"/>
    <w:rsid w:val="7A1940E8"/>
    <w:rsid w:val="7A195E96"/>
    <w:rsid w:val="7A1A1C0E"/>
    <w:rsid w:val="7A1C5986"/>
    <w:rsid w:val="7A1E16FE"/>
    <w:rsid w:val="7A2025CB"/>
    <w:rsid w:val="7A212F9C"/>
    <w:rsid w:val="7A214D4A"/>
    <w:rsid w:val="7A224EEB"/>
    <w:rsid w:val="7A236D15"/>
    <w:rsid w:val="7A24145C"/>
    <w:rsid w:val="7A252A8D"/>
    <w:rsid w:val="7A266805"/>
    <w:rsid w:val="7A283826"/>
    <w:rsid w:val="7A287E87"/>
    <w:rsid w:val="7A293BFF"/>
    <w:rsid w:val="7A2A00A3"/>
    <w:rsid w:val="7A2B5BC9"/>
    <w:rsid w:val="7A2E1215"/>
    <w:rsid w:val="7A2F56B9"/>
    <w:rsid w:val="7A301431"/>
    <w:rsid w:val="7A3251AA"/>
    <w:rsid w:val="7A340F22"/>
    <w:rsid w:val="7A37456E"/>
    <w:rsid w:val="7A3902E6"/>
    <w:rsid w:val="7A3905A1"/>
    <w:rsid w:val="7A3B22B0"/>
    <w:rsid w:val="7A3C3932"/>
    <w:rsid w:val="7A3E58FC"/>
    <w:rsid w:val="7A401675"/>
    <w:rsid w:val="7A432F13"/>
    <w:rsid w:val="7A4A24F3"/>
    <w:rsid w:val="7A4B1DC7"/>
    <w:rsid w:val="7A4B626B"/>
    <w:rsid w:val="7A4D5B40"/>
    <w:rsid w:val="7A4F18B8"/>
    <w:rsid w:val="7A4F7B0A"/>
    <w:rsid w:val="7A505630"/>
    <w:rsid w:val="7A546ECE"/>
    <w:rsid w:val="7A552C46"/>
    <w:rsid w:val="7A5866FB"/>
    <w:rsid w:val="7A590988"/>
    <w:rsid w:val="7A592736"/>
    <w:rsid w:val="7A5A200A"/>
    <w:rsid w:val="7A5E0E2C"/>
    <w:rsid w:val="7A5E5F9F"/>
    <w:rsid w:val="7A6335B5"/>
    <w:rsid w:val="7A65732D"/>
    <w:rsid w:val="7A666C01"/>
    <w:rsid w:val="7A6A04A0"/>
    <w:rsid w:val="7A6A4943"/>
    <w:rsid w:val="7A6A66F1"/>
    <w:rsid w:val="7A6B4218"/>
    <w:rsid w:val="7A6D48C0"/>
    <w:rsid w:val="7A707A80"/>
    <w:rsid w:val="7A715CD2"/>
    <w:rsid w:val="7A7272A2"/>
    <w:rsid w:val="7A7430CC"/>
    <w:rsid w:val="7A7632E8"/>
    <w:rsid w:val="7A772BBC"/>
    <w:rsid w:val="7A7845A4"/>
    <w:rsid w:val="7A792DD8"/>
    <w:rsid w:val="7A7C01D3"/>
    <w:rsid w:val="7A7F4C51"/>
    <w:rsid w:val="7A813A3B"/>
    <w:rsid w:val="7A8377B3"/>
    <w:rsid w:val="7A85352B"/>
    <w:rsid w:val="7A8C2B0C"/>
    <w:rsid w:val="7A8D0632"/>
    <w:rsid w:val="7A8D23E0"/>
    <w:rsid w:val="7A8F7F06"/>
    <w:rsid w:val="7A9419C0"/>
    <w:rsid w:val="7A951295"/>
    <w:rsid w:val="7A97325F"/>
    <w:rsid w:val="7A990D85"/>
    <w:rsid w:val="7A9B2D4F"/>
    <w:rsid w:val="7A9B3AB3"/>
    <w:rsid w:val="7A9C0875"/>
    <w:rsid w:val="7A9C0DCE"/>
    <w:rsid w:val="7A9C2623"/>
    <w:rsid w:val="7AA02113"/>
    <w:rsid w:val="7AA16381"/>
    <w:rsid w:val="7AA17C39"/>
    <w:rsid w:val="7AA24C40"/>
    <w:rsid w:val="7AA31C03"/>
    <w:rsid w:val="7AA360D0"/>
    <w:rsid w:val="7AA53BCD"/>
    <w:rsid w:val="7AA5772A"/>
    <w:rsid w:val="7AA634A2"/>
    <w:rsid w:val="7AA80FC8"/>
    <w:rsid w:val="7AAA11E4"/>
    <w:rsid w:val="7AAC0AB8"/>
    <w:rsid w:val="7AAC3494"/>
    <w:rsid w:val="7AAC6D0A"/>
    <w:rsid w:val="7AAD65DE"/>
    <w:rsid w:val="7AAF2356"/>
    <w:rsid w:val="7AB108C2"/>
    <w:rsid w:val="7AB11B64"/>
    <w:rsid w:val="7AB12572"/>
    <w:rsid w:val="7AB160CE"/>
    <w:rsid w:val="7AB61937"/>
    <w:rsid w:val="7AB756AF"/>
    <w:rsid w:val="7AB759D6"/>
    <w:rsid w:val="7AB83901"/>
    <w:rsid w:val="7ABD0F17"/>
    <w:rsid w:val="7ABE2599"/>
    <w:rsid w:val="7ABE4C8F"/>
    <w:rsid w:val="7AC0190A"/>
    <w:rsid w:val="7AC027B5"/>
    <w:rsid w:val="7AC356BA"/>
    <w:rsid w:val="7AC4171B"/>
    <w:rsid w:val="7AC5601E"/>
    <w:rsid w:val="7AC8166A"/>
    <w:rsid w:val="7AC83418"/>
    <w:rsid w:val="7ACA53E2"/>
    <w:rsid w:val="7ACC115A"/>
    <w:rsid w:val="7ACE4ED2"/>
    <w:rsid w:val="7ACF47A6"/>
    <w:rsid w:val="7AD1051F"/>
    <w:rsid w:val="7AD149C3"/>
    <w:rsid w:val="7AD16771"/>
    <w:rsid w:val="7AD26045"/>
    <w:rsid w:val="7AD74FC0"/>
    <w:rsid w:val="7AD95625"/>
    <w:rsid w:val="7ADD5115"/>
    <w:rsid w:val="7AE00762"/>
    <w:rsid w:val="7AE24CA4"/>
    <w:rsid w:val="7AE30252"/>
    <w:rsid w:val="7AE446F6"/>
    <w:rsid w:val="7AE53FCA"/>
    <w:rsid w:val="7AE63625"/>
    <w:rsid w:val="7AE71AF0"/>
    <w:rsid w:val="7AEA7832"/>
    <w:rsid w:val="7AED10D1"/>
    <w:rsid w:val="7AED2E7F"/>
    <w:rsid w:val="7AEF6BF7"/>
    <w:rsid w:val="7AF1296F"/>
    <w:rsid w:val="7AF16E13"/>
    <w:rsid w:val="7AF20495"/>
    <w:rsid w:val="7AF406B1"/>
    <w:rsid w:val="7AF4420D"/>
    <w:rsid w:val="7AF64429"/>
    <w:rsid w:val="7AF75AAB"/>
    <w:rsid w:val="7AF81F4F"/>
    <w:rsid w:val="7AF91C89"/>
    <w:rsid w:val="7AFB37ED"/>
    <w:rsid w:val="7AFB559C"/>
    <w:rsid w:val="7B007056"/>
    <w:rsid w:val="7B0408F4"/>
    <w:rsid w:val="7B05641A"/>
    <w:rsid w:val="7B0568FD"/>
    <w:rsid w:val="7B072192"/>
    <w:rsid w:val="7B07295D"/>
    <w:rsid w:val="7B087CB8"/>
    <w:rsid w:val="7B095F0A"/>
    <w:rsid w:val="7B0A1C83"/>
    <w:rsid w:val="7B0A3A31"/>
    <w:rsid w:val="7B0A57DF"/>
    <w:rsid w:val="7B0C59FB"/>
    <w:rsid w:val="7B0F1047"/>
    <w:rsid w:val="7B0F3CC0"/>
    <w:rsid w:val="7B130B37"/>
    <w:rsid w:val="7B132807"/>
    <w:rsid w:val="7B1565B0"/>
    <w:rsid w:val="7B160627"/>
    <w:rsid w:val="7B1A0118"/>
    <w:rsid w:val="7B1B3E90"/>
    <w:rsid w:val="7B1D5512"/>
    <w:rsid w:val="7B1F572E"/>
    <w:rsid w:val="7B205002"/>
    <w:rsid w:val="7B234AF2"/>
    <w:rsid w:val="7B242D44"/>
    <w:rsid w:val="7B29035B"/>
    <w:rsid w:val="7B2965AD"/>
    <w:rsid w:val="7B2A40D3"/>
    <w:rsid w:val="7B2A5E81"/>
    <w:rsid w:val="7B2A7C2F"/>
    <w:rsid w:val="7B2C7E4B"/>
    <w:rsid w:val="7B2F16E9"/>
    <w:rsid w:val="7B2F5245"/>
    <w:rsid w:val="7B30793B"/>
    <w:rsid w:val="7B310FBD"/>
    <w:rsid w:val="7B315461"/>
    <w:rsid w:val="7B3311D9"/>
    <w:rsid w:val="7B34197A"/>
    <w:rsid w:val="7B3867F0"/>
    <w:rsid w:val="7B3960C4"/>
    <w:rsid w:val="7B3A2568"/>
    <w:rsid w:val="7B3F192C"/>
    <w:rsid w:val="7B3F7B7E"/>
    <w:rsid w:val="7B4038F6"/>
    <w:rsid w:val="7B424F78"/>
    <w:rsid w:val="7B454A69"/>
    <w:rsid w:val="7B492710"/>
    <w:rsid w:val="7B4A02D1"/>
    <w:rsid w:val="7B4A207F"/>
    <w:rsid w:val="7B4A3BA0"/>
    <w:rsid w:val="7B4B6523"/>
    <w:rsid w:val="7B4C4049"/>
    <w:rsid w:val="7B4C5DF7"/>
    <w:rsid w:val="7B5022EF"/>
    <w:rsid w:val="7B512CCA"/>
    <w:rsid w:val="7B5178B1"/>
    <w:rsid w:val="7B533629"/>
    <w:rsid w:val="7B566C76"/>
    <w:rsid w:val="7B580C40"/>
    <w:rsid w:val="7B5829EE"/>
    <w:rsid w:val="7B592205"/>
    <w:rsid w:val="7B5B25DA"/>
    <w:rsid w:val="7B5B428C"/>
    <w:rsid w:val="7B5C0B86"/>
    <w:rsid w:val="7B5D6256"/>
    <w:rsid w:val="7B5F1FCE"/>
    <w:rsid w:val="7B5F6EFA"/>
    <w:rsid w:val="7B6018A2"/>
    <w:rsid w:val="7B607AF4"/>
    <w:rsid w:val="7B62561B"/>
    <w:rsid w:val="7B6273C9"/>
    <w:rsid w:val="7B6475E5"/>
    <w:rsid w:val="7B66335D"/>
    <w:rsid w:val="7B6B0973"/>
    <w:rsid w:val="7B6E46DC"/>
    <w:rsid w:val="7B6E5B6C"/>
    <w:rsid w:val="7B6E5D6D"/>
    <w:rsid w:val="7B6F1AE6"/>
    <w:rsid w:val="7B731B31"/>
    <w:rsid w:val="7B737828"/>
    <w:rsid w:val="7B7610C6"/>
    <w:rsid w:val="7B7642FE"/>
    <w:rsid w:val="7B784E3E"/>
    <w:rsid w:val="7B786BEC"/>
    <w:rsid w:val="7B7A2964"/>
    <w:rsid w:val="7B7A6E08"/>
    <w:rsid w:val="7B7B66DC"/>
    <w:rsid w:val="7B7C6A2F"/>
    <w:rsid w:val="7B7D4202"/>
    <w:rsid w:val="7B7F3F20"/>
    <w:rsid w:val="7B7F61CD"/>
    <w:rsid w:val="7B7F7F7B"/>
    <w:rsid w:val="7B827A6B"/>
    <w:rsid w:val="7B8437E3"/>
    <w:rsid w:val="7B863DF3"/>
    <w:rsid w:val="7B86755B"/>
    <w:rsid w:val="7B8A691F"/>
    <w:rsid w:val="7B8B2DC3"/>
    <w:rsid w:val="7B9003DA"/>
    <w:rsid w:val="7B915F00"/>
    <w:rsid w:val="7B917CAE"/>
    <w:rsid w:val="7B9652C4"/>
    <w:rsid w:val="7B997698"/>
    <w:rsid w:val="7B9A1258"/>
    <w:rsid w:val="7B9B1FB8"/>
    <w:rsid w:val="7B9C6019"/>
    <w:rsid w:val="7B9C6D7F"/>
    <w:rsid w:val="7B9D2AF7"/>
    <w:rsid w:val="7B9F6F98"/>
    <w:rsid w:val="7BA06143"/>
    <w:rsid w:val="7BA45C33"/>
    <w:rsid w:val="7BA4737C"/>
    <w:rsid w:val="7BA75723"/>
    <w:rsid w:val="7BA94FF8"/>
    <w:rsid w:val="7BA9718D"/>
    <w:rsid w:val="7BAB0D70"/>
    <w:rsid w:val="7BAB467E"/>
    <w:rsid w:val="7BAB6FC2"/>
    <w:rsid w:val="7BAE0860"/>
    <w:rsid w:val="7BAE260E"/>
    <w:rsid w:val="7BAE5967"/>
    <w:rsid w:val="7BB0282A"/>
    <w:rsid w:val="7BB06386"/>
    <w:rsid w:val="7BB265A2"/>
    <w:rsid w:val="7BB35E76"/>
    <w:rsid w:val="7BB37C24"/>
    <w:rsid w:val="7BB51BEE"/>
    <w:rsid w:val="7BB5399C"/>
    <w:rsid w:val="7BB73BB8"/>
    <w:rsid w:val="7BB75966"/>
    <w:rsid w:val="7BB95541"/>
    <w:rsid w:val="7BBA0FB3"/>
    <w:rsid w:val="7BBA508E"/>
    <w:rsid w:val="7BBA5457"/>
    <w:rsid w:val="7BBB4D2B"/>
    <w:rsid w:val="7BBD4F47"/>
    <w:rsid w:val="7BBE469C"/>
    <w:rsid w:val="7BBF0CBF"/>
    <w:rsid w:val="7BC10593"/>
    <w:rsid w:val="7BC2255D"/>
    <w:rsid w:val="7BC311C4"/>
    <w:rsid w:val="7BC40083"/>
    <w:rsid w:val="7BC462D5"/>
    <w:rsid w:val="7BC57DF6"/>
    <w:rsid w:val="7BC65BA9"/>
    <w:rsid w:val="7BC721FE"/>
    <w:rsid w:val="7BC77B74"/>
    <w:rsid w:val="7BC938EC"/>
    <w:rsid w:val="7BCB31C0"/>
    <w:rsid w:val="7BCC6F38"/>
    <w:rsid w:val="7BCE0F02"/>
    <w:rsid w:val="7BCE4A5E"/>
    <w:rsid w:val="7BCE62D7"/>
    <w:rsid w:val="7BD06A28"/>
    <w:rsid w:val="7BD32074"/>
    <w:rsid w:val="7BD36518"/>
    <w:rsid w:val="7BD4347A"/>
    <w:rsid w:val="7BD52290"/>
    <w:rsid w:val="7BD5403F"/>
    <w:rsid w:val="7BD55DED"/>
    <w:rsid w:val="7BDA1655"/>
    <w:rsid w:val="7BDA78A7"/>
    <w:rsid w:val="7BDC361F"/>
    <w:rsid w:val="7BDC717B"/>
    <w:rsid w:val="7BDD1145"/>
    <w:rsid w:val="7BDD2EF3"/>
    <w:rsid w:val="7BDF6C6B"/>
    <w:rsid w:val="7BE032BD"/>
    <w:rsid w:val="7BE424D4"/>
    <w:rsid w:val="7BE61DA8"/>
    <w:rsid w:val="7BE81B55"/>
    <w:rsid w:val="7BE91898"/>
    <w:rsid w:val="7BE95D3C"/>
    <w:rsid w:val="7BEA7920"/>
    <w:rsid w:val="7BEB03D0"/>
    <w:rsid w:val="7BEB5610"/>
    <w:rsid w:val="7BED75DA"/>
    <w:rsid w:val="7BEE3352"/>
    <w:rsid w:val="7BEE6330"/>
    <w:rsid w:val="7BEE6EAE"/>
    <w:rsid w:val="7BF30969"/>
    <w:rsid w:val="7BF32717"/>
    <w:rsid w:val="7BF5023D"/>
    <w:rsid w:val="7BF73FB5"/>
    <w:rsid w:val="7BFA3AA5"/>
    <w:rsid w:val="7BFC15CB"/>
    <w:rsid w:val="7BFC2A96"/>
    <w:rsid w:val="7BFC5A6F"/>
    <w:rsid w:val="7BFD5343"/>
    <w:rsid w:val="7BFE17E7"/>
    <w:rsid w:val="7BFF10BB"/>
    <w:rsid w:val="7BFF2E69"/>
    <w:rsid w:val="7BFF730D"/>
    <w:rsid w:val="7C007CD6"/>
    <w:rsid w:val="7C016BE2"/>
    <w:rsid w:val="7C035E63"/>
    <w:rsid w:val="7C036657"/>
    <w:rsid w:val="7C08053E"/>
    <w:rsid w:val="7C0861C2"/>
    <w:rsid w:val="7C0B3F04"/>
    <w:rsid w:val="7C0B5CB2"/>
    <w:rsid w:val="7C0C5586"/>
    <w:rsid w:val="7C0D1A2A"/>
    <w:rsid w:val="7C0D37D8"/>
    <w:rsid w:val="7C0E7550"/>
    <w:rsid w:val="7C10151B"/>
    <w:rsid w:val="7C1032C9"/>
    <w:rsid w:val="7C105077"/>
    <w:rsid w:val="7C11382C"/>
    <w:rsid w:val="7C134B67"/>
    <w:rsid w:val="7C136915"/>
    <w:rsid w:val="7C18217D"/>
    <w:rsid w:val="7C1D1542"/>
    <w:rsid w:val="7C211032"/>
    <w:rsid w:val="7C211BE0"/>
    <w:rsid w:val="7C2154D6"/>
    <w:rsid w:val="7C217284"/>
    <w:rsid w:val="7C224DAA"/>
    <w:rsid w:val="7C280612"/>
    <w:rsid w:val="7C2823C0"/>
    <w:rsid w:val="7C2B6FA4"/>
    <w:rsid w:val="7C2D79D7"/>
    <w:rsid w:val="7C2E374F"/>
    <w:rsid w:val="7C2F7BF3"/>
    <w:rsid w:val="7C305719"/>
    <w:rsid w:val="7C321491"/>
    <w:rsid w:val="7C330D65"/>
    <w:rsid w:val="7C336FB7"/>
    <w:rsid w:val="7C352D2F"/>
    <w:rsid w:val="7C39281F"/>
    <w:rsid w:val="7C3A20F4"/>
    <w:rsid w:val="7C3A2A38"/>
    <w:rsid w:val="7C3A6597"/>
    <w:rsid w:val="7C3C2310"/>
    <w:rsid w:val="7C3C40BE"/>
    <w:rsid w:val="7C3D3992"/>
    <w:rsid w:val="7C3F3BAE"/>
    <w:rsid w:val="7C3F68AA"/>
    <w:rsid w:val="7C407D3A"/>
    <w:rsid w:val="7C4116D4"/>
    <w:rsid w:val="7C417926"/>
    <w:rsid w:val="7C460A98"/>
    <w:rsid w:val="7C464F3C"/>
    <w:rsid w:val="7C482A62"/>
    <w:rsid w:val="7C484D8B"/>
    <w:rsid w:val="7C492337"/>
    <w:rsid w:val="7C4A4A2C"/>
    <w:rsid w:val="7C4B2553"/>
    <w:rsid w:val="7C4B4301"/>
    <w:rsid w:val="7C4B60AF"/>
    <w:rsid w:val="7C4D1E27"/>
    <w:rsid w:val="7C4D62CB"/>
    <w:rsid w:val="7C4E5B9F"/>
    <w:rsid w:val="7C4F37CE"/>
    <w:rsid w:val="7C4F3DF1"/>
    <w:rsid w:val="7C501917"/>
    <w:rsid w:val="7C52568F"/>
    <w:rsid w:val="7C547659"/>
    <w:rsid w:val="7C555EFF"/>
    <w:rsid w:val="7C556F2D"/>
    <w:rsid w:val="7C572CA5"/>
    <w:rsid w:val="7C5730C0"/>
    <w:rsid w:val="7C592DDB"/>
    <w:rsid w:val="7C594C70"/>
    <w:rsid w:val="7C5E5DE2"/>
    <w:rsid w:val="7C5F7DAC"/>
    <w:rsid w:val="7C604753"/>
    <w:rsid w:val="7C620503"/>
    <w:rsid w:val="7C63164A"/>
    <w:rsid w:val="7C6453C2"/>
    <w:rsid w:val="7C653614"/>
    <w:rsid w:val="7C6559F4"/>
    <w:rsid w:val="7C6B04FF"/>
    <w:rsid w:val="7C6F4493"/>
    <w:rsid w:val="7C705B15"/>
    <w:rsid w:val="7C727ADF"/>
    <w:rsid w:val="7C742918"/>
    <w:rsid w:val="7C743857"/>
    <w:rsid w:val="7C745605"/>
    <w:rsid w:val="7C765821"/>
    <w:rsid w:val="7C7729DA"/>
    <w:rsid w:val="7C792C1C"/>
    <w:rsid w:val="7C7970C0"/>
    <w:rsid w:val="7C7A4BE6"/>
    <w:rsid w:val="7C7C095E"/>
    <w:rsid w:val="7C7C44BA"/>
    <w:rsid w:val="7C7E6484"/>
    <w:rsid w:val="7C7F31FF"/>
    <w:rsid w:val="7C8021FC"/>
    <w:rsid w:val="7C833A9B"/>
    <w:rsid w:val="7C8415C1"/>
    <w:rsid w:val="7C865339"/>
    <w:rsid w:val="7C8810B1"/>
    <w:rsid w:val="7C8B294F"/>
    <w:rsid w:val="7C8D4919"/>
    <w:rsid w:val="7C8D66C7"/>
    <w:rsid w:val="7C9061B7"/>
    <w:rsid w:val="7C907F65"/>
    <w:rsid w:val="7C914409"/>
    <w:rsid w:val="7C923CDE"/>
    <w:rsid w:val="7C961A20"/>
    <w:rsid w:val="7C962567"/>
    <w:rsid w:val="7C977546"/>
    <w:rsid w:val="7C99506C"/>
    <w:rsid w:val="7C9A0DE4"/>
    <w:rsid w:val="7C9C2DAE"/>
    <w:rsid w:val="7C9C3264"/>
    <w:rsid w:val="7C9C690A"/>
    <w:rsid w:val="7C9F0755"/>
    <w:rsid w:val="7CA0464C"/>
    <w:rsid w:val="7CA25995"/>
    <w:rsid w:val="7CA33F3E"/>
    <w:rsid w:val="7CA757A6"/>
    <w:rsid w:val="7CA852AF"/>
    <w:rsid w:val="7CAA7279"/>
    <w:rsid w:val="7CAB2FF1"/>
    <w:rsid w:val="7CAC1243"/>
    <w:rsid w:val="7CAD0B17"/>
    <w:rsid w:val="7CAF663E"/>
    <w:rsid w:val="7CB023B6"/>
    <w:rsid w:val="7CB41EA6"/>
    <w:rsid w:val="7CB63E70"/>
    <w:rsid w:val="7CB71996"/>
    <w:rsid w:val="7CB73744"/>
    <w:rsid w:val="7CB812FC"/>
    <w:rsid w:val="7CB974BC"/>
    <w:rsid w:val="7CBC0D5A"/>
    <w:rsid w:val="7CBE0F77"/>
    <w:rsid w:val="7CC06A9D"/>
    <w:rsid w:val="7CC3033B"/>
    <w:rsid w:val="7CC540B3"/>
    <w:rsid w:val="7CC61BD9"/>
    <w:rsid w:val="7CC83BA3"/>
    <w:rsid w:val="7CCC0C02"/>
    <w:rsid w:val="7CCD2F68"/>
    <w:rsid w:val="7CCF0A8E"/>
    <w:rsid w:val="7CD12A58"/>
    <w:rsid w:val="7CD24A74"/>
    <w:rsid w:val="7CD267D0"/>
    <w:rsid w:val="7CD460A4"/>
    <w:rsid w:val="7CD51E1C"/>
    <w:rsid w:val="7CD6006E"/>
    <w:rsid w:val="7CD75B94"/>
    <w:rsid w:val="7CD97B5E"/>
    <w:rsid w:val="7CDF44A7"/>
    <w:rsid w:val="7CE02C9B"/>
    <w:rsid w:val="7CE03507"/>
    <w:rsid w:val="7CE0713F"/>
    <w:rsid w:val="7CE10508"/>
    <w:rsid w:val="7CE54755"/>
    <w:rsid w:val="7CE65DD7"/>
    <w:rsid w:val="7CE9012A"/>
    <w:rsid w:val="7CEC5AE4"/>
    <w:rsid w:val="7CED360A"/>
    <w:rsid w:val="7CED7166"/>
    <w:rsid w:val="7CEF1130"/>
    <w:rsid w:val="7CF0780B"/>
    <w:rsid w:val="7CF130FA"/>
    <w:rsid w:val="7CF16C56"/>
    <w:rsid w:val="7CF84488"/>
    <w:rsid w:val="7CF91FAF"/>
    <w:rsid w:val="7CFB5D27"/>
    <w:rsid w:val="7CFE1373"/>
    <w:rsid w:val="7D00333D"/>
    <w:rsid w:val="7D0050EB"/>
    <w:rsid w:val="7D0270B5"/>
    <w:rsid w:val="7D036989"/>
    <w:rsid w:val="7D056BA5"/>
    <w:rsid w:val="7D067652"/>
    <w:rsid w:val="7D0746CC"/>
    <w:rsid w:val="7D07647A"/>
    <w:rsid w:val="7D083FA0"/>
    <w:rsid w:val="7D086284"/>
    <w:rsid w:val="7D097714"/>
    <w:rsid w:val="7D0A41BC"/>
    <w:rsid w:val="7D0A5F6A"/>
    <w:rsid w:val="7D0A7D18"/>
    <w:rsid w:val="7D0C7F34"/>
    <w:rsid w:val="7D104A16"/>
    <w:rsid w:val="7D11554A"/>
    <w:rsid w:val="7D1172F8"/>
    <w:rsid w:val="7D124E1E"/>
    <w:rsid w:val="7D140B97"/>
    <w:rsid w:val="7D1564DB"/>
    <w:rsid w:val="7D16490F"/>
    <w:rsid w:val="7D1666BD"/>
    <w:rsid w:val="7D1705D7"/>
    <w:rsid w:val="7D180687"/>
    <w:rsid w:val="7D197F5B"/>
    <w:rsid w:val="7D1B1F25"/>
    <w:rsid w:val="7D1D5C9D"/>
    <w:rsid w:val="7D1E04AA"/>
    <w:rsid w:val="7D1E58D9"/>
    <w:rsid w:val="7D2012E9"/>
    <w:rsid w:val="7D20753B"/>
    <w:rsid w:val="7D2232B3"/>
    <w:rsid w:val="7D23702C"/>
    <w:rsid w:val="7D250FF6"/>
    <w:rsid w:val="7D252DA4"/>
    <w:rsid w:val="7D266FEA"/>
    <w:rsid w:val="7D2708CA"/>
    <w:rsid w:val="7D284642"/>
    <w:rsid w:val="7D2863F0"/>
    <w:rsid w:val="7D292894"/>
    <w:rsid w:val="7D2A2168"/>
    <w:rsid w:val="7D2A6A4D"/>
    <w:rsid w:val="7D2C7C8E"/>
    <w:rsid w:val="7D2E53CE"/>
    <w:rsid w:val="7D33726F"/>
    <w:rsid w:val="7D360B0D"/>
    <w:rsid w:val="7D364FB1"/>
    <w:rsid w:val="7D366D5F"/>
    <w:rsid w:val="7D376633"/>
    <w:rsid w:val="7D384885"/>
    <w:rsid w:val="7D3923AB"/>
    <w:rsid w:val="7D39610E"/>
    <w:rsid w:val="7D3B6123"/>
    <w:rsid w:val="7D3D00ED"/>
    <w:rsid w:val="7D3E5C13"/>
    <w:rsid w:val="7D3F536F"/>
    <w:rsid w:val="7D413844"/>
    <w:rsid w:val="7D423956"/>
    <w:rsid w:val="7D43322A"/>
    <w:rsid w:val="7D450D50"/>
    <w:rsid w:val="7D456FA2"/>
    <w:rsid w:val="7D470F6C"/>
    <w:rsid w:val="7D494BA7"/>
    <w:rsid w:val="7D4A0A5C"/>
    <w:rsid w:val="7D4C6582"/>
    <w:rsid w:val="7D4F6073"/>
    <w:rsid w:val="7D511DEB"/>
    <w:rsid w:val="7D537911"/>
    <w:rsid w:val="7D5471E5"/>
    <w:rsid w:val="7D562F5D"/>
    <w:rsid w:val="7D567401"/>
    <w:rsid w:val="7D586CD5"/>
    <w:rsid w:val="7D5B0573"/>
    <w:rsid w:val="7D5E1E12"/>
    <w:rsid w:val="7D60202E"/>
    <w:rsid w:val="7D625DA6"/>
    <w:rsid w:val="7D63567A"/>
    <w:rsid w:val="7D6873BE"/>
    <w:rsid w:val="7D6A4C5A"/>
    <w:rsid w:val="7D6B2EAC"/>
    <w:rsid w:val="7D6C2781"/>
    <w:rsid w:val="7D6F401F"/>
    <w:rsid w:val="7D707D52"/>
    <w:rsid w:val="7D711B45"/>
    <w:rsid w:val="7D722672"/>
    <w:rsid w:val="7D731D61"/>
    <w:rsid w:val="7D7635FF"/>
    <w:rsid w:val="7D770681"/>
    <w:rsid w:val="7D787377"/>
    <w:rsid w:val="7D7B6E68"/>
    <w:rsid w:val="7D7D2BE0"/>
    <w:rsid w:val="7D7D498E"/>
    <w:rsid w:val="7D7D673C"/>
    <w:rsid w:val="7D7E2356"/>
    <w:rsid w:val="7D7E37E6"/>
    <w:rsid w:val="7D7F24B4"/>
    <w:rsid w:val="7D847ACA"/>
    <w:rsid w:val="7D851A94"/>
    <w:rsid w:val="7D871368"/>
    <w:rsid w:val="7D8775BA"/>
    <w:rsid w:val="7D893333"/>
    <w:rsid w:val="7D8A2C07"/>
    <w:rsid w:val="7D8C4BD1"/>
    <w:rsid w:val="7D8C697F"/>
    <w:rsid w:val="7D8D1E4B"/>
    <w:rsid w:val="7D8E0949"/>
    <w:rsid w:val="7D902913"/>
    <w:rsid w:val="7D9046C1"/>
    <w:rsid w:val="7D910439"/>
    <w:rsid w:val="7D9119B2"/>
    <w:rsid w:val="7D91708B"/>
    <w:rsid w:val="7D935F5F"/>
    <w:rsid w:val="7D951CD7"/>
    <w:rsid w:val="7D9677FD"/>
    <w:rsid w:val="7D9B4E14"/>
    <w:rsid w:val="7D9E2DD0"/>
    <w:rsid w:val="7D9F4904"/>
    <w:rsid w:val="7D9F66B2"/>
    <w:rsid w:val="7DA0242A"/>
    <w:rsid w:val="7DA056F0"/>
    <w:rsid w:val="7DA102C1"/>
    <w:rsid w:val="7DA16B80"/>
    <w:rsid w:val="7DA243F4"/>
    <w:rsid w:val="7DA261A2"/>
    <w:rsid w:val="7DA500D2"/>
    <w:rsid w:val="7DA71A0B"/>
    <w:rsid w:val="7DA83E82"/>
    <w:rsid w:val="7DA97EE3"/>
    <w:rsid w:val="7DAE0FEB"/>
    <w:rsid w:val="7DAF266D"/>
    <w:rsid w:val="7DB008BF"/>
    <w:rsid w:val="7DB55ED6"/>
    <w:rsid w:val="7DB639FC"/>
    <w:rsid w:val="7DB67EA0"/>
    <w:rsid w:val="7DB83977"/>
    <w:rsid w:val="7DB979D8"/>
    <w:rsid w:val="7DBA7990"/>
    <w:rsid w:val="7DBB1012"/>
    <w:rsid w:val="7DBC518B"/>
    <w:rsid w:val="7DBD122E"/>
    <w:rsid w:val="7DC24A36"/>
    <w:rsid w:val="7DC265D2"/>
    <w:rsid w:val="7DC425BD"/>
    <w:rsid w:val="7DC46119"/>
    <w:rsid w:val="7DC51E91"/>
    <w:rsid w:val="7DC66DA3"/>
    <w:rsid w:val="7DC720AD"/>
    <w:rsid w:val="7DC73E5B"/>
    <w:rsid w:val="7DCA095D"/>
    <w:rsid w:val="7DCA74A7"/>
    <w:rsid w:val="7DCD470D"/>
    <w:rsid w:val="7DCE6F97"/>
    <w:rsid w:val="7DD16A88"/>
    <w:rsid w:val="7DD30A52"/>
    <w:rsid w:val="7DD6409E"/>
    <w:rsid w:val="7DD86068"/>
    <w:rsid w:val="7DDA593C"/>
    <w:rsid w:val="7DDB18E2"/>
    <w:rsid w:val="7DDD367E"/>
    <w:rsid w:val="7DDD71DA"/>
    <w:rsid w:val="7DE06CCB"/>
    <w:rsid w:val="7DE1316F"/>
    <w:rsid w:val="7DE14F1D"/>
    <w:rsid w:val="7DE20C95"/>
    <w:rsid w:val="7DE60785"/>
    <w:rsid w:val="7DE762AB"/>
    <w:rsid w:val="7DE95B7F"/>
    <w:rsid w:val="7DEB2737"/>
    <w:rsid w:val="7DEB5D9B"/>
    <w:rsid w:val="7DED25B6"/>
    <w:rsid w:val="7DED3CF7"/>
    <w:rsid w:val="7DEE3196"/>
    <w:rsid w:val="7DF06F0E"/>
    <w:rsid w:val="7DF07AA7"/>
    <w:rsid w:val="7DF10ED8"/>
    <w:rsid w:val="7DF12C86"/>
    <w:rsid w:val="7DF32EA2"/>
    <w:rsid w:val="7DF509C8"/>
    <w:rsid w:val="7DF54524"/>
    <w:rsid w:val="7DF76239"/>
    <w:rsid w:val="7DF82266"/>
    <w:rsid w:val="7DFA5FDE"/>
    <w:rsid w:val="7DFB778A"/>
    <w:rsid w:val="7DFC3B04"/>
    <w:rsid w:val="7DFD787D"/>
    <w:rsid w:val="7DFF1847"/>
    <w:rsid w:val="7E0230E5"/>
    <w:rsid w:val="7E026C41"/>
    <w:rsid w:val="7E030AED"/>
    <w:rsid w:val="7E040C0B"/>
    <w:rsid w:val="7E0429B9"/>
    <w:rsid w:val="7E097FCF"/>
    <w:rsid w:val="7E0B3D48"/>
    <w:rsid w:val="7E0C070F"/>
    <w:rsid w:val="7E0C7AC0"/>
    <w:rsid w:val="7E0D5D12"/>
    <w:rsid w:val="7E10135E"/>
    <w:rsid w:val="7E105802"/>
    <w:rsid w:val="7E12157A"/>
    <w:rsid w:val="7E123328"/>
    <w:rsid w:val="7E132BFC"/>
    <w:rsid w:val="7E1370A0"/>
    <w:rsid w:val="7E152E18"/>
    <w:rsid w:val="7E17093E"/>
    <w:rsid w:val="7E176B90"/>
    <w:rsid w:val="7E1A21DD"/>
    <w:rsid w:val="7E1A3F8B"/>
    <w:rsid w:val="7E1C41A7"/>
    <w:rsid w:val="7E1C7D03"/>
    <w:rsid w:val="7E1D1CCD"/>
    <w:rsid w:val="7E1D3A7B"/>
    <w:rsid w:val="7E1E7F1F"/>
    <w:rsid w:val="7E21356B"/>
    <w:rsid w:val="7E2412AD"/>
    <w:rsid w:val="7E244E09"/>
    <w:rsid w:val="7E245A9C"/>
    <w:rsid w:val="7E2748F9"/>
    <w:rsid w:val="7E277227"/>
    <w:rsid w:val="7E282B4B"/>
    <w:rsid w:val="7E290672"/>
    <w:rsid w:val="7E292420"/>
    <w:rsid w:val="7E2B43EA"/>
    <w:rsid w:val="7E2B6198"/>
    <w:rsid w:val="7E2C3CBE"/>
    <w:rsid w:val="7E2D63B4"/>
    <w:rsid w:val="7E2E3EDA"/>
    <w:rsid w:val="7E301A00"/>
    <w:rsid w:val="7E307C52"/>
    <w:rsid w:val="7E32242A"/>
    <w:rsid w:val="7E325778"/>
    <w:rsid w:val="7E327526"/>
    <w:rsid w:val="7E33329E"/>
    <w:rsid w:val="7E357016"/>
    <w:rsid w:val="7E3A378D"/>
    <w:rsid w:val="7E3A462D"/>
    <w:rsid w:val="7E3C65F7"/>
    <w:rsid w:val="7E3E236F"/>
    <w:rsid w:val="7E413C0D"/>
    <w:rsid w:val="7E4234E1"/>
    <w:rsid w:val="7E437985"/>
    <w:rsid w:val="7E485D91"/>
    <w:rsid w:val="7E4B05E8"/>
    <w:rsid w:val="7E4B683A"/>
    <w:rsid w:val="7E4D4360"/>
    <w:rsid w:val="7E4E00D8"/>
    <w:rsid w:val="7E4F632A"/>
    <w:rsid w:val="7E505BFE"/>
    <w:rsid w:val="7E525E1A"/>
    <w:rsid w:val="7E5356EF"/>
    <w:rsid w:val="7E551467"/>
    <w:rsid w:val="7E553215"/>
    <w:rsid w:val="7E590F57"/>
    <w:rsid w:val="7E5A4CCF"/>
    <w:rsid w:val="7E5A6A7D"/>
    <w:rsid w:val="7E5C3F56"/>
    <w:rsid w:val="7E5C45A3"/>
    <w:rsid w:val="7E5E47BF"/>
    <w:rsid w:val="7E5F5E41"/>
    <w:rsid w:val="7E611BB9"/>
    <w:rsid w:val="7E617E0B"/>
    <w:rsid w:val="7E632999"/>
    <w:rsid w:val="7E655B4E"/>
    <w:rsid w:val="7E6873EC"/>
    <w:rsid w:val="7E694F12"/>
    <w:rsid w:val="7E696CC0"/>
    <w:rsid w:val="7E6A3164"/>
    <w:rsid w:val="7E6B2A38"/>
    <w:rsid w:val="7E6B47E6"/>
    <w:rsid w:val="7E6B6EDC"/>
    <w:rsid w:val="7E6D055E"/>
    <w:rsid w:val="7E723DC7"/>
    <w:rsid w:val="7E7278BD"/>
    <w:rsid w:val="7E7676CE"/>
    <w:rsid w:val="7E775881"/>
    <w:rsid w:val="7E786F03"/>
    <w:rsid w:val="7E7C4C45"/>
    <w:rsid w:val="7E7E276B"/>
    <w:rsid w:val="7E7E6C0F"/>
    <w:rsid w:val="7E7F0292"/>
    <w:rsid w:val="7E7F64E4"/>
    <w:rsid w:val="7E803351"/>
    <w:rsid w:val="7E81225C"/>
    <w:rsid w:val="7E825C71"/>
    <w:rsid w:val="7E837D82"/>
    <w:rsid w:val="7E851D4C"/>
    <w:rsid w:val="7E865AC4"/>
    <w:rsid w:val="7E8835EA"/>
    <w:rsid w:val="7E8A7362"/>
    <w:rsid w:val="7E8B4E88"/>
    <w:rsid w:val="7E8B6C36"/>
    <w:rsid w:val="7E8D29AE"/>
    <w:rsid w:val="7E8E6727"/>
    <w:rsid w:val="7E90249F"/>
    <w:rsid w:val="7E906943"/>
    <w:rsid w:val="7E924469"/>
    <w:rsid w:val="7E926217"/>
    <w:rsid w:val="7E955D07"/>
    <w:rsid w:val="7E9700A4"/>
    <w:rsid w:val="7E971A7F"/>
    <w:rsid w:val="7E9957F7"/>
    <w:rsid w:val="7E9A331D"/>
    <w:rsid w:val="7E9A3EF8"/>
    <w:rsid w:val="7E9B156F"/>
    <w:rsid w:val="7E9C7095"/>
    <w:rsid w:val="7E9E4BBC"/>
    <w:rsid w:val="7E9F26E2"/>
    <w:rsid w:val="7EA1645A"/>
    <w:rsid w:val="7EA36676"/>
    <w:rsid w:val="7EAA7A04"/>
    <w:rsid w:val="7EAB72D9"/>
    <w:rsid w:val="7EAE37FE"/>
    <w:rsid w:val="7EAF0B77"/>
    <w:rsid w:val="7EB048EF"/>
    <w:rsid w:val="7EB10D93"/>
    <w:rsid w:val="7EB268B9"/>
    <w:rsid w:val="7EB97C47"/>
    <w:rsid w:val="7EBA751C"/>
    <w:rsid w:val="7EBC3294"/>
    <w:rsid w:val="7EBC7738"/>
    <w:rsid w:val="7EBE525E"/>
    <w:rsid w:val="7EBF4B32"/>
    <w:rsid w:val="7EC00FD6"/>
    <w:rsid w:val="7EC11C74"/>
    <w:rsid w:val="7EC21C85"/>
    <w:rsid w:val="7EC32874"/>
    <w:rsid w:val="7EC34622"/>
    <w:rsid w:val="7EC5039A"/>
    <w:rsid w:val="7EC505F5"/>
    <w:rsid w:val="7EC565EC"/>
    <w:rsid w:val="7EC64112"/>
    <w:rsid w:val="7ECA3C03"/>
    <w:rsid w:val="7ECB34D7"/>
    <w:rsid w:val="7ECD724F"/>
    <w:rsid w:val="7ED06D3F"/>
    <w:rsid w:val="7ED20D09"/>
    <w:rsid w:val="7ED405DD"/>
    <w:rsid w:val="7ED4682F"/>
    <w:rsid w:val="7ED54355"/>
    <w:rsid w:val="7ED700CE"/>
    <w:rsid w:val="7ED9163C"/>
    <w:rsid w:val="7ED93E46"/>
    <w:rsid w:val="7EDA196C"/>
    <w:rsid w:val="7EDA732B"/>
    <w:rsid w:val="7EDB1C12"/>
    <w:rsid w:val="7EDC652F"/>
    <w:rsid w:val="7EDC7492"/>
    <w:rsid w:val="7EDC7FBD"/>
    <w:rsid w:val="7EDD7D0C"/>
    <w:rsid w:val="7EE07DCE"/>
    <w:rsid w:val="7EE10F4C"/>
    <w:rsid w:val="7EE30820"/>
    <w:rsid w:val="7EE34CC4"/>
    <w:rsid w:val="7EE66563"/>
    <w:rsid w:val="7EE949F2"/>
    <w:rsid w:val="7EEB3B79"/>
    <w:rsid w:val="7EEC37A0"/>
    <w:rsid w:val="7EED0F42"/>
    <w:rsid w:val="7EED5B43"/>
    <w:rsid w:val="7EEF18BB"/>
    <w:rsid w:val="7EEF71C5"/>
    <w:rsid w:val="7EF0118F"/>
    <w:rsid w:val="7EF27612"/>
    <w:rsid w:val="7EF42A2E"/>
    <w:rsid w:val="7EF649F8"/>
    <w:rsid w:val="7EF70770"/>
    <w:rsid w:val="7EF742CC"/>
    <w:rsid w:val="7EF90044"/>
    <w:rsid w:val="7EF944E8"/>
    <w:rsid w:val="7EF96296"/>
    <w:rsid w:val="7EFA74FF"/>
    <w:rsid w:val="7EFB200E"/>
    <w:rsid w:val="7EFB3DBC"/>
    <w:rsid w:val="7EFC3295"/>
    <w:rsid w:val="7EFC7B34"/>
    <w:rsid w:val="7EFE1AFE"/>
    <w:rsid w:val="7F005876"/>
    <w:rsid w:val="7F01514B"/>
    <w:rsid w:val="7F037115"/>
    <w:rsid w:val="7F055A88"/>
    <w:rsid w:val="7F08297D"/>
    <w:rsid w:val="7F0864D9"/>
    <w:rsid w:val="7F0A2251"/>
    <w:rsid w:val="7F0B7D77"/>
    <w:rsid w:val="7F0C5FC9"/>
    <w:rsid w:val="7F0D3AEF"/>
    <w:rsid w:val="7F0F1615"/>
    <w:rsid w:val="7F10538E"/>
    <w:rsid w:val="7F127358"/>
    <w:rsid w:val="7F1629A4"/>
    <w:rsid w:val="7F17164A"/>
    <w:rsid w:val="7F17496E"/>
    <w:rsid w:val="7F17671C"/>
    <w:rsid w:val="7F192494"/>
    <w:rsid w:val="7F1B26B0"/>
    <w:rsid w:val="7F1B620C"/>
    <w:rsid w:val="7F1D01D6"/>
    <w:rsid w:val="7F1E5CFC"/>
    <w:rsid w:val="7F1E7AAB"/>
    <w:rsid w:val="7F201A75"/>
    <w:rsid w:val="7F2257ED"/>
    <w:rsid w:val="7F227B81"/>
    <w:rsid w:val="7F233313"/>
    <w:rsid w:val="7F271055"/>
    <w:rsid w:val="7F272E03"/>
    <w:rsid w:val="7F280929"/>
    <w:rsid w:val="7F2A46A1"/>
    <w:rsid w:val="7F2C0419"/>
    <w:rsid w:val="7F2C21C7"/>
    <w:rsid w:val="7F2D4191"/>
    <w:rsid w:val="7F313C82"/>
    <w:rsid w:val="7F315A30"/>
    <w:rsid w:val="7F343772"/>
    <w:rsid w:val="7F354B67"/>
    <w:rsid w:val="7F361298"/>
    <w:rsid w:val="7F3648B6"/>
    <w:rsid w:val="7F364DF4"/>
    <w:rsid w:val="7F367487"/>
    <w:rsid w:val="7F3834E8"/>
    <w:rsid w:val="7F385010"/>
    <w:rsid w:val="7F392B36"/>
    <w:rsid w:val="7F3B1E69"/>
    <w:rsid w:val="7F3B68AE"/>
    <w:rsid w:val="7F3C6183"/>
    <w:rsid w:val="7F3D2627"/>
    <w:rsid w:val="7F3D43D5"/>
    <w:rsid w:val="7F413799"/>
    <w:rsid w:val="7F4219EB"/>
    <w:rsid w:val="7F437511"/>
    <w:rsid w:val="7F4514DB"/>
    <w:rsid w:val="7F45772D"/>
    <w:rsid w:val="7F47040C"/>
    <w:rsid w:val="7F5259A6"/>
    <w:rsid w:val="7F547970"/>
    <w:rsid w:val="7F566A71"/>
    <w:rsid w:val="7F572FBC"/>
    <w:rsid w:val="7F590AE3"/>
    <w:rsid w:val="7F5B0CFF"/>
    <w:rsid w:val="7F5B2AAD"/>
    <w:rsid w:val="7F5D4A77"/>
    <w:rsid w:val="7F5E259D"/>
    <w:rsid w:val="7F5E434B"/>
    <w:rsid w:val="7F623E3B"/>
    <w:rsid w:val="7F625BE9"/>
    <w:rsid w:val="7F631961"/>
    <w:rsid w:val="7F637BB3"/>
    <w:rsid w:val="7F645E05"/>
    <w:rsid w:val="7F650DC4"/>
    <w:rsid w:val="7F68179C"/>
    <w:rsid w:val="7F6851CA"/>
    <w:rsid w:val="7F692316"/>
    <w:rsid w:val="7F6A37A6"/>
    <w:rsid w:val="7F6B4C36"/>
    <w:rsid w:val="7F6C6A68"/>
    <w:rsid w:val="7F6F0306"/>
    <w:rsid w:val="7F6F6188"/>
    <w:rsid w:val="7F71407E"/>
    <w:rsid w:val="7F73429A"/>
    <w:rsid w:val="7F736048"/>
    <w:rsid w:val="7F741DC0"/>
    <w:rsid w:val="7F74591C"/>
    <w:rsid w:val="7F751FF9"/>
    <w:rsid w:val="7F792F33"/>
    <w:rsid w:val="7F7B314F"/>
    <w:rsid w:val="7F7B472A"/>
    <w:rsid w:val="7F7C5BBA"/>
    <w:rsid w:val="7F7E49ED"/>
    <w:rsid w:val="7F7E679B"/>
    <w:rsid w:val="7F8042C1"/>
    <w:rsid w:val="7F833DB1"/>
    <w:rsid w:val="7F857B2A"/>
    <w:rsid w:val="7F871AF4"/>
    <w:rsid w:val="7F8738A2"/>
    <w:rsid w:val="7F875650"/>
    <w:rsid w:val="7F8901BE"/>
    <w:rsid w:val="7F8A15E4"/>
    <w:rsid w:val="7F8A5140"/>
    <w:rsid w:val="7F8C2C66"/>
    <w:rsid w:val="7F8F6BFA"/>
    <w:rsid w:val="7F912972"/>
    <w:rsid w:val="7F914720"/>
    <w:rsid w:val="7F9164CE"/>
    <w:rsid w:val="7F985AAF"/>
    <w:rsid w:val="7F98785D"/>
    <w:rsid w:val="7F9935D5"/>
    <w:rsid w:val="7F9B10FB"/>
    <w:rsid w:val="7F9B559F"/>
    <w:rsid w:val="7F9D1317"/>
    <w:rsid w:val="7F9E0BEB"/>
    <w:rsid w:val="7F9F508F"/>
    <w:rsid w:val="7FA33936"/>
    <w:rsid w:val="7FA73F44"/>
    <w:rsid w:val="7FA77AA0"/>
    <w:rsid w:val="7FA97CBC"/>
    <w:rsid w:val="7FAC155A"/>
    <w:rsid w:val="7FAC3308"/>
    <w:rsid w:val="7FAC3558"/>
    <w:rsid w:val="7FAE0E2E"/>
    <w:rsid w:val="7FAF1ED9"/>
    <w:rsid w:val="7FAF4BA7"/>
    <w:rsid w:val="7FB0104A"/>
    <w:rsid w:val="7FB126CD"/>
    <w:rsid w:val="7FB14DC3"/>
    <w:rsid w:val="7FB36445"/>
    <w:rsid w:val="7FB56661"/>
    <w:rsid w:val="7FB66DFD"/>
    <w:rsid w:val="7FB83A5B"/>
    <w:rsid w:val="7FBA6FEC"/>
    <w:rsid w:val="7FBB179D"/>
    <w:rsid w:val="7FBB3C39"/>
    <w:rsid w:val="7FBE053E"/>
    <w:rsid w:val="7FBF303C"/>
    <w:rsid w:val="7FC06DB4"/>
    <w:rsid w:val="7FC44AF6"/>
    <w:rsid w:val="7FC5261C"/>
    <w:rsid w:val="7FC76394"/>
    <w:rsid w:val="7FC9210C"/>
    <w:rsid w:val="7FC93F60"/>
    <w:rsid w:val="7FC95C68"/>
    <w:rsid w:val="7FCB7C32"/>
    <w:rsid w:val="7FCC7507"/>
    <w:rsid w:val="7FCE7723"/>
    <w:rsid w:val="7FCF08A9"/>
    <w:rsid w:val="7FD05249"/>
    <w:rsid w:val="7FD12D6F"/>
    <w:rsid w:val="7FD15524"/>
    <w:rsid w:val="7FD30895"/>
    <w:rsid w:val="7FD4460D"/>
    <w:rsid w:val="7FD60385"/>
    <w:rsid w:val="7FD64829"/>
    <w:rsid w:val="7FD72826"/>
    <w:rsid w:val="7FD85EAB"/>
    <w:rsid w:val="7FD87AC4"/>
    <w:rsid w:val="7FDC1E3F"/>
    <w:rsid w:val="7FDD34C2"/>
    <w:rsid w:val="7FDD7966"/>
    <w:rsid w:val="7FDF36DE"/>
    <w:rsid w:val="7FDF7877"/>
    <w:rsid w:val="7FE01204"/>
    <w:rsid w:val="7FE02448"/>
    <w:rsid w:val="7FE02FB2"/>
    <w:rsid w:val="7FE164A9"/>
    <w:rsid w:val="7FE24F7C"/>
    <w:rsid w:val="7FE40CF4"/>
    <w:rsid w:val="7FE5681A"/>
    <w:rsid w:val="7FE72592"/>
    <w:rsid w:val="7FE74340"/>
    <w:rsid w:val="7FE900B8"/>
    <w:rsid w:val="7FE9455C"/>
    <w:rsid w:val="7FEA3E31"/>
    <w:rsid w:val="7FEA5BDF"/>
    <w:rsid w:val="7FEB755B"/>
    <w:rsid w:val="7FEC1957"/>
    <w:rsid w:val="7FEE56CF"/>
    <w:rsid w:val="7FF07699"/>
    <w:rsid w:val="7FF151BF"/>
    <w:rsid w:val="7FF30F37"/>
    <w:rsid w:val="7FF501B8"/>
    <w:rsid w:val="7FF52F01"/>
    <w:rsid w:val="7FF53ADA"/>
    <w:rsid w:val="7FFA22C6"/>
    <w:rsid w:val="7FFC30B1"/>
    <w:rsid w:val="7FFD5912"/>
    <w:rsid w:val="7FFF4290"/>
    <w:rsid w:val="7FFFC92C"/>
    <w:rsid w:val="AB96847B"/>
    <w:rsid w:val="AE8DA7C5"/>
    <w:rsid w:val="BAADAE47"/>
    <w:rsid w:val="FF77AC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iPriority="99" w:name="footnote text"/>
    <w:lsdException w:qFormat="1" w:uiPriority="0" w:name="annotation text"/>
    <w:lsdException w:qFormat="1" w:unhideWhenUsed="0" w:uiPriority="99" w:semiHidden="0" w:name="header"/>
    <w:lsdException w:qFormat="1" w:unhideWhenUsed="0" w:uiPriority="0" w:semiHidden="0" w:name="footer"/>
    <w:lsdException w:uiPriority="99" w:name="index heading"/>
    <w:lsdException w:qFormat="1" w:uiPriority="35" w:name="caption"/>
    <w:lsdException w:qFormat="1" w:unhideWhenUsed="0" w:uiPriority="99" w:semiHidden="0" w:name="table of figures"/>
    <w:lsdException w:uiPriority="99" w:name="envelope address"/>
    <w:lsdException w:uiPriority="99" w:name="envelope return"/>
    <w:lsdException w:qFormat="1"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eastAsia="仿宋" w:cs="Times New Roman" w:asciiTheme="minorHAnsi" w:hAnsiTheme="minorHAnsi"/>
      <w:kern w:val="2"/>
      <w:sz w:val="32"/>
      <w:szCs w:val="32"/>
      <w:lang w:val="en-US" w:eastAsia="zh-CN" w:bidi="ar-SA"/>
    </w:rPr>
  </w:style>
  <w:style w:type="paragraph" w:styleId="4">
    <w:name w:val="heading 1"/>
    <w:basedOn w:val="1"/>
    <w:next w:val="1"/>
    <w:link w:val="36"/>
    <w:qFormat/>
    <w:uiPriority w:val="9"/>
    <w:pPr>
      <w:keepNext/>
      <w:keepLines/>
      <w:tabs>
        <w:tab w:val="left" w:pos="0"/>
      </w:tabs>
      <w:suppressAutoHyphens/>
      <w:spacing w:before="340" w:after="330" w:line="480" w:lineRule="auto"/>
      <w:outlineLvl w:val="0"/>
    </w:pPr>
    <w:rPr>
      <w:rFonts w:ascii="Times New Roman" w:hAnsi="Times New Roman" w:eastAsia="宋体" w:cs="黑体"/>
      <w:b/>
      <w:bCs/>
      <w:kern w:val="1"/>
      <w:sz w:val="44"/>
      <w:szCs w:val="44"/>
    </w:rPr>
  </w:style>
  <w:style w:type="paragraph" w:styleId="5">
    <w:name w:val="heading 2"/>
    <w:basedOn w:val="1"/>
    <w:next w:val="1"/>
    <w:link w:val="37"/>
    <w:qFormat/>
    <w:uiPriority w:val="9"/>
    <w:pPr>
      <w:keepNext/>
      <w:keepLines/>
      <w:tabs>
        <w:tab w:val="left" w:pos="0"/>
      </w:tabs>
      <w:suppressAutoHyphens/>
      <w:spacing w:before="260" w:after="260" w:line="415" w:lineRule="auto"/>
      <w:outlineLvl w:val="1"/>
    </w:pPr>
    <w:rPr>
      <w:rFonts w:ascii="Cambria" w:hAnsi="Cambria" w:eastAsia="宋体" w:cs="Cambria"/>
      <w:b/>
      <w:bCs/>
      <w:kern w:val="1"/>
    </w:rPr>
  </w:style>
  <w:style w:type="paragraph" w:styleId="6">
    <w:name w:val="heading 3"/>
    <w:basedOn w:val="1"/>
    <w:next w:val="1"/>
    <w:link w:val="33"/>
    <w:unhideWhenUsed/>
    <w:qFormat/>
    <w:uiPriority w:val="0"/>
    <w:pPr>
      <w:keepNext/>
      <w:keepLines/>
      <w:spacing w:before="260" w:after="260" w:line="416" w:lineRule="auto"/>
      <w:outlineLvl w:val="2"/>
    </w:pPr>
    <w:rPr>
      <w:b/>
      <w:bCs/>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style>
  <w:style w:type="paragraph" w:styleId="3">
    <w:name w:val="Body Text"/>
    <w:basedOn w:val="1"/>
    <w:qFormat/>
    <w:uiPriority w:val="0"/>
    <w:pPr>
      <w:spacing w:after="120" w:afterLines="0" w:afterAutospacing="0"/>
    </w:pPr>
  </w:style>
  <w:style w:type="paragraph" w:styleId="7">
    <w:name w:val="toc 7"/>
    <w:basedOn w:val="1"/>
    <w:next w:val="1"/>
    <w:unhideWhenUsed/>
    <w:qFormat/>
    <w:uiPriority w:val="39"/>
    <w:pPr>
      <w:spacing w:line="240" w:lineRule="auto"/>
      <w:ind w:left="2520" w:leftChars="1200"/>
    </w:pPr>
    <w:rPr>
      <w:rFonts w:eastAsiaTheme="minorEastAsia" w:cstheme="minorBidi"/>
      <w:sz w:val="21"/>
      <w:szCs w:val="22"/>
    </w:rPr>
  </w:style>
  <w:style w:type="paragraph" w:styleId="8">
    <w:name w:val="annotation text"/>
    <w:basedOn w:val="1"/>
    <w:link w:val="43"/>
    <w:semiHidden/>
    <w:unhideWhenUsed/>
    <w:qFormat/>
    <w:uiPriority w:val="0"/>
    <w:pPr>
      <w:jc w:val="left"/>
    </w:pPr>
  </w:style>
  <w:style w:type="paragraph" w:styleId="9">
    <w:name w:val="Body Text Indent"/>
    <w:basedOn w:val="1"/>
    <w:next w:val="10"/>
    <w:link w:val="34"/>
    <w:semiHidden/>
    <w:unhideWhenUsed/>
    <w:qFormat/>
    <w:uiPriority w:val="99"/>
    <w:pPr>
      <w:spacing w:after="120"/>
      <w:ind w:left="420" w:leftChars="200"/>
    </w:pPr>
  </w:style>
  <w:style w:type="paragraph" w:styleId="10">
    <w:name w:val="Body Text First Indent 2"/>
    <w:basedOn w:val="9"/>
    <w:next w:val="1"/>
    <w:link w:val="35"/>
    <w:qFormat/>
    <w:uiPriority w:val="0"/>
    <w:pPr>
      <w:ind w:firstLine="420" w:firstLineChars="200"/>
    </w:pPr>
  </w:style>
  <w:style w:type="paragraph" w:styleId="11">
    <w:name w:val="toc 5"/>
    <w:basedOn w:val="1"/>
    <w:next w:val="1"/>
    <w:unhideWhenUsed/>
    <w:qFormat/>
    <w:uiPriority w:val="39"/>
    <w:pPr>
      <w:spacing w:line="240" w:lineRule="auto"/>
      <w:ind w:left="1680" w:leftChars="800"/>
    </w:pPr>
    <w:rPr>
      <w:rFonts w:eastAsiaTheme="minorEastAsia" w:cstheme="minorBidi"/>
      <w:sz w:val="21"/>
      <w:szCs w:val="22"/>
    </w:rPr>
  </w:style>
  <w:style w:type="paragraph" w:styleId="12">
    <w:name w:val="toc 3"/>
    <w:basedOn w:val="1"/>
    <w:next w:val="1"/>
    <w:unhideWhenUsed/>
    <w:qFormat/>
    <w:uiPriority w:val="39"/>
    <w:pPr>
      <w:widowControl/>
      <w:spacing w:after="100" w:line="260" w:lineRule="auto"/>
      <w:ind w:left="442" w:firstLine="1041" w:firstLineChars="200"/>
      <w:jc w:val="left"/>
    </w:pPr>
    <w:rPr>
      <w:kern w:val="0"/>
      <w:sz w:val="22"/>
      <w:szCs w:val="22"/>
    </w:rPr>
  </w:style>
  <w:style w:type="paragraph" w:styleId="13">
    <w:name w:val="toc 8"/>
    <w:basedOn w:val="1"/>
    <w:next w:val="1"/>
    <w:unhideWhenUsed/>
    <w:qFormat/>
    <w:uiPriority w:val="39"/>
    <w:pPr>
      <w:spacing w:line="240" w:lineRule="auto"/>
      <w:ind w:left="2940" w:leftChars="1400"/>
    </w:pPr>
    <w:rPr>
      <w:rFonts w:eastAsiaTheme="minorEastAsia" w:cstheme="minorBidi"/>
      <w:sz w:val="21"/>
      <w:szCs w:val="22"/>
    </w:rPr>
  </w:style>
  <w:style w:type="paragraph" w:styleId="14">
    <w:name w:val="Balloon Text"/>
    <w:basedOn w:val="1"/>
    <w:link w:val="41"/>
    <w:semiHidden/>
    <w:unhideWhenUsed/>
    <w:qFormat/>
    <w:uiPriority w:val="99"/>
    <w:pPr>
      <w:spacing w:line="240" w:lineRule="auto"/>
    </w:pPr>
    <w:rPr>
      <w:sz w:val="18"/>
      <w:szCs w:val="18"/>
    </w:rPr>
  </w:style>
  <w:style w:type="paragraph" w:styleId="15">
    <w:name w:val="footer"/>
    <w:basedOn w:val="1"/>
    <w:link w:val="38"/>
    <w:qFormat/>
    <w:uiPriority w:val="0"/>
    <w:pPr>
      <w:tabs>
        <w:tab w:val="center" w:pos="4153"/>
        <w:tab w:val="right" w:pos="8306"/>
      </w:tabs>
      <w:snapToGrid w:val="0"/>
      <w:jc w:val="left"/>
    </w:pPr>
    <w:rPr>
      <w:sz w:val="18"/>
      <w:szCs w:val="18"/>
    </w:rPr>
  </w:style>
  <w:style w:type="paragraph" w:styleId="16">
    <w:name w:val="header"/>
    <w:basedOn w:val="1"/>
    <w:link w:val="39"/>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unhideWhenUsed/>
    <w:qFormat/>
    <w:uiPriority w:val="39"/>
    <w:pPr>
      <w:tabs>
        <w:tab w:val="right" w:leader="dot" w:pos="8296"/>
      </w:tabs>
      <w:spacing w:line="240" w:lineRule="auto"/>
      <w:ind w:left="640" w:hanging="356"/>
    </w:pPr>
    <w:rPr>
      <w:rFonts w:ascii="黑体" w:hAnsi="黑体" w:eastAsia="黑体"/>
      <w:sz w:val="24"/>
    </w:rPr>
  </w:style>
  <w:style w:type="paragraph" w:styleId="18">
    <w:name w:val="toc 4"/>
    <w:basedOn w:val="1"/>
    <w:next w:val="1"/>
    <w:unhideWhenUsed/>
    <w:qFormat/>
    <w:uiPriority w:val="39"/>
    <w:pPr>
      <w:spacing w:line="240" w:lineRule="auto"/>
      <w:ind w:left="1260" w:leftChars="600"/>
    </w:pPr>
    <w:rPr>
      <w:rFonts w:eastAsiaTheme="minorEastAsia" w:cstheme="minorBidi"/>
      <w:sz w:val="21"/>
      <w:szCs w:val="22"/>
    </w:rPr>
  </w:style>
  <w:style w:type="paragraph" w:styleId="19">
    <w:name w:val="footnote text"/>
    <w:basedOn w:val="1"/>
    <w:semiHidden/>
    <w:unhideWhenUsed/>
    <w:qFormat/>
    <w:uiPriority w:val="99"/>
    <w:pPr>
      <w:snapToGrid w:val="0"/>
      <w:jc w:val="left"/>
    </w:pPr>
    <w:rPr>
      <w:sz w:val="18"/>
    </w:rPr>
  </w:style>
  <w:style w:type="paragraph" w:styleId="20">
    <w:name w:val="toc 6"/>
    <w:basedOn w:val="1"/>
    <w:next w:val="1"/>
    <w:unhideWhenUsed/>
    <w:qFormat/>
    <w:uiPriority w:val="39"/>
    <w:pPr>
      <w:spacing w:line="240" w:lineRule="auto"/>
      <w:ind w:left="2100" w:leftChars="1000"/>
    </w:pPr>
    <w:rPr>
      <w:rFonts w:eastAsiaTheme="minorEastAsia" w:cstheme="minorBidi"/>
      <w:sz w:val="21"/>
      <w:szCs w:val="22"/>
    </w:rPr>
  </w:style>
  <w:style w:type="paragraph" w:styleId="21">
    <w:name w:val="table of figures"/>
    <w:basedOn w:val="1"/>
    <w:next w:val="1"/>
    <w:qFormat/>
    <w:uiPriority w:val="99"/>
    <w:rPr>
      <w:rFonts w:hint="eastAsia"/>
    </w:rPr>
  </w:style>
  <w:style w:type="paragraph" w:styleId="22">
    <w:name w:val="toc 2"/>
    <w:basedOn w:val="1"/>
    <w:next w:val="1"/>
    <w:unhideWhenUsed/>
    <w:qFormat/>
    <w:uiPriority w:val="39"/>
    <w:pPr>
      <w:widowControl/>
      <w:spacing w:after="100" w:line="259" w:lineRule="auto"/>
      <w:ind w:left="220"/>
      <w:jc w:val="left"/>
    </w:pPr>
    <w:rPr>
      <w:kern w:val="0"/>
      <w:sz w:val="22"/>
      <w:szCs w:val="22"/>
    </w:rPr>
  </w:style>
  <w:style w:type="paragraph" w:styleId="23">
    <w:name w:val="toc 9"/>
    <w:basedOn w:val="1"/>
    <w:next w:val="1"/>
    <w:unhideWhenUsed/>
    <w:qFormat/>
    <w:uiPriority w:val="39"/>
    <w:pPr>
      <w:spacing w:line="240" w:lineRule="auto"/>
      <w:ind w:left="3360" w:leftChars="1600"/>
    </w:pPr>
    <w:rPr>
      <w:rFonts w:eastAsiaTheme="minorEastAsia" w:cstheme="minorBidi"/>
      <w:sz w:val="21"/>
      <w:szCs w:val="22"/>
    </w:rPr>
  </w:style>
  <w:style w:type="paragraph" w:styleId="24">
    <w:name w:val="Normal (Web)"/>
    <w:basedOn w:val="1"/>
    <w:semiHidden/>
    <w:unhideWhenUsed/>
    <w:qFormat/>
    <w:uiPriority w:val="99"/>
    <w:pPr>
      <w:widowControl/>
      <w:spacing w:before="100" w:beforeAutospacing="1" w:after="100" w:afterAutospacing="1" w:line="240" w:lineRule="auto"/>
      <w:jc w:val="left"/>
    </w:pPr>
    <w:rPr>
      <w:rFonts w:ascii="宋体" w:hAnsi="宋体" w:eastAsia="宋体" w:cs="宋体"/>
      <w:kern w:val="0"/>
      <w:sz w:val="24"/>
      <w:szCs w:val="24"/>
    </w:rPr>
  </w:style>
  <w:style w:type="table" w:styleId="26">
    <w:name w:val="Table Grid"/>
    <w:basedOn w:val="2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qFormat/>
    <w:uiPriority w:val="22"/>
    <w:rPr>
      <w:b/>
    </w:rPr>
  </w:style>
  <w:style w:type="character" w:styleId="29">
    <w:name w:val="Hyperlink"/>
    <w:basedOn w:val="27"/>
    <w:unhideWhenUsed/>
    <w:qFormat/>
    <w:uiPriority w:val="99"/>
    <w:rPr>
      <w:color w:val="0000FF" w:themeColor="hyperlink"/>
      <w:u w:val="single"/>
      <w14:textFill>
        <w14:solidFill>
          <w14:schemeClr w14:val="hlink"/>
        </w14:solidFill>
      </w14:textFill>
    </w:rPr>
  </w:style>
  <w:style w:type="character" w:styleId="30">
    <w:name w:val="footnote reference"/>
    <w:basedOn w:val="27"/>
    <w:semiHidden/>
    <w:unhideWhenUsed/>
    <w:qFormat/>
    <w:uiPriority w:val="99"/>
    <w:rPr>
      <w:vertAlign w:val="superscript"/>
    </w:rPr>
  </w:style>
  <w:style w:type="character" w:customStyle="1" w:styleId="31">
    <w:name w:val="标题 1 Char"/>
    <w:basedOn w:val="27"/>
    <w:qFormat/>
    <w:uiPriority w:val="9"/>
    <w:rPr>
      <w:rFonts w:eastAsia="仿宋" w:cs="Times New Roman"/>
      <w:b/>
      <w:bCs/>
      <w:kern w:val="44"/>
      <w:sz w:val="44"/>
      <w:szCs w:val="44"/>
    </w:rPr>
  </w:style>
  <w:style w:type="character" w:customStyle="1" w:styleId="32">
    <w:name w:val="标题 2 Char"/>
    <w:basedOn w:val="27"/>
    <w:semiHidden/>
    <w:qFormat/>
    <w:uiPriority w:val="9"/>
    <w:rPr>
      <w:rFonts w:asciiTheme="majorHAnsi" w:hAnsiTheme="majorHAnsi" w:eastAsiaTheme="majorEastAsia" w:cstheme="majorBidi"/>
      <w:b/>
      <w:bCs/>
      <w:sz w:val="32"/>
      <w:szCs w:val="32"/>
    </w:rPr>
  </w:style>
  <w:style w:type="character" w:customStyle="1" w:styleId="33">
    <w:name w:val="标题 3 Char"/>
    <w:basedOn w:val="27"/>
    <w:link w:val="6"/>
    <w:qFormat/>
    <w:uiPriority w:val="0"/>
    <w:rPr>
      <w:rFonts w:eastAsia="仿宋" w:cs="Times New Roman"/>
      <w:b/>
      <w:bCs/>
      <w:sz w:val="32"/>
      <w:szCs w:val="32"/>
    </w:rPr>
  </w:style>
  <w:style w:type="character" w:customStyle="1" w:styleId="34">
    <w:name w:val="正文文本缩进 Char"/>
    <w:basedOn w:val="27"/>
    <w:link w:val="9"/>
    <w:semiHidden/>
    <w:qFormat/>
    <w:uiPriority w:val="99"/>
    <w:rPr>
      <w:rFonts w:eastAsia="仿宋" w:cs="Times New Roman"/>
      <w:sz w:val="32"/>
      <w:szCs w:val="32"/>
    </w:rPr>
  </w:style>
  <w:style w:type="character" w:customStyle="1" w:styleId="35">
    <w:name w:val="正文首行缩进 2 Char"/>
    <w:basedOn w:val="34"/>
    <w:link w:val="10"/>
    <w:qFormat/>
    <w:uiPriority w:val="0"/>
    <w:rPr>
      <w:rFonts w:eastAsia="仿宋" w:cs="Times New Roman"/>
      <w:sz w:val="32"/>
      <w:szCs w:val="32"/>
    </w:rPr>
  </w:style>
  <w:style w:type="character" w:customStyle="1" w:styleId="36">
    <w:name w:val="标题 1 Char1"/>
    <w:link w:val="4"/>
    <w:qFormat/>
    <w:uiPriority w:val="9"/>
    <w:rPr>
      <w:rFonts w:ascii="Times New Roman" w:hAnsi="Times New Roman" w:eastAsia="宋体" w:cs="黑体"/>
      <w:b/>
      <w:bCs/>
      <w:kern w:val="1"/>
      <w:sz w:val="44"/>
      <w:szCs w:val="44"/>
    </w:rPr>
  </w:style>
  <w:style w:type="character" w:customStyle="1" w:styleId="37">
    <w:name w:val="标题 2 Char1"/>
    <w:link w:val="5"/>
    <w:qFormat/>
    <w:uiPriority w:val="9"/>
    <w:rPr>
      <w:rFonts w:ascii="Cambria" w:hAnsi="Cambria" w:eastAsia="宋体" w:cs="Cambria"/>
      <w:b/>
      <w:bCs/>
      <w:kern w:val="1"/>
      <w:sz w:val="32"/>
      <w:szCs w:val="32"/>
    </w:rPr>
  </w:style>
  <w:style w:type="character" w:customStyle="1" w:styleId="38">
    <w:name w:val="页脚 Char"/>
    <w:basedOn w:val="27"/>
    <w:link w:val="15"/>
    <w:qFormat/>
    <w:uiPriority w:val="0"/>
    <w:rPr>
      <w:rFonts w:eastAsia="仿宋" w:cs="Times New Roman"/>
      <w:sz w:val="18"/>
      <w:szCs w:val="18"/>
    </w:rPr>
  </w:style>
  <w:style w:type="character" w:customStyle="1" w:styleId="39">
    <w:name w:val="页眉 Char"/>
    <w:basedOn w:val="27"/>
    <w:link w:val="16"/>
    <w:qFormat/>
    <w:uiPriority w:val="99"/>
    <w:rPr>
      <w:rFonts w:eastAsia="仿宋" w:cs="Times New Roman"/>
      <w:sz w:val="18"/>
      <w:szCs w:val="18"/>
    </w:rPr>
  </w:style>
  <w:style w:type="paragraph" w:styleId="40">
    <w:name w:val="List Paragraph"/>
    <w:basedOn w:val="1"/>
    <w:qFormat/>
    <w:uiPriority w:val="34"/>
    <w:pPr>
      <w:ind w:firstLine="420" w:firstLineChars="200"/>
    </w:pPr>
  </w:style>
  <w:style w:type="character" w:customStyle="1" w:styleId="41">
    <w:name w:val="批注框文本 Char"/>
    <w:basedOn w:val="27"/>
    <w:link w:val="14"/>
    <w:semiHidden/>
    <w:qFormat/>
    <w:uiPriority w:val="99"/>
    <w:rPr>
      <w:rFonts w:eastAsia="仿宋" w:cs="Times New Roman"/>
      <w:sz w:val="18"/>
      <w:szCs w:val="18"/>
    </w:rPr>
  </w:style>
  <w:style w:type="paragraph" w:customStyle="1" w:styleId="42">
    <w:name w:val="BodyText1I2"/>
    <w:basedOn w:val="1"/>
    <w:next w:val="1"/>
    <w:qFormat/>
    <w:uiPriority w:val="0"/>
    <w:pPr>
      <w:ind w:left="420" w:leftChars="200" w:firstLine="420" w:firstLineChars="200"/>
    </w:pPr>
  </w:style>
  <w:style w:type="character" w:customStyle="1" w:styleId="43">
    <w:name w:val="批注文字 Char"/>
    <w:basedOn w:val="27"/>
    <w:link w:val="8"/>
    <w:semiHidden/>
    <w:qFormat/>
    <w:uiPriority w:val="0"/>
    <w:rPr>
      <w:rFonts w:eastAsia="仿宋" w:cs="Times New Roman"/>
      <w:sz w:val="32"/>
      <w:szCs w:val="32"/>
    </w:rPr>
  </w:style>
  <w:style w:type="paragraph" w:customStyle="1" w:styleId="44">
    <w:name w:val="列出段落11"/>
    <w:basedOn w:val="1"/>
    <w:qFormat/>
    <w:uiPriority w:val="0"/>
    <w:pPr>
      <w:ind w:firstLine="420" w:firstLineChars="200"/>
    </w:pPr>
    <w:rPr>
      <w:rFonts w:eastAsia="仿宋_GB2312"/>
      <w:szCs w:val="22"/>
    </w:rPr>
  </w:style>
  <w:style w:type="paragraph" w:customStyle="1" w:styleId="45">
    <w:name w:val="_Style 30"/>
    <w:basedOn w:val="1"/>
    <w:next w:val="1"/>
    <w:unhideWhenUsed/>
    <w:qFormat/>
    <w:uiPriority w:val="39"/>
    <w:pPr>
      <w:spacing w:line="240" w:lineRule="auto"/>
      <w:ind w:left="3360" w:leftChars="1600"/>
    </w:pPr>
    <w:rPr>
      <w:rFonts w:ascii="等线" w:hAnsi="等线"/>
      <w:sz w:val="30"/>
      <w:szCs w:val="22"/>
    </w:rPr>
  </w:style>
  <w:style w:type="character" w:customStyle="1" w:styleId="46">
    <w:name w:val="标题 1 字符1"/>
    <w:qFormat/>
    <w:uiPriority w:val="9"/>
    <w:rPr>
      <w:rFonts w:ascii="Times New Roman" w:hAnsi="Times New Roman" w:eastAsia="宋体" w:cs="黑体"/>
      <w:b/>
      <w:bCs/>
      <w:kern w:val="1"/>
      <w:sz w:val="44"/>
      <w:szCs w:val="44"/>
    </w:rPr>
  </w:style>
  <w:style w:type="character" w:customStyle="1" w:styleId="47">
    <w:name w:val="标题 2 字符1"/>
    <w:qFormat/>
    <w:uiPriority w:val="9"/>
    <w:rPr>
      <w:rFonts w:ascii="Cambria" w:hAnsi="Cambria" w:eastAsia="宋体" w:cs="Cambria"/>
      <w:b/>
      <w:bCs/>
      <w:kern w:val="1"/>
      <w:sz w:val="32"/>
      <w:szCs w:val="32"/>
    </w:rPr>
  </w:style>
  <w:style w:type="character" w:customStyle="1" w:styleId="48">
    <w:name w:val="页脚 字符1"/>
    <w:qFormat/>
    <w:uiPriority w:val="99"/>
    <w:rPr>
      <w:sz w:val="18"/>
      <w:szCs w:val="18"/>
    </w:rPr>
  </w:style>
  <w:style w:type="paragraph" w:customStyle="1" w:styleId="49">
    <w:name w:val="列出段落1"/>
    <w:basedOn w:val="1"/>
    <w:qFormat/>
    <w:uiPriority w:val="0"/>
    <w:pPr>
      <w:ind w:firstLine="420" w:firstLineChars="200"/>
    </w:pPr>
    <w:rPr>
      <w:szCs w:val="22"/>
    </w:rPr>
  </w:style>
  <w:style w:type="character" w:customStyle="1" w:styleId="50">
    <w:name w:val="font91"/>
    <w:basedOn w:val="27"/>
    <w:qFormat/>
    <w:uiPriority w:val="0"/>
    <w:rPr>
      <w:rFonts w:hint="eastAsia" w:ascii="宋体" w:hAnsi="宋体" w:eastAsia="宋体" w:cs="宋体"/>
      <w:b/>
      <w:bCs/>
      <w:color w:val="000000"/>
      <w:sz w:val="24"/>
      <w:szCs w:val="24"/>
      <w:u w:val="none"/>
    </w:rPr>
  </w:style>
  <w:style w:type="character" w:customStyle="1" w:styleId="51">
    <w:name w:val="font101"/>
    <w:basedOn w:val="27"/>
    <w:qFormat/>
    <w:uiPriority w:val="0"/>
    <w:rPr>
      <w:rFonts w:hint="default" w:ascii="Times New Roman" w:hAnsi="Times New Roman" w:cs="Times New Roman"/>
      <w:b/>
      <w:bCs/>
      <w:color w:val="000000"/>
      <w:sz w:val="24"/>
      <w:szCs w:val="24"/>
      <w:u w:val="none"/>
    </w:rPr>
  </w:style>
  <w:style w:type="character" w:customStyle="1" w:styleId="52">
    <w:name w:val="font11"/>
    <w:basedOn w:val="27"/>
    <w:qFormat/>
    <w:uiPriority w:val="0"/>
    <w:rPr>
      <w:rFonts w:hint="eastAsia" w:ascii="宋体" w:hAnsi="宋体" w:eastAsia="宋体" w:cs="宋体"/>
      <w:b/>
      <w:bCs/>
      <w:color w:val="000000"/>
      <w:sz w:val="22"/>
      <w:szCs w:val="22"/>
      <w:u w:val="none"/>
    </w:rPr>
  </w:style>
  <w:style w:type="character" w:customStyle="1" w:styleId="53">
    <w:name w:val="font112"/>
    <w:basedOn w:val="27"/>
    <w:qFormat/>
    <w:uiPriority w:val="0"/>
    <w:rPr>
      <w:rFonts w:hint="default" w:ascii="Times New Roman" w:hAnsi="Times New Roman" w:cs="Times New Roman"/>
      <w:b/>
      <w:bCs/>
      <w:color w:val="000000"/>
      <w:sz w:val="22"/>
      <w:szCs w:val="22"/>
      <w:u w:val="none"/>
    </w:rPr>
  </w:style>
  <w:style w:type="character" w:customStyle="1" w:styleId="54">
    <w:name w:val="font81"/>
    <w:basedOn w:val="27"/>
    <w:qFormat/>
    <w:uiPriority w:val="0"/>
    <w:rPr>
      <w:rFonts w:hint="eastAsia" w:ascii="宋体" w:hAnsi="宋体" w:eastAsia="宋体" w:cs="宋体"/>
      <w:b/>
      <w:bCs/>
      <w:color w:val="000000"/>
      <w:sz w:val="24"/>
      <w:szCs w:val="24"/>
      <w:u w:val="none"/>
    </w:rPr>
  </w:style>
  <w:style w:type="character" w:customStyle="1" w:styleId="55">
    <w:name w:val="font21"/>
    <w:basedOn w:val="27"/>
    <w:qFormat/>
    <w:uiPriority w:val="0"/>
    <w:rPr>
      <w:rFonts w:hint="default" w:ascii="Times New Roman" w:hAnsi="Times New Roman" w:cs="Times New Roman"/>
      <w:b/>
      <w:bCs/>
      <w:color w:val="000000"/>
      <w:sz w:val="24"/>
      <w:szCs w:val="24"/>
      <w:u w:val="none"/>
    </w:rPr>
  </w:style>
  <w:style w:type="character" w:customStyle="1" w:styleId="56">
    <w:name w:val="font41"/>
    <w:basedOn w:val="27"/>
    <w:qFormat/>
    <w:uiPriority w:val="0"/>
    <w:rPr>
      <w:rFonts w:hint="eastAsia" w:ascii="仿宋" w:hAnsi="仿宋" w:eastAsia="仿宋" w:cs="仿宋"/>
      <w:b/>
      <w:bCs/>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1.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endnotes" Target="endnotes.xml"/><Relationship Id="rId39" Type="http://schemas.openxmlformats.org/officeDocument/2006/relationships/customXml" Target="../customXml/item1.xml"/><Relationship Id="rId38" Type="http://schemas.openxmlformats.org/officeDocument/2006/relationships/image" Target="media/image21.png"/><Relationship Id="rId37" Type="http://schemas.openxmlformats.org/officeDocument/2006/relationships/image" Target="media/image20.png"/><Relationship Id="rId36" Type="http://schemas.openxmlformats.org/officeDocument/2006/relationships/image" Target="media/image19.png"/><Relationship Id="rId35" Type="http://schemas.openxmlformats.org/officeDocument/2006/relationships/image" Target="media/image18.jpeg"/><Relationship Id="rId34" Type="http://schemas.openxmlformats.org/officeDocument/2006/relationships/image" Target="media/image17.jpeg"/><Relationship Id="rId33" Type="http://schemas.openxmlformats.org/officeDocument/2006/relationships/image" Target="media/image16.jpeg"/><Relationship Id="rId32" Type="http://schemas.openxmlformats.org/officeDocument/2006/relationships/image" Target="media/image15.jpeg"/><Relationship Id="rId31" Type="http://schemas.openxmlformats.org/officeDocument/2006/relationships/image" Target="media/image14.jpeg"/><Relationship Id="rId30" Type="http://schemas.openxmlformats.org/officeDocument/2006/relationships/image" Target="media/image13.jpeg"/><Relationship Id="rId3" Type="http://schemas.openxmlformats.org/officeDocument/2006/relationships/footnotes" Target="footnotes.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3.xml"/><Relationship Id="rId10" Type="http://schemas.openxmlformats.org/officeDocument/2006/relationships/footer" Target="footer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2058"/>
    <customShpInfo spid="_x0000_s2061"/>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98</Pages>
  <Words>43453</Words>
  <Characters>46364</Characters>
  <Lines>440</Lines>
  <Paragraphs>124</Paragraphs>
  <TotalTime>0</TotalTime>
  <ScaleCrop>false</ScaleCrop>
  <LinksUpToDate>false</LinksUpToDate>
  <CharactersWithSpaces>46622</CharactersWithSpaces>
  <Application>WPS Office_11.1.0.12651_F1E327BC-269C-435d-A152-05C5408002CA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2021-12-22T19:27:00Z</dcterms:created>
  <dc:creator>User</dc:creator>
  <cp:lastModifiedBy>lucky</cp:lastModifiedBy>
  <cp:lastPrinted>2021-12-22T20:42:00Z</cp:lastPrinted>
  <dcterms:modified xsi:type="dcterms:W3CDTF">2022-12-19T07:51:00Z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2052-11.1.0.12651</vt:lpwstr>
  </property>
  <property fmtid="{D5CDD505-2E9C-101B-9397-08002B2CF9AE}" pid="3" name="ICV">
    <vt:lpwstr>F9E484069F0F4154B31E6BA269592362</vt:lpwstr>
  </property>
</Properties>
</file>