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0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74"/>
        <w:gridCol w:w="3361"/>
        <w:gridCol w:w="7402"/>
        <w:gridCol w:w="2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1401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黑体" w:hAnsi="黑体" w:eastAsia="黑体" w:cs="黑体"/>
                <w:b w:val="0"/>
                <w:bCs/>
                <w:i w:val="0"/>
                <w:color w:val="000000"/>
                <w:kern w:val="0"/>
                <w:sz w:val="32"/>
                <w:szCs w:val="32"/>
                <w:u w:val="none"/>
                <w:lang w:val="en-US" w:eastAsia="zh-CN" w:bidi="ar"/>
              </w:rPr>
            </w:pPr>
            <w:bookmarkStart w:id="0" w:name="_GoBack"/>
            <w:bookmarkEnd w:id="0"/>
            <w:r>
              <w:rPr>
                <w:rFonts w:hint="eastAsia" w:ascii="黑体" w:hAnsi="黑体" w:eastAsia="黑体" w:cs="黑体"/>
                <w:b w:val="0"/>
                <w:bCs/>
                <w:i w:val="0"/>
                <w:color w:val="000000"/>
                <w:kern w:val="0"/>
                <w:sz w:val="32"/>
                <w:szCs w:val="32"/>
                <w:u w:val="none"/>
                <w:lang w:val="en-US" w:eastAsia="zh-CN" w:bidi="ar"/>
              </w:rPr>
              <w:t>附件1：</w:t>
            </w:r>
          </w:p>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40"/>
                <w:szCs w:val="40"/>
                <w:u w:val="none"/>
              </w:rPr>
            </w:pPr>
            <w:r>
              <w:rPr>
                <w:rFonts w:hint="eastAsia" w:ascii="黑体" w:hAnsi="黑体" w:eastAsia="黑体" w:cs="黑体"/>
                <w:b/>
                <w:i w:val="0"/>
                <w:color w:val="000000"/>
                <w:kern w:val="0"/>
                <w:sz w:val="32"/>
                <w:szCs w:val="32"/>
                <w:u w:val="none"/>
                <w:lang w:val="en-US" w:eastAsia="zh-CN" w:bidi="ar"/>
              </w:rPr>
              <w:t>白玉县乡两级“一证通办”事项清单（第一批）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28"/>
                <w:szCs w:val="28"/>
                <w:u w:val="none"/>
              </w:rPr>
            </w:pPr>
            <w:r>
              <w:rPr>
                <w:rFonts w:hint="eastAsia" w:ascii="楷体_GB2312" w:hAnsi="楷体_GB2312" w:eastAsia="楷体_GB2312" w:cs="楷体_GB2312"/>
                <w:b/>
                <w:bCs/>
                <w:i w:val="0"/>
                <w:color w:val="000000"/>
                <w:kern w:val="0"/>
                <w:sz w:val="28"/>
                <w:szCs w:val="28"/>
                <w:u w:val="none"/>
                <w:lang w:val="en-US" w:eastAsia="zh-CN" w:bidi="ar"/>
              </w:rPr>
              <w:t>序号</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28"/>
                <w:szCs w:val="28"/>
                <w:u w:val="none"/>
              </w:rPr>
            </w:pPr>
            <w:r>
              <w:rPr>
                <w:rFonts w:hint="eastAsia" w:ascii="楷体_GB2312" w:hAnsi="楷体_GB2312" w:eastAsia="楷体_GB2312" w:cs="楷体_GB2312"/>
                <w:b/>
                <w:bCs/>
                <w:i w:val="0"/>
                <w:color w:val="000000"/>
                <w:kern w:val="0"/>
                <w:sz w:val="28"/>
                <w:szCs w:val="28"/>
                <w:u w:val="none"/>
                <w:lang w:val="en-US" w:eastAsia="zh-CN" w:bidi="ar"/>
              </w:rPr>
              <w:t>部门名称</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楷体_GB2312" w:hAnsi="楷体_GB2312" w:eastAsia="楷体_GB2312" w:cs="楷体_GB2312"/>
                <w:b/>
                <w:bCs/>
                <w:i w:val="0"/>
                <w:color w:val="000000"/>
                <w:sz w:val="28"/>
                <w:szCs w:val="28"/>
                <w:u w:val="none"/>
              </w:rPr>
            </w:pPr>
            <w:r>
              <w:rPr>
                <w:rFonts w:hint="eastAsia" w:ascii="楷体_GB2312" w:hAnsi="楷体_GB2312" w:eastAsia="楷体_GB2312" w:cs="楷体_GB2312"/>
                <w:b/>
                <w:bCs/>
                <w:i w:val="0"/>
                <w:color w:val="000000"/>
                <w:kern w:val="0"/>
                <w:sz w:val="28"/>
                <w:szCs w:val="28"/>
                <w:u w:val="none"/>
                <w:lang w:val="en-US" w:eastAsia="zh-CN" w:bidi="ar"/>
              </w:rPr>
              <w:t>事项名称</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sz w:val="28"/>
                <w:szCs w:val="28"/>
                <w:u w:val="none"/>
              </w:rPr>
            </w:pPr>
            <w:r>
              <w:rPr>
                <w:rFonts w:hint="eastAsia" w:ascii="楷体_GB2312" w:hAnsi="楷体_GB2312" w:eastAsia="楷体_GB2312" w:cs="楷体_GB2312"/>
                <w:b/>
                <w:bCs/>
                <w:i w:val="0"/>
                <w:color w:val="000000"/>
                <w:kern w:val="0"/>
                <w:sz w:val="28"/>
                <w:szCs w:val="28"/>
                <w:u w:val="none"/>
                <w:lang w:val="en-US" w:eastAsia="zh-CN" w:bidi="ar"/>
              </w:rPr>
              <w:t>事项类型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1</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县公安局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机动车补领、换领检验合格标志</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2</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县公安局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机动车补领、换领号牌、行驶证</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3</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县公安局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补领、换领驾驶证</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4</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县教育体育局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义务教育家庭经济困难寄宿生生活补助申请</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5</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县教育体育局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学前教育减免保教费申请</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6</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县人力资源社会保障局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打印参保证明</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7</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县人力资源社会保障局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养老待遇领取资格认证</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8</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县退役军人事务局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优抚政策咨询</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9</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县退役军人事务局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义务兵家庭优待金给付</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10</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公共图书馆查询服务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11</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公共图书馆借阅服务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12</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公共图书馆公益性培训服务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13</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公共文化馆娱乐活动室等公共空间设施场地的免费开放服务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14</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公共图书馆举办公益性讲座服务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15</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公共文化馆公益性群众文化活动服务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16</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公共文化馆文化艺术辅导培训服务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17</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公共文化馆举办陈列展览</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18</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县医保局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参保人员参保信息查询</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19</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县医保局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出具《参保凭证》</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20</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县医保局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参保人员电话号码新增和更改</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21</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县医保局</w:t>
            </w:r>
          </w:p>
        </w:tc>
        <w:tc>
          <w:tcPr>
            <w:tcW w:w="7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医保电子凭证申领</w:t>
            </w:r>
          </w:p>
        </w:tc>
        <w:tc>
          <w:tcPr>
            <w:tcW w:w="2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b/>
                <w:i w:val="0"/>
                <w:color w:val="000000"/>
                <w:sz w:val="32"/>
                <w:szCs w:val="32"/>
                <w:u w:val="none"/>
              </w:rPr>
            </w:pPr>
            <w:r>
              <w:rPr>
                <w:rFonts w:hint="eastAsia" w:ascii="仿宋_GB2312" w:hAnsi="宋体" w:eastAsia="仿宋_GB2312" w:cs="仿宋_GB2312"/>
                <w:b/>
                <w:i w:val="0"/>
                <w:color w:val="000000"/>
                <w:kern w:val="0"/>
                <w:sz w:val="28"/>
                <w:szCs w:val="28"/>
                <w:u w:val="none"/>
                <w:lang w:val="en-US" w:eastAsia="zh-CN" w:bidi="ar"/>
              </w:rPr>
              <w:t>一证通办即：群众只需凭一张有效身份证件或社会保障卡即可办理的事项。</w:t>
            </w:r>
          </w:p>
        </w:tc>
      </w:tr>
    </w:tbl>
    <w:p>
      <w:pPr>
        <w:spacing w:before="152" w:line="204" w:lineRule="auto"/>
        <w:jc w:val="center"/>
        <w:rPr>
          <w:rFonts w:hint="eastAsia" w:ascii="方正小标宋简体" w:hAnsi="方正小标宋简体" w:eastAsia="方正小标宋简体" w:cs="方正小标宋简体"/>
          <w:b/>
          <w:bCs/>
          <w:spacing w:val="0"/>
          <w:sz w:val="44"/>
          <w:szCs w:val="44"/>
          <w:lang w:eastAsia="zh-CN"/>
        </w:rPr>
      </w:pPr>
    </w:p>
    <w:p>
      <w:pPr>
        <w:spacing w:before="152" w:line="204" w:lineRule="auto"/>
        <w:jc w:val="center"/>
        <w:rPr>
          <w:rFonts w:hint="eastAsia" w:ascii="方正小标宋简体" w:hAnsi="方正小标宋简体" w:eastAsia="方正小标宋简体" w:cs="方正小标宋简体"/>
          <w:b/>
          <w:bCs/>
          <w:spacing w:val="0"/>
          <w:sz w:val="44"/>
          <w:szCs w:val="44"/>
          <w:lang w:eastAsia="zh-CN"/>
        </w:rPr>
      </w:pPr>
    </w:p>
    <w:p>
      <w:pPr>
        <w:spacing w:before="152" w:line="204" w:lineRule="auto"/>
        <w:jc w:val="center"/>
        <w:rPr>
          <w:rFonts w:hint="eastAsia" w:ascii="方正小标宋简体" w:hAnsi="方正小标宋简体" w:eastAsia="方正小标宋简体" w:cs="方正小标宋简体"/>
          <w:b/>
          <w:bCs/>
          <w:spacing w:val="0"/>
          <w:sz w:val="44"/>
          <w:szCs w:val="44"/>
          <w:lang w:eastAsia="zh-CN"/>
        </w:rPr>
        <w:sectPr>
          <w:pgSz w:w="16840" w:h="11900" w:orient="landscape"/>
          <w:pgMar w:top="1531" w:right="2211" w:bottom="1531" w:left="1871" w:header="0" w:footer="909" w:gutter="0"/>
          <w:cols w:space="720" w:num="1"/>
        </w:sectPr>
      </w:pPr>
    </w:p>
    <w:tbl>
      <w:tblPr>
        <w:tblStyle w:val="6"/>
        <w:tblW w:w="147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77"/>
        <w:gridCol w:w="2446"/>
        <w:gridCol w:w="9272"/>
        <w:gridCol w:w="2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1474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6"/>
                <w:szCs w:val="36"/>
                <w:u w:val="none"/>
              </w:rPr>
            </w:pPr>
            <w:r>
              <w:rPr>
                <w:rFonts w:hint="eastAsia" w:ascii="黑体" w:hAnsi="黑体" w:eastAsia="黑体" w:cs="黑体"/>
                <w:b/>
                <w:i w:val="0"/>
                <w:color w:val="000000"/>
                <w:kern w:val="0"/>
                <w:sz w:val="32"/>
                <w:szCs w:val="32"/>
                <w:u w:val="none"/>
                <w:lang w:val="en-US" w:eastAsia="zh-CN" w:bidi="ar"/>
              </w:rPr>
              <w:t>白玉县“一照通办”事项清单（第一批）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序号</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部门</w:t>
            </w:r>
          </w:p>
        </w:tc>
        <w:tc>
          <w:tcPr>
            <w:tcW w:w="9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事项名称</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事项类型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1</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县公安局</w:t>
            </w:r>
          </w:p>
        </w:tc>
        <w:tc>
          <w:tcPr>
            <w:tcW w:w="9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城市范围内排放偶发性强烈噪声的批准</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2</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县住建局</w:t>
            </w:r>
          </w:p>
        </w:tc>
        <w:tc>
          <w:tcPr>
            <w:tcW w:w="9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施工证书遗失补办</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3</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县住建局</w:t>
            </w:r>
          </w:p>
        </w:tc>
        <w:tc>
          <w:tcPr>
            <w:tcW w:w="92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住宅专项维修资金分户账更名</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4</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9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艺术品经营单位变更备案</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5</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9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演出场所经营单位补证备案</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6</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9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互联网上网服务营业场所经营单位补证审批</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7</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9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娱乐场所补证审批（含中外合资）</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8</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9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艺术品经营单位补证备案</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9</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92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文艺表演团体的补证审批</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10</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92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设立艺术品经营单位和其他经营单位增设艺术品经营业务备案</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11</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县卫生健康局</w:t>
            </w:r>
          </w:p>
        </w:tc>
        <w:tc>
          <w:tcPr>
            <w:tcW w:w="9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公共场所卫生许可遗失补办（县级）</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12</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县市场监管局</w:t>
            </w:r>
          </w:p>
        </w:tc>
        <w:tc>
          <w:tcPr>
            <w:tcW w:w="9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营业执照遗失补领/换发申请</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13</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县市场监管局</w:t>
            </w:r>
          </w:p>
        </w:tc>
        <w:tc>
          <w:tcPr>
            <w:tcW w:w="92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申请增加/减少营业执照副本</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1"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14</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县文化广电旅游局</w:t>
            </w:r>
          </w:p>
        </w:tc>
        <w:tc>
          <w:tcPr>
            <w:tcW w:w="9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企业实行不定时工作制和综合计算工时工作制审批意见和制度方案异地备案</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1474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一照通办即：企业办事只需一张营业执照，其他证照可通过政务服务网实现共享。</w:t>
            </w:r>
          </w:p>
        </w:tc>
      </w:tr>
    </w:tbl>
    <w:p>
      <w:pPr>
        <w:pStyle w:val="4"/>
        <w:rPr>
          <w:rFonts w:hint="eastAsia"/>
          <w:lang w:eastAsia="zh-CN"/>
        </w:rPr>
        <w:sectPr>
          <w:pgSz w:w="16840" w:h="11900" w:orient="landscape"/>
          <w:pgMar w:top="1011" w:right="1060" w:bottom="1140" w:left="1199" w:header="0" w:footer="909" w:gutter="0"/>
          <w:cols w:space="720" w:num="1"/>
        </w:sectPr>
      </w:pPr>
    </w:p>
    <w:p>
      <w:pPr>
        <w:spacing w:before="152" w:line="204" w:lineRule="auto"/>
        <w:jc w:val="center"/>
      </w:pPr>
      <w:r>
        <w:rPr>
          <w:rFonts w:hint="eastAsia" w:ascii="黑体" w:hAnsi="黑体" w:eastAsia="黑体" w:cs="黑体"/>
          <w:b/>
          <w:i w:val="0"/>
          <w:color w:val="000000"/>
          <w:kern w:val="0"/>
          <w:sz w:val="32"/>
          <w:szCs w:val="32"/>
          <w:u w:val="none"/>
          <w:lang w:val="en-US" w:eastAsia="zh-CN" w:bidi="ar"/>
        </w:rPr>
        <w:t>白玉县“省内通办”事项清单</w:t>
      </w:r>
    </w:p>
    <w:p>
      <w:pPr>
        <w:tabs>
          <w:tab w:val="left" w:pos="2700"/>
        </w:tabs>
        <w:spacing w:line="139" w:lineRule="exact"/>
        <w:rPr>
          <w:rFonts w:hint="eastAsia" w:eastAsiaTheme="minorEastAsia"/>
          <w:lang w:eastAsia="zh-CN"/>
        </w:rPr>
      </w:pPr>
      <w:r>
        <w:rPr>
          <w:rFonts w:hint="eastAsia"/>
          <w:lang w:eastAsia="zh-CN"/>
        </w:rPr>
        <w:tab/>
      </w:r>
    </w:p>
    <w:tbl>
      <w:tblPr>
        <w:tblStyle w:val="8"/>
        <w:tblW w:w="1407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60"/>
        <w:gridCol w:w="1745"/>
        <w:gridCol w:w="4513"/>
        <w:gridCol w:w="5169"/>
        <w:gridCol w:w="17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860" w:type="dxa"/>
            <w:noWrap w:val="0"/>
            <w:vAlign w:val="top"/>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序号</w:t>
            </w:r>
          </w:p>
        </w:tc>
        <w:tc>
          <w:tcPr>
            <w:tcW w:w="1745" w:type="dxa"/>
            <w:noWrap w:val="0"/>
            <w:vAlign w:val="top"/>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部门</w:t>
            </w:r>
          </w:p>
        </w:tc>
        <w:tc>
          <w:tcPr>
            <w:tcW w:w="4513" w:type="dxa"/>
            <w:noWrap w:val="0"/>
            <w:vAlign w:val="top"/>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事项名称</w:t>
            </w:r>
          </w:p>
        </w:tc>
        <w:tc>
          <w:tcPr>
            <w:tcW w:w="5169" w:type="dxa"/>
            <w:noWrap w:val="0"/>
            <w:vAlign w:val="top"/>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应用场景</w:t>
            </w:r>
          </w:p>
        </w:tc>
        <w:tc>
          <w:tcPr>
            <w:tcW w:w="1788" w:type="dxa"/>
            <w:noWrap w:val="0"/>
            <w:vAlign w:val="top"/>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事项类型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9"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1</w:t>
            </w:r>
          </w:p>
        </w:tc>
        <w:tc>
          <w:tcPr>
            <w:tcW w:w="1745"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513"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残疾人证新办</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2</w:t>
            </w:r>
          </w:p>
        </w:tc>
        <w:tc>
          <w:tcPr>
            <w:tcW w:w="174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513"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残疾人证换领</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3</w:t>
            </w:r>
          </w:p>
        </w:tc>
        <w:tc>
          <w:tcPr>
            <w:tcW w:w="174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513"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残疾人证迁移</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4</w:t>
            </w:r>
          </w:p>
        </w:tc>
        <w:tc>
          <w:tcPr>
            <w:tcW w:w="174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513"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残疾人证挂失补办</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5</w:t>
            </w:r>
          </w:p>
        </w:tc>
        <w:tc>
          <w:tcPr>
            <w:tcW w:w="174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513"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残疾人证注销</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6</w:t>
            </w:r>
          </w:p>
        </w:tc>
        <w:tc>
          <w:tcPr>
            <w:tcW w:w="174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513"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残疾类别变更</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7</w:t>
            </w:r>
          </w:p>
        </w:tc>
        <w:tc>
          <w:tcPr>
            <w:tcW w:w="1745"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513"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残疾等级变更</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8</w:t>
            </w:r>
          </w:p>
        </w:tc>
        <w:tc>
          <w:tcPr>
            <w:tcW w:w="174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县税务局</w:t>
            </w:r>
          </w:p>
        </w:tc>
        <w:tc>
          <w:tcPr>
            <w:tcW w:w="4513"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财务会计制度及核算软件备案报告</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9</w:t>
            </w:r>
          </w:p>
        </w:tc>
        <w:tc>
          <w:tcPr>
            <w:tcW w:w="1745"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县税务局</w:t>
            </w:r>
          </w:p>
        </w:tc>
        <w:tc>
          <w:tcPr>
            <w:tcW w:w="4513"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增值税一般纳税人登记</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其他行政权力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10</w:t>
            </w:r>
          </w:p>
        </w:tc>
        <w:tc>
          <w:tcPr>
            <w:tcW w:w="1745"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县税务局</w:t>
            </w:r>
          </w:p>
        </w:tc>
        <w:tc>
          <w:tcPr>
            <w:tcW w:w="4513"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选择按小规模纳税人纳税的情况说明</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11</w:t>
            </w:r>
          </w:p>
        </w:tc>
        <w:tc>
          <w:tcPr>
            <w:tcW w:w="1745"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县税务局</w:t>
            </w:r>
          </w:p>
        </w:tc>
        <w:tc>
          <w:tcPr>
            <w:tcW w:w="4513"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纳税人合并分立情况报告</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公共服务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12</w:t>
            </w:r>
          </w:p>
        </w:tc>
        <w:tc>
          <w:tcPr>
            <w:tcW w:w="1745"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县税务局</w:t>
            </w:r>
          </w:p>
        </w:tc>
        <w:tc>
          <w:tcPr>
            <w:tcW w:w="4513"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跨区域涉税事项报告</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其他行政权力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trPr>
        <w:tc>
          <w:tcPr>
            <w:tcW w:w="860"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13</w:t>
            </w:r>
          </w:p>
        </w:tc>
        <w:tc>
          <w:tcPr>
            <w:tcW w:w="1745"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县交通运输局</w:t>
            </w:r>
          </w:p>
        </w:tc>
        <w:tc>
          <w:tcPr>
            <w:tcW w:w="4513"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公路超限运输许可</w:t>
            </w:r>
          </w:p>
        </w:tc>
        <w:tc>
          <w:tcPr>
            <w:tcW w:w="5169"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申请人可省内异地申请，不受地域限制。</w:t>
            </w:r>
          </w:p>
        </w:tc>
        <w:tc>
          <w:tcPr>
            <w:tcW w:w="1788"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行政许可</w:t>
            </w:r>
          </w:p>
        </w:tc>
      </w:tr>
    </w:tbl>
    <w:p>
      <w:pPr>
        <w:keepNext w:val="0"/>
        <w:keepLines w:val="0"/>
        <w:widowControl/>
        <w:suppressLineNumbers w:val="0"/>
        <w:jc w:val="center"/>
        <w:textAlignment w:val="center"/>
        <w:rPr>
          <w:rFonts w:hint="eastAsia" w:ascii="黑体" w:hAnsi="黑体" w:eastAsia="黑体" w:cs="黑体"/>
          <w:b/>
          <w:bCs/>
          <w:spacing w:val="-12"/>
          <w:sz w:val="28"/>
          <w:szCs w:val="28"/>
          <w:lang w:eastAsia="zh-CN"/>
        </w:rPr>
      </w:pPr>
      <w:r>
        <w:rPr>
          <w:rFonts w:hint="eastAsia" w:ascii="仿宋_GB2312" w:hAnsi="宋体" w:eastAsia="仿宋_GB2312" w:cs="仿宋_GB2312"/>
          <w:b/>
          <w:bCs/>
          <w:i w:val="0"/>
          <w:color w:val="000000"/>
          <w:kern w:val="0"/>
          <w:sz w:val="28"/>
          <w:szCs w:val="28"/>
          <w:u w:val="none"/>
          <w:lang w:val="en-US" w:eastAsia="zh-CN" w:bidi="ar"/>
        </w:rPr>
        <w:t>省内通办即：通过四川政务服务网和天府通办为途径进行网上申请办件，实现异地办、就近办、网上办。</w:t>
      </w:r>
    </w:p>
    <w:p>
      <w:pPr>
        <w:spacing w:before="151" w:line="204" w:lineRule="auto"/>
        <w:rPr>
          <w:rFonts w:ascii="黑体" w:hAnsi="黑体" w:eastAsia="黑体" w:cs="黑体"/>
          <w:spacing w:val="-12"/>
          <w:sz w:val="28"/>
          <w:szCs w:val="28"/>
        </w:rPr>
      </w:pPr>
    </w:p>
    <w:p>
      <w:pPr>
        <w:pStyle w:val="4"/>
        <w:rPr>
          <w:rFonts w:hint="default"/>
          <w:lang w:val="en-US" w:eastAsia="zh-CN"/>
        </w:rPr>
        <w:sectPr>
          <w:pgSz w:w="16840" w:h="11900" w:orient="landscape"/>
          <w:pgMar w:top="1011" w:right="1060" w:bottom="1140" w:left="1199" w:header="0" w:footer="909" w:gutter="0"/>
          <w:cols w:space="720" w:num="1"/>
        </w:sectPr>
      </w:pPr>
    </w:p>
    <w:p>
      <w:pPr>
        <w:spacing w:before="152" w:line="204" w:lineRule="auto"/>
        <w:jc w:val="center"/>
        <w:rPr>
          <w:rFonts w:hint="eastAsia" w:ascii="方正小标宋简体" w:hAnsi="方正小标宋简体" w:eastAsia="方正小标宋简体" w:cs="方正小标宋简体"/>
          <w:b/>
          <w:bCs/>
          <w:spacing w:val="0"/>
          <w:sz w:val="44"/>
          <w:szCs w:val="44"/>
          <w:lang w:eastAsia="zh-CN"/>
        </w:rPr>
      </w:pPr>
      <w:r>
        <w:rPr>
          <w:rFonts w:hint="eastAsia" w:ascii="黑体" w:hAnsi="黑体" w:eastAsia="黑体" w:cs="黑体"/>
          <w:b/>
          <w:i w:val="0"/>
          <w:color w:val="000000"/>
          <w:kern w:val="0"/>
          <w:sz w:val="32"/>
          <w:szCs w:val="32"/>
          <w:u w:val="none"/>
          <w:lang w:val="en-US" w:eastAsia="zh-CN" w:bidi="ar"/>
        </w:rPr>
        <w:t>白玉县“特殊人群授权代办”事项清单</w:t>
      </w:r>
    </w:p>
    <w:tbl>
      <w:tblPr>
        <w:tblStyle w:val="8"/>
        <w:tblpPr w:leftFromText="180" w:rightFromText="180" w:vertAnchor="text" w:horzAnchor="page" w:tblpX="1356" w:tblpY="122"/>
        <w:tblOverlap w:val="never"/>
        <w:tblW w:w="1463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5"/>
        <w:gridCol w:w="1650"/>
        <w:gridCol w:w="4625"/>
        <w:gridCol w:w="2025"/>
        <w:gridCol w:w="1828"/>
        <w:gridCol w:w="3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trPr>
        <w:tc>
          <w:tcPr>
            <w:tcW w:w="1055" w:type="dxa"/>
            <w:noWrap w:val="0"/>
            <w:vAlign w:val="top"/>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序号</w:t>
            </w:r>
          </w:p>
        </w:tc>
        <w:tc>
          <w:tcPr>
            <w:tcW w:w="1650" w:type="dxa"/>
            <w:noWrap w:val="0"/>
            <w:vAlign w:val="top"/>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部门</w:t>
            </w:r>
          </w:p>
        </w:tc>
        <w:tc>
          <w:tcPr>
            <w:tcW w:w="4625" w:type="dxa"/>
            <w:noWrap w:val="0"/>
            <w:vAlign w:val="top"/>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事项名称</w:t>
            </w:r>
          </w:p>
        </w:tc>
        <w:tc>
          <w:tcPr>
            <w:tcW w:w="2025" w:type="dxa"/>
            <w:noWrap w:val="0"/>
            <w:vAlign w:val="top"/>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行使层级</w:t>
            </w:r>
          </w:p>
        </w:tc>
        <w:tc>
          <w:tcPr>
            <w:tcW w:w="1828" w:type="dxa"/>
            <w:noWrap w:val="0"/>
            <w:vAlign w:val="top"/>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实现地区</w:t>
            </w:r>
          </w:p>
        </w:tc>
        <w:tc>
          <w:tcPr>
            <w:tcW w:w="3448" w:type="dxa"/>
            <w:noWrap w:val="0"/>
            <w:vAlign w:val="top"/>
          </w:tcPr>
          <w:p>
            <w:pPr>
              <w:keepNext w:val="0"/>
              <w:keepLines w:val="0"/>
              <w:widowControl/>
              <w:suppressLineNumbers w:val="0"/>
              <w:jc w:val="center"/>
              <w:textAlignment w:val="center"/>
              <w:rPr>
                <w:rFonts w:hint="eastAsia" w:ascii="楷体_GB2312" w:hAnsi="楷体_GB2312" w:eastAsia="楷体_GB2312" w:cs="楷体_GB2312"/>
                <w:b/>
                <w:bCs/>
                <w:i w:val="0"/>
                <w:color w:val="000000"/>
                <w:kern w:val="0"/>
                <w:sz w:val="28"/>
                <w:szCs w:val="28"/>
                <w:u w:val="none"/>
                <w:lang w:val="en-US" w:eastAsia="zh-CN" w:bidi="ar"/>
              </w:rPr>
            </w:pPr>
            <w:r>
              <w:rPr>
                <w:rFonts w:hint="eastAsia" w:ascii="楷体_GB2312" w:hAnsi="楷体_GB2312" w:eastAsia="楷体_GB2312" w:cs="楷体_GB2312"/>
                <w:b/>
                <w:bCs/>
                <w:i w:val="0"/>
                <w:color w:val="000000"/>
                <w:kern w:val="0"/>
                <w:sz w:val="28"/>
                <w:szCs w:val="28"/>
                <w:u w:val="none"/>
                <w:lang w:val="en-US" w:eastAsia="zh-CN" w:bidi="ar"/>
              </w:rPr>
              <w:t>应用场景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1055"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1</w:t>
            </w:r>
          </w:p>
        </w:tc>
        <w:tc>
          <w:tcPr>
            <w:tcW w:w="165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62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残疾人证新办</w:t>
            </w:r>
          </w:p>
        </w:tc>
        <w:tc>
          <w:tcPr>
            <w:tcW w:w="202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（县级）</w:t>
            </w:r>
          </w:p>
        </w:tc>
        <w:tc>
          <w:tcPr>
            <w:tcW w:w="182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全县</w:t>
            </w:r>
          </w:p>
        </w:tc>
        <w:tc>
          <w:tcPr>
            <w:tcW w:w="344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残疾人、年老、异地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3" w:hRule="atLeast"/>
        </w:trPr>
        <w:tc>
          <w:tcPr>
            <w:tcW w:w="1055"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2</w:t>
            </w:r>
          </w:p>
        </w:tc>
        <w:tc>
          <w:tcPr>
            <w:tcW w:w="1650"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62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残疾人证换领</w:t>
            </w:r>
          </w:p>
        </w:tc>
        <w:tc>
          <w:tcPr>
            <w:tcW w:w="202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（县级）</w:t>
            </w:r>
          </w:p>
        </w:tc>
        <w:tc>
          <w:tcPr>
            <w:tcW w:w="182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全县</w:t>
            </w:r>
          </w:p>
        </w:tc>
        <w:tc>
          <w:tcPr>
            <w:tcW w:w="344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残疾人、年老、异地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1055"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3</w:t>
            </w:r>
          </w:p>
        </w:tc>
        <w:tc>
          <w:tcPr>
            <w:tcW w:w="1650"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62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残疾人证迁移</w:t>
            </w:r>
          </w:p>
        </w:tc>
        <w:tc>
          <w:tcPr>
            <w:tcW w:w="202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（县级）</w:t>
            </w:r>
          </w:p>
        </w:tc>
        <w:tc>
          <w:tcPr>
            <w:tcW w:w="182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全县</w:t>
            </w:r>
          </w:p>
        </w:tc>
        <w:tc>
          <w:tcPr>
            <w:tcW w:w="344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残疾人、年老、异地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1055"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4</w:t>
            </w:r>
          </w:p>
        </w:tc>
        <w:tc>
          <w:tcPr>
            <w:tcW w:w="1650"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62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残疾人证挂失补办</w:t>
            </w:r>
          </w:p>
        </w:tc>
        <w:tc>
          <w:tcPr>
            <w:tcW w:w="202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（县级）</w:t>
            </w:r>
          </w:p>
        </w:tc>
        <w:tc>
          <w:tcPr>
            <w:tcW w:w="182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全县</w:t>
            </w:r>
          </w:p>
        </w:tc>
        <w:tc>
          <w:tcPr>
            <w:tcW w:w="344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残疾人、年老、异地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1055"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5</w:t>
            </w:r>
          </w:p>
        </w:tc>
        <w:tc>
          <w:tcPr>
            <w:tcW w:w="165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62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残疾人证注销</w:t>
            </w:r>
          </w:p>
        </w:tc>
        <w:tc>
          <w:tcPr>
            <w:tcW w:w="202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（县级）</w:t>
            </w:r>
          </w:p>
        </w:tc>
        <w:tc>
          <w:tcPr>
            <w:tcW w:w="182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全县</w:t>
            </w:r>
          </w:p>
        </w:tc>
        <w:tc>
          <w:tcPr>
            <w:tcW w:w="344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残疾人、年老、异地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1055"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6</w:t>
            </w:r>
          </w:p>
        </w:tc>
        <w:tc>
          <w:tcPr>
            <w:tcW w:w="165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62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残疾类别变更</w:t>
            </w:r>
          </w:p>
        </w:tc>
        <w:tc>
          <w:tcPr>
            <w:tcW w:w="202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（县级）</w:t>
            </w:r>
          </w:p>
        </w:tc>
        <w:tc>
          <w:tcPr>
            <w:tcW w:w="182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全县</w:t>
            </w:r>
          </w:p>
        </w:tc>
        <w:tc>
          <w:tcPr>
            <w:tcW w:w="344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残疾人、年老、异地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1055"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7</w:t>
            </w:r>
          </w:p>
        </w:tc>
        <w:tc>
          <w:tcPr>
            <w:tcW w:w="1650"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625" w:type="dxa"/>
            <w:noWrap w:val="0"/>
            <w:vAlign w:val="bottom"/>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残疾等级变更</w:t>
            </w:r>
          </w:p>
        </w:tc>
        <w:tc>
          <w:tcPr>
            <w:tcW w:w="202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（县级）</w:t>
            </w:r>
          </w:p>
        </w:tc>
        <w:tc>
          <w:tcPr>
            <w:tcW w:w="182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全县</w:t>
            </w:r>
          </w:p>
        </w:tc>
        <w:tc>
          <w:tcPr>
            <w:tcW w:w="344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残疾人、年老、异地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1055" w:type="dxa"/>
            <w:noWrap w:val="0"/>
            <w:vAlign w:val="top"/>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8</w:t>
            </w:r>
          </w:p>
        </w:tc>
        <w:tc>
          <w:tcPr>
            <w:tcW w:w="165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县残联</w:t>
            </w:r>
          </w:p>
        </w:tc>
        <w:tc>
          <w:tcPr>
            <w:tcW w:w="462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全国残疾人按比例就业情况联网认证</w:t>
            </w:r>
          </w:p>
        </w:tc>
        <w:tc>
          <w:tcPr>
            <w:tcW w:w="2025"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（县级）</w:t>
            </w:r>
          </w:p>
        </w:tc>
        <w:tc>
          <w:tcPr>
            <w:tcW w:w="182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全县</w:t>
            </w:r>
          </w:p>
        </w:tc>
        <w:tc>
          <w:tcPr>
            <w:tcW w:w="3448" w:type="dxa"/>
            <w:noWrap w:val="0"/>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残疾人、年老、异地</w:t>
            </w:r>
          </w:p>
        </w:tc>
      </w:tr>
    </w:tbl>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特殊人群授权代办即：申请对象（仅限自然人）因年老、残疾、异地等原因不能到办事现场，可授权委托其他人代办。</w:t>
      </w:r>
    </w:p>
    <w:p>
      <w:pPr>
        <w:pStyle w:val="2"/>
        <w:rPr>
          <w:rFonts w:hint="eastAsia" w:ascii="仿宋_GB2312" w:hAnsi="宋体" w:eastAsia="仿宋_GB2312" w:cs="仿宋_GB2312"/>
          <w:b/>
          <w:bCs/>
          <w:i w:val="0"/>
          <w:color w:val="000000"/>
          <w:kern w:val="0"/>
          <w:sz w:val="28"/>
          <w:szCs w:val="28"/>
          <w:u w:val="none"/>
          <w:lang w:val="en-US" w:eastAsia="zh-CN" w:bidi="ar"/>
        </w:rPr>
        <w:sectPr>
          <w:pgSz w:w="16838" w:h="11906" w:orient="landscape"/>
          <w:pgMar w:top="1531" w:right="2211" w:bottom="1531" w:left="1871" w:header="851" w:footer="992" w:gutter="0"/>
          <w:cols w:space="425" w:num="1"/>
          <w:docGrid w:type="lines" w:linePitch="312" w:charSpace="0"/>
        </w:sect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信息公开选项：主动公开</w:t>
      </w:r>
    </w:p>
    <w:p>
      <w:pPr>
        <w:pBdr>
          <w:top w:val="single" w:color="auto" w:sz="4" w:space="0"/>
          <w:bottom w:val="single" w:color="auto" w:sz="4" w:space="0"/>
        </w:pBdr>
        <w:ind w:firstLine="280" w:firstLineChars="1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kern w:val="0"/>
          <w:sz w:val="28"/>
          <w:szCs w:val="28"/>
          <w:lang w:val="en-US" w:eastAsia="zh-CN" w:bidi="ar-SA"/>
        </w:rPr>
        <w:t>白玉县人民政府办公室                     2021年12月8日印</w:t>
      </w:r>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F9207"/>
    <w:rsid w:val="39FF9207"/>
    <w:rsid w:val="4B5F724D"/>
    <w:rsid w:val="6E6D8BA7"/>
    <w:rsid w:val="7FBE8812"/>
    <w:rsid w:val="FE374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Salutation"/>
    <w:basedOn w:val="1"/>
    <w:next w:val="1"/>
    <w:unhideWhenUsed/>
    <w:qFormat/>
    <w:uiPriority w:val="99"/>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2021-12-09T01:19:00Z</dcterms:created>
  <dc:creator>Ronin</dc:creator>
  <cp:lastModifiedBy>uos</cp:lastModifiedBy>
  <dcterms:modified xsi:type="dcterms:W3CDTF">2021-12-08T15:26:14Z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