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96"/>
        <w:gridCol w:w="1581"/>
        <w:gridCol w:w="1710"/>
        <w:gridCol w:w="1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tcBorders>
              <w:tl2br w:val="single" w:color="auto" w:sz="4" w:space="0"/>
            </w:tcBorders>
            <w:noWrap w:val="0"/>
            <w:vAlign w:val="top"/>
          </w:tcPr>
          <w:p>
            <w:pPr>
              <w:adjustRightInd w:val="0"/>
              <w:snapToGrid w:val="0"/>
              <w:spacing w:line="300" w:lineRule="auto"/>
              <w:ind w:firstLine="840"/>
              <w:rPr>
                <w:rFonts w:hint="eastAsia" w:ascii="宋体" w:hAnsi="宋体" w:cs="宋体"/>
                <w:color w:val="auto"/>
                <w:kern w:val="21"/>
                <w:sz w:val="24"/>
              </w:rPr>
            </w:pPr>
            <w:bookmarkStart w:id="0" w:name="_GoBack"/>
            <w:bookmarkEnd w:id="0"/>
            <w:r>
              <w:rPr>
                <w:rFonts w:hint="eastAsia" w:ascii="宋体" w:hAnsi="宋体" w:cs="宋体"/>
                <w:color w:val="auto"/>
                <w:kern w:val="21"/>
                <w:sz w:val="24"/>
              </w:rPr>
              <w:t>内容</w:t>
            </w:r>
          </w:p>
          <w:p>
            <w:pPr>
              <w:adjustRightInd w:val="0"/>
              <w:snapToGrid w:val="0"/>
              <w:spacing w:line="300" w:lineRule="auto"/>
              <w:rPr>
                <w:rFonts w:hint="eastAsia" w:ascii="宋体" w:hAnsi="宋体" w:cs="宋体"/>
                <w:color w:val="auto"/>
                <w:kern w:val="21"/>
                <w:sz w:val="24"/>
              </w:rPr>
            </w:pPr>
            <w:r>
              <w:rPr>
                <w:rFonts w:hint="eastAsia" w:ascii="宋体" w:hAnsi="宋体" w:cs="宋体"/>
                <w:color w:val="auto"/>
                <w:kern w:val="21"/>
                <w:sz w:val="24"/>
              </w:rPr>
              <w:t>要素</w:t>
            </w:r>
          </w:p>
        </w:tc>
        <w:tc>
          <w:tcPr>
            <w:tcW w:w="1696"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排放口(编号、</w:t>
            </w:r>
          </w:p>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名称)/污染源</w:t>
            </w:r>
          </w:p>
        </w:tc>
        <w:tc>
          <w:tcPr>
            <w:tcW w:w="1581"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污染物项目</w:t>
            </w:r>
          </w:p>
        </w:tc>
        <w:tc>
          <w:tcPr>
            <w:tcW w:w="1710"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环境保护措施</w:t>
            </w:r>
          </w:p>
        </w:tc>
        <w:tc>
          <w:tcPr>
            <w:tcW w:w="1799" w:type="dxa"/>
            <w:noWrap w:val="0"/>
            <w:vAlign w:val="center"/>
          </w:tcPr>
          <w:p>
            <w:pPr>
              <w:adjustRightInd w:val="0"/>
              <w:snapToGrid w:val="0"/>
              <w:spacing w:line="300" w:lineRule="auto"/>
              <w:jc w:val="center"/>
              <w:rPr>
                <w:rFonts w:hint="default" w:ascii="宋体" w:hAnsi="宋体" w:eastAsia="宋体" w:cs="宋体"/>
                <w:color w:val="auto"/>
                <w:kern w:val="21"/>
                <w:sz w:val="24"/>
                <w:lang w:val="en-US" w:eastAsia="zh-CN"/>
              </w:rPr>
            </w:pPr>
            <w:r>
              <w:rPr>
                <w:rFonts w:hint="eastAsia" w:ascii="宋体" w:hAnsi="宋体" w:cs="宋体"/>
                <w:color w:val="auto"/>
                <w:kern w:val="21"/>
                <w:sz w:val="24"/>
                <w:lang w:val="en-US" w:eastAsia="zh-CN"/>
              </w:rPr>
              <w:t>预期治理效果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restart"/>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大气环境</w:t>
            </w:r>
          </w:p>
        </w:tc>
        <w:tc>
          <w:tcPr>
            <w:tcW w:w="1696" w:type="dxa"/>
            <w:noWrap w:val="0"/>
            <w:vAlign w:val="center"/>
          </w:tcPr>
          <w:p>
            <w:pPr>
              <w:spacing w:line="300" w:lineRule="auto"/>
              <w:jc w:val="center"/>
              <w:rPr>
                <w:rFonts w:hint="eastAsia" w:ascii="宋体" w:hAnsi="宋体" w:cs="宋体"/>
                <w:color w:val="auto"/>
                <w:kern w:val="21"/>
                <w:sz w:val="24"/>
              </w:rPr>
            </w:pPr>
            <w:r>
              <w:rPr>
                <w:color w:val="auto"/>
                <w:sz w:val="24"/>
              </w:rPr>
              <w:t>病房</w:t>
            </w:r>
          </w:p>
        </w:tc>
        <w:tc>
          <w:tcPr>
            <w:tcW w:w="1581" w:type="dxa"/>
            <w:noWrap w:val="0"/>
            <w:vAlign w:val="center"/>
          </w:tcPr>
          <w:p>
            <w:pPr>
              <w:spacing w:line="300" w:lineRule="auto"/>
              <w:jc w:val="center"/>
              <w:rPr>
                <w:rFonts w:hint="eastAsia" w:ascii="宋体" w:hAnsi="宋体" w:cs="宋体"/>
                <w:color w:val="auto"/>
                <w:kern w:val="21"/>
                <w:sz w:val="24"/>
              </w:rPr>
            </w:pPr>
            <w:r>
              <w:rPr>
                <w:rFonts w:hint="eastAsia"/>
                <w:color w:val="auto"/>
                <w:sz w:val="24"/>
              </w:rPr>
              <w:t>消毒异味</w:t>
            </w:r>
          </w:p>
        </w:tc>
        <w:tc>
          <w:tcPr>
            <w:tcW w:w="1710" w:type="dxa"/>
            <w:noWrap w:val="0"/>
            <w:vAlign w:val="center"/>
          </w:tcPr>
          <w:p>
            <w:pPr>
              <w:spacing w:line="300" w:lineRule="auto"/>
              <w:jc w:val="center"/>
              <w:rPr>
                <w:rFonts w:hint="eastAsia" w:ascii="宋体" w:hAnsi="宋体" w:cs="宋体"/>
                <w:color w:val="auto"/>
                <w:kern w:val="21"/>
                <w:sz w:val="24"/>
              </w:rPr>
            </w:pPr>
            <w:r>
              <w:rPr>
                <w:color w:val="auto"/>
                <w:sz w:val="24"/>
              </w:rPr>
              <w:t>经过门窗、排风系统等自然排放</w:t>
            </w:r>
          </w:p>
        </w:tc>
        <w:tc>
          <w:tcPr>
            <w:tcW w:w="1799" w:type="dxa"/>
            <w:noWrap w:val="0"/>
            <w:vAlign w:val="center"/>
          </w:tcPr>
          <w:p>
            <w:pPr>
              <w:adjustRightInd w:val="0"/>
              <w:snapToGrid w:val="0"/>
              <w:spacing w:line="300" w:lineRule="auto"/>
              <w:jc w:val="center"/>
              <w:rPr>
                <w:rFonts w:hint="eastAsia" w:ascii="宋体" w:hAnsi="宋体" w:cs="宋体"/>
                <w:color w:val="auto"/>
                <w:kern w:val="21"/>
                <w:sz w:val="24"/>
              </w:rPr>
            </w:pPr>
            <w:r>
              <w:rPr>
                <w:color w:val="auto"/>
                <w:sz w:val="24"/>
              </w:rPr>
              <w:t>《大气污染物综合排放标准》（GB16297-1996）中二级标准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noWrap w:val="0"/>
            <w:vAlign w:val="center"/>
          </w:tcPr>
          <w:p>
            <w:pPr>
              <w:adjustRightInd w:val="0"/>
              <w:snapToGrid w:val="0"/>
              <w:spacing w:line="300" w:lineRule="auto"/>
              <w:jc w:val="center"/>
              <w:rPr>
                <w:rFonts w:hint="eastAsia" w:ascii="宋体" w:hAnsi="宋体" w:cs="宋体"/>
                <w:color w:val="auto"/>
                <w:kern w:val="21"/>
                <w:sz w:val="24"/>
              </w:rPr>
            </w:pPr>
          </w:p>
        </w:tc>
        <w:tc>
          <w:tcPr>
            <w:tcW w:w="1696" w:type="dxa"/>
            <w:noWrap w:val="0"/>
            <w:vAlign w:val="center"/>
          </w:tcPr>
          <w:p>
            <w:pPr>
              <w:spacing w:line="300" w:lineRule="auto"/>
              <w:jc w:val="center"/>
              <w:rPr>
                <w:rFonts w:hint="eastAsia" w:ascii="宋体" w:hAnsi="宋体" w:cs="宋体"/>
                <w:color w:val="auto"/>
                <w:kern w:val="21"/>
                <w:sz w:val="24"/>
              </w:rPr>
            </w:pPr>
            <w:r>
              <w:rPr>
                <w:color w:val="auto"/>
                <w:sz w:val="24"/>
              </w:rPr>
              <w:t>污水处理站</w:t>
            </w:r>
          </w:p>
        </w:tc>
        <w:tc>
          <w:tcPr>
            <w:tcW w:w="1581" w:type="dxa"/>
            <w:noWrap w:val="0"/>
            <w:vAlign w:val="center"/>
          </w:tcPr>
          <w:p>
            <w:pPr>
              <w:spacing w:line="300" w:lineRule="auto"/>
              <w:jc w:val="center"/>
              <w:rPr>
                <w:rFonts w:hint="eastAsia"/>
                <w:color w:val="auto"/>
                <w:sz w:val="24"/>
                <w:vertAlign w:val="baseline"/>
                <w:lang w:val="en-US" w:eastAsia="zh-CN"/>
              </w:rPr>
            </w:pPr>
            <w:r>
              <w:rPr>
                <w:rFonts w:hint="eastAsia"/>
                <w:color w:val="auto"/>
                <w:sz w:val="24"/>
                <w:lang w:val="en-US" w:eastAsia="zh-CN"/>
              </w:rPr>
              <w:t>NH</w:t>
            </w:r>
            <w:r>
              <w:rPr>
                <w:rFonts w:hint="eastAsia"/>
                <w:color w:val="auto"/>
                <w:sz w:val="24"/>
                <w:vertAlign w:val="subscript"/>
                <w:lang w:val="en-US" w:eastAsia="zh-CN"/>
              </w:rPr>
              <w:t>3</w:t>
            </w:r>
          </w:p>
          <w:p>
            <w:pPr>
              <w:pStyle w:val="2"/>
              <w:ind w:left="0" w:leftChars="0" w:firstLine="0" w:firstLineChars="0"/>
              <w:jc w:val="center"/>
              <w:rPr>
                <w:rFonts w:hint="default"/>
                <w:color w:val="auto"/>
                <w:vertAlign w:val="baseline"/>
                <w:lang w:val="en-US" w:eastAsia="zh-CN"/>
              </w:rPr>
            </w:pPr>
            <w:r>
              <w:rPr>
                <w:rFonts w:hint="eastAsia"/>
                <w:color w:val="auto"/>
                <w:lang w:val="en-US" w:eastAsia="zh-CN"/>
              </w:rPr>
              <w:t>H</w:t>
            </w:r>
            <w:r>
              <w:rPr>
                <w:rFonts w:hint="eastAsia"/>
                <w:color w:val="auto"/>
                <w:vertAlign w:val="subscript"/>
                <w:lang w:val="en-US" w:eastAsia="zh-CN"/>
              </w:rPr>
              <w:t>2</w:t>
            </w:r>
            <w:r>
              <w:rPr>
                <w:rFonts w:hint="eastAsia"/>
                <w:color w:val="auto"/>
                <w:vertAlign w:val="baseline"/>
                <w:lang w:val="en-US" w:eastAsia="zh-CN"/>
              </w:rPr>
              <w:t>S</w:t>
            </w:r>
          </w:p>
          <w:p>
            <w:pPr>
              <w:spacing w:line="300" w:lineRule="auto"/>
              <w:jc w:val="center"/>
              <w:rPr>
                <w:rFonts w:hint="eastAsia" w:ascii="宋体" w:hAnsi="宋体" w:cs="宋体"/>
                <w:color w:val="auto"/>
                <w:kern w:val="21"/>
                <w:sz w:val="24"/>
              </w:rPr>
            </w:pPr>
            <w:r>
              <w:rPr>
                <w:rFonts w:hint="eastAsia"/>
                <w:color w:val="auto"/>
                <w:sz w:val="24"/>
              </w:rPr>
              <w:t>恶臭</w:t>
            </w:r>
          </w:p>
        </w:tc>
        <w:tc>
          <w:tcPr>
            <w:tcW w:w="1710" w:type="dxa"/>
            <w:noWrap w:val="0"/>
            <w:vAlign w:val="center"/>
          </w:tcPr>
          <w:p>
            <w:pPr>
              <w:spacing w:line="300" w:lineRule="auto"/>
              <w:jc w:val="center"/>
              <w:rPr>
                <w:rFonts w:hint="default" w:ascii="宋体" w:hAnsi="宋体" w:eastAsia="宋体" w:cs="宋体"/>
                <w:color w:val="auto"/>
                <w:kern w:val="21"/>
                <w:sz w:val="24"/>
                <w:lang w:val="en-US" w:eastAsia="zh-CN"/>
              </w:rPr>
            </w:pPr>
            <w:r>
              <w:rPr>
                <w:rFonts w:hint="eastAsia"/>
                <w:color w:val="auto"/>
                <w:sz w:val="24"/>
                <w:lang w:val="en-US" w:eastAsia="zh-CN"/>
              </w:rPr>
              <w:t>在污水处理站排气口设置活性炭吸附臭气</w:t>
            </w:r>
          </w:p>
        </w:tc>
        <w:tc>
          <w:tcPr>
            <w:tcW w:w="1799"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《医疗机构水污染物排放标准》（GB18466-2005）中表3相关标准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noWrap w:val="0"/>
            <w:vAlign w:val="center"/>
          </w:tcPr>
          <w:p>
            <w:pPr>
              <w:adjustRightInd w:val="0"/>
              <w:snapToGrid w:val="0"/>
              <w:spacing w:line="300" w:lineRule="auto"/>
              <w:jc w:val="center"/>
              <w:rPr>
                <w:rFonts w:hint="eastAsia" w:ascii="宋体" w:hAnsi="宋体" w:cs="宋体"/>
                <w:color w:val="auto"/>
                <w:kern w:val="21"/>
                <w:sz w:val="24"/>
              </w:rPr>
            </w:pPr>
          </w:p>
        </w:tc>
        <w:tc>
          <w:tcPr>
            <w:tcW w:w="1696" w:type="dxa"/>
            <w:noWrap w:val="0"/>
            <w:vAlign w:val="center"/>
          </w:tcPr>
          <w:p>
            <w:pPr>
              <w:spacing w:line="300" w:lineRule="auto"/>
              <w:jc w:val="center"/>
              <w:rPr>
                <w:rFonts w:hint="eastAsia"/>
                <w:color w:val="auto"/>
                <w:sz w:val="24"/>
                <w:lang w:bidi="ar"/>
              </w:rPr>
            </w:pPr>
            <w:r>
              <w:rPr>
                <w:rFonts w:hint="eastAsia"/>
                <w:color w:val="auto"/>
                <w:sz w:val="24"/>
                <w:lang w:bidi="ar"/>
              </w:rPr>
              <w:t>垃圾收集点</w:t>
            </w:r>
          </w:p>
          <w:p>
            <w:pPr>
              <w:spacing w:line="300" w:lineRule="auto"/>
              <w:jc w:val="center"/>
              <w:rPr>
                <w:rFonts w:hint="eastAsia" w:ascii="宋体" w:hAnsi="宋体" w:cs="宋体"/>
                <w:color w:val="auto"/>
                <w:kern w:val="21"/>
                <w:sz w:val="24"/>
              </w:rPr>
            </w:pPr>
            <w:r>
              <w:rPr>
                <w:rFonts w:hint="eastAsia"/>
                <w:color w:val="auto"/>
                <w:sz w:val="24"/>
                <w:lang w:bidi="ar"/>
              </w:rPr>
              <w:t>医疗废物暂存间</w:t>
            </w:r>
          </w:p>
        </w:tc>
        <w:tc>
          <w:tcPr>
            <w:tcW w:w="1581" w:type="dxa"/>
            <w:noWrap w:val="0"/>
            <w:vAlign w:val="center"/>
          </w:tcPr>
          <w:p>
            <w:pPr>
              <w:spacing w:line="300" w:lineRule="auto"/>
              <w:jc w:val="center"/>
              <w:rPr>
                <w:rFonts w:hint="eastAsia" w:ascii="宋体" w:hAnsi="宋体" w:cs="宋体"/>
                <w:color w:val="auto"/>
                <w:kern w:val="21"/>
                <w:sz w:val="24"/>
              </w:rPr>
            </w:pPr>
            <w:r>
              <w:rPr>
                <w:rFonts w:hint="eastAsia"/>
                <w:color w:val="auto"/>
                <w:sz w:val="24"/>
                <w:lang w:bidi="ar"/>
              </w:rPr>
              <w:t>恶臭</w:t>
            </w:r>
          </w:p>
        </w:tc>
        <w:tc>
          <w:tcPr>
            <w:tcW w:w="1710" w:type="dxa"/>
            <w:noWrap w:val="0"/>
            <w:vAlign w:val="center"/>
          </w:tcPr>
          <w:p>
            <w:pPr>
              <w:spacing w:line="300" w:lineRule="auto"/>
              <w:jc w:val="center"/>
              <w:rPr>
                <w:rFonts w:hint="eastAsia" w:ascii="宋体" w:hAnsi="宋体" w:cs="宋体"/>
                <w:color w:val="auto"/>
                <w:kern w:val="21"/>
                <w:sz w:val="24"/>
              </w:rPr>
            </w:pPr>
            <w:r>
              <w:rPr>
                <w:color w:val="auto"/>
                <w:sz w:val="24"/>
              </w:rPr>
              <w:t>及时清运，日产日清</w:t>
            </w:r>
          </w:p>
        </w:tc>
        <w:tc>
          <w:tcPr>
            <w:tcW w:w="1799" w:type="dxa"/>
            <w:vMerge w:val="restart"/>
            <w:noWrap w:val="0"/>
            <w:vAlign w:val="center"/>
          </w:tcPr>
          <w:p>
            <w:pPr>
              <w:adjustRightInd w:val="0"/>
              <w:snapToGrid w:val="0"/>
              <w:spacing w:line="300" w:lineRule="auto"/>
              <w:jc w:val="center"/>
              <w:rPr>
                <w:rFonts w:hint="eastAsia" w:ascii="宋体" w:hAnsi="宋体" w:cs="宋体"/>
                <w:color w:val="auto"/>
                <w:kern w:val="21"/>
                <w:sz w:val="24"/>
              </w:rPr>
            </w:pPr>
            <w:r>
              <w:rPr>
                <w:color w:val="auto"/>
                <w:sz w:val="24"/>
              </w:rPr>
              <w:t>《大气污染物综合排放标准》（GB16297-1996）中二级标准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noWrap w:val="0"/>
            <w:vAlign w:val="center"/>
          </w:tcPr>
          <w:p>
            <w:pPr>
              <w:adjustRightInd w:val="0"/>
              <w:snapToGrid w:val="0"/>
              <w:spacing w:line="300" w:lineRule="auto"/>
              <w:jc w:val="center"/>
              <w:rPr>
                <w:rFonts w:hint="eastAsia" w:ascii="宋体" w:hAnsi="宋体" w:cs="宋体"/>
                <w:color w:val="auto"/>
                <w:kern w:val="21"/>
                <w:sz w:val="24"/>
              </w:rPr>
            </w:pPr>
          </w:p>
        </w:tc>
        <w:tc>
          <w:tcPr>
            <w:tcW w:w="1696" w:type="dxa"/>
            <w:noWrap w:val="0"/>
            <w:vAlign w:val="center"/>
          </w:tcPr>
          <w:p>
            <w:pPr>
              <w:spacing w:line="300" w:lineRule="auto"/>
              <w:jc w:val="center"/>
              <w:rPr>
                <w:rFonts w:hint="eastAsia" w:ascii="宋体" w:hAnsi="宋体" w:cs="宋体"/>
                <w:color w:val="auto"/>
                <w:kern w:val="21"/>
                <w:sz w:val="24"/>
              </w:rPr>
            </w:pPr>
            <w:r>
              <w:rPr>
                <w:color w:val="auto"/>
                <w:sz w:val="24"/>
              </w:rPr>
              <w:t>发电机房</w:t>
            </w:r>
          </w:p>
        </w:tc>
        <w:tc>
          <w:tcPr>
            <w:tcW w:w="1581" w:type="dxa"/>
            <w:noWrap w:val="0"/>
            <w:vAlign w:val="center"/>
          </w:tcPr>
          <w:p>
            <w:pPr>
              <w:spacing w:line="300" w:lineRule="auto"/>
              <w:jc w:val="center"/>
              <w:rPr>
                <w:color w:val="auto"/>
                <w:sz w:val="24"/>
              </w:rPr>
            </w:pPr>
            <w:r>
              <w:rPr>
                <w:color w:val="auto"/>
                <w:sz w:val="24"/>
              </w:rPr>
              <w:t>发电机废气</w:t>
            </w:r>
          </w:p>
        </w:tc>
        <w:tc>
          <w:tcPr>
            <w:tcW w:w="1710" w:type="dxa"/>
            <w:noWrap w:val="0"/>
            <w:vAlign w:val="center"/>
          </w:tcPr>
          <w:p>
            <w:pPr>
              <w:spacing w:line="300" w:lineRule="auto"/>
              <w:jc w:val="center"/>
              <w:rPr>
                <w:rFonts w:hint="eastAsia" w:ascii="宋体" w:hAnsi="宋体" w:cs="宋体"/>
                <w:color w:val="auto"/>
                <w:kern w:val="21"/>
                <w:sz w:val="24"/>
              </w:rPr>
            </w:pPr>
            <w:r>
              <w:rPr>
                <w:rFonts w:hint="eastAsia"/>
                <w:color w:val="auto"/>
                <w:sz w:val="24"/>
              </w:rPr>
              <w:t>利用发电机自带的尾气净化装置处理</w:t>
            </w:r>
          </w:p>
        </w:tc>
        <w:tc>
          <w:tcPr>
            <w:tcW w:w="1799" w:type="dxa"/>
            <w:vMerge w:val="continue"/>
            <w:noWrap w:val="0"/>
            <w:vAlign w:val="center"/>
          </w:tcPr>
          <w:p>
            <w:pPr>
              <w:adjustRightInd w:val="0"/>
              <w:snapToGrid w:val="0"/>
              <w:spacing w:line="300" w:lineRule="auto"/>
              <w:jc w:val="center"/>
              <w:rPr>
                <w:rFonts w:hint="eastAsia" w:ascii="宋体" w:hAnsi="宋体" w:cs="宋体"/>
                <w:color w:val="auto"/>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noWrap w:val="0"/>
            <w:vAlign w:val="center"/>
          </w:tcPr>
          <w:p>
            <w:pPr>
              <w:adjustRightInd w:val="0"/>
              <w:snapToGrid w:val="0"/>
              <w:spacing w:line="300" w:lineRule="auto"/>
              <w:jc w:val="center"/>
              <w:rPr>
                <w:rFonts w:hint="eastAsia" w:ascii="宋体" w:hAnsi="宋体" w:cs="宋体"/>
                <w:color w:val="auto"/>
                <w:kern w:val="21"/>
                <w:sz w:val="24"/>
              </w:rPr>
            </w:pPr>
          </w:p>
        </w:tc>
        <w:tc>
          <w:tcPr>
            <w:tcW w:w="1696" w:type="dxa"/>
            <w:noWrap w:val="0"/>
            <w:vAlign w:val="center"/>
          </w:tcPr>
          <w:p>
            <w:pPr>
              <w:spacing w:line="300" w:lineRule="auto"/>
              <w:jc w:val="center"/>
              <w:rPr>
                <w:rFonts w:hint="eastAsia" w:ascii="宋体" w:hAnsi="宋体" w:cs="宋体"/>
                <w:color w:val="auto"/>
                <w:kern w:val="21"/>
                <w:sz w:val="24"/>
              </w:rPr>
            </w:pPr>
            <w:r>
              <w:rPr>
                <w:color w:val="auto"/>
                <w:sz w:val="24"/>
              </w:rPr>
              <w:t>院区内</w:t>
            </w:r>
          </w:p>
        </w:tc>
        <w:tc>
          <w:tcPr>
            <w:tcW w:w="1581" w:type="dxa"/>
            <w:noWrap w:val="0"/>
            <w:vAlign w:val="center"/>
          </w:tcPr>
          <w:p>
            <w:pPr>
              <w:spacing w:line="300" w:lineRule="auto"/>
              <w:jc w:val="center"/>
              <w:rPr>
                <w:color w:val="auto"/>
                <w:sz w:val="24"/>
              </w:rPr>
            </w:pPr>
            <w:r>
              <w:rPr>
                <w:color w:val="auto"/>
                <w:sz w:val="24"/>
              </w:rPr>
              <w:t>汽车尾气</w:t>
            </w:r>
          </w:p>
        </w:tc>
        <w:tc>
          <w:tcPr>
            <w:tcW w:w="1710" w:type="dxa"/>
            <w:noWrap w:val="0"/>
            <w:vAlign w:val="center"/>
          </w:tcPr>
          <w:p>
            <w:pPr>
              <w:spacing w:line="300" w:lineRule="auto"/>
              <w:jc w:val="center"/>
              <w:rPr>
                <w:rFonts w:hint="eastAsia" w:ascii="宋体" w:hAnsi="宋体" w:cs="宋体"/>
                <w:color w:val="auto"/>
                <w:kern w:val="21"/>
                <w:sz w:val="24"/>
              </w:rPr>
            </w:pPr>
            <w:r>
              <w:rPr>
                <w:rFonts w:hint="eastAsia"/>
                <w:color w:val="auto"/>
                <w:sz w:val="24"/>
              </w:rPr>
              <w:t>自然扩散</w:t>
            </w:r>
          </w:p>
        </w:tc>
        <w:tc>
          <w:tcPr>
            <w:tcW w:w="1799" w:type="dxa"/>
            <w:vMerge w:val="continue"/>
            <w:noWrap w:val="0"/>
            <w:vAlign w:val="center"/>
          </w:tcPr>
          <w:p>
            <w:pPr>
              <w:adjustRightInd w:val="0"/>
              <w:snapToGrid w:val="0"/>
              <w:spacing w:line="300" w:lineRule="auto"/>
              <w:jc w:val="center"/>
              <w:rPr>
                <w:rFonts w:hint="eastAsia" w:ascii="宋体" w:hAnsi="宋体" w:cs="宋体"/>
                <w:color w:val="auto"/>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地表水环境</w:t>
            </w:r>
          </w:p>
        </w:tc>
        <w:tc>
          <w:tcPr>
            <w:tcW w:w="1696" w:type="dxa"/>
            <w:noWrap w:val="0"/>
            <w:vAlign w:val="center"/>
          </w:tcPr>
          <w:p>
            <w:pPr>
              <w:spacing w:line="300" w:lineRule="auto"/>
              <w:jc w:val="center"/>
              <w:rPr>
                <w:rFonts w:hint="eastAsia" w:ascii="宋体" w:hAnsi="宋体" w:cs="宋体"/>
                <w:color w:val="auto"/>
                <w:kern w:val="21"/>
                <w:sz w:val="24"/>
              </w:rPr>
            </w:pPr>
            <w:r>
              <w:rPr>
                <w:rFonts w:hint="eastAsia"/>
                <w:color w:val="auto"/>
                <w:sz w:val="24"/>
              </w:rPr>
              <w:t>医疗废水</w:t>
            </w:r>
          </w:p>
        </w:tc>
        <w:tc>
          <w:tcPr>
            <w:tcW w:w="1581" w:type="dxa"/>
            <w:noWrap w:val="0"/>
            <w:vAlign w:val="center"/>
          </w:tcPr>
          <w:p>
            <w:pPr>
              <w:spacing w:line="300" w:lineRule="auto"/>
              <w:jc w:val="center"/>
              <w:rPr>
                <w:color w:val="auto"/>
                <w:sz w:val="24"/>
              </w:rPr>
            </w:pPr>
            <w:r>
              <w:rPr>
                <w:color w:val="auto"/>
                <w:sz w:val="24"/>
              </w:rPr>
              <w:t>COD、</w:t>
            </w:r>
          </w:p>
          <w:p>
            <w:pPr>
              <w:spacing w:line="300" w:lineRule="auto"/>
              <w:jc w:val="center"/>
              <w:rPr>
                <w:color w:val="auto"/>
                <w:sz w:val="24"/>
              </w:rPr>
            </w:pPr>
            <w:r>
              <w:rPr>
                <w:color w:val="auto"/>
                <w:sz w:val="24"/>
              </w:rPr>
              <w:t>BOD</w:t>
            </w:r>
            <w:r>
              <w:rPr>
                <w:color w:val="auto"/>
                <w:sz w:val="24"/>
                <w:vertAlign w:val="subscript"/>
              </w:rPr>
              <w:t>5</w:t>
            </w:r>
            <w:r>
              <w:rPr>
                <w:color w:val="auto"/>
                <w:sz w:val="24"/>
              </w:rPr>
              <w:t>、</w:t>
            </w:r>
          </w:p>
          <w:p>
            <w:pPr>
              <w:spacing w:line="300" w:lineRule="auto"/>
              <w:jc w:val="center"/>
              <w:rPr>
                <w:color w:val="auto"/>
                <w:sz w:val="24"/>
              </w:rPr>
            </w:pPr>
            <w:r>
              <w:rPr>
                <w:color w:val="auto"/>
                <w:sz w:val="24"/>
              </w:rPr>
              <w:t>NH3-N、</w:t>
            </w:r>
          </w:p>
          <w:p>
            <w:pPr>
              <w:spacing w:line="300" w:lineRule="auto"/>
              <w:jc w:val="center"/>
              <w:rPr>
                <w:rFonts w:hint="eastAsia" w:ascii="宋体" w:hAnsi="宋体" w:cs="宋体"/>
                <w:color w:val="auto"/>
                <w:kern w:val="21"/>
                <w:sz w:val="24"/>
              </w:rPr>
            </w:pPr>
            <w:r>
              <w:rPr>
                <w:color w:val="auto"/>
                <w:sz w:val="24"/>
              </w:rPr>
              <w:t>SS</w:t>
            </w:r>
          </w:p>
        </w:tc>
        <w:tc>
          <w:tcPr>
            <w:tcW w:w="1710" w:type="dxa"/>
            <w:noWrap w:val="0"/>
            <w:vAlign w:val="center"/>
          </w:tcPr>
          <w:p>
            <w:pPr>
              <w:spacing w:line="300" w:lineRule="auto"/>
              <w:jc w:val="center"/>
              <w:rPr>
                <w:rFonts w:hint="eastAsia" w:ascii="宋体" w:hAnsi="宋体" w:cs="宋体"/>
                <w:color w:val="auto"/>
                <w:kern w:val="21"/>
                <w:sz w:val="24"/>
              </w:rPr>
            </w:pPr>
            <w:r>
              <w:rPr>
                <w:color w:val="auto"/>
                <w:sz w:val="24"/>
              </w:rPr>
              <w:t>废水集中由</w:t>
            </w:r>
            <w:r>
              <w:rPr>
                <w:rFonts w:hint="eastAsia"/>
                <w:color w:val="auto"/>
                <w:sz w:val="24"/>
              </w:rPr>
              <w:t>化粪池</w:t>
            </w:r>
            <w:r>
              <w:rPr>
                <w:color w:val="auto"/>
                <w:sz w:val="24"/>
              </w:rPr>
              <w:t>处理后进入污水处理站处理达标，然后经市政污水管网进入</w:t>
            </w:r>
            <w:r>
              <w:rPr>
                <w:rFonts w:hint="eastAsia"/>
                <w:color w:val="auto"/>
                <w:sz w:val="24"/>
              </w:rPr>
              <w:t>甘孜县</w:t>
            </w:r>
            <w:r>
              <w:rPr>
                <w:color w:val="auto"/>
                <w:sz w:val="24"/>
              </w:rPr>
              <w:t>城市生活污水处理厂</w:t>
            </w:r>
          </w:p>
        </w:tc>
        <w:tc>
          <w:tcPr>
            <w:tcW w:w="1799" w:type="dxa"/>
            <w:noWrap w:val="0"/>
            <w:vAlign w:val="center"/>
          </w:tcPr>
          <w:p>
            <w:pPr>
              <w:spacing w:line="300" w:lineRule="auto"/>
              <w:jc w:val="center"/>
              <w:rPr>
                <w:rFonts w:hint="eastAsia" w:ascii="宋体" w:hAnsi="宋体" w:cs="宋体"/>
                <w:color w:val="auto"/>
                <w:kern w:val="21"/>
                <w:sz w:val="24"/>
              </w:rPr>
            </w:pPr>
            <w:r>
              <w:rPr>
                <w:color w:val="auto"/>
                <w:sz w:val="24"/>
              </w:rPr>
              <w:t>《医疗机构水污染物排放标准》（GB18466-2005）表2综合医疗机构水污染物排放限值的相关要求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声环境</w:t>
            </w:r>
          </w:p>
        </w:tc>
        <w:tc>
          <w:tcPr>
            <w:tcW w:w="1696" w:type="dxa"/>
            <w:noWrap w:val="0"/>
            <w:vAlign w:val="center"/>
          </w:tcPr>
          <w:p>
            <w:pPr>
              <w:adjustRightInd w:val="0"/>
              <w:snapToGrid w:val="0"/>
              <w:spacing w:line="300" w:lineRule="auto"/>
              <w:jc w:val="center"/>
              <w:rPr>
                <w:rFonts w:ascii="宋体" w:hAnsi="宋体" w:cs="宋体"/>
                <w:color w:val="auto"/>
                <w:kern w:val="21"/>
                <w:sz w:val="24"/>
              </w:rPr>
            </w:pPr>
            <w:r>
              <w:rPr>
                <w:rFonts w:hint="eastAsia" w:ascii="宋体" w:hAnsi="宋体" w:cs="宋体"/>
                <w:color w:val="auto"/>
                <w:kern w:val="21"/>
                <w:sz w:val="24"/>
              </w:rPr>
              <w:t>机械设备</w:t>
            </w:r>
          </w:p>
        </w:tc>
        <w:tc>
          <w:tcPr>
            <w:tcW w:w="1581" w:type="dxa"/>
            <w:noWrap w:val="0"/>
            <w:vAlign w:val="center"/>
          </w:tcPr>
          <w:p>
            <w:pPr>
              <w:spacing w:line="300" w:lineRule="auto"/>
              <w:ind w:left="-49"/>
              <w:jc w:val="center"/>
              <w:rPr>
                <w:rFonts w:hint="eastAsia" w:ascii="宋体" w:hAnsi="宋体" w:cs="宋体"/>
                <w:color w:val="auto"/>
                <w:kern w:val="21"/>
                <w:sz w:val="24"/>
              </w:rPr>
            </w:pPr>
            <w:r>
              <w:rPr>
                <w:color w:val="auto"/>
                <w:sz w:val="24"/>
              </w:rPr>
              <w:t>运行噪声</w:t>
            </w:r>
          </w:p>
        </w:tc>
        <w:tc>
          <w:tcPr>
            <w:tcW w:w="1710" w:type="dxa"/>
            <w:noWrap w:val="0"/>
            <w:vAlign w:val="center"/>
          </w:tcPr>
          <w:p>
            <w:pPr>
              <w:spacing w:line="300" w:lineRule="auto"/>
              <w:jc w:val="center"/>
              <w:rPr>
                <w:rFonts w:hint="eastAsia" w:ascii="宋体" w:hAnsi="宋体" w:cs="宋体"/>
                <w:color w:val="auto"/>
                <w:kern w:val="21"/>
                <w:sz w:val="24"/>
              </w:rPr>
            </w:pPr>
            <w:r>
              <w:rPr>
                <w:rFonts w:hint="eastAsia"/>
                <w:color w:val="auto"/>
                <w:sz w:val="24"/>
              </w:rPr>
              <w:t>隔声减震</w:t>
            </w:r>
          </w:p>
        </w:tc>
        <w:tc>
          <w:tcPr>
            <w:tcW w:w="1799" w:type="dxa"/>
            <w:noWrap w:val="0"/>
            <w:vAlign w:val="center"/>
          </w:tcPr>
          <w:p>
            <w:pPr>
              <w:spacing w:line="300" w:lineRule="auto"/>
              <w:jc w:val="center"/>
              <w:rPr>
                <w:rFonts w:hint="eastAsia" w:ascii="宋体" w:hAnsi="宋体" w:cs="宋体"/>
                <w:color w:val="auto"/>
                <w:kern w:val="21"/>
                <w:sz w:val="24"/>
              </w:rPr>
            </w:pPr>
            <w:r>
              <w:rPr>
                <w:rFonts w:hint="eastAsia" w:ascii="宋体" w:hAnsi="宋体" w:cs="宋体"/>
                <w:color w:val="auto"/>
                <w:kern w:val="21"/>
                <w:sz w:val="24"/>
              </w:rPr>
              <w:t>《工业企业厂界环境噪声排放标准》（GB12348-2008）</w:t>
            </w:r>
            <w:r>
              <w:rPr>
                <w:rFonts w:hint="eastAsia" w:ascii="宋体" w:hAnsi="宋体" w:cs="宋体"/>
                <w:color w:val="auto"/>
                <w:kern w:val="21"/>
                <w:sz w:val="24"/>
                <w:lang w:val="en-US" w:eastAsia="zh-CN"/>
              </w:rPr>
              <w:t>2</w:t>
            </w:r>
            <w:r>
              <w:rPr>
                <w:rFonts w:hint="eastAsia" w:ascii="宋体" w:hAnsi="宋体" w:cs="宋体"/>
                <w:color w:val="auto"/>
                <w:kern w:val="21"/>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电磁辐射</w:t>
            </w:r>
          </w:p>
        </w:tc>
        <w:tc>
          <w:tcPr>
            <w:tcW w:w="1696"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w:t>
            </w:r>
          </w:p>
        </w:tc>
        <w:tc>
          <w:tcPr>
            <w:tcW w:w="1581"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w:t>
            </w:r>
          </w:p>
        </w:tc>
        <w:tc>
          <w:tcPr>
            <w:tcW w:w="1710"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w:t>
            </w:r>
          </w:p>
        </w:tc>
        <w:tc>
          <w:tcPr>
            <w:tcW w:w="1799" w:type="dxa"/>
            <w:noWrap w:val="0"/>
            <w:vAlign w:val="center"/>
          </w:tcPr>
          <w:p>
            <w:pPr>
              <w:adjustRightInd w:val="0"/>
              <w:snapToGrid w:val="0"/>
              <w:spacing w:line="300" w:lineRule="auto"/>
              <w:jc w:val="center"/>
              <w:rPr>
                <w:rFonts w:hint="eastAsia" w:ascii="宋体" w:hAnsi="宋体" w:cs="宋体"/>
                <w:color w:val="auto"/>
                <w:kern w:val="21"/>
                <w:sz w:val="24"/>
              </w:rPr>
            </w:pPr>
            <w:r>
              <w:rPr>
                <w:rFonts w:hint="eastAsia" w:ascii="宋体" w:hAnsi="宋体" w:cs="宋体"/>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固体废物</w:t>
            </w:r>
          </w:p>
        </w:tc>
        <w:tc>
          <w:tcPr>
            <w:tcW w:w="6786" w:type="dxa"/>
            <w:gridSpan w:val="4"/>
            <w:noWrap w:val="0"/>
            <w:vAlign w:val="center"/>
          </w:tcPr>
          <w:p>
            <w:pPr>
              <w:adjustRightInd w:val="0"/>
              <w:snapToGrid w:val="0"/>
              <w:spacing w:line="360" w:lineRule="auto"/>
              <w:jc w:val="center"/>
              <w:rPr>
                <w:rFonts w:ascii="宋体" w:hAnsi="宋体" w:cs="宋体"/>
                <w:color w:val="auto"/>
                <w:kern w:val="21"/>
                <w:sz w:val="24"/>
              </w:rPr>
            </w:pPr>
            <w:r>
              <w:rPr>
                <w:rFonts w:hint="eastAsia" w:ascii="宋体" w:hAnsi="宋体" w:cs="宋体"/>
                <w:color w:val="auto"/>
                <w:kern w:val="21"/>
                <w:sz w:val="24"/>
              </w:rPr>
              <w:t>暂存于医疗暂存间，由医疗废物处置单位定期转运并进行无害化处理；污泥由有资质的单位定期清洗清掏和转运。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土壤及地下水</w:t>
            </w:r>
          </w:p>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污染防治措施</w:t>
            </w:r>
          </w:p>
        </w:tc>
        <w:tc>
          <w:tcPr>
            <w:tcW w:w="6786" w:type="dxa"/>
            <w:gridSpan w:val="4"/>
            <w:noWrap w:val="0"/>
            <w:vAlign w:val="center"/>
          </w:tcPr>
          <w:p>
            <w:pPr>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hint="eastAsia" w:ascii="TimesNewRomanPSMT" w:hAnsi="TimesNewRomanPSMT" w:eastAsia="TimesNewRomanPSMT"/>
                <w:color w:val="auto"/>
                <w:sz w:val="24"/>
              </w:rPr>
              <w:t>1</w:t>
            </w:r>
            <w:r>
              <w:rPr>
                <w:rFonts w:hint="eastAsia" w:ascii="宋体" w:hAnsi="宋体"/>
                <w:color w:val="auto"/>
                <w:sz w:val="24"/>
              </w:rPr>
              <w:t>）源头控制措施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从原料和产品储存、装卸、运输、生产过程、污染处理装置等全过程控制各种有毒有害原辅材料、中间材料、产品泄漏（含跑、冒、滴、漏），同时对有害物质可能泄漏到地面的区域采取防渗措施，阻止其进入土壤中，即从源头到末端全方位采取控制措施，防止项目的建设对土壤造成污染。从生产过程入手，在工艺、管道、设备、给排水等方面尽可能地采取泄漏控制措施，从源头最大限度降低污染物质泄漏的可能性和泄漏量，使项目区污染物对土壤的影响降至最低，一旦出现泄漏等即可由区域内的各种配套措施进行收集、处置，同时经过硬化处理的地面有效阻止污染物的下渗。</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hint="eastAsia" w:ascii="TimesNewRomanPSMT" w:hAnsi="TimesNewRomanPSMT" w:eastAsia="TimesNewRomanPSMT"/>
                <w:color w:val="auto"/>
                <w:sz w:val="24"/>
              </w:rPr>
              <w:t>2</w:t>
            </w:r>
            <w:r>
              <w:rPr>
                <w:rFonts w:hint="eastAsia" w:ascii="宋体" w:hAnsi="宋体"/>
                <w:color w:val="auto"/>
                <w:sz w:val="24"/>
              </w:rPr>
              <w:t>）过程控制措施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项目按重点防渗区、一般防渗区、简单防渗区分别采取不同等级的防渗措施，防渗层尽量在地表铺设，按照污染防治分区采取不同的设计方案。其中</w:t>
            </w:r>
            <w:r>
              <w:rPr>
                <w:rFonts w:hint="eastAsia" w:ascii="宋体" w:hAnsi="宋体"/>
                <w:color w:val="auto"/>
                <w:sz w:val="24"/>
                <w:lang w:eastAsia="zh-CN"/>
              </w:rPr>
              <w:t>医疗废物暂存间</w:t>
            </w:r>
            <w:r>
              <w:rPr>
                <w:rFonts w:hint="eastAsia" w:ascii="宋体" w:hAnsi="宋体"/>
                <w:color w:val="auto"/>
                <w:sz w:val="24"/>
              </w:rPr>
              <w:t>等设施等重点防渗区应选用人工防渗材料，防渗技术要求为等效黏土防渗层</w:t>
            </w:r>
            <w:r>
              <w:rPr>
                <w:rFonts w:hint="eastAsia" w:ascii="TimesNewRomanPSMT" w:hAnsi="TimesNewRomanPSMT" w:eastAsia="TimesNewRomanPSMT"/>
                <w:color w:val="auto"/>
                <w:sz w:val="24"/>
              </w:rPr>
              <w:t>Mb</w:t>
            </w:r>
            <w:r>
              <w:rPr>
                <w:rFonts w:hint="eastAsia" w:ascii="宋体" w:hAnsi="宋体"/>
                <w:color w:val="auto"/>
                <w:sz w:val="24"/>
              </w:rPr>
              <w:t>≥</w:t>
            </w:r>
            <w:r>
              <w:rPr>
                <w:rFonts w:hint="eastAsia" w:ascii="TimesNewRomanPSMT" w:hAnsi="TimesNewRomanPSMT" w:eastAsia="TimesNewRomanPSMT"/>
                <w:color w:val="auto"/>
                <w:sz w:val="24"/>
              </w:rPr>
              <w:t>6.0m</w:t>
            </w:r>
            <w:r>
              <w:rPr>
                <w:rFonts w:hint="eastAsia" w:ascii="宋体" w:hAnsi="宋体"/>
                <w:color w:val="auto"/>
                <w:sz w:val="24"/>
              </w:rPr>
              <w:t>，渗透系数</w:t>
            </w:r>
            <w:r>
              <w:rPr>
                <w:rFonts w:hint="eastAsia" w:ascii="TimesNewRomanPSMT" w:hAnsi="TimesNewRomanPSMT" w:eastAsia="TimesNewRomanPSMT"/>
                <w:color w:val="auto"/>
                <w:sz w:val="24"/>
              </w:rPr>
              <w:t>K</w:t>
            </w:r>
            <w:r>
              <w:rPr>
                <w:rFonts w:hint="eastAsia" w:ascii="宋体" w:hAnsi="宋体"/>
                <w:color w:val="auto"/>
                <w:sz w:val="24"/>
              </w:rPr>
              <w:t>≤</w:t>
            </w:r>
            <w:r>
              <w:rPr>
                <w:rFonts w:hint="eastAsia" w:ascii="TimesNewRomanPSMT" w:hAnsi="TimesNewRomanPSMT" w:eastAsia="TimesNewRomanPSMT"/>
                <w:color w:val="auto"/>
                <w:sz w:val="24"/>
              </w:rPr>
              <w:t>10</w:t>
            </w:r>
            <w:r>
              <w:rPr>
                <w:rFonts w:hint="eastAsia" w:ascii="TimesNewRomanPSMT" w:hAnsi="TimesNewRomanPSMT" w:eastAsia="TimesNewRomanPSMT"/>
                <w:color w:val="auto"/>
                <w:sz w:val="24"/>
                <w:vertAlign w:val="superscript"/>
              </w:rPr>
              <w:t>-7</w:t>
            </w:r>
            <w:r>
              <w:rPr>
                <w:rFonts w:hint="eastAsia" w:ascii="TimesNewRomanPSMT" w:hAnsi="TimesNewRomanPSMT" w:eastAsia="TimesNewRomanPSMT"/>
                <w:color w:val="auto"/>
                <w:sz w:val="24"/>
              </w:rPr>
              <w:t xml:space="preserve"> cm/s</w:t>
            </w:r>
            <w:r>
              <w:rPr>
                <w:rFonts w:hint="eastAsia" w:ascii="宋体" w:hAnsi="宋体"/>
                <w:color w:val="auto"/>
                <w:sz w:val="24"/>
              </w:rPr>
              <w:t>。另外，</w:t>
            </w:r>
            <w:r>
              <w:rPr>
                <w:rFonts w:hint="eastAsia" w:ascii="宋体" w:hAnsi="宋体"/>
                <w:color w:val="auto"/>
                <w:sz w:val="24"/>
                <w:lang w:eastAsia="zh-CN"/>
              </w:rPr>
              <w:t>医疗废物暂存间</w:t>
            </w:r>
            <w:r>
              <w:rPr>
                <w:rFonts w:hint="eastAsia" w:ascii="宋体" w:hAnsi="宋体"/>
                <w:color w:val="auto"/>
                <w:sz w:val="24"/>
              </w:rPr>
              <w:t>还应满足《危险废物贮存污染控制标准》（</w:t>
            </w:r>
            <w:r>
              <w:rPr>
                <w:rFonts w:hint="eastAsia" w:ascii="TimesNewRomanPSMT" w:hAnsi="TimesNewRomanPSMT" w:eastAsia="TimesNewRomanPSMT"/>
                <w:color w:val="auto"/>
                <w:sz w:val="24"/>
              </w:rPr>
              <w:t>GB18597-2001</w:t>
            </w:r>
            <w:r>
              <w:rPr>
                <w:rFonts w:hint="eastAsia" w:ascii="宋体" w:hAnsi="宋体"/>
                <w:color w:val="auto"/>
                <w:sz w:val="24"/>
              </w:rPr>
              <w:t>）及其修改单中要求，即防渗层为至少</w:t>
            </w:r>
            <w:r>
              <w:rPr>
                <w:rFonts w:hint="eastAsia" w:ascii="TimesNewRomanPSMT" w:hAnsi="TimesNewRomanPSMT" w:eastAsia="TimesNewRomanPSMT"/>
                <w:color w:val="auto"/>
                <w:sz w:val="24"/>
              </w:rPr>
              <w:t xml:space="preserve">1 </w:t>
            </w:r>
            <w:r>
              <w:rPr>
                <w:rFonts w:hint="eastAsia" w:ascii="宋体" w:hAnsi="宋体"/>
                <w:color w:val="auto"/>
                <w:sz w:val="24"/>
              </w:rPr>
              <w:t>米厚黏土层（渗透系数</w:t>
            </w:r>
            <w:r>
              <w:rPr>
                <w:rFonts w:hint="eastAsia" w:ascii="TimesNewRomanPSMT" w:hAnsi="TimesNewRomanPSMT" w:eastAsia="TimesNewRomanPSMT"/>
                <w:color w:val="auto"/>
                <w:sz w:val="24"/>
              </w:rPr>
              <w:t>K</w:t>
            </w:r>
            <w:r>
              <w:rPr>
                <w:rFonts w:hint="eastAsia" w:ascii="宋体" w:hAnsi="宋体"/>
                <w:color w:val="auto"/>
                <w:sz w:val="24"/>
              </w:rPr>
              <w:t>≤</w:t>
            </w:r>
            <w:r>
              <w:rPr>
                <w:rFonts w:hint="eastAsia" w:ascii="TimesNewRomanPSMT" w:hAnsi="TimesNewRomanPSMT" w:eastAsia="TimesNewRomanPSMT"/>
                <w:color w:val="auto"/>
                <w:sz w:val="24"/>
              </w:rPr>
              <w:t>10</w:t>
            </w:r>
            <w:r>
              <w:rPr>
                <w:rFonts w:hint="eastAsia" w:ascii="TimesNewRomanPSMT" w:hAnsi="TimesNewRomanPSMT" w:eastAsia="TimesNewRomanPSMT"/>
                <w:color w:val="auto"/>
                <w:sz w:val="24"/>
                <w:vertAlign w:val="superscript"/>
              </w:rPr>
              <w:t>-7</w:t>
            </w:r>
            <w:r>
              <w:rPr>
                <w:rFonts w:hint="eastAsia" w:ascii="TimesNewRomanPSMT" w:hAnsi="TimesNewRomanPSMT" w:eastAsia="TimesNewRomanPSMT"/>
                <w:color w:val="auto"/>
                <w:sz w:val="24"/>
              </w:rPr>
              <w:t>cm/s</w:t>
            </w:r>
            <w:r>
              <w:rPr>
                <w:rFonts w:hint="eastAsia" w:ascii="宋体" w:hAnsi="宋体"/>
                <w:color w:val="auto"/>
                <w:sz w:val="24"/>
              </w:rPr>
              <w:t>），或</w:t>
            </w:r>
            <w:r>
              <w:rPr>
                <w:rFonts w:hint="eastAsia" w:ascii="TimesNewRomanPSMT" w:hAnsi="TimesNewRomanPSMT" w:eastAsia="TimesNewRomanPSMT"/>
                <w:color w:val="auto"/>
                <w:sz w:val="24"/>
              </w:rPr>
              <w:t>2</w:t>
            </w:r>
            <w:r>
              <w:rPr>
                <w:rFonts w:hint="eastAsia" w:ascii="宋体" w:hAnsi="宋体"/>
                <w:color w:val="auto"/>
                <w:sz w:val="24"/>
              </w:rPr>
              <w:t>毫米厚环氧树脂，或至少</w:t>
            </w:r>
            <w:r>
              <w:rPr>
                <w:rFonts w:hint="eastAsia" w:ascii="TimesNewRomanPSMT" w:hAnsi="TimesNewRomanPSMT" w:eastAsia="TimesNewRomanPSMT"/>
                <w:color w:val="auto"/>
                <w:sz w:val="24"/>
              </w:rPr>
              <w:t xml:space="preserve">2 </w:t>
            </w:r>
            <w:r>
              <w:rPr>
                <w:rFonts w:hint="eastAsia" w:ascii="宋体" w:hAnsi="宋体"/>
                <w:color w:val="auto"/>
                <w:sz w:val="24"/>
              </w:rPr>
              <w:t>毫米厚的其他人工材料，渗透系数</w:t>
            </w:r>
            <w:r>
              <w:rPr>
                <w:rFonts w:hint="eastAsia" w:ascii="TimesNewRomanPSMT" w:hAnsi="TimesNewRomanPSMT" w:eastAsia="TimesNewRomanPSMT"/>
                <w:color w:val="auto"/>
                <w:sz w:val="24"/>
              </w:rPr>
              <w:t>K</w:t>
            </w:r>
            <w:r>
              <w:rPr>
                <w:rFonts w:hint="eastAsia" w:ascii="宋体" w:hAnsi="宋体"/>
                <w:color w:val="auto"/>
                <w:sz w:val="24"/>
              </w:rPr>
              <w:t>≤</w:t>
            </w:r>
            <w:r>
              <w:rPr>
                <w:rFonts w:hint="eastAsia" w:ascii="TimesNewRomanPSMT" w:hAnsi="TimesNewRomanPSMT" w:eastAsia="TimesNewRomanPSMT"/>
                <w:color w:val="auto"/>
                <w:sz w:val="24"/>
              </w:rPr>
              <w:t>10</w:t>
            </w:r>
            <w:r>
              <w:rPr>
                <w:rFonts w:hint="eastAsia" w:ascii="TimesNewRomanPSMT" w:hAnsi="TimesNewRomanPSMT" w:eastAsia="TimesNewRomanPSMT"/>
                <w:color w:val="auto"/>
                <w:sz w:val="24"/>
                <w:vertAlign w:val="superscript"/>
              </w:rPr>
              <w:t>-10</w:t>
            </w:r>
            <w:r>
              <w:rPr>
                <w:rFonts w:hint="eastAsia" w:ascii="TimesNewRomanPSMT" w:hAnsi="TimesNewRomanPSMT" w:eastAsia="TimesNewRomanPSMT"/>
                <w:color w:val="auto"/>
                <w:sz w:val="24"/>
              </w:rPr>
              <w:t>cm/s</w:t>
            </w:r>
            <w:r>
              <w:rPr>
                <w:rFonts w:hint="eastAsia" w:ascii="宋体" w:hAnsi="宋体"/>
                <w:color w:val="auto"/>
                <w:sz w:val="24"/>
              </w:rPr>
              <w:t>；一般防渗区铺设采用防渗混凝土，防渗技术要求为等效黏土防渗层</w:t>
            </w:r>
            <w:r>
              <w:rPr>
                <w:rFonts w:hint="eastAsia" w:ascii="TimesNewRomanPSMT" w:hAnsi="TimesNewRomanPSMT" w:eastAsia="TimesNewRomanPSMT"/>
                <w:color w:val="auto"/>
                <w:sz w:val="24"/>
              </w:rPr>
              <w:t>Mb</w:t>
            </w:r>
            <w:r>
              <w:rPr>
                <w:rFonts w:hint="eastAsia" w:ascii="宋体" w:hAnsi="宋体"/>
                <w:color w:val="auto"/>
                <w:sz w:val="24"/>
              </w:rPr>
              <w:t>≥</w:t>
            </w:r>
            <w:r>
              <w:rPr>
                <w:rFonts w:hint="eastAsia" w:ascii="TimesNewRomanPSMT" w:hAnsi="TimesNewRomanPSMT" w:eastAsia="TimesNewRomanPSMT"/>
                <w:color w:val="auto"/>
                <w:sz w:val="24"/>
              </w:rPr>
              <w:t>1.5m</w:t>
            </w:r>
            <w:r>
              <w:rPr>
                <w:rFonts w:hint="eastAsia" w:ascii="宋体" w:hAnsi="宋体"/>
                <w:color w:val="auto"/>
                <w:sz w:val="24"/>
              </w:rPr>
              <w:t>，渗透系数</w:t>
            </w:r>
            <w:r>
              <w:rPr>
                <w:rFonts w:hint="eastAsia" w:ascii="TimesNewRomanPSMT" w:hAnsi="TimesNewRomanPSMT" w:eastAsia="TimesNewRomanPSMT"/>
                <w:color w:val="auto"/>
                <w:sz w:val="24"/>
              </w:rPr>
              <w:t>K</w:t>
            </w:r>
            <w:r>
              <w:rPr>
                <w:rFonts w:hint="eastAsia" w:ascii="宋体" w:hAnsi="宋体"/>
                <w:color w:val="auto"/>
                <w:sz w:val="24"/>
              </w:rPr>
              <w:t>≤</w:t>
            </w:r>
            <w:r>
              <w:rPr>
                <w:rFonts w:hint="eastAsia" w:ascii="TimesNewRomanPSMT" w:hAnsi="TimesNewRomanPSMT" w:eastAsia="TimesNewRomanPSMT"/>
                <w:color w:val="auto"/>
                <w:sz w:val="24"/>
              </w:rPr>
              <w:t>10</w:t>
            </w:r>
            <w:r>
              <w:rPr>
                <w:rFonts w:hint="eastAsia" w:ascii="TimesNewRomanPSMT" w:hAnsi="TimesNewRomanPSMT" w:eastAsia="TimesNewRomanPSMT"/>
                <w:color w:val="auto"/>
                <w:sz w:val="24"/>
                <w:vertAlign w:val="superscript"/>
              </w:rPr>
              <w:t>-7</w:t>
            </w:r>
            <w:r>
              <w:rPr>
                <w:rFonts w:hint="eastAsia" w:ascii="TimesNewRomanPSMT" w:hAnsi="TimesNewRomanPSMT" w:eastAsia="TimesNewRomanPSMT"/>
                <w:color w:val="auto"/>
                <w:sz w:val="24"/>
              </w:rPr>
              <w:t>cm/s</w:t>
            </w:r>
            <w:r>
              <w:rPr>
                <w:rFonts w:hint="eastAsia" w:ascii="宋体" w:hAnsi="宋体"/>
                <w:color w:val="auto"/>
                <w:sz w:val="24"/>
              </w:rPr>
              <w:t>；简单防渗区只需进行地面硬化处理。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将全厂按污染物泄漏的途径和生产功能单元所处的位置划分为重点防渗区、一般防渗区以及简单防渗区三类地下水污染防治区域：</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a.重点防渗区：医疗废物暂存间；</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b.一般防渗区：除以上区域外的其他建筑区域；</w:t>
            </w:r>
          </w:p>
          <w:p>
            <w:pPr>
              <w:spacing w:line="360" w:lineRule="auto"/>
              <w:ind w:firstLine="480" w:firstLineChars="200"/>
              <w:jc w:val="left"/>
              <w:rPr>
                <w:rFonts w:ascii="宋体" w:hAnsi="宋体"/>
                <w:color w:val="auto"/>
                <w:sz w:val="24"/>
              </w:rPr>
            </w:pPr>
            <w:r>
              <w:rPr>
                <w:rFonts w:hint="eastAsia" w:ascii="宋体" w:hAnsi="宋体"/>
                <w:color w:val="auto"/>
                <w:sz w:val="24"/>
              </w:rPr>
              <w:t>c.简单防渗：医技楼外空地。</w:t>
            </w:r>
          </w:p>
          <w:p>
            <w:pPr>
              <w:spacing w:line="360" w:lineRule="auto"/>
              <w:ind w:firstLine="480" w:firstLineChars="200"/>
              <w:jc w:val="left"/>
              <w:rPr>
                <w:rFonts w:hint="eastAsia" w:ascii="宋体" w:hAnsi="宋体" w:cs="宋体"/>
                <w:color w:val="auto"/>
                <w:kern w:val="21"/>
                <w:sz w:val="24"/>
              </w:rPr>
            </w:pPr>
            <w:r>
              <w:rPr>
                <w:rFonts w:hint="eastAsia" w:ascii="宋体" w:hAnsi="宋体"/>
                <w:color w:val="auto"/>
                <w:sz w:val="24"/>
              </w:rPr>
              <w:t>综上所述，项目通过严加管理，并采取相应的土壤污染防控措施后，对土壤环境影响较小。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生态保护措施</w:t>
            </w:r>
          </w:p>
        </w:tc>
        <w:tc>
          <w:tcPr>
            <w:tcW w:w="6786" w:type="dxa"/>
            <w:gridSpan w:val="4"/>
            <w:noWrap w:val="0"/>
            <w:vAlign w:val="center"/>
          </w:tcPr>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60" w:lineRule="auto"/>
              <w:jc w:val="center"/>
              <w:rPr>
                <w:rFonts w:ascii="宋体" w:hAnsi="宋体" w:cs="宋体"/>
                <w:color w:val="auto"/>
                <w:kern w:val="21"/>
                <w:sz w:val="24"/>
              </w:rPr>
            </w:pPr>
            <w:r>
              <w:rPr>
                <w:rFonts w:hint="eastAsia" w:ascii="宋体" w:hAnsi="宋体" w:cs="宋体"/>
                <w:color w:val="auto"/>
                <w:kern w:val="21"/>
                <w:sz w:val="24"/>
              </w:rPr>
              <w:t>环境风险</w:t>
            </w:r>
          </w:p>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防范措施</w:t>
            </w:r>
          </w:p>
        </w:tc>
        <w:tc>
          <w:tcPr>
            <w:tcW w:w="6786" w:type="dxa"/>
            <w:gridSpan w:val="4"/>
            <w:noWrap w:val="0"/>
            <w:vAlign w:val="center"/>
          </w:tcPr>
          <w:p>
            <w:pPr>
              <w:spacing w:line="360" w:lineRule="auto"/>
              <w:ind w:firstLine="480" w:firstLineChars="200"/>
              <w:jc w:val="left"/>
              <w:rPr>
                <w:rFonts w:hint="eastAsia" w:ascii="宋体" w:hAnsi="宋体"/>
                <w:color w:val="auto"/>
                <w:sz w:val="24"/>
              </w:rPr>
            </w:pPr>
            <w:r>
              <w:rPr>
                <w:rFonts w:hint="eastAsia" w:ascii="宋体" w:hAnsi="宋体"/>
                <w:color w:val="auto"/>
                <w:sz w:val="24"/>
              </w:rPr>
              <w:t>建设单位应当加强管理，定期检查和保养生产设备及环保设施以保证设施安全正常运行。</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hint="eastAsia" w:ascii="TimesNewRomanPSMT" w:hAnsi="TimesNewRomanPSMT" w:eastAsia="TimesNewRomanPSMT"/>
                <w:color w:val="auto"/>
                <w:sz w:val="24"/>
              </w:rPr>
              <w:t>1</w:t>
            </w:r>
            <w:r>
              <w:rPr>
                <w:rFonts w:hint="eastAsia" w:ascii="宋体" w:hAnsi="宋体"/>
                <w:color w:val="auto"/>
                <w:sz w:val="24"/>
              </w:rPr>
              <w:t>）火灾防范措施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设立专门的环境管理机构，制定日常管理措施、消防措施和应急预案。对工作人员进行火灾事态时的报警培训，已成立环境风险事故应急救援领导小组和应急救援专业队伍。</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加强场区消防设施的日常管理，确保事故时消防设施能够正常使用，针对可能出现的火灾事故按相关规定进行消防演练。</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严格明火管理。严格按照现行有关标准、规程及要求执行。</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消防器材设置在明显和便于取用的地点，周围未堆放物品和杂物。消防设施、器材，由专人管理，负责检查、维修、保养、更换和添置，保证完好有效，严禁圈占、埋压和挪用。配备消防器材（如干粉灭火器等）和消防设施；标示明确，使用方便。</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出现火灾时应及时将可燃物品搬离，远离火源。项目内定期进行电路、电气检查，消除安全隐患。建设单位在项目竣工经过消防验收合格后，才能投入使用。</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hint="eastAsia" w:ascii="TimesNewRomanPSMT" w:hAnsi="TimesNewRomanPSMT" w:eastAsia="TimesNewRomanPSMT"/>
                <w:color w:val="auto"/>
                <w:sz w:val="24"/>
              </w:rPr>
              <w:t>2</w:t>
            </w:r>
            <w:r>
              <w:rPr>
                <w:rFonts w:hint="eastAsia" w:ascii="宋体" w:hAnsi="宋体"/>
                <w:color w:val="auto"/>
                <w:sz w:val="24"/>
              </w:rPr>
              <w:t>）泄漏防范措施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加强机油、水性漆料等原辅材料的运输、使用管理：项目机油、水性漆料运输使用环节的环境管理措施，避免跑、冒、滴、漏，对可能出现漏油的使用机油设备，在设备下加不锈钢托盘。对</w:t>
            </w:r>
            <w:r>
              <w:rPr>
                <w:rFonts w:hint="eastAsia" w:ascii="宋体" w:hAnsi="宋体"/>
                <w:color w:val="auto"/>
                <w:sz w:val="24"/>
                <w:lang w:eastAsia="zh-CN"/>
              </w:rPr>
              <w:t>医疗废物暂存间</w:t>
            </w:r>
            <w:r>
              <w:rPr>
                <w:rFonts w:hint="eastAsia" w:ascii="宋体" w:hAnsi="宋体"/>
                <w:color w:val="auto"/>
                <w:sz w:val="24"/>
              </w:rPr>
              <w:t>加强管理：设置空专用容器作为备用容器；危险废物全部暂存于危险废物暂存库内，做到“四防”；危险废物暂存库内地面增加</w:t>
            </w:r>
            <w:r>
              <w:rPr>
                <w:rFonts w:hint="eastAsia" w:ascii="TimesNewRomanPSMT" w:hAnsi="TimesNewRomanPSMT" w:eastAsia="TimesNewRomanPSMT"/>
                <w:color w:val="auto"/>
                <w:sz w:val="24"/>
              </w:rPr>
              <w:t xml:space="preserve">2mm </w:t>
            </w:r>
            <w:r>
              <w:rPr>
                <w:rFonts w:hint="eastAsia" w:ascii="宋体" w:hAnsi="宋体"/>
                <w:color w:val="auto"/>
                <w:sz w:val="24"/>
              </w:rPr>
              <w:t>环氧树脂</w:t>
            </w:r>
            <w:r>
              <w:rPr>
                <w:rFonts w:hint="eastAsia" w:ascii="TimesNewRomanPSMT" w:hAnsi="TimesNewRomanPSMT" w:eastAsia="TimesNewRomanPSMT"/>
                <w:color w:val="auto"/>
                <w:sz w:val="24"/>
              </w:rPr>
              <w:t>+</w:t>
            </w:r>
            <w:r>
              <w:rPr>
                <w:rFonts w:hint="eastAsia" w:ascii="宋体" w:hAnsi="宋体"/>
                <w:color w:val="auto"/>
                <w:sz w:val="24"/>
              </w:rPr>
              <w:t>不锈钢托盘进行防渗处理；危险废物分类暂存，装载液体、半固体危险废物的容器内须留足够空间，盛装危险废物的容器上必须粘贴符合标准的标签，各种危险废物的储存容器都有很好的密封性，各暂存于</w:t>
            </w:r>
            <w:r>
              <w:rPr>
                <w:rFonts w:hint="eastAsia" w:ascii="宋体" w:hAnsi="宋体"/>
                <w:color w:val="auto"/>
                <w:sz w:val="24"/>
                <w:lang w:eastAsia="zh-CN"/>
              </w:rPr>
              <w:t>医疗废物暂存间</w:t>
            </w:r>
            <w:r>
              <w:rPr>
                <w:rFonts w:hint="eastAsia" w:ascii="宋体" w:hAnsi="宋体"/>
                <w:color w:val="auto"/>
                <w:sz w:val="24"/>
              </w:rPr>
              <w:t>内的危险废物定期（不超过</w:t>
            </w:r>
            <w:r>
              <w:rPr>
                <w:rFonts w:hint="eastAsia" w:ascii="宋体" w:hAnsi="宋体"/>
                <w:color w:val="auto"/>
                <w:sz w:val="24"/>
                <w:lang w:val="en-US" w:eastAsia="zh-CN"/>
              </w:rPr>
              <w:t>48h</w:t>
            </w:r>
            <w:r>
              <w:rPr>
                <w:rFonts w:hint="eastAsia" w:ascii="宋体" w:hAnsi="宋体"/>
                <w:color w:val="auto"/>
                <w:sz w:val="24"/>
              </w:rPr>
              <w:t>）交由有危废处理资质的</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单位进行处理。</w:t>
            </w:r>
          </w:p>
          <w:p>
            <w:pPr>
              <w:spacing w:line="360" w:lineRule="auto"/>
              <w:ind w:firstLine="480" w:firstLineChars="200"/>
              <w:jc w:val="left"/>
              <w:rPr>
                <w:rFonts w:hint="eastAsia" w:ascii="宋体" w:hAnsi="宋体" w:cs="宋体"/>
                <w:color w:val="auto"/>
                <w:kern w:val="21"/>
                <w:sz w:val="24"/>
              </w:rPr>
            </w:pPr>
            <w:r>
              <w:rPr>
                <w:rFonts w:hint="eastAsia" w:ascii="宋体" w:hAnsi="宋体"/>
                <w:color w:val="auto"/>
                <w:sz w:val="24"/>
              </w:rPr>
              <w:t>对库房加强管理：设置空专用容器作为备用容器；医疗废物应使用专门容器盛放并储存于</w:t>
            </w:r>
            <w:r>
              <w:rPr>
                <w:rFonts w:hint="eastAsia" w:ascii="宋体" w:hAnsi="宋体"/>
                <w:color w:val="auto"/>
                <w:sz w:val="24"/>
                <w:lang w:eastAsia="zh-CN"/>
              </w:rPr>
              <w:t>医疗废物暂存间</w:t>
            </w:r>
            <w:r>
              <w:rPr>
                <w:rFonts w:hint="eastAsia" w:ascii="宋体" w:hAnsi="宋体"/>
                <w:color w:val="auto"/>
                <w:sz w:val="24"/>
              </w:rPr>
              <w:t>内；</w:t>
            </w:r>
            <w:r>
              <w:rPr>
                <w:rFonts w:hint="eastAsia" w:ascii="宋体" w:hAnsi="宋体"/>
                <w:color w:val="auto"/>
                <w:sz w:val="24"/>
                <w:lang w:eastAsia="zh-CN"/>
              </w:rPr>
              <w:t>医疗废物暂存间</w:t>
            </w:r>
            <w:r>
              <w:rPr>
                <w:rFonts w:hint="eastAsia" w:ascii="宋体" w:hAnsi="宋体"/>
                <w:color w:val="auto"/>
                <w:sz w:val="24"/>
              </w:rPr>
              <w:t>应做到“四防”，地面增加</w:t>
            </w:r>
            <w:r>
              <w:rPr>
                <w:rFonts w:hint="eastAsia" w:ascii="TimesNewRomanPSMT" w:hAnsi="TimesNewRomanPSMT" w:eastAsia="TimesNewRomanPSMT"/>
                <w:color w:val="auto"/>
                <w:sz w:val="24"/>
              </w:rPr>
              <w:t xml:space="preserve">2mm </w:t>
            </w:r>
            <w:r>
              <w:rPr>
                <w:rFonts w:hint="eastAsia" w:ascii="宋体" w:hAnsi="宋体"/>
                <w:color w:val="auto"/>
                <w:sz w:val="24"/>
              </w:rPr>
              <w:t>环氧树脂</w:t>
            </w:r>
            <w:r>
              <w:rPr>
                <w:rFonts w:hint="eastAsia" w:ascii="TimesNewRomanPSMT" w:hAnsi="TimesNewRomanPSMT" w:eastAsia="TimesNewRomanPSMT"/>
                <w:color w:val="auto"/>
                <w:sz w:val="24"/>
              </w:rPr>
              <w:t>+</w:t>
            </w:r>
            <w:r>
              <w:rPr>
                <w:rFonts w:hint="eastAsia" w:ascii="宋体" w:hAnsi="宋体"/>
                <w:color w:val="auto"/>
                <w:sz w:val="24"/>
              </w:rPr>
              <w:t>不锈钢托盘进行防渗处理，设置不低于</w:t>
            </w:r>
            <w:r>
              <w:rPr>
                <w:rFonts w:hint="eastAsia" w:ascii="TimesNewRomanPSMT" w:hAnsi="TimesNewRomanPSMT" w:eastAsia="TimesNewRomanPSMT"/>
                <w:color w:val="auto"/>
                <w:sz w:val="24"/>
              </w:rPr>
              <w:t xml:space="preserve">10cm </w:t>
            </w:r>
            <w:r>
              <w:rPr>
                <w:rFonts w:hint="eastAsia" w:ascii="宋体" w:hAnsi="宋体"/>
                <w:color w:val="auto"/>
                <w:sz w:val="24"/>
              </w:rPr>
              <w:t>高的围堰；盛装水性漆料的容器上必须粘贴标签。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adjustRightInd w:val="0"/>
              <w:snapToGrid w:val="0"/>
              <w:spacing w:line="360" w:lineRule="auto"/>
              <w:jc w:val="center"/>
              <w:rPr>
                <w:rFonts w:ascii="宋体" w:hAnsi="宋体" w:cs="宋体"/>
                <w:color w:val="auto"/>
                <w:kern w:val="21"/>
                <w:sz w:val="24"/>
              </w:rPr>
            </w:pPr>
            <w:r>
              <w:rPr>
                <w:rFonts w:hint="eastAsia" w:ascii="宋体" w:hAnsi="宋体" w:cs="宋体"/>
                <w:color w:val="auto"/>
                <w:kern w:val="21"/>
                <w:sz w:val="24"/>
              </w:rPr>
              <w:t>其他环境</w:t>
            </w:r>
          </w:p>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管理要求</w:t>
            </w:r>
          </w:p>
        </w:tc>
        <w:tc>
          <w:tcPr>
            <w:tcW w:w="6786" w:type="dxa"/>
            <w:gridSpan w:val="4"/>
            <w:noWrap w:val="0"/>
            <w:vAlign w:val="center"/>
          </w:tcPr>
          <w:p>
            <w:pPr>
              <w:adjustRightInd w:val="0"/>
              <w:snapToGrid w:val="0"/>
              <w:spacing w:line="360" w:lineRule="auto"/>
              <w:jc w:val="center"/>
              <w:rPr>
                <w:rFonts w:hint="eastAsia" w:ascii="宋体" w:hAnsi="宋体" w:cs="宋体"/>
                <w:color w:val="auto"/>
                <w:kern w:val="21"/>
                <w:sz w:val="24"/>
              </w:rPr>
            </w:pPr>
            <w:r>
              <w:rPr>
                <w:rFonts w:hint="eastAsia" w:ascii="宋体" w:hAnsi="宋体" w:cs="宋体"/>
                <w:color w:val="auto"/>
                <w:kern w:val="21"/>
                <w:sz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0"/>
    <w:family w:val="auto"/>
    <w:pitch w:val="default"/>
    <w:sig w:usb0="00000000" w:usb1="00000000" w:usb2="0000000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D5B5E"/>
    <w:rsid w:val="7DFF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2021-06-03T02:17:00Z</dcterms:created>
  <dc:creator>1</dc:creator>
  <cp:lastModifiedBy>hp</cp:lastModifiedBy>
  <dcterms:modified xsi:type="dcterms:W3CDTF">2021-06-03T08:51:46Z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7E9307BDAB59431EA683F52777FD4D20</vt:lpwstr>
  </property>
</Properties>
</file>