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  <w:lang w:val="en-US" w:eastAsia="zh-CN"/>
        </w:rPr>
        <w:t>九龙</w:t>
      </w:r>
      <w:r>
        <w:rPr>
          <w:rFonts w:hint="eastAsia" w:eastAsia="方正小标宋简体"/>
          <w:sz w:val="44"/>
          <w:szCs w:val="44"/>
          <w:lang w:eastAsia="zh-CN"/>
        </w:rPr>
        <w:t>县</w:t>
      </w:r>
      <w:r>
        <w:rPr>
          <w:rFonts w:hint="eastAsia" w:eastAsia="方正小标宋简体"/>
          <w:sz w:val="44"/>
          <w:szCs w:val="44"/>
        </w:rPr>
        <w:t>中央生态环境保护督察（</w:t>
      </w:r>
      <w:r>
        <w:rPr>
          <w:rFonts w:hint="eastAsia" w:eastAsia="方正小标宋简体"/>
          <w:sz w:val="44"/>
          <w:szCs w:val="44"/>
          <w:lang w:eastAsia="zh-CN"/>
        </w:rPr>
        <w:t>省</w:t>
      </w:r>
      <w:r>
        <w:rPr>
          <w:rFonts w:hint="eastAsia" w:eastAsia="方正小标宋简体"/>
          <w:sz w:val="44"/>
          <w:szCs w:val="44"/>
        </w:rPr>
        <w:t>整改任务</w:t>
      </w:r>
      <w:r>
        <w:rPr>
          <w:rFonts w:hint="eastAsia" w:eastAsia="方正小标宋简体"/>
          <w:sz w:val="44"/>
          <w:szCs w:val="44"/>
          <w:lang w:val="en-US" w:eastAsia="zh-CN"/>
        </w:rPr>
        <w:t>88项</w:t>
      </w:r>
      <w:r>
        <w:rPr>
          <w:rFonts w:hint="eastAsia" w:eastAsia="方正小标宋简体"/>
          <w:sz w:val="44"/>
          <w:szCs w:val="44"/>
        </w:rPr>
        <w:t>）整改任务完成情况公示表</w:t>
      </w:r>
    </w:p>
    <w:p>
      <w:pPr>
        <w:overflowPunct w:val="0"/>
        <w:topLinePunct/>
        <w:rPr>
          <w:rFonts w:eastAsia="楷体_GB2312"/>
          <w:sz w:val="32"/>
          <w:szCs w:val="32"/>
        </w:rPr>
      </w:pPr>
    </w:p>
    <w:tbl>
      <w:tblPr>
        <w:tblStyle w:val="3"/>
        <w:tblW w:w="8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反馈问题</w:t>
            </w:r>
          </w:p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（整改任务）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hint="default" w:eastAsia="楷体_GB2312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省整改任务</w:t>
            </w: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88项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责任单位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九龙县人民政府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责任人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hint="default" w:eastAsia="楷体_GB2312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13709008896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整改目标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eastAsia="楷体_GB2312"/>
                <w:kern w:val="0"/>
                <w:sz w:val="36"/>
                <w:szCs w:val="36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全面完成整改任务，建立长效机制，常态化管理。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整改措施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eastAsia="楷体_GB2312"/>
                <w:kern w:val="0"/>
                <w:sz w:val="36"/>
                <w:szCs w:val="36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>2018年9月底前，集中开展噪声、垃圾、油烟专项执法整治行动，对群众反映强烈的重点地区、重点对象、重点信访案件进行联合执法，采取有力措施，严肃查处影响市容市貌、干扰市民生活的违法行为，坚决打击涉嫌犯罪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整改主要工作</w:t>
            </w:r>
          </w:p>
          <w:p>
            <w:pPr>
              <w:overflowPunct w:val="0"/>
              <w:topLinePunct/>
              <w:jc w:val="center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及成效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eastAsia="楷体_GB2312"/>
                <w:kern w:val="0"/>
                <w:sz w:val="36"/>
                <w:szCs w:val="36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已开展城区噪声、垃圾、油烟专项执法整治行动。</w:t>
            </w:r>
          </w:p>
        </w:tc>
      </w:tr>
    </w:tbl>
    <w:p/>
    <w:sectPr>
      <w:pgSz w:w="11906" w:h="16838"/>
      <w:pgMar w:top="2098" w:right="1587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B97951"/>
    <w:rsid w:val="50D3145D"/>
    <w:rsid w:val="59A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开水没温度</cp:lastModifiedBy>
  <dcterms:modified xsi:type="dcterms:W3CDTF">2021-06-15T05:26:46Z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