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line="1239" w:lineRule="exact"/>
        <w:ind w:left="635" w:right="654" w:firstLine="0"/>
        <w:jc w:val="center"/>
        <w:rPr>
          <w:rFonts w:hint="eastAsia" w:ascii="微软雅黑" w:eastAsia="微软雅黑"/>
          <w:sz w:val="72"/>
        </w:rPr>
      </w:pPr>
      <w:r>
        <w:rPr>
          <w:rFonts w:hint="eastAsia" w:ascii="微软雅黑" w:eastAsia="微软雅黑"/>
          <w:sz w:val="52"/>
          <w:szCs w:val="52"/>
        </w:rPr>
        <w:t>建设项目环境影响报告表</w:t>
      </w:r>
    </w:p>
    <w:p>
      <w:pPr>
        <w:spacing w:before="115"/>
        <w:ind w:left="635" w:right="653" w:firstLine="0"/>
        <w:jc w:val="center"/>
        <w:rPr>
          <w:rFonts w:hint="eastAsia" w:ascii="微软雅黑" w:eastAsia="微软雅黑"/>
          <w:sz w:val="44"/>
          <w:szCs w:val="44"/>
        </w:rPr>
      </w:pPr>
      <w:r>
        <w:rPr>
          <w:rFonts w:hint="eastAsia" w:ascii="微软雅黑" w:eastAsia="微软雅黑"/>
          <w:sz w:val="44"/>
          <w:szCs w:val="44"/>
        </w:rPr>
        <w:t>（污染影响类）</w:t>
      </w:r>
    </w:p>
    <w:p>
      <w:pPr>
        <w:spacing w:before="115"/>
        <w:ind w:left="635" w:right="653" w:firstLine="0"/>
        <w:jc w:val="center"/>
        <w:rPr>
          <w:rFonts w:hint="eastAsia" w:eastAsia="微软雅黑"/>
          <w:lang w:eastAsia="zh-CN"/>
        </w:rPr>
      </w:pPr>
      <w:r>
        <w:rPr>
          <w:rFonts w:hint="eastAsia" w:ascii="宋体" w:hAnsi="宋体" w:eastAsia="宋体" w:cs="宋体"/>
          <w:sz w:val="36"/>
          <w:szCs w:val="36"/>
          <w:lang w:eastAsia="zh-CN"/>
        </w:rPr>
        <w:t>（</w:t>
      </w:r>
      <w:r>
        <w:rPr>
          <w:rFonts w:hint="eastAsia" w:ascii="宋体" w:hAnsi="宋体" w:eastAsia="宋体" w:cs="宋体"/>
          <w:sz w:val="36"/>
          <w:szCs w:val="36"/>
          <w:lang w:val="en-US" w:eastAsia="zh-CN"/>
        </w:rPr>
        <w:t>送审稿</w:t>
      </w:r>
      <w:r>
        <w:rPr>
          <w:rFonts w:hint="eastAsia" w:ascii="宋体" w:hAnsi="宋体" w:eastAsia="宋体" w:cs="宋体"/>
          <w:sz w:val="36"/>
          <w:szCs w:val="36"/>
          <w:lang w:eastAsia="zh-CN"/>
        </w:rPr>
        <w:t>）</w:t>
      </w:r>
    </w:p>
    <w:p>
      <w:pPr>
        <w:pStyle w:val="7"/>
        <w:rPr>
          <w:rFonts w:ascii="微软雅黑"/>
          <w:sz w:val="62"/>
        </w:rPr>
      </w:pPr>
    </w:p>
    <w:p>
      <w:pPr>
        <w:pStyle w:val="7"/>
        <w:rPr>
          <w:rFonts w:ascii="微软雅黑"/>
          <w:sz w:val="62"/>
        </w:rPr>
      </w:pPr>
    </w:p>
    <w:p>
      <w:pPr>
        <w:pStyle w:val="7"/>
        <w:spacing w:before="3"/>
        <w:rPr>
          <w:rFonts w:ascii="微软雅黑"/>
          <w:sz w:val="57"/>
        </w:rPr>
      </w:pPr>
    </w:p>
    <w:p>
      <w:pPr>
        <w:pStyle w:val="7"/>
        <w:spacing w:before="3"/>
        <w:rPr>
          <w:rFonts w:ascii="微软雅黑"/>
          <w:sz w:val="57"/>
        </w:rPr>
      </w:pPr>
    </w:p>
    <w:p>
      <w:pPr>
        <w:pStyle w:val="7"/>
        <w:spacing w:before="3"/>
        <w:rPr>
          <w:rFonts w:ascii="微软雅黑"/>
          <w:sz w:val="57"/>
        </w:rPr>
      </w:pPr>
    </w:p>
    <w:p>
      <w:pPr>
        <w:adjustRightInd w:val="0"/>
        <w:snapToGrid w:val="0"/>
        <w:spacing w:line="288" w:lineRule="auto"/>
        <w:ind w:left="1807" w:right="1113" w:rightChars="506" w:hanging="1807" w:hangingChars="500"/>
        <w:jc w:val="left"/>
        <w:rPr>
          <w:rFonts w:hint="default" w:ascii="仿宋_GB2312" w:hAnsi="宋体" w:eastAsia="仿宋_GB2312" w:cs="宋体"/>
          <w:b/>
          <w:bCs/>
          <w:color w:val="auto"/>
          <w:sz w:val="36"/>
          <w:szCs w:val="36"/>
          <w:highlight w:val="none"/>
          <w:u w:val="single"/>
          <w:lang w:val="en-US" w:eastAsia="zh-CN"/>
        </w:rPr>
      </w:pPr>
      <w:r>
        <w:rPr>
          <w:rFonts w:hint="eastAsia" w:ascii="仿宋_GB2312" w:eastAsia="仿宋_GB2312"/>
          <w:b/>
          <w:bCs/>
          <w:color w:val="auto"/>
          <w:sz w:val="36"/>
          <w:szCs w:val="36"/>
          <w:highlight w:val="none"/>
        </w:rPr>
        <w:t>项目名称：</w:t>
      </w:r>
      <w:r>
        <w:rPr>
          <w:rFonts w:hint="eastAsia" w:ascii="仿宋_GB2312" w:hAnsi="宋体" w:eastAsia="仿宋_GB2312" w:cs="宋体"/>
          <w:b/>
          <w:bCs/>
          <w:color w:val="auto"/>
          <w:sz w:val="36"/>
          <w:szCs w:val="36"/>
          <w:highlight w:val="none"/>
          <w:u w:val="single"/>
          <w:lang w:val="en-US" w:eastAsia="zh-CN"/>
        </w:rPr>
        <w:t>G248线2020年度公路路面大中修工程配套热拌站项目</w:t>
      </w:r>
    </w:p>
    <w:p>
      <w:pPr>
        <w:adjustRightInd w:val="0"/>
        <w:snapToGrid w:val="0"/>
        <w:spacing w:line="288" w:lineRule="auto"/>
        <w:ind w:right="1113" w:rightChars="506"/>
        <w:jc w:val="center"/>
        <w:rPr>
          <w:rFonts w:hint="eastAsia" w:ascii="仿宋_GB2312" w:hAnsi="宋体" w:eastAsia="仿宋_GB2312" w:cs="宋体"/>
          <w:b/>
          <w:bCs/>
          <w:color w:val="auto"/>
          <w:sz w:val="36"/>
          <w:szCs w:val="36"/>
          <w:highlight w:val="none"/>
          <w:u w:val="single"/>
          <w:lang w:val="en-US" w:eastAsia="zh-CN"/>
        </w:rPr>
      </w:pPr>
      <w:r>
        <w:rPr>
          <w:rFonts w:hint="eastAsia" w:ascii="仿宋_GB2312" w:eastAsia="仿宋_GB2312"/>
          <w:b/>
          <w:bCs/>
          <w:color w:val="auto"/>
          <w:sz w:val="36"/>
          <w:szCs w:val="36"/>
          <w:highlight w:val="none"/>
        </w:rPr>
        <w:t>建设单位（盖章）：</w:t>
      </w:r>
      <w:r>
        <w:rPr>
          <w:rFonts w:hint="eastAsia" w:ascii="仿宋_GB2312" w:hAnsi="宋体" w:eastAsia="仿宋_GB2312" w:cs="宋体"/>
          <w:b/>
          <w:bCs/>
          <w:color w:val="auto"/>
          <w:sz w:val="36"/>
          <w:szCs w:val="36"/>
          <w:highlight w:val="none"/>
          <w:u w:val="single"/>
          <w:lang w:val="en-US" w:eastAsia="zh-CN"/>
        </w:rPr>
        <w:t>甘孜藏族自治州公路建设服务中心</w:t>
      </w:r>
    </w:p>
    <w:p>
      <w:pPr>
        <w:adjustRightInd w:val="0"/>
        <w:snapToGrid w:val="0"/>
        <w:spacing w:line="288" w:lineRule="auto"/>
        <w:ind w:right="1113" w:rightChars="506"/>
        <w:jc w:val="both"/>
        <w:rPr>
          <w:rFonts w:hint="default" w:ascii="仿宋_GB2312" w:eastAsia="仿宋_GB2312"/>
          <w:b/>
          <w:bCs/>
          <w:color w:val="auto"/>
          <w:sz w:val="36"/>
          <w:szCs w:val="36"/>
          <w:highlight w:val="none"/>
          <w:u w:val="single"/>
          <w:lang w:val="en-US" w:eastAsia="zh-CN"/>
        </w:rPr>
      </w:pPr>
      <w:r>
        <w:rPr>
          <w:rFonts w:hint="eastAsia" w:ascii="仿宋_GB2312" w:eastAsia="仿宋_GB2312"/>
          <w:b/>
          <w:bCs/>
          <w:color w:val="auto"/>
          <w:sz w:val="36"/>
          <w:szCs w:val="36"/>
          <w:highlight w:val="none"/>
        </w:rPr>
        <w:t>编制日期：</w:t>
      </w:r>
      <w:r>
        <w:rPr>
          <w:rFonts w:hint="eastAsia" w:ascii="仿宋_GB2312" w:eastAsia="仿宋_GB2312"/>
          <w:b/>
          <w:bCs/>
          <w:color w:val="auto"/>
          <w:sz w:val="36"/>
          <w:szCs w:val="36"/>
          <w:highlight w:val="none"/>
          <w:u w:val="single"/>
        </w:rPr>
        <w:t xml:space="preserve"> </w:t>
      </w:r>
      <w:r>
        <w:rPr>
          <w:rFonts w:ascii="仿宋_GB2312" w:eastAsia="仿宋_GB2312"/>
          <w:b/>
          <w:bCs/>
          <w:color w:val="auto"/>
          <w:sz w:val="36"/>
          <w:szCs w:val="36"/>
          <w:highlight w:val="none"/>
          <w:u w:val="single"/>
        </w:rPr>
        <w:t xml:space="preserve">      </w:t>
      </w:r>
      <w:r>
        <w:rPr>
          <w:rFonts w:hint="eastAsia" w:ascii="仿宋_GB2312" w:eastAsia="仿宋_GB2312"/>
          <w:b/>
          <w:bCs/>
          <w:color w:val="auto"/>
          <w:sz w:val="36"/>
          <w:szCs w:val="36"/>
          <w:highlight w:val="none"/>
          <w:u w:val="single"/>
          <w:lang w:val="en-US" w:eastAsia="zh-CN"/>
        </w:rPr>
        <w:t xml:space="preserve">     2021年7月            </w:t>
      </w:r>
    </w:p>
    <w:p>
      <w:pPr>
        <w:rPr>
          <w:rFonts w:ascii="仿宋_GB2312" w:eastAsia="仿宋_GB2312"/>
          <w:b/>
          <w:bCs/>
          <w:color w:val="auto"/>
          <w:sz w:val="36"/>
          <w:szCs w:val="36"/>
          <w:highlight w:val="none"/>
          <w:u w:val="single"/>
        </w:rPr>
      </w:pPr>
    </w:p>
    <w:p>
      <w:pPr>
        <w:adjustRightInd w:val="0"/>
        <w:snapToGrid w:val="0"/>
        <w:spacing w:line="288" w:lineRule="auto"/>
        <w:jc w:val="both"/>
        <w:rPr>
          <w:rFonts w:hint="eastAsia" w:ascii="楷体_GB2312" w:eastAsia="楷体_GB2312"/>
          <w:color w:val="auto"/>
          <w:sz w:val="36"/>
          <w:szCs w:val="36"/>
          <w:highlight w:val="none"/>
        </w:rPr>
      </w:pPr>
    </w:p>
    <w:p>
      <w:pPr>
        <w:adjustRightInd w:val="0"/>
        <w:snapToGrid w:val="0"/>
        <w:spacing w:line="288" w:lineRule="auto"/>
        <w:jc w:val="center"/>
        <w:rPr>
          <w:rFonts w:hint="eastAsia" w:ascii="楷体_GB2312" w:eastAsia="楷体_GB2312"/>
          <w:color w:val="auto"/>
          <w:sz w:val="36"/>
          <w:szCs w:val="36"/>
          <w:highlight w:val="none"/>
        </w:rPr>
      </w:pPr>
    </w:p>
    <w:p>
      <w:pPr>
        <w:adjustRightInd w:val="0"/>
        <w:snapToGrid w:val="0"/>
        <w:spacing w:line="288" w:lineRule="auto"/>
        <w:jc w:val="center"/>
        <w:rPr>
          <w:rFonts w:hint="eastAsia" w:ascii="楷体_GB2312" w:eastAsia="楷体_GB2312"/>
          <w:color w:val="auto"/>
          <w:sz w:val="36"/>
          <w:szCs w:val="36"/>
          <w:highlight w:val="none"/>
        </w:rPr>
      </w:pPr>
    </w:p>
    <w:p>
      <w:pPr>
        <w:adjustRightInd w:val="0"/>
        <w:snapToGrid w:val="0"/>
        <w:spacing w:line="288" w:lineRule="auto"/>
        <w:jc w:val="center"/>
        <w:rPr>
          <w:rFonts w:hint="eastAsia" w:ascii="楷体_GB2312" w:eastAsia="楷体_GB2312"/>
          <w:color w:val="auto"/>
          <w:sz w:val="36"/>
          <w:szCs w:val="36"/>
          <w:highlight w:val="none"/>
        </w:rPr>
      </w:pPr>
      <w:r>
        <w:rPr>
          <w:rFonts w:hint="eastAsia" w:ascii="楷体_GB2312" w:eastAsia="楷体_GB2312"/>
          <w:color w:val="auto"/>
          <w:sz w:val="36"/>
          <w:szCs w:val="36"/>
          <w:highlight w:val="none"/>
        </w:rPr>
        <w:t>中华人民共和国生态环境部制</w:t>
      </w:r>
    </w:p>
    <w:p>
      <w:pPr>
        <w:adjustRightInd w:val="0"/>
        <w:snapToGrid w:val="0"/>
        <w:spacing w:line="288" w:lineRule="auto"/>
        <w:ind w:firstLine="1040"/>
        <w:rPr>
          <w:rFonts w:ascii="仿宋_GB2312" w:eastAsia="仿宋_GB2312"/>
          <w:color w:val="auto"/>
          <w:sz w:val="36"/>
          <w:szCs w:val="36"/>
          <w:highlight w:val="none"/>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7"/>
        <w:spacing w:before="58"/>
        <w:ind w:left="635" w:right="653"/>
        <w:jc w:val="center"/>
      </w:pPr>
      <w:r>
        <w:t>一、建设项目基本情况</w:t>
      </w:r>
    </w:p>
    <w:p>
      <w:pPr>
        <w:pStyle w:val="7"/>
        <w:spacing w:before="11" w:after="1"/>
        <w:rPr>
          <w:sz w:val="21"/>
        </w:rPr>
      </w:pPr>
    </w:p>
    <w:tbl>
      <w:tblPr>
        <w:tblStyle w:val="11"/>
        <w:tblW w:w="0" w:type="auto"/>
        <w:tblInd w:w="1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671"/>
        <w:gridCol w:w="2248"/>
        <w:gridCol w:w="2100"/>
        <w:gridCol w:w="284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671" w:type="dxa"/>
            <w:tcBorders>
              <w:bottom w:val="single" w:color="000000" w:sz="4" w:space="0"/>
              <w:right w:val="single" w:color="000000" w:sz="4" w:space="0"/>
            </w:tcBorders>
          </w:tcPr>
          <w:p>
            <w:pPr>
              <w:pStyle w:val="15"/>
              <w:spacing w:before="130"/>
              <w:ind w:right="210"/>
              <w:jc w:val="center"/>
              <w:rPr>
                <w:rFonts w:hint="default" w:ascii="Times New Roman" w:hAnsi="Times New Roman" w:cs="Times New Roman"/>
                <w:sz w:val="24"/>
                <w:szCs w:val="24"/>
              </w:rPr>
            </w:pPr>
            <w:r>
              <w:rPr>
                <w:rFonts w:hint="default" w:ascii="Times New Roman" w:hAnsi="Times New Roman" w:cs="Times New Roman"/>
                <w:sz w:val="24"/>
                <w:szCs w:val="24"/>
              </w:rPr>
              <w:t>建设项目名称</w:t>
            </w:r>
          </w:p>
        </w:tc>
        <w:tc>
          <w:tcPr>
            <w:tcW w:w="7197" w:type="dxa"/>
            <w:gridSpan w:val="3"/>
            <w:tcBorders>
              <w:left w:val="single" w:color="000000" w:sz="4" w:space="0"/>
              <w:bottom w:val="single" w:color="000000" w:sz="4" w:space="0"/>
            </w:tcBorders>
          </w:tcPr>
          <w:p>
            <w:pPr>
              <w:keepNext w:val="0"/>
              <w:keepLines w:val="0"/>
              <w:pageBreakBefore w:val="0"/>
              <w:widowControl w:val="0"/>
              <w:kinsoku/>
              <w:wordWrap/>
              <w:overflowPunct/>
              <w:topLinePunct w:val="0"/>
              <w:autoSpaceDE w:val="0"/>
              <w:autoSpaceDN w:val="0"/>
              <w:bidi w:val="0"/>
              <w:adjustRightInd w:val="0"/>
              <w:snapToGrid w:val="0"/>
              <w:spacing w:line="360" w:lineRule="auto"/>
              <w:ind w:right="0" w:rightChars="0"/>
              <w:jc w:val="center"/>
              <w:textAlignment w:val="auto"/>
              <w:rPr>
                <w:rFonts w:hint="default" w:ascii="Times New Roman" w:hAnsi="Times New Roman" w:cs="Times New Roman"/>
                <w:sz w:val="21"/>
              </w:rPr>
            </w:pPr>
            <w:r>
              <w:rPr>
                <w:rFonts w:hint="default" w:ascii="Times New Roman" w:hAnsi="Times New Roman" w:eastAsia="宋体" w:cs="Times New Roman"/>
                <w:color w:val="auto"/>
                <w:sz w:val="24"/>
                <w:szCs w:val="24"/>
                <w:highlight w:val="none"/>
                <w:u w:val="none"/>
                <w:lang w:val="en-US" w:eastAsia="zh-CN"/>
              </w:rPr>
              <w:t>G248线2020年度公路路面大中修工程配套热拌站</w:t>
            </w:r>
            <w:r>
              <w:rPr>
                <w:rFonts w:hint="default" w:ascii="Times New Roman" w:hAnsi="Times New Roman" w:cs="Times New Roman"/>
                <w:color w:val="auto"/>
                <w:sz w:val="24"/>
                <w:szCs w:val="24"/>
                <w:highlight w:val="none"/>
                <w:u w:val="none"/>
                <w:lang w:val="en-US" w:eastAsia="zh-CN"/>
              </w:rPr>
              <w:t>项</w:t>
            </w:r>
            <w:r>
              <w:rPr>
                <w:rFonts w:hint="default" w:ascii="Times New Roman" w:hAnsi="Times New Roman" w:eastAsia="宋体" w:cs="Times New Roman"/>
                <w:color w:val="auto"/>
                <w:sz w:val="24"/>
                <w:szCs w:val="24"/>
                <w:highlight w:val="none"/>
                <w:u w:val="none"/>
                <w:lang w:val="en-US" w:eastAsia="zh-CN"/>
              </w:rPr>
              <w:t>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671" w:type="dxa"/>
            <w:tcBorders>
              <w:top w:val="single" w:color="000000" w:sz="4" w:space="0"/>
              <w:bottom w:val="single" w:color="000000" w:sz="4" w:space="0"/>
              <w:right w:val="single" w:color="000000" w:sz="4" w:space="0"/>
            </w:tcBorders>
          </w:tcPr>
          <w:p>
            <w:pPr>
              <w:pStyle w:val="15"/>
              <w:spacing w:before="130"/>
              <w:ind w:right="213"/>
              <w:jc w:val="center"/>
              <w:rPr>
                <w:rFonts w:hint="default" w:ascii="Times New Roman" w:hAnsi="Times New Roman" w:cs="Times New Roman"/>
                <w:sz w:val="24"/>
                <w:szCs w:val="24"/>
              </w:rPr>
            </w:pPr>
            <w:r>
              <w:rPr>
                <w:rFonts w:hint="default" w:ascii="Times New Roman" w:hAnsi="Times New Roman" w:cs="Times New Roman"/>
                <w:sz w:val="24"/>
                <w:szCs w:val="24"/>
              </w:rPr>
              <w:t>项目代码</w:t>
            </w:r>
          </w:p>
        </w:tc>
        <w:tc>
          <w:tcPr>
            <w:tcW w:w="7197" w:type="dxa"/>
            <w:gridSpan w:val="3"/>
            <w:tcBorders>
              <w:top w:val="single" w:color="000000" w:sz="4" w:space="0"/>
              <w:left w:val="single" w:color="000000" w:sz="4" w:space="0"/>
              <w:bottom w:val="single" w:color="000000" w:sz="4" w:space="0"/>
            </w:tcBorders>
          </w:tcPr>
          <w:p>
            <w:pPr>
              <w:pStyle w:val="15"/>
              <w:spacing w:before="130"/>
              <w:ind w:left="124"/>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color w:val="auto"/>
                <w:sz w:val="24"/>
                <w:szCs w:val="24"/>
                <w:highlight w:val="none"/>
                <w:u w:val="none"/>
                <w:lang w:val="en-US" w:eastAsia="zh-CN" w:bidi="zh-CN"/>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671" w:type="dxa"/>
            <w:tcBorders>
              <w:top w:val="single" w:color="000000" w:sz="4" w:space="0"/>
              <w:bottom w:val="single" w:color="000000" w:sz="4" w:space="0"/>
              <w:right w:val="single" w:color="000000" w:sz="4" w:space="0"/>
            </w:tcBorders>
          </w:tcPr>
          <w:p>
            <w:pPr>
              <w:pStyle w:val="15"/>
              <w:spacing w:before="130"/>
              <w:ind w:right="21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2248" w:type="dxa"/>
            <w:tcBorders>
              <w:top w:val="single" w:color="000000" w:sz="4" w:space="0"/>
              <w:left w:val="single" w:color="000000" w:sz="4" w:space="0"/>
              <w:bottom w:val="single" w:color="000000" w:sz="4" w:space="0"/>
              <w:right w:val="single" w:color="000000" w:sz="4" w:space="0"/>
            </w:tcBorders>
          </w:tcPr>
          <w:p>
            <w:pPr>
              <w:pStyle w:val="15"/>
              <w:spacing w:before="130"/>
              <w:ind w:left="126"/>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highlight w:val="none"/>
                <w:u w:val="none"/>
                <w:lang w:val="en-US" w:eastAsia="zh-CN" w:bidi="zh-CN"/>
              </w:rPr>
              <w:t>陈艳</w:t>
            </w:r>
          </w:p>
        </w:tc>
        <w:tc>
          <w:tcPr>
            <w:tcW w:w="2100" w:type="dxa"/>
            <w:tcBorders>
              <w:top w:val="single" w:color="000000" w:sz="4" w:space="0"/>
              <w:left w:val="single" w:color="000000" w:sz="4" w:space="0"/>
              <w:bottom w:val="single" w:color="000000" w:sz="4" w:space="0"/>
              <w:right w:val="single" w:color="000000" w:sz="4" w:space="0"/>
            </w:tcBorders>
          </w:tcPr>
          <w:p>
            <w:pPr>
              <w:pStyle w:val="15"/>
              <w:spacing w:before="130"/>
              <w:ind w:left="305" w:right="178"/>
              <w:jc w:val="center"/>
              <w:rPr>
                <w:rFonts w:hint="default" w:ascii="Times New Roman" w:hAnsi="Times New Roman" w:cs="Times New Roman"/>
                <w:color w:val="auto"/>
                <w:sz w:val="24"/>
                <w:szCs w:val="24"/>
              </w:rPr>
            </w:pPr>
            <w:r>
              <w:rPr>
                <w:rFonts w:hint="default" w:ascii="Times New Roman" w:hAnsi="Times New Roman" w:eastAsia="宋体" w:cs="Times New Roman"/>
                <w:color w:val="auto"/>
                <w:sz w:val="24"/>
                <w:szCs w:val="24"/>
                <w:highlight w:val="none"/>
                <w:u w:val="none"/>
                <w:lang w:val="en-US" w:eastAsia="zh-CN"/>
              </w:rPr>
              <w:t>联系方式</w:t>
            </w:r>
          </w:p>
        </w:tc>
        <w:tc>
          <w:tcPr>
            <w:tcW w:w="2849" w:type="dxa"/>
            <w:tcBorders>
              <w:top w:val="single" w:color="000000" w:sz="4" w:space="0"/>
              <w:left w:val="single" w:color="000000" w:sz="4" w:space="0"/>
              <w:bottom w:val="single" w:color="000000" w:sz="4" w:space="0"/>
            </w:tcBorders>
          </w:tcPr>
          <w:p>
            <w:pPr>
              <w:pStyle w:val="15"/>
              <w:spacing w:before="130"/>
              <w:ind w:right="1193"/>
              <w:jc w:val="center"/>
              <w:rPr>
                <w:rFonts w:hint="default" w:ascii="Times New Roman" w:hAnsi="Times New Roman" w:cs="Times New Roman"/>
                <w:sz w:val="24"/>
                <w:szCs w:val="24"/>
              </w:rPr>
            </w:pPr>
            <w:r>
              <w:rPr>
                <w:rFonts w:hint="default" w:ascii="Times New Roman" w:hAnsi="Times New Roman" w:cs="Times New Roman"/>
                <w:sz w:val="24"/>
                <w:szCs w:val="24"/>
              </w:rPr>
              <w:t>13698145001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671" w:type="dxa"/>
            <w:tcBorders>
              <w:top w:val="single" w:color="000000" w:sz="4" w:space="0"/>
              <w:bottom w:val="single" w:color="000000" w:sz="4" w:space="0"/>
              <w:right w:val="single" w:color="000000" w:sz="4" w:space="0"/>
            </w:tcBorders>
          </w:tcPr>
          <w:p>
            <w:pPr>
              <w:pStyle w:val="15"/>
              <w:spacing w:before="130"/>
              <w:ind w:right="213"/>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建设地点</w:t>
            </w:r>
          </w:p>
        </w:tc>
        <w:tc>
          <w:tcPr>
            <w:tcW w:w="7197" w:type="dxa"/>
            <w:gridSpan w:val="3"/>
            <w:tcBorders>
              <w:top w:val="single" w:color="000000" w:sz="4" w:space="0"/>
              <w:left w:val="single" w:color="000000" w:sz="4" w:space="0"/>
              <w:bottom w:val="single" w:color="000000" w:sz="4" w:space="0"/>
            </w:tcBorders>
          </w:tcPr>
          <w:p>
            <w:pPr>
              <w:pStyle w:val="15"/>
              <w:spacing w:before="130"/>
              <w:ind w:left="463"/>
              <w:jc w:val="center"/>
              <w:rPr>
                <w:rFonts w:hint="default" w:ascii="Times New Roman" w:hAnsi="Times New Roman" w:cs="Times New Roman"/>
                <w:sz w:val="21"/>
              </w:rPr>
            </w:pPr>
            <w:r>
              <w:rPr>
                <w:rFonts w:hint="default" w:ascii="Times New Roman" w:hAnsi="Times New Roman" w:cs="Times New Roman"/>
                <w:color w:val="auto"/>
                <w:sz w:val="24"/>
                <w:szCs w:val="24"/>
                <w:highlight w:val="none"/>
                <w:u w:val="none"/>
                <w:lang w:val="en-US" w:eastAsia="zh-CN"/>
              </w:rPr>
              <w:t>四川</w:t>
            </w:r>
            <w:r>
              <w:rPr>
                <w:rFonts w:hint="default" w:ascii="Times New Roman" w:hAnsi="Times New Roman" w:cs="Times New Roman"/>
                <w:color w:val="auto"/>
                <w:sz w:val="24"/>
                <w:szCs w:val="24"/>
                <w:highlight w:val="none"/>
                <w:u w:val="none"/>
              </w:rPr>
              <w:t>省</w:t>
            </w:r>
            <w:r>
              <w:rPr>
                <w:rFonts w:hint="default" w:ascii="Times New Roman" w:hAnsi="Times New Roman" w:cs="Times New Roman"/>
                <w:color w:val="auto"/>
                <w:sz w:val="24"/>
                <w:szCs w:val="24"/>
                <w:highlight w:val="none"/>
                <w:u w:val="none"/>
                <w:lang w:val="en-US" w:eastAsia="zh-CN"/>
              </w:rPr>
              <w:t>甘孜藏族自治</w:t>
            </w:r>
            <w:r>
              <w:rPr>
                <w:rFonts w:hint="default" w:ascii="Times New Roman" w:hAnsi="Times New Roman" w:eastAsia="宋体" w:cs="Times New Roman"/>
                <w:color w:val="auto"/>
                <w:sz w:val="24"/>
                <w:szCs w:val="24"/>
                <w:highlight w:val="none"/>
                <w:u w:val="none"/>
                <w:lang w:val="en-US" w:eastAsia="zh-CN"/>
              </w:rPr>
              <w:t>州九龙县</w:t>
            </w:r>
            <w:r>
              <w:rPr>
                <w:rFonts w:hint="eastAsia" w:ascii="Times New Roman" w:hAnsi="Times New Roman" w:cs="Times New Roman"/>
                <w:color w:val="auto"/>
                <w:sz w:val="24"/>
                <w:szCs w:val="24"/>
                <w:highlight w:val="none"/>
                <w:u w:val="none"/>
                <w:lang w:val="en-US" w:eastAsia="zh-CN"/>
              </w:rPr>
              <w:t>汤古镇</w:t>
            </w:r>
            <w:r>
              <w:rPr>
                <w:rFonts w:hint="default" w:ascii="Times New Roman" w:hAnsi="Times New Roman" w:eastAsia="宋体" w:cs="Times New Roman"/>
                <w:color w:val="auto"/>
                <w:sz w:val="24"/>
                <w:szCs w:val="24"/>
                <w:highlight w:val="none"/>
                <w:u w:val="none"/>
                <w:lang w:val="en-US" w:eastAsia="zh-CN"/>
              </w:rPr>
              <w:t>崩崩冲村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671" w:type="dxa"/>
            <w:tcBorders>
              <w:top w:val="single" w:color="000000" w:sz="4" w:space="0"/>
              <w:bottom w:val="single" w:color="000000" w:sz="4" w:space="0"/>
              <w:right w:val="single" w:color="000000" w:sz="4" w:space="0"/>
            </w:tcBorders>
          </w:tcPr>
          <w:p>
            <w:pPr>
              <w:pStyle w:val="15"/>
              <w:spacing w:before="130"/>
              <w:ind w:right="213"/>
              <w:jc w:val="center"/>
              <w:rPr>
                <w:rFonts w:hint="default" w:ascii="Times New Roman" w:hAnsi="Times New Roman" w:cs="Times New Roman"/>
                <w:sz w:val="24"/>
                <w:szCs w:val="24"/>
              </w:rPr>
            </w:pPr>
            <w:r>
              <w:rPr>
                <w:rFonts w:hint="default" w:ascii="Times New Roman" w:hAnsi="Times New Roman" w:cs="Times New Roman"/>
                <w:sz w:val="24"/>
                <w:szCs w:val="24"/>
              </w:rPr>
              <w:t>地理坐标</w:t>
            </w:r>
          </w:p>
        </w:tc>
        <w:tc>
          <w:tcPr>
            <w:tcW w:w="7197" w:type="dxa"/>
            <w:gridSpan w:val="3"/>
            <w:tcBorders>
              <w:top w:val="single" w:color="000000" w:sz="4" w:space="0"/>
              <w:left w:val="single" w:color="000000" w:sz="4" w:space="0"/>
              <w:bottom w:val="single" w:color="000000" w:sz="4" w:space="0"/>
            </w:tcBorders>
          </w:tcPr>
          <w:p>
            <w:pPr>
              <w:widowControl w:val="0"/>
              <w:spacing w:after="0"/>
              <w:ind w:firstLine="720" w:firstLineChars="300"/>
              <w:jc w:val="both"/>
              <w:rPr>
                <w:rFonts w:hint="default" w:ascii="Times New Roman" w:hAnsi="Times New Roman" w:cs="Times New Roman"/>
                <w:sz w:val="21"/>
              </w:rPr>
            </w:pPr>
            <w:r>
              <w:rPr>
                <w:rFonts w:hint="default" w:ascii="Times New Roman" w:hAnsi="Times New Roman" w:cs="Times New Roman"/>
                <w:color w:val="000000"/>
                <w:sz w:val="24"/>
              </w:rPr>
              <w:t>经纬度：E</w:t>
            </w:r>
            <w:r>
              <w:rPr>
                <w:rFonts w:hint="default" w:ascii="Times New Roman" w:hAnsi="Times New Roman" w:eastAsia="宋体" w:cs="Times New Roman"/>
                <w:color w:val="auto"/>
                <w:sz w:val="24"/>
                <w:szCs w:val="24"/>
                <w:lang w:val="en-US" w:eastAsia="zh-CN"/>
              </w:rPr>
              <w:t>101°30′15.78437″</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000000"/>
                <w:sz w:val="24"/>
              </w:rPr>
              <w:t>N</w:t>
            </w:r>
            <w:r>
              <w:rPr>
                <w:rFonts w:hint="default" w:ascii="Times New Roman" w:hAnsi="Times New Roman" w:eastAsia="宋体" w:cs="Times New Roman"/>
                <w:color w:val="auto"/>
                <w:sz w:val="24"/>
                <w:szCs w:val="24"/>
                <w:lang w:val="en-US" w:eastAsia="zh-CN"/>
              </w:rPr>
              <w:t>29°5′28.53433″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7" w:hRule="atLeast"/>
        </w:trPr>
        <w:tc>
          <w:tcPr>
            <w:tcW w:w="1671" w:type="dxa"/>
            <w:tcBorders>
              <w:top w:val="single" w:color="000000" w:sz="4" w:space="0"/>
              <w:bottom w:val="single" w:color="000000" w:sz="4" w:space="0"/>
              <w:right w:val="single" w:color="000000" w:sz="4" w:space="0"/>
            </w:tcBorders>
          </w:tcPr>
          <w:p>
            <w:pPr>
              <w:pStyle w:val="15"/>
              <w:spacing w:before="24" w:line="270" w:lineRule="atLeast"/>
              <w:ind w:right="650"/>
              <w:jc w:val="center"/>
              <w:rPr>
                <w:rFonts w:hint="default" w:ascii="Times New Roman" w:hAnsi="Times New Roman" w:cs="Times New Roman"/>
                <w:sz w:val="24"/>
                <w:szCs w:val="24"/>
              </w:rPr>
            </w:pPr>
            <w:r>
              <w:rPr>
                <w:rFonts w:hint="default" w:ascii="Times New Roman" w:hAnsi="Times New Roman" w:cs="Times New Roman"/>
                <w:sz w:val="24"/>
                <w:szCs w:val="24"/>
              </w:rPr>
              <w:t>国民经济行业类别</w:t>
            </w:r>
          </w:p>
        </w:tc>
        <w:tc>
          <w:tcPr>
            <w:tcW w:w="2248" w:type="dxa"/>
            <w:tcBorders>
              <w:top w:val="single" w:color="000000" w:sz="4" w:space="0"/>
              <w:left w:val="single" w:color="000000" w:sz="4" w:space="0"/>
              <w:bottom w:val="single" w:color="000000" w:sz="4" w:space="0"/>
              <w:right w:val="single" w:color="000000" w:sz="4" w:space="0"/>
            </w:tcBorders>
          </w:tcPr>
          <w:p>
            <w:pPr>
              <w:pStyle w:val="15"/>
              <w:spacing w:before="161"/>
              <w:ind w:left="126"/>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C3039</w:t>
            </w:r>
            <w:r>
              <w:rPr>
                <w:rFonts w:hint="default" w:ascii="Times New Roman" w:hAnsi="Times New Roman" w:cs="Times New Roman"/>
                <w:color w:val="000000"/>
                <w:sz w:val="24"/>
              </w:rPr>
              <w:t>其他建筑材料制造</w:t>
            </w:r>
          </w:p>
        </w:tc>
        <w:tc>
          <w:tcPr>
            <w:tcW w:w="2100" w:type="dxa"/>
            <w:tcBorders>
              <w:top w:val="single" w:color="000000" w:sz="4" w:space="0"/>
              <w:left w:val="single" w:color="000000" w:sz="4" w:space="0"/>
              <w:bottom w:val="single" w:color="000000" w:sz="4" w:space="0"/>
              <w:right w:val="single" w:color="000000" w:sz="4" w:space="0"/>
            </w:tcBorders>
          </w:tcPr>
          <w:p>
            <w:pPr>
              <w:pStyle w:val="15"/>
              <w:spacing w:before="24" w:line="270" w:lineRule="atLeast"/>
              <w:ind w:right="562"/>
              <w:jc w:val="center"/>
              <w:rPr>
                <w:rFonts w:hint="default" w:ascii="Times New Roman" w:hAnsi="Times New Roman" w:cs="Times New Roman"/>
                <w:sz w:val="24"/>
                <w:szCs w:val="24"/>
              </w:rPr>
            </w:pPr>
            <w:r>
              <w:rPr>
                <w:rFonts w:hint="default" w:ascii="Times New Roman" w:hAnsi="Times New Roman" w:cs="Times New Roman"/>
                <w:sz w:val="24"/>
                <w:szCs w:val="24"/>
              </w:rPr>
              <w:t>建设项目行业类别</w:t>
            </w:r>
          </w:p>
        </w:tc>
        <w:tc>
          <w:tcPr>
            <w:tcW w:w="2849" w:type="dxa"/>
            <w:tcBorders>
              <w:top w:val="single" w:color="000000" w:sz="4" w:space="0"/>
              <w:left w:val="single" w:color="000000" w:sz="4" w:space="0"/>
              <w:bottom w:val="single" w:color="000000" w:sz="4" w:space="0"/>
            </w:tcBorders>
          </w:tcPr>
          <w:p>
            <w:pPr>
              <w:pStyle w:val="15"/>
              <w:spacing w:before="161"/>
              <w:ind w:left="10"/>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sz w:val="24"/>
                <w:lang w:val="en-US" w:eastAsia="zh-CN"/>
              </w:rPr>
              <w:t>27-056砖瓦、石材等建筑材料制造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33" w:hRule="atLeast"/>
        </w:trPr>
        <w:tc>
          <w:tcPr>
            <w:tcW w:w="1671" w:type="dxa"/>
            <w:tcBorders>
              <w:top w:val="single" w:color="000000" w:sz="4" w:space="0"/>
              <w:bottom w:val="single" w:color="000000" w:sz="4" w:space="0"/>
              <w:right w:val="single" w:color="000000" w:sz="4" w:space="0"/>
            </w:tcBorders>
          </w:tcPr>
          <w:p>
            <w:pPr>
              <w:pStyle w:val="15"/>
              <w:ind w:right="213"/>
              <w:jc w:val="center"/>
              <w:rPr>
                <w:rFonts w:hint="default" w:ascii="Times New Roman" w:hAnsi="Times New Roman" w:cs="Times New Roman"/>
                <w:sz w:val="24"/>
                <w:szCs w:val="24"/>
              </w:rPr>
            </w:pPr>
          </w:p>
          <w:p>
            <w:pPr>
              <w:pStyle w:val="15"/>
              <w:ind w:right="213"/>
              <w:jc w:val="center"/>
              <w:rPr>
                <w:rFonts w:hint="default" w:ascii="Times New Roman" w:hAnsi="Times New Roman" w:cs="Times New Roman"/>
                <w:sz w:val="24"/>
                <w:szCs w:val="24"/>
              </w:rPr>
            </w:pPr>
            <w:r>
              <w:rPr>
                <w:rFonts w:hint="default" w:ascii="Times New Roman" w:hAnsi="Times New Roman" w:cs="Times New Roman"/>
                <w:sz w:val="24"/>
                <w:szCs w:val="24"/>
              </w:rPr>
              <w:t>建设性质</w:t>
            </w:r>
          </w:p>
        </w:tc>
        <w:tc>
          <w:tcPr>
            <w:tcW w:w="2248" w:type="dxa"/>
            <w:tcBorders>
              <w:top w:val="single" w:color="000000" w:sz="4" w:space="0"/>
              <w:left w:val="single" w:color="000000" w:sz="4" w:space="0"/>
              <w:bottom w:val="single" w:color="000000" w:sz="4" w:space="0"/>
              <w:right w:val="single" w:color="000000" w:sz="4" w:space="0"/>
            </w:tcBorders>
          </w:tcPr>
          <w:p>
            <w:pPr>
              <w:pStyle w:val="15"/>
              <w:spacing w:before="80"/>
              <w:ind w:left="9"/>
              <w:jc w:val="both"/>
              <w:rPr>
                <w:rFonts w:hint="default" w:ascii="Times New Roman" w:hAnsi="Times New Roman" w:cs="Times New Roman"/>
                <w:sz w:val="24"/>
                <w:szCs w:val="24"/>
              </w:rPr>
            </w:pPr>
            <w:r>
              <w:rPr>
                <w:rFonts w:hint="default" w:ascii="Times New Roman" w:hAnsi="Times New Roman" w:cs="Times New Roman"/>
                <w:sz w:val="24"/>
                <w:szCs w:val="24"/>
                <w:lang w:eastAsia="zh-CN"/>
              </w:rPr>
              <w:t>☑</w:t>
            </w:r>
            <w:r>
              <w:rPr>
                <w:rFonts w:hint="default" w:ascii="Times New Roman" w:hAnsi="Times New Roman" w:cs="Times New Roman"/>
                <w:sz w:val="24"/>
                <w:szCs w:val="24"/>
              </w:rPr>
              <w:t>新建（迁建）</w:t>
            </w:r>
          </w:p>
          <w:p>
            <w:pPr>
              <w:pStyle w:val="15"/>
              <w:spacing w:before="4"/>
              <w:ind w:left="9"/>
              <w:jc w:val="both"/>
              <w:rPr>
                <w:rFonts w:hint="default" w:ascii="Times New Roman" w:hAnsi="Times New Roman" w:cs="Times New Roman"/>
                <w:sz w:val="24"/>
                <w:szCs w:val="24"/>
              </w:rPr>
            </w:pPr>
            <w:r>
              <w:rPr>
                <w:rFonts w:hint="default" w:ascii="Times New Roman" w:hAnsi="Times New Roman" w:cs="Times New Roman"/>
                <w:spacing w:val="-1"/>
                <w:sz w:val="24"/>
                <w:szCs w:val="24"/>
              </w:rPr>
              <w:t>□改建</w:t>
            </w:r>
          </w:p>
          <w:p>
            <w:pPr>
              <w:pStyle w:val="15"/>
              <w:spacing w:before="3"/>
              <w:ind w:left="9"/>
              <w:jc w:val="both"/>
              <w:rPr>
                <w:rFonts w:hint="default" w:ascii="Times New Roman" w:hAnsi="Times New Roman" w:cs="Times New Roman"/>
                <w:sz w:val="24"/>
                <w:szCs w:val="24"/>
              </w:rPr>
            </w:pPr>
            <w:r>
              <w:rPr>
                <w:rFonts w:hint="default" w:ascii="Times New Roman" w:hAnsi="Times New Roman" w:cs="Times New Roman"/>
                <w:spacing w:val="-1"/>
                <w:sz w:val="24"/>
                <w:szCs w:val="24"/>
              </w:rPr>
              <w:t>□扩建</w:t>
            </w:r>
          </w:p>
          <w:p>
            <w:pPr>
              <w:pStyle w:val="15"/>
              <w:spacing w:before="4"/>
              <w:ind w:left="9"/>
              <w:jc w:val="both"/>
              <w:rPr>
                <w:rFonts w:hint="default" w:ascii="Times New Roman" w:hAnsi="Times New Roman" w:cs="Times New Roman"/>
                <w:sz w:val="24"/>
                <w:szCs w:val="24"/>
              </w:rPr>
            </w:pPr>
            <w:r>
              <w:rPr>
                <w:rFonts w:hint="default" w:ascii="Times New Roman" w:hAnsi="Times New Roman" w:cs="Times New Roman"/>
                <w:sz w:val="24"/>
                <w:szCs w:val="24"/>
              </w:rPr>
              <w:t>□技术改造</w:t>
            </w:r>
          </w:p>
        </w:tc>
        <w:tc>
          <w:tcPr>
            <w:tcW w:w="2100" w:type="dxa"/>
            <w:tcBorders>
              <w:top w:val="single" w:color="000000" w:sz="4" w:space="0"/>
              <w:left w:val="single" w:color="000000" w:sz="4" w:space="0"/>
              <w:bottom w:val="single" w:color="000000" w:sz="4" w:space="0"/>
              <w:right w:val="single" w:color="000000" w:sz="4" w:space="0"/>
            </w:tcBorders>
          </w:tcPr>
          <w:p>
            <w:pPr>
              <w:pStyle w:val="15"/>
              <w:spacing w:before="7"/>
              <w:jc w:val="center"/>
              <w:rPr>
                <w:rFonts w:hint="default" w:ascii="Times New Roman" w:hAnsi="Times New Roman" w:cs="Times New Roman"/>
                <w:sz w:val="24"/>
                <w:szCs w:val="24"/>
              </w:rPr>
            </w:pPr>
          </w:p>
          <w:p>
            <w:pPr>
              <w:pStyle w:val="15"/>
              <w:spacing w:before="1" w:line="242" w:lineRule="auto"/>
              <w:ind w:right="562"/>
              <w:jc w:val="center"/>
              <w:rPr>
                <w:rFonts w:hint="default" w:ascii="Times New Roman" w:hAnsi="Times New Roman" w:cs="Times New Roman"/>
                <w:sz w:val="24"/>
                <w:szCs w:val="24"/>
              </w:rPr>
            </w:pPr>
            <w:r>
              <w:rPr>
                <w:rFonts w:hint="default" w:ascii="Times New Roman" w:hAnsi="Times New Roman" w:cs="Times New Roman"/>
                <w:sz w:val="24"/>
                <w:szCs w:val="24"/>
              </w:rPr>
              <w:t>建设项目申报情形</w:t>
            </w:r>
          </w:p>
        </w:tc>
        <w:tc>
          <w:tcPr>
            <w:tcW w:w="2849" w:type="dxa"/>
            <w:tcBorders>
              <w:top w:val="single" w:color="000000" w:sz="4" w:space="0"/>
              <w:left w:val="single" w:color="000000" w:sz="4" w:space="0"/>
              <w:bottom w:val="single" w:color="000000" w:sz="4" w:space="0"/>
            </w:tcBorders>
          </w:tcPr>
          <w:p>
            <w:pPr>
              <w:pStyle w:val="15"/>
              <w:numPr>
                <w:ilvl w:val="0"/>
                <w:numId w:val="0"/>
              </w:numPr>
              <w:tabs>
                <w:tab w:val="left" w:pos="200"/>
              </w:tabs>
              <w:spacing w:before="80" w:after="0" w:line="240" w:lineRule="auto"/>
              <w:ind w:leftChars="0" w:right="0" w:rightChars="0"/>
              <w:jc w:val="both"/>
              <w:rPr>
                <w:rFonts w:hint="default" w:ascii="Times New Roman" w:hAnsi="Times New Roman" w:cs="Times New Roman"/>
                <w:sz w:val="24"/>
                <w:szCs w:val="24"/>
              </w:rPr>
            </w:pPr>
            <w:r>
              <w:rPr>
                <w:rFonts w:hint="default" w:ascii="Times New Roman" w:hAnsi="Times New Roman" w:cs="Times New Roman"/>
                <w:spacing w:val="-3"/>
                <w:sz w:val="24"/>
                <w:szCs w:val="24"/>
                <w:lang w:eastAsia="zh-CN"/>
              </w:rPr>
              <w:t>☑</w:t>
            </w:r>
            <w:r>
              <w:rPr>
                <w:rFonts w:hint="default" w:ascii="Times New Roman" w:hAnsi="Times New Roman" w:cs="Times New Roman"/>
                <w:spacing w:val="-3"/>
                <w:sz w:val="24"/>
                <w:szCs w:val="24"/>
              </w:rPr>
              <w:t>首次申报项目</w:t>
            </w:r>
          </w:p>
          <w:p>
            <w:pPr>
              <w:pStyle w:val="15"/>
              <w:spacing w:before="4"/>
              <w:ind w:left="10" w:right="-29"/>
              <w:jc w:val="center"/>
              <w:rPr>
                <w:rFonts w:hint="default" w:ascii="Times New Roman" w:hAnsi="Times New Roman" w:cs="Times New Roman"/>
                <w:sz w:val="24"/>
                <w:szCs w:val="24"/>
              </w:rPr>
            </w:pPr>
            <w:r>
              <w:rPr>
                <w:rFonts w:hint="default" w:ascii="Times New Roman" w:hAnsi="Times New Roman" w:cs="Times New Roman"/>
                <w:spacing w:val="-3"/>
                <w:sz w:val="24"/>
                <w:szCs w:val="24"/>
              </w:rPr>
              <w:t>□不予批准后再次申报项目</w:t>
            </w:r>
          </w:p>
          <w:p>
            <w:pPr>
              <w:pStyle w:val="15"/>
              <w:numPr>
                <w:ilvl w:val="0"/>
                <w:numId w:val="0"/>
              </w:numPr>
              <w:tabs>
                <w:tab w:val="left" w:pos="200"/>
              </w:tabs>
              <w:spacing w:before="3" w:after="0" w:line="240" w:lineRule="auto"/>
              <w:ind w:leftChars="0" w:right="0" w:rightChars="0"/>
              <w:jc w:val="both"/>
              <w:rPr>
                <w:rFonts w:hint="default" w:ascii="Times New Roman" w:hAnsi="Times New Roman" w:cs="Times New Roman"/>
                <w:sz w:val="24"/>
                <w:szCs w:val="24"/>
              </w:rPr>
            </w:pPr>
            <w:r>
              <w:rPr>
                <w:rFonts w:hint="default" w:ascii="Times New Roman" w:hAnsi="Times New Roman" w:cs="Times New Roman"/>
                <w:spacing w:val="-3"/>
                <w:sz w:val="24"/>
                <w:szCs w:val="24"/>
              </w:rPr>
              <w:t>□超五年重新审核项目</w:t>
            </w:r>
          </w:p>
          <w:p>
            <w:pPr>
              <w:pStyle w:val="15"/>
              <w:spacing w:before="4"/>
              <w:ind w:left="10"/>
              <w:jc w:val="both"/>
              <w:rPr>
                <w:rFonts w:hint="default" w:ascii="Times New Roman" w:hAnsi="Times New Roman" w:cs="Times New Roman"/>
                <w:sz w:val="24"/>
                <w:szCs w:val="24"/>
              </w:rPr>
            </w:pPr>
            <w:r>
              <w:rPr>
                <w:rFonts w:hint="default" w:ascii="Times New Roman" w:hAnsi="Times New Roman" w:cs="Times New Roman"/>
                <w:spacing w:val="-3"/>
                <w:sz w:val="24"/>
                <w:szCs w:val="24"/>
                <w:lang w:eastAsia="zh-CN"/>
              </w:rPr>
              <w:t>□</w:t>
            </w:r>
            <w:r>
              <w:rPr>
                <w:rFonts w:hint="default" w:ascii="Times New Roman" w:hAnsi="Times New Roman" w:cs="Times New Roman"/>
                <w:spacing w:val="-3"/>
                <w:sz w:val="24"/>
                <w:szCs w:val="24"/>
              </w:rPr>
              <w:t>重大变动重新报批项目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68" w:hRule="atLeast"/>
        </w:trPr>
        <w:tc>
          <w:tcPr>
            <w:tcW w:w="1671" w:type="dxa"/>
            <w:tcBorders>
              <w:top w:val="single" w:color="000000" w:sz="4" w:space="0"/>
              <w:bottom w:val="single" w:color="000000" w:sz="4" w:space="0"/>
              <w:right w:val="single" w:color="000000" w:sz="4" w:space="0"/>
            </w:tcBorders>
          </w:tcPr>
          <w:p>
            <w:pPr>
              <w:pStyle w:val="15"/>
              <w:spacing w:before="171" w:line="242" w:lineRule="auto"/>
              <w:ind w:right="125"/>
              <w:jc w:val="center"/>
              <w:rPr>
                <w:rFonts w:hint="default" w:ascii="Times New Roman" w:hAnsi="Times New Roman" w:cs="Times New Roman"/>
                <w:sz w:val="24"/>
                <w:szCs w:val="24"/>
              </w:rPr>
            </w:pPr>
            <w:r>
              <w:rPr>
                <w:rFonts w:hint="default" w:ascii="Times New Roman" w:hAnsi="Times New Roman" w:cs="Times New Roman"/>
                <w:spacing w:val="-1"/>
                <w:sz w:val="24"/>
                <w:szCs w:val="24"/>
              </w:rPr>
              <w:t>项目审批</w:t>
            </w:r>
            <w:r>
              <w:rPr>
                <w:rFonts w:hint="default" w:ascii="Times New Roman" w:hAnsi="Times New Roman" w:cs="Times New Roman"/>
                <w:spacing w:val="-3"/>
                <w:sz w:val="24"/>
                <w:szCs w:val="24"/>
              </w:rPr>
              <w:t>（</w:t>
            </w:r>
            <w:r>
              <w:rPr>
                <w:rFonts w:hint="default" w:ascii="Times New Roman" w:hAnsi="Times New Roman" w:cs="Times New Roman"/>
                <w:spacing w:val="-2"/>
                <w:sz w:val="24"/>
                <w:szCs w:val="24"/>
              </w:rPr>
              <w:t>核准</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备案</w:t>
            </w:r>
            <w:r>
              <w:rPr>
                <w:rFonts w:hint="default" w:ascii="Times New Roman" w:hAnsi="Times New Roman" w:cs="Times New Roman"/>
                <w:spacing w:val="-3"/>
                <w:sz w:val="24"/>
                <w:szCs w:val="24"/>
              </w:rPr>
              <w:t>）</w:t>
            </w:r>
            <w:r>
              <w:rPr>
                <w:rFonts w:hint="default" w:ascii="Times New Roman" w:hAnsi="Times New Roman" w:cs="Times New Roman"/>
                <w:spacing w:val="-2"/>
                <w:sz w:val="24"/>
                <w:szCs w:val="24"/>
              </w:rPr>
              <w:t>部门</w:t>
            </w:r>
            <w:r>
              <w:rPr>
                <w:rFonts w:hint="default" w:ascii="Times New Roman" w:hAnsi="Times New Roman" w:cs="Times New Roman"/>
                <w:sz w:val="24"/>
                <w:szCs w:val="24"/>
              </w:rPr>
              <w:t>（</w:t>
            </w:r>
            <w:r>
              <w:rPr>
                <w:rFonts w:hint="default" w:ascii="Times New Roman" w:hAnsi="Times New Roman" w:cs="Times New Roman"/>
                <w:spacing w:val="-2"/>
                <w:sz w:val="24"/>
                <w:szCs w:val="24"/>
              </w:rPr>
              <w:t>选填</w:t>
            </w:r>
            <w:r>
              <w:rPr>
                <w:rFonts w:hint="default" w:ascii="Times New Roman" w:hAnsi="Times New Roman" w:cs="Times New Roman"/>
                <w:spacing w:val="-3"/>
                <w:sz w:val="24"/>
                <w:szCs w:val="24"/>
              </w:rPr>
              <w:t>）</w:t>
            </w:r>
          </w:p>
        </w:tc>
        <w:tc>
          <w:tcPr>
            <w:tcW w:w="2248" w:type="dxa"/>
            <w:tcBorders>
              <w:top w:val="single" w:color="000000" w:sz="4" w:space="0"/>
              <w:left w:val="single" w:color="000000" w:sz="4" w:space="0"/>
              <w:bottom w:val="single" w:color="000000" w:sz="4" w:space="0"/>
              <w:right w:val="single" w:color="000000" w:sz="4" w:space="0"/>
            </w:tcBorders>
          </w:tcPr>
          <w:p>
            <w:pPr>
              <w:pStyle w:val="15"/>
              <w:jc w:val="center"/>
              <w:rPr>
                <w:rFonts w:hint="default" w:ascii="Times New Roman" w:hAnsi="Times New Roman" w:cs="Times New Roman"/>
                <w:sz w:val="24"/>
                <w:szCs w:val="24"/>
              </w:rPr>
            </w:pPr>
          </w:p>
          <w:p>
            <w:pPr>
              <w:pStyle w:val="15"/>
              <w:ind w:left="126"/>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w:t>
            </w:r>
          </w:p>
        </w:tc>
        <w:tc>
          <w:tcPr>
            <w:tcW w:w="2100" w:type="dxa"/>
            <w:tcBorders>
              <w:top w:val="single" w:color="000000" w:sz="4" w:space="0"/>
              <w:left w:val="single" w:color="000000" w:sz="4" w:space="0"/>
              <w:bottom w:val="single" w:color="000000" w:sz="4" w:space="0"/>
              <w:right w:val="single" w:color="000000" w:sz="4" w:space="0"/>
            </w:tcBorders>
          </w:tcPr>
          <w:p>
            <w:pPr>
              <w:pStyle w:val="15"/>
              <w:spacing w:before="171" w:line="242" w:lineRule="auto"/>
              <w:ind w:right="37"/>
              <w:jc w:val="center"/>
              <w:rPr>
                <w:rFonts w:hint="default" w:ascii="Times New Roman" w:hAnsi="Times New Roman" w:cs="Times New Roman"/>
                <w:sz w:val="24"/>
                <w:szCs w:val="24"/>
              </w:rPr>
            </w:pPr>
            <w:r>
              <w:rPr>
                <w:rFonts w:hint="default" w:ascii="Times New Roman" w:hAnsi="Times New Roman" w:cs="Times New Roman"/>
                <w:spacing w:val="-1"/>
                <w:sz w:val="24"/>
                <w:szCs w:val="24"/>
              </w:rPr>
              <w:t>项目审批</w:t>
            </w:r>
            <w:r>
              <w:rPr>
                <w:rFonts w:hint="default" w:ascii="Times New Roman" w:hAnsi="Times New Roman" w:cs="Times New Roman"/>
                <w:spacing w:val="-3"/>
                <w:sz w:val="24"/>
                <w:szCs w:val="24"/>
              </w:rPr>
              <w:t>（</w:t>
            </w:r>
            <w:r>
              <w:rPr>
                <w:rFonts w:hint="default" w:ascii="Times New Roman" w:hAnsi="Times New Roman" w:cs="Times New Roman"/>
                <w:spacing w:val="-2"/>
                <w:sz w:val="24"/>
                <w:szCs w:val="24"/>
              </w:rPr>
              <w:t>核准</w:t>
            </w:r>
            <w:r>
              <w:rPr>
                <w:rFonts w:hint="default" w:ascii="Times New Roman" w:hAnsi="Times New Roman" w:cs="Times New Roman"/>
                <w:spacing w:val="-3"/>
                <w:sz w:val="24"/>
                <w:szCs w:val="24"/>
              </w:rPr>
              <w:t>/</w:t>
            </w:r>
            <w:r>
              <w:rPr>
                <w:rFonts w:hint="default" w:ascii="Times New Roman" w:hAnsi="Times New Roman" w:cs="Times New Roman"/>
                <w:sz w:val="24"/>
                <w:szCs w:val="24"/>
              </w:rPr>
              <w:t>备案</w:t>
            </w:r>
            <w:r>
              <w:rPr>
                <w:rFonts w:hint="default" w:ascii="Times New Roman" w:hAnsi="Times New Roman" w:cs="Times New Roman"/>
                <w:spacing w:val="-3"/>
                <w:sz w:val="24"/>
                <w:szCs w:val="24"/>
              </w:rPr>
              <w:t>）</w:t>
            </w:r>
            <w:r>
              <w:rPr>
                <w:rFonts w:hint="default" w:ascii="Times New Roman" w:hAnsi="Times New Roman" w:cs="Times New Roman"/>
                <w:spacing w:val="-2"/>
                <w:sz w:val="24"/>
                <w:szCs w:val="24"/>
              </w:rPr>
              <w:t>文号</w:t>
            </w:r>
            <w:r>
              <w:rPr>
                <w:rFonts w:hint="default" w:ascii="Times New Roman" w:hAnsi="Times New Roman" w:cs="Times New Roman"/>
                <w:sz w:val="24"/>
                <w:szCs w:val="24"/>
              </w:rPr>
              <w:t>（</w:t>
            </w:r>
            <w:r>
              <w:rPr>
                <w:rFonts w:hint="default" w:ascii="Times New Roman" w:hAnsi="Times New Roman" w:cs="Times New Roman"/>
                <w:spacing w:val="-2"/>
                <w:sz w:val="24"/>
                <w:szCs w:val="24"/>
              </w:rPr>
              <w:t>选填</w:t>
            </w:r>
            <w:r>
              <w:rPr>
                <w:rFonts w:hint="default" w:ascii="Times New Roman" w:hAnsi="Times New Roman" w:cs="Times New Roman"/>
                <w:spacing w:val="-3"/>
                <w:sz w:val="24"/>
                <w:szCs w:val="24"/>
              </w:rPr>
              <w:t>）</w:t>
            </w:r>
          </w:p>
        </w:tc>
        <w:tc>
          <w:tcPr>
            <w:tcW w:w="2849" w:type="dxa"/>
            <w:tcBorders>
              <w:top w:val="single" w:color="000000" w:sz="4" w:space="0"/>
              <w:left w:val="single" w:color="000000" w:sz="4" w:space="0"/>
              <w:bottom w:val="single" w:color="000000" w:sz="4" w:space="0"/>
            </w:tcBorders>
          </w:tcPr>
          <w:p>
            <w:pPr>
              <w:pStyle w:val="15"/>
              <w:jc w:val="center"/>
              <w:rPr>
                <w:rFonts w:hint="default" w:ascii="Times New Roman" w:hAnsi="Times New Roman" w:cs="Times New Roman"/>
                <w:sz w:val="24"/>
                <w:szCs w:val="24"/>
              </w:rPr>
            </w:pPr>
          </w:p>
          <w:p>
            <w:pPr>
              <w:pStyle w:val="15"/>
              <w:ind w:right="1193"/>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671" w:type="dxa"/>
            <w:tcBorders>
              <w:top w:val="single" w:color="000000" w:sz="4" w:space="0"/>
              <w:bottom w:val="single" w:color="000000" w:sz="4" w:space="0"/>
              <w:right w:val="single" w:color="000000" w:sz="4" w:space="0"/>
            </w:tcBorders>
          </w:tcPr>
          <w:p>
            <w:pPr>
              <w:pStyle w:val="15"/>
              <w:spacing w:before="128"/>
              <w:ind w:right="210"/>
              <w:jc w:val="center"/>
              <w:rPr>
                <w:rFonts w:hint="default" w:ascii="Times New Roman" w:hAnsi="Times New Roman" w:cs="Times New Roman"/>
                <w:sz w:val="24"/>
                <w:szCs w:val="24"/>
              </w:rPr>
            </w:pPr>
            <w:r>
              <w:rPr>
                <w:rFonts w:hint="default" w:ascii="Times New Roman" w:hAnsi="Times New Roman" w:cs="Times New Roman"/>
                <w:sz w:val="24"/>
                <w:szCs w:val="24"/>
              </w:rPr>
              <w:t>总投资（万元）</w:t>
            </w:r>
          </w:p>
        </w:tc>
        <w:tc>
          <w:tcPr>
            <w:tcW w:w="2248" w:type="dxa"/>
            <w:tcBorders>
              <w:top w:val="single" w:color="000000" w:sz="4" w:space="0"/>
              <w:left w:val="single" w:color="000000" w:sz="4" w:space="0"/>
              <w:bottom w:val="single" w:color="000000" w:sz="4" w:space="0"/>
              <w:right w:val="single" w:color="000000" w:sz="4" w:space="0"/>
            </w:tcBorders>
          </w:tcPr>
          <w:p>
            <w:pPr>
              <w:pStyle w:val="15"/>
              <w:spacing w:before="128"/>
              <w:ind w:left="126"/>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110</w:t>
            </w:r>
          </w:p>
        </w:tc>
        <w:tc>
          <w:tcPr>
            <w:tcW w:w="2100" w:type="dxa"/>
            <w:tcBorders>
              <w:top w:val="single" w:color="000000" w:sz="4" w:space="0"/>
              <w:left w:val="single" w:color="000000" w:sz="4" w:space="0"/>
              <w:bottom w:val="single" w:color="000000" w:sz="4" w:space="0"/>
              <w:right w:val="single" w:color="000000" w:sz="4" w:space="0"/>
            </w:tcBorders>
          </w:tcPr>
          <w:p>
            <w:pPr>
              <w:pStyle w:val="15"/>
              <w:spacing w:before="128"/>
              <w:ind w:right="178"/>
              <w:jc w:val="center"/>
              <w:rPr>
                <w:rFonts w:hint="default" w:ascii="Times New Roman" w:hAnsi="Times New Roman" w:cs="Times New Roman"/>
                <w:sz w:val="24"/>
                <w:szCs w:val="24"/>
              </w:rPr>
            </w:pPr>
            <w:r>
              <w:rPr>
                <w:rFonts w:hint="default" w:ascii="Times New Roman" w:hAnsi="Times New Roman" w:cs="Times New Roman"/>
                <w:sz w:val="24"/>
                <w:szCs w:val="24"/>
              </w:rPr>
              <w:t>环保投资（万元）</w:t>
            </w:r>
          </w:p>
        </w:tc>
        <w:tc>
          <w:tcPr>
            <w:tcW w:w="2849" w:type="dxa"/>
            <w:tcBorders>
              <w:top w:val="single" w:color="000000" w:sz="4" w:space="0"/>
              <w:left w:val="single" w:color="000000" w:sz="4" w:space="0"/>
              <w:bottom w:val="single" w:color="000000" w:sz="4" w:space="0"/>
            </w:tcBorders>
          </w:tcPr>
          <w:p>
            <w:pPr>
              <w:pStyle w:val="15"/>
              <w:spacing w:before="128"/>
              <w:ind w:right="1193"/>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3" w:hRule="atLeast"/>
        </w:trPr>
        <w:tc>
          <w:tcPr>
            <w:tcW w:w="1671" w:type="dxa"/>
            <w:tcBorders>
              <w:top w:val="single" w:color="000000" w:sz="4" w:space="0"/>
              <w:bottom w:val="single" w:color="000000" w:sz="4" w:space="0"/>
              <w:right w:val="single" w:color="000000" w:sz="4" w:space="0"/>
            </w:tcBorders>
          </w:tcPr>
          <w:p>
            <w:pPr>
              <w:pStyle w:val="15"/>
              <w:spacing w:before="128"/>
              <w:ind w:right="213"/>
              <w:jc w:val="center"/>
              <w:rPr>
                <w:rFonts w:hint="default" w:ascii="Times New Roman" w:hAnsi="Times New Roman" w:cs="Times New Roman"/>
                <w:sz w:val="24"/>
                <w:szCs w:val="24"/>
              </w:rPr>
            </w:pPr>
            <w:r>
              <w:rPr>
                <w:rFonts w:hint="default" w:ascii="Times New Roman" w:hAnsi="Times New Roman" w:cs="Times New Roman"/>
                <w:sz w:val="24"/>
                <w:szCs w:val="24"/>
              </w:rPr>
              <w:t>环保投资占比（%）</w:t>
            </w:r>
          </w:p>
        </w:tc>
        <w:tc>
          <w:tcPr>
            <w:tcW w:w="2248" w:type="dxa"/>
            <w:tcBorders>
              <w:top w:val="single" w:color="000000" w:sz="4" w:space="0"/>
              <w:left w:val="single" w:color="000000" w:sz="4" w:space="0"/>
              <w:bottom w:val="single" w:color="000000" w:sz="4" w:space="0"/>
              <w:right w:val="single" w:color="000000" w:sz="4" w:space="0"/>
            </w:tcBorders>
          </w:tcPr>
          <w:p>
            <w:pPr>
              <w:pStyle w:val="15"/>
              <w:spacing w:before="128"/>
              <w:ind w:left="126"/>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18.18</w:t>
            </w:r>
          </w:p>
        </w:tc>
        <w:tc>
          <w:tcPr>
            <w:tcW w:w="2100" w:type="dxa"/>
            <w:tcBorders>
              <w:top w:val="single" w:color="000000" w:sz="4" w:space="0"/>
              <w:left w:val="single" w:color="000000" w:sz="4" w:space="0"/>
              <w:bottom w:val="single" w:color="000000" w:sz="4" w:space="0"/>
              <w:right w:val="single" w:color="000000" w:sz="4" w:space="0"/>
            </w:tcBorders>
          </w:tcPr>
          <w:p>
            <w:pPr>
              <w:pStyle w:val="15"/>
              <w:spacing w:before="128"/>
              <w:ind w:right="178"/>
              <w:jc w:val="center"/>
              <w:rPr>
                <w:rFonts w:hint="default" w:ascii="Times New Roman" w:hAnsi="Times New Roman" w:cs="Times New Roman"/>
                <w:sz w:val="24"/>
                <w:szCs w:val="24"/>
              </w:rPr>
            </w:pPr>
            <w:r>
              <w:rPr>
                <w:rFonts w:hint="default" w:ascii="Times New Roman" w:hAnsi="Times New Roman" w:cs="Times New Roman"/>
                <w:sz w:val="24"/>
                <w:szCs w:val="24"/>
              </w:rPr>
              <w:t>施工工期</w:t>
            </w:r>
          </w:p>
        </w:tc>
        <w:tc>
          <w:tcPr>
            <w:tcW w:w="2849" w:type="dxa"/>
            <w:tcBorders>
              <w:top w:val="single" w:color="000000" w:sz="4" w:space="0"/>
              <w:left w:val="single" w:color="000000" w:sz="4" w:space="0"/>
              <w:bottom w:val="single" w:color="000000" w:sz="4" w:space="0"/>
            </w:tcBorders>
          </w:tcPr>
          <w:p>
            <w:pPr>
              <w:pStyle w:val="15"/>
              <w:spacing w:before="128"/>
              <w:ind w:right="1193"/>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6个月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58" w:hRule="atLeast"/>
        </w:trPr>
        <w:tc>
          <w:tcPr>
            <w:tcW w:w="1671" w:type="dxa"/>
            <w:tcBorders>
              <w:top w:val="single" w:color="000000" w:sz="4" w:space="0"/>
              <w:bottom w:val="single" w:color="000000" w:sz="4" w:space="0"/>
              <w:right w:val="single" w:color="000000" w:sz="4" w:space="0"/>
            </w:tcBorders>
          </w:tcPr>
          <w:p>
            <w:pPr>
              <w:pStyle w:val="15"/>
              <w:spacing w:before="152"/>
              <w:ind w:right="210"/>
              <w:jc w:val="center"/>
              <w:rPr>
                <w:rFonts w:hint="default" w:ascii="Times New Roman" w:hAnsi="Times New Roman" w:cs="Times New Roman"/>
                <w:sz w:val="24"/>
                <w:szCs w:val="24"/>
              </w:rPr>
            </w:pPr>
            <w:r>
              <w:rPr>
                <w:rFonts w:hint="default" w:ascii="Times New Roman" w:hAnsi="Times New Roman" w:cs="Times New Roman"/>
                <w:sz w:val="24"/>
                <w:szCs w:val="24"/>
              </w:rPr>
              <w:t>是否开工建设</w:t>
            </w:r>
          </w:p>
        </w:tc>
        <w:tc>
          <w:tcPr>
            <w:tcW w:w="2248" w:type="dxa"/>
            <w:tcBorders>
              <w:top w:val="single" w:color="000000" w:sz="4" w:space="0"/>
              <w:left w:val="single" w:color="000000" w:sz="4" w:space="0"/>
              <w:bottom w:val="single" w:color="000000" w:sz="4" w:space="0"/>
              <w:right w:val="single" w:color="000000" w:sz="4" w:space="0"/>
            </w:tcBorders>
          </w:tcPr>
          <w:p>
            <w:pPr>
              <w:pStyle w:val="15"/>
              <w:numPr>
                <w:ilvl w:val="0"/>
                <w:numId w:val="0"/>
              </w:numPr>
              <w:tabs>
                <w:tab w:val="left" w:pos="199"/>
              </w:tabs>
              <w:spacing w:before="15" w:after="0" w:line="240" w:lineRule="auto"/>
              <w:ind w:left="8" w:leftChars="0" w:right="0" w:rightChars="0"/>
              <w:jc w:val="both"/>
              <w:rPr>
                <w:rFonts w:hint="default" w:ascii="Times New Roman" w:hAnsi="Times New Roman" w:cs="Times New Roman"/>
                <w:sz w:val="24"/>
                <w:szCs w:val="24"/>
              </w:rPr>
            </w:pPr>
            <w:r>
              <w:rPr>
                <w:rFonts w:hint="eastAsia" w:ascii="Times New Roman" w:hAnsi="Times New Roman" w:cs="Times New Roman"/>
                <w:spacing w:val="-3"/>
                <w:sz w:val="24"/>
                <w:szCs w:val="24"/>
                <w:lang w:eastAsia="zh-CN"/>
              </w:rPr>
              <w:t>□</w:t>
            </w:r>
            <w:r>
              <w:rPr>
                <w:rFonts w:hint="default" w:ascii="Times New Roman" w:hAnsi="Times New Roman" w:cs="Times New Roman"/>
                <w:spacing w:val="-3"/>
                <w:sz w:val="24"/>
                <w:szCs w:val="24"/>
              </w:rPr>
              <w:t>否</w:t>
            </w:r>
          </w:p>
          <w:p>
            <w:pPr>
              <w:pStyle w:val="15"/>
              <w:numPr>
                <w:ilvl w:val="0"/>
                <w:numId w:val="0"/>
              </w:numPr>
              <w:tabs>
                <w:tab w:val="left" w:pos="199"/>
              </w:tabs>
              <w:spacing w:before="5" w:after="0" w:line="250" w:lineRule="exact"/>
              <w:ind w:left="8" w:leftChars="0" w:right="-58" w:rightChars="0"/>
              <w:jc w:val="both"/>
              <w:rPr>
                <w:rFonts w:hint="default" w:ascii="Times New Roman" w:hAnsi="Times New Roman" w:eastAsia="宋体" w:cs="Times New Roman"/>
                <w:sz w:val="24"/>
                <w:szCs w:val="24"/>
                <w:lang w:val="en-US" w:eastAsia="zh-CN"/>
              </w:rPr>
            </w:pPr>
            <w:r>
              <w:rPr>
                <w:rFonts w:hint="eastAsia" w:ascii="Times New Roman" w:hAnsi="Times New Roman" w:cs="Times New Roman"/>
                <w:spacing w:val="-3"/>
                <w:sz w:val="24"/>
                <w:szCs w:val="24"/>
                <w:lang w:eastAsia="zh-CN"/>
              </w:rPr>
              <w:t>☑</w:t>
            </w:r>
            <w:r>
              <w:rPr>
                <w:rFonts w:hint="default" w:ascii="Times New Roman" w:hAnsi="Times New Roman" w:cs="Times New Roman"/>
                <w:sz w:val="24"/>
                <w:szCs w:val="24"/>
              </w:rPr>
              <w:t>是：</w:t>
            </w:r>
            <w:r>
              <w:rPr>
                <w:rFonts w:hint="eastAsia" w:ascii="Times New Roman" w:hAnsi="Times New Roman" w:cs="Times New Roman"/>
                <w:sz w:val="21"/>
                <w:szCs w:val="21"/>
                <w:lang w:val="en-US" w:eastAsia="zh-CN"/>
              </w:rPr>
              <w:t>已完成场地平整，设备组建，未投入生产。受到“九环行罚字（2021）10号”处罚后已完成处罚缴费。</w:t>
            </w:r>
          </w:p>
        </w:tc>
        <w:tc>
          <w:tcPr>
            <w:tcW w:w="2100" w:type="dxa"/>
            <w:tcBorders>
              <w:top w:val="single" w:color="000000" w:sz="4" w:space="0"/>
              <w:left w:val="single" w:color="000000" w:sz="4" w:space="0"/>
              <w:bottom w:val="single" w:color="000000" w:sz="4" w:space="0"/>
              <w:right w:val="single" w:color="000000" w:sz="4" w:space="0"/>
            </w:tcBorders>
          </w:tcPr>
          <w:p>
            <w:pPr>
              <w:pStyle w:val="15"/>
              <w:spacing w:before="6" w:line="274" w:lineRule="exact"/>
              <w:ind w:right="390"/>
              <w:jc w:val="center"/>
              <w:rPr>
                <w:rFonts w:hint="default" w:ascii="Times New Roman" w:hAnsi="Times New Roman" w:cs="Times New Roman"/>
                <w:sz w:val="24"/>
                <w:szCs w:val="24"/>
              </w:rPr>
            </w:pPr>
            <w:r>
              <w:rPr>
                <w:rFonts w:hint="default" w:ascii="Times New Roman" w:hAnsi="Times New Roman" w:cs="Times New Roman"/>
                <w:sz w:val="24"/>
                <w:szCs w:val="24"/>
              </w:rPr>
              <w:t>用地（用海） 面积（</w:t>
            </w:r>
            <w:r>
              <w:rPr>
                <w:rFonts w:hint="eastAsia" w:ascii="Times New Roman" w:hAnsi="Times New Roman" w:cs="Times New Roman"/>
                <w:sz w:val="24"/>
                <w:szCs w:val="24"/>
                <w:lang w:val="en-US" w:eastAsia="zh-CN"/>
              </w:rPr>
              <w:t>m</w:t>
            </w:r>
            <w:r>
              <w:rPr>
                <w:rFonts w:hint="eastAsia" w:ascii="Times New Roman" w:hAnsi="Times New Roman" w:cs="Times New Roman"/>
                <w:sz w:val="24"/>
                <w:szCs w:val="24"/>
                <w:vertAlign w:val="superscript"/>
                <w:lang w:val="en-US" w:eastAsia="zh-CN"/>
              </w:rPr>
              <w:t>2</w:t>
            </w:r>
            <w:r>
              <w:rPr>
                <w:rFonts w:hint="default" w:ascii="Times New Roman" w:hAnsi="Times New Roman" w:cs="Times New Roman"/>
                <w:sz w:val="24"/>
                <w:szCs w:val="24"/>
              </w:rPr>
              <w:t>）</w:t>
            </w:r>
          </w:p>
        </w:tc>
        <w:tc>
          <w:tcPr>
            <w:tcW w:w="2849" w:type="dxa"/>
            <w:tcBorders>
              <w:top w:val="single" w:color="000000" w:sz="4" w:space="0"/>
              <w:left w:val="single" w:color="000000" w:sz="4" w:space="0"/>
              <w:bottom w:val="single" w:color="000000" w:sz="4" w:space="0"/>
            </w:tcBorders>
          </w:tcPr>
          <w:p>
            <w:pPr>
              <w:pStyle w:val="15"/>
              <w:spacing w:before="152"/>
              <w:ind w:left="1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8600</w:t>
            </w:r>
            <w:r>
              <w:rPr>
                <w:rFonts w:hint="eastAsia" w:ascii="Times New Roman" w:hAnsi="Times New Roman" w:cs="Times New Roman"/>
                <w:sz w:val="24"/>
                <w:szCs w:val="24"/>
                <w:lang w:val="en-US" w:eastAsia="zh-CN"/>
              </w:rPr>
              <w:t>.70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8" w:hRule="atLeast"/>
        </w:trPr>
        <w:tc>
          <w:tcPr>
            <w:tcW w:w="1671" w:type="dxa"/>
            <w:tcBorders>
              <w:top w:val="single" w:color="000000" w:sz="4" w:space="0"/>
              <w:bottom w:val="single" w:color="000000" w:sz="4" w:space="0"/>
              <w:right w:val="single" w:color="000000" w:sz="4" w:space="0"/>
            </w:tcBorders>
          </w:tcPr>
          <w:p>
            <w:pPr>
              <w:pStyle w:val="15"/>
              <w:spacing w:line="242" w:lineRule="auto"/>
              <w:ind w:right="437"/>
              <w:jc w:val="center"/>
              <w:rPr>
                <w:rFonts w:hint="default" w:ascii="Times New Roman" w:hAnsi="Times New Roman" w:cs="Times New Roman"/>
                <w:sz w:val="24"/>
                <w:szCs w:val="24"/>
              </w:rPr>
            </w:pPr>
            <w:r>
              <w:rPr>
                <w:rFonts w:hint="default" w:ascii="Times New Roman" w:hAnsi="Times New Roman" w:cs="Times New Roman"/>
                <w:sz w:val="24"/>
                <w:szCs w:val="24"/>
              </w:rPr>
              <w:t>专项评价设置情况</w:t>
            </w:r>
          </w:p>
        </w:tc>
        <w:tc>
          <w:tcPr>
            <w:tcW w:w="7197" w:type="dxa"/>
            <w:gridSpan w:val="3"/>
            <w:tcBorders>
              <w:top w:val="single" w:color="000000" w:sz="4" w:space="0"/>
              <w:left w:val="single" w:color="000000" w:sz="4" w:space="0"/>
              <w:bottom w:val="single" w:color="000000" w:sz="4" w:space="0"/>
            </w:tcBorders>
          </w:tcPr>
          <w:p>
            <w:pPr>
              <w:pStyle w:val="15"/>
              <w:spacing w:line="242" w:lineRule="auto"/>
              <w:ind w:right="437"/>
              <w:jc w:val="center"/>
              <w:rPr>
                <w:rFonts w:hint="default" w:ascii="Times New Roman" w:hAnsi="Times New Roman" w:cs="Times New Roman"/>
                <w:sz w:val="24"/>
                <w:szCs w:val="24"/>
                <w:lang w:val="en-US" w:eastAsia="zh-CN"/>
              </w:rPr>
            </w:pPr>
          </w:p>
          <w:p>
            <w:pPr>
              <w:keepNext w:val="0"/>
              <w:keepLines w:val="0"/>
              <w:widowControl/>
              <w:suppressLineNumbers w:val="0"/>
              <w:jc w:val="left"/>
              <w:rPr>
                <w:rFonts w:hint="eastAsia" w:ascii="Times New Roman" w:hAnsi="Times New Roman" w:cs="Times New Roman"/>
                <w:spacing w:val="-1"/>
                <w:sz w:val="24"/>
                <w:szCs w:val="24"/>
                <w:lang w:eastAsia="zh-CN"/>
              </w:rPr>
            </w:pPr>
            <w:r>
              <w:rPr>
                <w:rFonts w:hint="eastAsia" w:ascii="Times New Roman" w:hAnsi="Times New Roman" w:cs="Times New Roman"/>
                <w:spacing w:val="-1"/>
                <w:sz w:val="24"/>
                <w:szCs w:val="24"/>
              </w:rPr>
              <w:t>大气环境影响评价专题报告</w:t>
            </w:r>
            <w:r>
              <w:rPr>
                <w:rFonts w:hint="eastAsia" w:ascii="Times New Roman" w:hAnsi="Times New Roman" w:cs="Times New Roman"/>
                <w:spacing w:val="-1"/>
                <w:sz w:val="24"/>
                <w:szCs w:val="24"/>
                <w:lang w:eastAsia="zh-CN"/>
              </w:rPr>
              <w:t>（</w:t>
            </w:r>
            <w:r>
              <w:rPr>
                <w:rFonts w:hint="eastAsia" w:ascii="Times New Roman" w:hAnsi="Times New Roman" w:cs="Times New Roman"/>
                <w:spacing w:val="-1"/>
                <w:sz w:val="24"/>
                <w:szCs w:val="24"/>
                <w:lang w:val="en-US" w:eastAsia="zh-CN"/>
              </w:rPr>
              <w:t>排放废气中含有苯并（a）芘且厂界外500米范围内有环境空气保护目标的建设项目</w:t>
            </w:r>
            <w:r>
              <w:rPr>
                <w:rFonts w:hint="eastAsia" w:ascii="Times New Roman" w:hAnsi="Times New Roman" w:cs="Times New Roman"/>
                <w:spacing w:val="-1"/>
                <w:sz w:val="24"/>
                <w:szCs w:val="24"/>
                <w:lang w:eastAsia="zh-CN"/>
              </w:rPr>
              <w:t>）</w:t>
            </w:r>
          </w:p>
          <w:p>
            <w:pPr>
              <w:pStyle w:val="15"/>
              <w:spacing w:line="242" w:lineRule="auto"/>
              <w:ind w:right="437"/>
              <w:jc w:val="center"/>
              <w:rPr>
                <w:rFonts w:hint="default" w:ascii="Times New Roman" w:hAnsi="Times New Roman" w:cs="Times New Roman"/>
                <w:sz w:val="24"/>
                <w:szCs w:val="24"/>
                <w:lang w:val="en-US"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22" w:hRule="atLeast"/>
        </w:trPr>
        <w:tc>
          <w:tcPr>
            <w:tcW w:w="1671" w:type="dxa"/>
            <w:tcBorders>
              <w:top w:val="single" w:color="000000" w:sz="4" w:space="0"/>
              <w:bottom w:val="single" w:color="000000" w:sz="4" w:space="0"/>
              <w:right w:val="single" w:color="000000" w:sz="4" w:space="0"/>
            </w:tcBorders>
          </w:tcPr>
          <w:p>
            <w:pPr>
              <w:pStyle w:val="15"/>
              <w:spacing w:line="242" w:lineRule="auto"/>
              <w:ind w:right="437"/>
              <w:jc w:val="center"/>
              <w:rPr>
                <w:rFonts w:hint="default" w:ascii="Times New Roman" w:hAnsi="Times New Roman" w:cs="Times New Roman"/>
                <w:sz w:val="24"/>
                <w:szCs w:val="24"/>
              </w:rPr>
            </w:pPr>
            <w:r>
              <w:rPr>
                <w:rFonts w:hint="default" w:ascii="Times New Roman" w:hAnsi="Times New Roman" w:cs="Times New Roman"/>
                <w:sz w:val="24"/>
                <w:szCs w:val="24"/>
              </w:rPr>
              <w:t>规划情况</w:t>
            </w:r>
          </w:p>
        </w:tc>
        <w:tc>
          <w:tcPr>
            <w:tcW w:w="7197" w:type="dxa"/>
            <w:gridSpan w:val="3"/>
            <w:tcBorders>
              <w:top w:val="single" w:color="000000" w:sz="4" w:space="0"/>
              <w:left w:val="single" w:color="000000" w:sz="4" w:space="0"/>
              <w:bottom w:val="single" w:color="000000" w:sz="4" w:space="0"/>
            </w:tcBorders>
          </w:tcPr>
          <w:p>
            <w:pPr>
              <w:pStyle w:val="15"/>
              <w:spacing w:line="242" w:lineRule="auto"/>
              <w:ind w:right="437"/>
              <w:jc w:val="center"/>
              <w:rPr>
                <w:rFonts w:hint="default" w:ascii="Times New Roman" w:hAnsi="Times New Roman" w:cs="Times New Roman"/>
                <w:sz w:val="24"/>
                <w:szCs w:val="24"/>
                <w:lang w:val="en-US" w:eastAsia="zh-CN"/>
              </w:rPr>
            </w:pPr>
          </w:p>
          <w:p>
            <w:pPr>
              <w:pStyle w:val="15"/>
              <w:spacing w:line="242" w:lineRule="auto"/>
              <w:ind w:right="437"/>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3" w:hRule="atLeast"/>
        </w:trPr>
        <w:tc>
          <w:tcPr>
            <w:tcW w:w="1671" w:type="dxa"/>
            <w:tcBorders>
              <w:top w:val="single" w:color="000000" w:sz="4" w:space="0"/>
              <w:bottom w:val="single" w:color="000000" w:sz="4" w:space="0"/>
              <w:right w:val="single" w:color="000000" w:sz="4" w:space="0"/>
            </w:tcBorders>
          </w:tcPr>
          <w:p>
            <w:pPr>
              <w:pStyle w:val="15"/>
              <w:spacing w:line="242" w:lineRule="auto"/>
              <w:ind w:right="437"/>
              <w:jc w:val="center"/>
              <w:rPr>
                <w:rFonts w:hint="default" w:ascii="Times New Roman" w:hAnsi="Times New Roman" w:cs="Times New Roman"/>
                <w:sz w:val="24"/>
                <w:szCs w:val="24"/>
              </w:rPr>
            </w:pPr>
            <w:r>
              <w:rPr>
                <w:rFonts w:hint="default" w:ascii="Times New Roman" w:hAnsi="Times New Roman" w:cs="Times New Roman"/>
                <w:sz w:val="24"/>
                <w:szCs w:val="24"/>
              </w:rPr>
              <w:t>规划环境影响评价情况</w:t>
            </w:r>
          </w:p>
        </w:tc>
        <w:tc>
          <w:tcPr>
            <w:tcW w:w="7197" w:type="dxa"/>
            <w:gridSpan w:val="3"/>
            <w:tcBorders>
              <w:top w:val="single" w:color="000000" w:sz="4" w:space="0"/>
              <w:left w:val="single" w:color="000000" w:sz="4" w:space="0"/>
              <w:bottom w:val="single" w:color="000000" w:sz="4" w:space="0"/>
            </w:tcBorders>
          </w:tcPr>
          <w:p>
            <w:pPr>
              <w:pStyle w:val="15"/>
              <w:spacing w:line="242" w:lineRule="auto"/>
              <w:ind w:right="437"/>
              <w:jc w:val="center"/>
              <w:rPr>
                <w:rFonts w:hint="default" w:ascii="Times New Roman" w:hAnsi="Times New Roman" w:cs="Times New Roman"/>
                <w:sz w:val="24"/>
                <w:szCs w:val="24"/>
              </w:rPr>
            </w:pPr>
          </w:p>
          <w:p>
            <w:pPr>
              <w:pStyle w:val="15"/>
              <w:spacing w:line="242" w:lineRule="auto"/>
              <w:ind w:right="437"/>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1671" w:type="dxa"/>
            <w:tcBorders>
              <w:top w:val="single" w:color="000000" w:sz="4" w:space="0"/>
              <w:bottom w:val="single" w:color="000000" w:sz="4" w:space="0"/>
              <w:right w:val="single" w:color="000000" w:sz="4" w:space="0"/>
            </w:tcBorders>
          </w:tcPr>
          <w:p>
            <w:pPr>
              <w:pStyle w:val="15"/>
              <w:spacing w:before="7"/>
              <w:rPr>
                <w:rFonts w:hint="default" w:ascii="Times New Roman" w:hAnsi="Times New Roman" w:cs="Times New Roman"/>
                <w:sz w:val="18"/>
              </w:rPr>
            </w:pPr>
          </w:p>
          <w:p>
            <w:pPr>
              <w:pStyle w:val="15"/>
              <w:spacing w:before="1" w:line="244" w:lineRule="auto"/>
              <w:ind w:right="122"/>
              <w:rPr>
                <w:rFonts w:hint="default" w:ascii="Times New Roman" w:hAnsi="Times New Roman" w:cs="Times New Roman"/>
                <w:spacing w:val="-3"/>
                <w:sz w:val="21"/>
              </w:rPr>
            </w:pPr>
          </w:p>
          <w:p>
            <w:pPr>
              <w:pStyle w:val="15"/>
              <w:spacing w:before="1" w:line="244" w:lineRule="auto"/>
              <w:ind w:right="122"/>
              <w:rPr>
                <w:rFonts w:hint="default" w:ascii="Times New Roman" w:hAnsi="Times New Roman" w:cs="Times New Roman"/>
                <w:spacing w:val="-3"/>
                <w:sz w:val="21"/>
              </w:rPr>
            </w:pPr>
          </w:p>
          <w:p>
            <w:pPr>
              <w:pStyle w:val="15"/>
              <w:spacing w:before="1" w:line="244" w:lineRule="auto"/>
              <w:ind w:right="122"/>
              <w:jc w:val="center"/>
              <w:rPr>
                <w:rFonts w:hint="default" w:ascii="Times New Roman" w:hAnsi="Times New Roman" w:cs="Times New Roman"/>
                <w:sz w:val="21"/>
              </w:rPr>
            </w:pPr>
            <w:r>
              <w:rPr>
                <w:rFonts w:hint="default" w:ascii="Times New Roman" w:hAnsi="Times New Roman" w:cs="Times New Roman"/>
                <w:spacing w:val="-3"/>
                <w:sz w:val="24"/>
                <w:szCs w:val="24"/>
              </w:rPr>
              <w:t>规划及规划环境影响评价符合性分析</w:t>
            </w:r>
          </w:p>
        </w:tc>
        <w:tc>
          <w:tcPr>
            <w:tcW w:w="7197" w:type="dxa"/>
            <w:gridSpan w:val="3"/>
            <w:tcBorders>
              <w:top w:val="single" w:color="000000" w:sz="4" w:space="0"/>
              <w:left w:val="single" w:color="000000" w:sz="4" w:space="0"/>
              <w:bottom w:val="single" w:color="000000" w:sz="4" w:space="0"/>
            </w:tcBorders>
          </w:tcPr>
          <w:p>
            <w:pPr>
              <w:snapToGrid w:val="0"/>
              <w:spacing w:line="360" w:lineRule="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rPr>
              <w:t>产业政策符合性分析</w:t>
            </w:r>
          </w:p>
          <w:p>
            <w:pPr>
              <w:snapToGrid w:val="0"/>
              <w:spacing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本项目为沥青混凝土生产建设项目，根据《国民经济行业分类与代码》</w:t>
            </w:r>
            <w:r>
              <w:rPr>
                <w:rFonts w:hint="default" w:ascii="Times New Roman" w:hAnsi="Times New Roman" w:eastAsia="宋体" w:cs="Times New Roman"/>
                <w:w w:val="100"/>
                <w:sz w:val="24"/>
                <w:szCs w:val="22"/>
                <w:lang w:val="zh-CN" w:eastAsia="zh-CN" w:bidi="zh-CN"/>
              </w:rPr>
              <w:t>（GB/4754-2017），本</w:t>
            </w:r>
            <w:r>
              <w:rPr>
                <w:rFonts w:hint="default" w:ascii="Times New Roman" w:hAnsi="Times New Roman" w:cs="Times New Roman"/>
                <w:sz w:val="24"/>
              </w:rPr>
              <w:t>项目属于制品业中的</w:t>
            </w:r>
            <w:r>
              <w:rPr>
                <w:rFonts w:hint="eastAsia" w:ascii="Times New Roman" w:hAnsi="Times New Roman" w:cs="Times New Roman"/>
                <w:sz w:val="24"/>
                <w:lang w:eastAsia="zh-CN"/>
              </w:rPr>
              <w:t>“</w:t>
            </w:r>
            <w:r>
              <w:rPr>
                <w:rFonts w:hint="default" w:ascii="Times New Roman" w:hAnsi="Times New Roman" w:cs="Times New Roman"/>
                <w:sz w:val="24"/>
              </w:rPr>
              <w:t>其他建筑材料制造（C3039）</w:t>
            </w:r>
            <w:r>
              <w:rPr>
                <w:rFonts w:hint="eastAsia" w:ascii="Times New Roman" w:hAnsi="Times New Roman" w:cs="Times New Roman"/>
                <w:sz w:val="24"/>
                <w:lang w:eastAsia="zh-CN"/>
              </w:rPr>
              <w:t>”</w:t>
            </w:r>
            <w:r>
              <w:rPr>
                <w:rFonts w:hint="default" w:ascii="Times New Roman" w:hAnsi="Times New Roman" w:cs="Times New Roman"/>
                <w:sz w:val="24"/>
              </w:rPr>
              <w:t>；根据中华人民共和国国家发展和改革委员会《产业结构调整指导目录》</w:t>
            </w:r>
            <w:r>
              <w:rPr>
                <w:rFonts w:hint="default" w:ascii="Times New Roman" w:hAnsi="Times New Roman" w:cs="Times New Roman"/>
                <w:sz w:val="24"/>
                <w:lang w:val="en-US" w:eastAsia="zh-CN"/>
              </w:rPr>
              <w:t xml:space="preserve"> </w:t>
            </w:r>
            <w:r>
              <w:rPr>
                <w:rFonts w:hint="default" w:ascii="Times New Roman" w:hAnsi="Times New Roman" w:cs="Times New Roman"/>
                <w:sz w:val="24"/>
              </w:rPr>
              <w:t>（2019年本，2020年1月1日起施行）中相关规定，本项目不属于鼓励类、限制类、淘汰类，视为允许类。根据国家发展改革委商务部关于《市场准入负面清单（2018年版）》的通知（发改经体〔2018〕1892号），本项目不属于禁止准入类。</w:t>
            </w:r>
          </w:p>
          <w:p>
            <w:pPr>
              <w:snapToGrid w:val="0"/>
              <w:spacing w:line="360" w:lineRule="auto"/>
              <w:ind w:firstLine="480" w:firstLineChars="200"/>
              <w:rPr>
                <w:rFonts w:hint="default" w:ascii="Times New Roman" w:hAnsi="Times New Roman" w:cs="Times New Roman"/>
                <w:w w:val="100"/>
                <w:sz w:val="21"/>
              </w:rPr>
            </w:pPr>
            <w:r>
              <w:rPr>
                <w:rFonts w:hint="default" w:ascii="Times New Roman" w:hAnsi="Times New Roman" w:cs="Times New Roman"/>
                <w:sz w:val="24"/>
              </w:rPr>
              <w:t>综上，本项目符合国家现行产业政策。</w:t>
            </w:r>
          </w:p>
          <w:p>
            <w:pPr>
              <w:snapToGrid w:val="0"/>
              <w:spacing w:line="360" w:lineRule="auto"/>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en-US" w:eastAsia="zh-CN"/>
              </w:rPr>
              <w:t>.项目与十四五规划及用地规划符合性分析</w:t>
            </w:r>
          </w:p>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jc w:val="both"/>
              <w:textAlignment w:val="auto"/>
              <w:rPr>
                <w:rFonts w:hint="default" w:ascii="Times New Roman" w:hAnsi="Times New Roman" w:eastAsia="宋体" w:cs="Times New Roman"/>
                <w:sz w:val="24"/>
                <w:szCs w:val="22"/>
                <w:lang w:val="en-US" w:eastAsia="zh-CN" w:bidi="zh-CN"/>
              </w:rPr>
            </w:pPr>
            <w:r>
              <w:rPr>
                <w:rFonts w:hint="default" w:ascii="Times New Roman" w:hAnsi="Times New Roman" w:eastAsia="宋体" w:cs="Times New Roman"/>
                <w:sz w:val="24"/>
                <w:szCs w:val="22"/>
                <w:lang w:val="zh-CN" w:eastAsia="zh-CN" w:bidi="zh-CN"/>
              </w:rPr>
              <w:t>根据《甘孜藏族自治州国民经济和社会发展第十</w:t>
            </w:r>
            <w:r>
              <w:rPr>
                <w:rFonts w:hint="default" w:ascii="Times New Roman" w:hAnsi="Times New Roman" w:eastAsia="宋体" w:cs="Times New Roman"/>
                <w:sz w:val="24"/>
                <w:szCs w:val="22"/>
                <w:lang w:val="en-US" w:eastAsia="zh-CN" w:bidi="zh-CN"/>
              </w:rPr>
              <w:t>四</w:t>
            </w:r>
            <w:r>
              <w:rPr>
                <w:rFonts w:hint="default" w:ascii="Times New Roman" w:hAnsi="Times New Roman" w:eastAsia="宋体" w:cs="Times New Roman"/>
                <w:sz w:val="24"/>
                <w:szCs w:val="22"/>
                <w:lang w:val="zh-CN" w:eastAsia="zh-CN" w:bidi="zh-CN"/>
              </w:rPr>
              <w:t>个五年规划</w:t>
            </w:r>
            <w:r>
              <w:rPr>
                <w:rFonts w:hint="default" w:ascii="Times New Roman" w:hAnsi="Times New Roman" w:eastAsia="宋体" w:cs="Times New Roman"/>
                <w:sz w:val="24"/>
                <w:szCs w:val="22"/>
                <w:lang w:val="en-US" w:eastAsia="zh-CN" w:bidi="zh-CN"/>
              </w:rPr>
              <w:t>和二〇三五远景目标规划</w:t>
            </w:r>
            <w:r>
              <w:rPr>
                <w:rFonts w:hint="default" w:ascii="Times New Roman" w:hAnsi="Times New Roman" w:eastAsia="宋体" w:cs="Times New Roman"/>
                <w:sz w:val="24"/>
                <w:szCs w:val="22"/>
                <w:lang w:val="zh-CN" w:eastAsia="zh-CN" w:bidi="zh-CN"/>
              </w:rPr>
              <w:t>》中</w:t>
            </w:r>
            <w:r>
              <w:rPr>
                <w:rFonts w:hint="eastAsia" w:ascii="Times New Roman" w:hAnsi="Times New Roman" w:cs="Times New Roman"/>
                <w:sz w:val="24"/>
                <w:szCs w:val="22"/>
                <w:lang w:val="zh-CN" w:eastAsia="zh-CN" w:bidi="zh-CN"/>
              </w:rPr>
              <w:t>“</w:t>
            </w:r>
            <w:r>
              <w:rPr>
                <w:rFonts w:hint="default" w:ascii="Times New Roman" w:hAnsi="Times New Roman" w:eastAsia="宋体" w:cs="Times New Roman"/>
                <w:sz w:val="24"/>
                <w:szCs w:val="22"/>
                <w:lang w:val="zh-CN" w:eastAsia="zh-CN" w:bidi="zh-CN"/>
              </w:rPr>
              <w:t>第</w:t>
            </w:r>
            <w:r>
              <w:rPr>
                <w:rFonts w:hint="default" w:ascii="Times New Roman" w:hAnsi="Times New Roman" w:eastAsia="宋体" w:cs="Times New Roman"/>
                <w:sz w:val="24"/>
                <w:szCs w:val="22"/>
                <w:lang w:val="en-US" w:eastAsia="zh-CN" w:bidi="zh-CN"/>
              </w:rPr>
              <w:t>五</w:t>
            </w:r>
            <w:r>
              <w:rPr>
                <w:rFonts w:hint="default" w:ascii="Times New Roman" w:hAnsi="Times New Roman" w:eastAsia="宋体" w:cs="Times New Roman"/>
                <w:sz w:val="24"/>
                <w:szCs w:val="22"/>
                <w:lang w:val="zh-CN" w:eastAsia="zh-CN" w:bidi="zh-CN"/>
              </w:rPr>
              <w:t>篇、第</w:t>
            </w:r>
            <w:r>
              <w:rPr>
                <w:rFonts w:hint="default" w:ascii="Times New Roman" w:hAnsi="Times New Roman" w:eastAsia="宋体" w:cs="Times New Roman"/>
                <w:sz w:val="24"/>
                <w:szCs w:val="22"/>
                <w:lang w:val="en-US" w:eastAsia="zh-CN" w:bidi="zh-CN"/>
              </w:rPr>
              <w:t>十四</w:t>
            </w:r>
            <w:r>
              <w:rPr>
                <w:rFonts w:hint="default" w:ascii="Times New Roman" w:hAnsi="Times New Roman" w:eastAsia="宋体" w:cs="Times New Roman"/>
                <w:sz w:val="24"/>
                <w:szCs w:val="22"/>
                <w:lang w:val="zh-CN" w:eastAsia="zh-CN" w:bidi="zh-CN"/>
              </w:rPr>
              <w:t>章、第</w:t>
            </w:r>
            <w:r>
              <w:rPr>
                <w:rFonts w:hint="default" w:ascii="Times New Roman" w:hAnsi="Times New Roman" w:eastAsia="宋体" w:cs="Times New Roman"/>
                <w:sz w:val="24"/>
                <w:szCs w:val="22"/>
                <w:lang w:val="en-US" w:eastAsia="zh-CN" w:bidi="zh-CN"/>
              </w:rPr>
              <w:t>三</w:t>
            </w:r>
            <w:r>
              <w:rPr>
                <w:rFonts w:hint="default" w:ascii="Times New Roman" w:hAnsi="Times New Roman" w:eastAsia="宋体" w:cs="Times New Roman"/>
                <w:sz w:val="24"/>
                <w:szCs w:val="22"/>
                <w:lang w:val="zh-CN" w:eastAsia="zh-CN" w:bidi="zh-CN"/>
              </w:rPr>
              <w:t>节、</w:t>
            </w:r>
            <w:r>
              <w:rPr>
                <w:rFonts w:hint="default" w:ascii="Times New Roman" w:hAnsi="Times New Roman" w:eastAsia="宋体" w:cs="Times New Roman"/>
                <w:sz w:val="24"/>
                <w:szCs w:val="22"/>
                <w:lang w:val="en-US" w:eastAsia="zh-CN" w:bidi="zh-CN"/>
              </w:rPr>
              <w:t>加快公路交通建设</w:t>
            </w:r>
            <w:r>
              <w:rPr>
                <w:rFonts w:hint="default" w:ascii="Times New Roman" w:hAnsi="Times New Roman" w:eastAsia="宋体" w:cs="Times New Roman"/>
                <w:sz w:val="24"/>
                <w:szCs w:val="22"/>
                <w:lang w:val="zh-CN" w:eastAsia="zh-CN" w:bidi="zh-CN"/>
              </w:rPr>
              <w:t>”提出“</w:t>
            </w:r>
            <w:r>
              <w:rPr>
                <w:rFonts w:hint="default" w:ascii="Times New Roman" w:hAnsi="Times New Roman" w:eastAsia="宋体" w:cs="Times New Roman"/>
                <w:sz w:val="24"/>
                <w:szCs w:val="22"/>
                <w:lang w:val="en-US" w:eastAsia="zh-CN" w:bidi="zh-CN"/>
              </w:rPr>
              <w:t>实施国省干线公路升级改造和灾害治理工程，开工建设九龙至稻城、色达至翁达等国省干线，改造提升 G318 康定至西藏界等国省干线瓶颈路段，推动骨干公路加密成网。</w:t>
            </w:r>
            <w:r>
              <w:rPr>
                <w:rFonts w:hint="eastAsia" w:ascii="Times New Roman" w:hAnsi="Times New Roman" w:cs="Times New Roman"/>
                <w:sz w:val="24"/>
                <w:szCs w:val="22"/>
                <w:lang w:val="zh-CN" w:eastAsia="zh-CN" w:bidi="zh-CN"/>
              </w:rPr>
              <w:t>”</w:t>
            </w:r>
            <w:r>
              <w:rPr>
                <w:rFonts w:hint="eastAsia" w:ascii="宋体" w:hAnsi="宋体" w:eastAsia="宋体" w:cs="宋体"/>
                <w:sz w:val="24"/>
                <w:szCs w:val="22"/>
                <w:lang w:val="zh-CN" w:eastAsia="zh-CN" w:bidi="zh-CN"/>
              </w:rPr>
              <w:t>“</w:t>
            </w:r>
            <w:r>
              <w:rPr>
                <w:rFonts w:hint="eastAsia" w:ascii="宋体" w:hAnsi="宋体" w:eastAsia="宋体" w:cs="宋体"/>
                <w:sz w:val="24"/>
                <w:szCs w:val="22"/>
                <w:lang w:val="en-US" w:eastAsia="zh-CN" w:bidi="zh-CN"/>
              </w:rPr>
              <w:t>专</w:t>
            </w:r>
            <w:r>
              <w:rPr>
                <w:rFonts w:hint="default" w:ascii="Times New Roman" w:hAnsi="Times New Roman" w:cs="Times New Roman"/>
                <w:sz w:val="24"/>
                <w:szCs w:val="22"/>
                <w:lang w:val="en-US" w:eastAsia="zh-CN" w:bidi="zh-CN"/>
              </w:rPr>
              <w:t>栏7  综合交通建设重</w:t>
            </w:r>
            <w:r>
              <w:rPr>
                <w:rFonts w:hint="eastAsia" w:ascii="宋体" w:hAnsi="宋体" w:eastAsia="宋体" w:cs="宋体"/>
                <w:sz w:val="24"/>
                <w:szCs w:val="22"/>
                <w:lang w:val="en-US" w:eastAsia="zh-CN" w:bidi="zh-CN"/>
              </w:rPr>
              <w:t>点工程</w:t>
            </w:r>
            <w:r>
              <w:rPr>
                <w:rFonts w:hint="eastAsia" w:ascii="宋体" w:hAnsi="宋体" w:eastAsia="宋体" w:cs="宋体"/>
                <w:sz w:val="24"/>
                <w:szCs w:val="22"/>
                <w:lang w:val="zh-CN" w:eastAsia="zh-CN" w:bidi="zh-CN"/>
              </w:rPr>
              <w:t>”</w:t>
            </w:r>
            <w:r>
              <w:rPr>
                <w:rFonts w:hint="eastAsia" w:ascii="宋体" w:hAnsi="宋体" w:eastAsia="宋体" w:cs="宋体"/>
                <w:sz w:val="24"/>
                <w:szCs w:val="22"/>
                <w:lang w:val="en-US" w:eastAsia="zh-CN" w:bidi="zh-CN"/>
              </w:rPr>
              <w:t>提出“国</w:t>
            </w:r>
            <w:r>
              <w:rPr>
                <w:rFonts w:hint="default" w:ascii="Times New Roman" w:hAnsi="Times New Roman" w:cs="Times New Roman"/>
                <w:sz w:val="24"/>
                <w:szCs w:val="22"/>
                <w:lang w:val="en-US" w:eastAsia="zh-CN" w:bidi="zh-CN"/>
              </w:rPr>
              <w:t>道。建成：G248丹巴县城至阿坝州界等公</w:t>
            </w:r>
            <w:r>
              <w:rPr>
                <w:rFonts w:hint="eastAsia" w:ascii="宋体" w:hAnsi="宋体" w:eastAsia="宋体" w:cs="宋体"/>
                <w:sz w:val="24"/>
                <w:szCs w:val="22"/>
                <w:lang w:val="en-US" w:eastAsia="zh-CN" w:bidi="zh-CN"/>
              </w:rPr>
              <w:t>路”</w:t>
            </w:r>
            <w:r>
              <w:rPr>
                <w:rFonts w:hint="default" w:ascii="Times New Roman" w:hAnsi="Times New Roman" w:cs="Times New Roman"/>
                <w:sz w:val="24"/>
                <w:szCs w:val="22"/>
                <w:lang w:val="en-US" w:eastAsia="zh-CN" w:bidi="zh-CN"/>
              </w:rPr>
              <w:t>。</w:t>
            </w:r>
          </w:p>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jc w:val="both"/>
              <w:textAlignment w:val="auto"/>
              <w:rPr>
                <w:rFonts w:hint="default" w:ascii="Times New Roman" w:hAnsi="Times New Roman" w:eastAsia="宋体" w:cs="Times New Roman"/>
                <w:sz w:val="24"/>
                <w:szCs w:val="22"/>
                <w:lang w:val="zh-CN" w:eastAsia="zh-CN" w:bidi="zh-CN"/>
              </w:rPr>
            </w:pPr>
            <w:r>
              <w:rPr>
                <w:rFonts w:hint="default" w:ascii="Times New Roman" w:hAnsi="Times New Roman" w:eastAsia="宋体" w:cs="Times New Roman"/>
                <w:sz w:val="24"/>
                <w:szCs w:val="22"/>
                <w:lang w:val="en-US" w:eastAsia="zh-CN" w:bidi="zh-CN"/>
              </w:rPr>
              <w:t>本项目的建设是</w:t>
            </w:r>
            <w:r>
              <w:rPr>
                <w:rFonts w:hint="default" w:ascii="Times New Roman" w:hAnsi="Times New Roman" w:cs="Times New Roman"/>
                <w:sz w:val="24"/>
                <w:szCs w:val="22"/>
                <w:lang w:val="en-US" w:eastAsia="zh-CN" w:bidi="zh-CN"/>
              </w:rPr>
              <w:t>G248线公路路面大中修工程的配套工程</w:t>
            </w:r>
            <w:r>
              <w:rPr>
                <w:rFonts w:hint="default" w:ascii="Times New Roman" w:hAnsi="Times New Roman" w:eastAsia="宋体" w:cs="Times New Roman"/>
                <w:sz w:val="24"/>
                <w:szCs w:val="22"/>
                <w:lang w:val="en-US" w:eastAsia="zh-CN" w:bidi="zh-CN"/>
              </w:rPr>
              <w:t>，</w:t>
            </w:r>
            <w:r>
              <w:rPr>
                <w:rFonts w:hint="default" w:ascii="Times New Roman" w:hAnsi="Times New Roman" w:eastAsia="宋体" w:cs="Times New Roman"/>
                <w:sz w:val="24"/>
                <w:szCs w:val="22"/>
                <w:lang w:val="zh-CN" w:eastAsia="zh-CN" w:bidi="zh-CN"/>
              </w:rPr>
              <w:t>符合《甘孜藏族自治州国民经济和社会发展第十四个五年规划和二〇三五远景目标规划》要求。</w:t>
            </w:r>
          </w:p>
          <w:p>
            <w:pPr>
              <w:pStyle w:val="15"/>
              <w:keepNext w:val="0"/>
              <w:keepLines w:val="0"/>
              <w:pageBreakBefore w:val="0"/>
              <w:widowControl w:val="0"/>
              <w:kinsoku/>
              <w:wordWrap/>
              <w:overflowPunct/>
              <w:topLinePunct w:val="0"/>
              <w:autoSpaceDE w:val="0"/>
              <w:autoSpaceDN w:val="0"/>
              <w:bidi w:val="0"/>
              <w:adjustRightInd/>
              <w:snapToGrid/>
              <w:spacing w:before="0" w:line="360" w:lineRule="auto"/>
              <w:ind w:left="0" w:firstLine="480" w:firstLineChars="200"/>
              <w:jc w:val="both"/>
              <w:textAlignment w:val="auto"/>
              <w:rPr>
                <w:rFonts w:hint="default" w:ascii="Times New Roman" w:hAnsi="Times New Roman" w:eastAsia="宋体" w:cs="Times New Roman"/>
                <w:sz w:val="24"/>
                <w:szCs w:val="22"/>
                <w:lang w:val="en-US" w:eastAsia="zh-CN" w:bidi="zh-CN"/>
              </w:rPr>
            </w:pPr>
            <w:r>
              <w:rPr>
                <w:rFonts w:hint="default" w:ascii="Times New Roman" w:hAnsi="Times New Roman" w:eastAsia="宋体" w:cs="Times New Roman"/>
                <w:sz w:val="24"/>
                <w:szCs w:val="22"/>
                <w:lang w:val="zh-CN" w:eastAsia="zh-CN" w:bidi="zh-CN"/>
              </w:rPr>
              <w:t>本项目</w:t>
            </w:r>
            <w:r>
              <w:rPr>
                <w:rFonts w:hint="default" w:ascii="Times New Roman" w:hAnsi="Times New Roman" w:cs="Times New Roman"/>
                <w:sz w:val="24"/>
                <w:szCs w:val="22"/>
                <w:lang w:val="en-US" w:eastAsia="zh-CN" w:bidi="zh-CN"/>
              </w:rPr>
              <w:t>属G248线公路路面大中修工程配套工程。</w:t>
            </w:r>
            <w:r>
              <w:rPr>
                <w:rFonts w:hint="default" w:ascii="Times New Roman" w:hAnsi="Times New Roman" w:eastAsia="宋体" w:cs="Times New Roman"/>
                <w:sz w:val="24"/>
                <w:szCs w:val="22"/>
                <w:lang w:val="zh-CN" w:eastAsia="zh-CN" w:bidi="zh-CN"/>
              </w:rPr>
              <w:t>位于</w:t>
            </w:r>
            <w:r>
              <w:rPr>
                <w:rFonts w:hint="default" w:ascii="Times New Roman" w:hAnsi="Times New Roman" w:eastAsia="宋体" w:cs="Times New Roman"/>
                <w:sz w:val="24"/>
                <w:szCs w:val="22"/>
                <w:lang w:val="en-US" w:eastAsia="zh-CN" w:bidi="zh-CN"/>
              </w:rPr>
              <w:t>九龙县崩崩冲村</w:t>
            </w:r>
            <w:r>
              <w:rPr>
                <w:rFonts w:hint="default" w:ascii="Times New Roman" w:hAnsi="Times New Roman" w:eastAsia="宋体" w:cs="Times New Roman"/>
                <w:sz w:val="24"/>
                <w:szCs w:val="22"/>
                <w:lang w:val="zh-CN" w:eastAsia="zh-CN" w:bidi="zh-CN"/>
              </w:rPr>
              <w:t>，占地为</w:t>
            </w:r>
            <w:r>
              <w:rPr>
                <w:rFonts w:hint="default" w:ascii="Times New Roman" w:hAnsi="Times New Roman" w:eastAsia="宋体" w:cs="Times New Roman"/>
                <w:sz w:val="24"/>
                <w:szCs w:val="22"/>
                <w:lang w:val="en-US" w:eastAsia="zh-CN" w:bidi="zh-CN"/>
              </w:rPr>
              <w:t>8600</w:t>
            </w:r>
            <w:r>
              <w:rPr>
                <w:rFonts w:hint="eastAsia" w:ascii="Times New Roman" w:hAnsi="Times New Roman" w:cs="Times New Roman"/>
                <w:sz w:val="24"/>
                <w:szCs w:val="22"/>
                <w:lang w:val="en-US" w:eastAsia="zh-CN" w:bidi="zh-CN"/>
              </w:rPr>
              <w:t>.70</w:t>
            </w:r>
            <w:r>
              <w:rPr>
                <w:rFonts w:hint="default" w:ascii="Times New Roman" w:hAnsi="Times New Roman" w:eastAsia="宋体" w:cs="Times New Roman"/>
                <w:sz w:val="24"/>
                <w:szCs w:val="22"/>
                <w:lang w:val="en-US" w:eastAsia="zh-CN" w:bidi="zh-CN"/>
              </w:rPr>
              <w:t>m</w:t>
            </w:r>
            <w:r>
              <w:rPr>
                <w:rFonts w:hint="default" w:ascii="Times New Roman" w:hAnsi="Times New Roman" w:eastAsia="宋体" w:cs="Times New Roman"/>
                <w:sz w:val="24"/>
                <w:szCs w:val="22"/>
                <w:vertAlign w:val="superscript"/>
                <w:lang w:val="en-US" w:eastAsia="zh-CN" w:bidi="zh-CN"/>
              </w:rPr>
              <w:t>2</w:t>
            </w:r>
            <w:r>
              <w:rPr>
                <w:rFonts w:hint="default" w:ascii="Times New Roman" w:hAnsi="Times New Roman" w:eastAsia="宋体" w:cs="Times New Roman"/>
                <w:sz w:val="24"/>
                <w:szCs w:val="22"/>
                <w:lang w:val="en-US" w:eastAsia="zh-CN" w:bidi="zh-CN"/>
              </w:rPr>
              <w:t>。本项目为临时占地工程，</w:t>
            </w:r>
            <w:r>
              <w:rPr>
                <w:rFonts w:hint="eastAsia" w:ascii="Times New Roman" w:hAnsi="Times New Roman" w:cs="Times New Roman"/>
                <w:sz w:val="24"/>
                <w:szCs w:val="22"/>
                <w:lang w:val="en-US" w:eastAsia="zh-CN" w:bidi="zh-CN"/>
              </w:rPr>
              <w:t>占地性质为</w:t>
            </w:r>
            <w:r>
              <w:rPr>
                <w:rFonts w:hint="default" w:ascii="Times New Roman" w:hAnsi="Times New Roman" w:eastAsia="宋体" w:cs="Times New Roman"/>
                <w:sz w:val="24"/>
                <w:szCs w:val="22"/>
                <w:lang w:val="en-US" w:eastAsia="zh-CN" w:bidi="zh-CN"/>
              </w:rPr>
              <w:t>崩崩冲村</w:t>
            </w:r>
            <w:r>
              <w:rPr>
                <w:rFonts w:hint="eastAsia" w:ascii="Times New Roman" w:hAnsi="Times New Roman" w:cs="Times New Roman"/>
                <w:sz w:val="24"/>
                <w:szCs w:val="22"/>
                <w:lang w:val="en-US" w:eastAsia="zh-CN" w:bidi="zh-CN"/>
              </w:rPr>
              <w:t>集体用地中的建设用地，</w:t>
            </w:r>
            <w:r>
              <w:rPr>
                <w:rFonts w:hint="default" w:ascii="Times New Roman" w:hAnsi="Times New Roman" w:eastAsia="宋体" w:cs="Times New Roman"/>
                <w:sz w:val="24"/>
                <w:szCs w:val="22"/>
                <w:lang w:val="en-US" w:eastAsia="zh-CN" w:bidi="zh-CN"/>
              </w:rPr>
              <w:t>在工程结束后会由</w:t>
            </w:r>
            <w:r>
              <w:rPr>
                <w:rFonts w:hint="default" w:ascii="Times New Roman" w:hAnsi="Times New Roman" w:eastAsia="宋体" w:cs="Times New Roman"/>
                <w:sz w:val="24"/>
                <w:szCs w:val="22"/>
                <w:lang w:val="zh-CN" w:eastAsia="zh-CN" w:bidi="zh-CN"/>
              </w:rPr>
              <w:t>甘孜藏族自治州公路建设服务中</w:t>
            </w:r>
            <w:r>
              <w:rPr>
                <w:rFonts w:hint="default" w:ascii="Times New Roman" w:hAnsi="Times New Roman" w:eastAsia="宋体" w:cs="Times New Roman"/>
                <w:sz w:val="24"/>
                <w:szCs w:val="22"/>
                <w:lang w:val="en-US" w:eastAsia="zh-CN" w:bidi="zh-CN"/>
              </w:rPr>
              <w:t>心进行构筑物拆除，以及</w:t>
            </w:r>
            <w:r>
              <w:rPr>
                <w:rFonts w:hint="eastAsia" w:ascii="Times New Roman" w:hAnsi="Times New Roman" w:cs="Times New Roman"/>
                <w:sz w:val="24"/>
                <w:szCs w:val="22"/>
                <w:lang w:val="en-US" w:eastAsia="zh-CN" w:bidi="zh-CN"/>
              </w:rPr>
              <w:t>临时用地复垦工作，恢复土地质量后</w:t>
            </w:r>
            <w:r>
              <w:rPr>
                <w:rFonts w:hint="default" w:ascii="Times New Roman" w:hAnsi="Times New Roman" w:eastAsia="宋体" w:cs="Times New Roman"/>
                <w:sz w:val="24"/>
                <w:szCs w:val="22"/>
                <w:lang w:val="en-US" w:eastAsia="zh-CN" w:bidi="zh-CN"/>
              </w:rPr>
              <w:t>交还崩崩冲村。本项目符合要求。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1" w:hRule="atLeast"/>
        </w:trPr>
        <w:tc>
          <w:tcPr>
            <w:tcW w:w="1671" w:type="dxa"/>
            <w:tcBorders>
              <w:top w:val="single" w:color="000000" w:sz="4" w:space="0"/>
              <w:right w:val="single" w:color="000000" w:sz="4" w:space="0"/>
            </w:tcBorders>
          </w:tcPr>
          <w:p>
            <w:pPr>
              <w:pStyle w:val="15"/>
              <w:spacing w:before="3"/>
              <w:rPr>
                <w:rFonts w:hint="default" w:ascii="Times New Roman" w:hAnsi="Times New Roman" w:cs="Times New Roman"/>
                <w:sz w:val="29"/>
              </w:rPr>
            </w:pPr>
          </w:p>
          <w:p>
            <w:pPr>
              <w:pStyle w:val="15"/>
              <w:spacing w:before="1"/>
              <w:ind w:right="206"/>
              <w:jc w:val="both"/>
              <w:rPr>
                <w:rFonts w:hint="default" w:ascii="Times New Roman" w:hAnsi="Times New Roman" w:cs="Times New Roman"/>
                <w:sz w:val="21"/>
              </w:rPr>
            </w:pPr>
            <w:r>
              <w:rPr>
                <w:rFonts w:hint="default" w:ascii="Times New Roman" w:hAnsi="Times New Roman" w:cs="Times New Roman"/>
                <w:sz w:val="24"/>
                <w:szCs w:val="24"/>
              </w:rPr>
              <w:t>其他符合性分析</w:t>
            </w:r>
            <w:r>
              <w:rPr>
                <w:rFonts w:hint="default" w:ascii="Times New Roman" w:hAnsi="Times New Roman" w:cs="Times New Roman"/>
                <w:sz w:val="21"/>
              </w:rPr>
              <w:t xml:space="preserve"> </w:t>
            </w:r>
          </w:p>
        </w:tc>
        <w:tc>
          <w:tcPr>
            <w:tcW w:w="7197" w:type="dxa"/>
            <w:gridSpan w:val="3"/>
            <w:tcBorders>
              <w:top w:val="single" w:color="000000" w:sz="4" w:space="0"/>
              <w:left w:val="single" w:color="000000" w:sz="4" w:space="0"/>
            </w:tcBorders>
          </w:tcPr>
          <w:p>
            <w:pPr>
              <w:pStyle w:val="15"/>
              <w:spacing w:before="3"/>
              <w:rPr>
                <w:rFonts w:hint="default" w:ascii="Times New Roman" w:hAnsi="Times New Roman" w:cs="Times New Roman"/>
                <w:sz w:val="29"/>
              </w:rPr>
            </w:pP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right="0" w:rightChars="0"/>
              <w:textAlignment w:val="auto"/>
              <w:rPr>
                <w:rFonts w:hint="default" w:ascii="Times New Roman" w:hAnsi="Times New Roman" w:cs="Times New Roman"/>
                <w:b/>
                <w:sz w:val="24"/>
                <w:szCs w:val="24"/>
              </w:rPr>
            </w:pPr>
            <w:r>
              <w:rPr>
                <w:rFonts w:hint="default" w:ascii="Times New Roman" w:hAnsi="Times New Roman" w:cs="Times New Roman"/>
                <w:b/>
                <w:sz w:val="24"/>
                <w:szCs w:val="24"/>
                <w:lang w:val="en-US" w:eastAsia="zh-CN"/>
              </w:rPr>
              <w:t>1、</w:t>
            </w:r>
            <w:r>
              <w:rPr>
                <w:rFonts w:hint="default" w:ascii="Times New Roman" w:hAnsi="Times New Roman" w:cs="Times New Roman"/>
                <w:b/>
                <w:sz w:val="24"/>
                <w:szCs w:val="24"/>
              </w:rPr>
              <w:t>项目与“三线一单”符合性分析</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（1）生态保护红线</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根据《四川省人民政府关于印发四川省生态保护红线方案的通知》（川府发</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2018</w:t>
            </w:r>
            <w:r>
              <w:rPr>
                <w:rFonts w:hint="eastAsia"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24 号），全省共分</w:t>
            </w:r>
            <w:r>
              <w:rPr>
                <w:rFonts w:hint="eastAsia" w:ascii="Times New Roman" w:hAnsi="Times New Roman" w:eastAsia="宋体" w:cs="Times New Roman"/>
                <w:color w:val="000000"/>
                <w:kern w:val="0"/>
                <w:sz w:val="24"/>
                <w:szCs w:val="24"/>
                <w:lang w:val="en-US" w:eastAsia="zh-CN" w:bidi="ar"/>
              </w:rPr>
              <w:t>为“四轴九核”、“5个大</w:t>
            </w:r>
            <w:r>
              <w:rPr>
                <w:rFonts w:hint="eastAsia" w:ascii="宋体" w:hAnsi="宋体" w:eastAsia="宋体" w:cs="宋体"/>
                <w:color w:val="000000"/>
                <w:kern w:val="0"/>
                <w:sz w:val="24"/>
                <w:szCs w:val="24"/>
                <w:lang w:val="en-US" w:eastAsia="zh-CN" w:bidi="ar"/>
              </w:rPr>
              <w:t>类</w:t>
            </w:r>
            <w:r>
              <w:rPr>
                <w:rFonts w:hint="eastAsia" w:ascii="Times New Roman" w:hAnsi="Times New Roman" w:eastAsia="宋体" w:cs="Times New Roman"/>
                <w:color w:val="000000"/>
                <w:kern w:val="0"/>
                <w:sz w:val="24"/>
                <w:szCs w:val="24"/>
                <w:lang w:val="en-US" w:eastAsia="zh-CN" w:bidi="ar"/>
              </w:rPr>
              <w:t>13 条</w:t>
            </w:r>
            <w:r>
              <w:rPr>
                <w:rFonts w:hint="eastAsia" w:ascii="宋体" w:hAnsi="宋体" w:eastAsia="宋体" w:cs="宋体"/>
                <w:color w:val="000000"/>
                <w:kern w:val="0"/>
                <w:sz w:val="24"/>
                <w:szCs w:val="24"/>
                <w:lang w:val="en-US" w:eastAsia="zh-CN" w:bidi="ar"/>
              </w:rPr>
              <w:t>红线”</w:t>
            </w:r>
            <w:r>
              <w:rPr>
                <w:rFonts w:hint="default" w:ascii="Times New Roman" w:hAnsi="Times New Roman" w:eastAsia="宋体" w:cs="Times New Roman"/>
                <w:color w:val="000000"/>
                <w:kern w:val="0"/>
                <w:sz w:val="24"/>
                <w:szCs w:val="24"/>
                <w:lang w:val="en-US" w:eastAsia="zh-CN" w:bidi="ar"/>
              </w:rPr>
              <w:t>，红线总面积14.8万km</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，占全省幅员面积</w:t>
            </w:r>
            <w:r>
              <w:rPr>
                <w:rFonts w:hint="default" w:ascii="Times New Roman" w:hAnsi="Times New Roman" w:cs="Times New Roman"/>
                <w:color w:val="000000"/>
                <w:kern w:val="0"/>
                <w:sz w:val="24"/>
                <w:szCs w:val="24"/>
                <w:lang w:val="en-US" w:eastAsia="zh-CN" w:bidi="ar"/>
              </w:rPr>
              <w:t>的</w:t>
            </w:r>
            <w:r>
              <w:rPr>
                <w:rFonts w:hint="default" w:ascii="Times New Roman" w:hAnsi="Times New Roman" w:eastAsia="宋体" w:cs="Times New Roman"/>
                <w:color w:val="000000"/>
                <w:kern w:val="0"/>
                <w:sz w:val="24"/>
                <w:szCs w:val="24"/>
                <w:lang w:val="en-US" w:eastAsia="zh-CN" w:bidi="ar"/>
              </w:rPr>
              <w:t>30.45%。本项目位于九龙县，九龙县涉及《四川省人民政府关于印发四川省生态保护红线方案的通知》中的锦屏山水源涵养—土壤保持红线区。</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①“锦屏山水源涵养—土壤保持红线区”区域的基本</w:t>
            </w:r>
            <w:r>
              <w:rPr>
                <w:rFonts w:hint="default" w:ascii="Times New Roman" w:hAnsi="Times New Roman" w:eastAsia="宋体" w:cs="Times New Roman"/>
                <w:color w:val="000000"/>
                <w:kern w:val="0"/>
                <w:sz w:val="24"/>
                <w:szCs w:val="24"/>
                <w:lang w:val="en-US" w:eastAsia="zh-CN" w:bidi="ar"/>
              </w:rPr>
              <w:t>情况</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地理分布：该区位于四川省西南边缘，属于岷山-邛崃山-凉山生物多样性保护与水源涵养重要区，行政区涉及凉山州的木里县、盐源县、冕宁县，甘孜州的九龙县。红线区面积约为1.1万平方公里，占四川省生态保护红线总面积的 5.6%，红线地块主要分布于木里县、盐源县西南边缘及九龙县大部分区域。</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rPr>
            </w:pPr>
            <w:r>
              <w:rPr>
                <w:rFonts w:hint="default" w:ascii="Times New Roman" w:hAnsi="Times New Roman" w:eastAsia="宋体" w:cs="Times New Roman"/>
                <w:color w:val="000000"/>
                <w:kern w:val="0"/>
                <w:sz w:val="24"/>
                <w:szCs w:val="24"/>
                <w:lang w:val="en-US" w:eastAsia="zh-CN" w:bidi="ar"/>
              </w:rPr>
              <w:t>生态功能：区内自然生态系统以森林生态系统为主，其次为草地生态系统，河流有雅砻江及其重要支流九龙河、盐源河等，是雅砻江水系重要的水源涵养区和金沙江重要水源补给区，水源涵养功能极为重要。此外，该区土壤侵蚀敏感性较高，特别是北部的九龙及木里部分区域，土壤侵蚀极敏感，是我省土壤保持重要区域。建有国家级自然保护区 1 个、省级自然保护区 2 个、国家级风景名胜区 1 个。</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保护重点：保护森林及草原植被，维护森林等自然生态系统的水源涵养；加强高山峡谷区地质灾害防治和水土流失治理。</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sz w:val="24"/>
              </w:rPr>
            </w:pPr>
            <w:r>
              <w:rPr>
                <w:rFonts w:hint="default" w:ascii="Times New Roman" w:hAnsi="Times New Roman" w:cs="Times New Roman"/>
                <w:sz w:val="24"/>
                <w:lang w:val="en-US" w:eastAsia="zh-CN"/>
              </w:rPr>
              <w:t>②本项目与生态保护红线的符合性分析</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经过核查比对，本项目地处九龙县的东南面，为道路临时占地，项目占地范围均不涉及四川省生态保护红线，项目与四川省生态保护红线的位置关系见下图，建设项目在选址和施工布置上充分考虑了环境敏感要素特点，不涉及对生态保护红线的挤占，遵守生态保护红线的优先地位，同时，2021年7月，项目已取得九龙县自然资源局文件（九自然资函</w:t>
            </w:r>
            <w:r>
              <w:rPr>
                <w:rFonts w:hint="default" w:ascii="Times New Roman" w:hAnsi="Times New Roman" w:cs="Times New Roman"/>
                <w:sz w:val="24"/>
              </w:rPr>
              <w:t>〔20</w:t>
            </w:r>
            <w:r>
              <w:rPr>
                <w:rFonts w:hint="default" w:ascii="Times New Roman" w:hAnsi="Times New Roman" w:cs="Times New Roman"/>
                <w:sz w:val="24"/>
                <w:lang w:val="en-US" w:eastAsia="zh-CN"/>
              </w:rPr>
              <w:t>21</w:t>
            </w:r>
            <w:r>
              <w:rPr>
                <w:rFonts w:hint="default" w:ascii="Times New Roman" w:hAnsi="Times New Roman" w:cs="Times New Roman"/>
                <w:sz w:val="24"/>
              </w:rPr>
              <w:t>〕</w:t>
            </w:r>
            <w:r>
              <w:rPr>
                <w:rFonts w:hint="default" w:ascii="Times New Roman" w:hAnsi="Times New Roman" w:cs="Times New Roman"/>
                <w:sz w:val="24"/>
                <w:lang w:val="en-US" w:eastAsia="zh-CN"/>
              </w:rPr>
              <w:t>61 号），明确本项目用地范围不涉及九龙县生态保护红线</w:t>
            </w:r>
            <w:r>
              <w:rPr>
                <w:rFonts w:hint="eastAsia" w:ascii="Times New Roman" w:hAnsi="Times New Roman" w:cs="Times New Roman"/>
                <w:sz w:val="24"/>
                <w:lang w:val="en-US" w:eastAsia="zh-CN"/>
              </w:rPr>
              <w:t>。</w:t>
            </w:r>
          </w:p>
          <w:p>
            <w:pPr>
              <w:ind w:left="0" w:leftChars="0" w:firstLine="0" w:firstLineChars="0"/>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4555490" cy="3155315"/>
                  <wp:effectExtent l="0" t="0" r="16510" b="698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5"/>
                          <a:stretch>
                            <a:fillRect/>
                          </a:stretch>
                        </pic:blipFill>
                        <pic:spPr>
                          <a:xfrm>
                            <a:off x="0" y="0"/>
                            <a:ext cx="4555490" cy="315531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综上所述，项目建设区域不涉及划定的生态保护红线区域，项目建设符合四川省生态保护红线实施意见的相关要求。</w:t>
            </w:r>
          </w:p>
          <w:p>
            <w:pPr>
              <w:spacing w:line="360" w:lineRule="auto"/>
              <w:ind w:firstLine="480" w:firstLineChars="200"/>
              <w:rPr>
                <w:rFonts w:hint="default" w:ascii="Times New Roman" w:hAnsi="Times New Roman" w:cs="Times New Roman"/>
                <w:sz w:val="24"/>
                <w:szCs w:val="24"/>
              </w:rPr>
            </w:pPr>
            <w:r>
              <w:rPr>
                <w:rFonts w:hint="default" w:ascii="Times New Roman" w:hAnsi="Times New Roman" w:cs="Times New Roman"/>
                <w:sz w:val="24"/>
                <w:szCs w:val="24"/>
              </w:rPr>
              <w:t>（2）环境质量底线</w:t>
            </w:r>
          </w:p>
          <w:p>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baseline"/>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2020年四川省生态环境状况公报》全省21个市（州）政府所在地城市环境空气质量按《环境空气质量标准》（GB3095-2012）评价，全省环境空气质量达标城市新增3个，总数达到14个，分别是攀枝花市、绵阳市、广元市、遂宁市、内江市、乐山市、广安市、巴中市、雅安市、眉山市、资阳市、阿坝州、甘孜州、凉山州。故区域环境空气质量为达标区。</w:t>
            </w:r>
            <w:r>
              <w:rPr>
                <w:rFonts w:hint="eastAsia" w:ascii="Times New Roman" w:hAnsi="Times New Roman" w:cs="Times New Roman"/>
                <w:color w:val="000000"/>
                <w:kern w:val="0"/>
                <w:sz w:val="24"/>
                <w:szCs w:val="24"/>
                <w:lang w:val="en-US" w:eastAsia="zh-CN" w:bidi="ar"/>
              </w:rPr>
              <w:t>根据《G248线2020年度公路路面大中修工程配套热拌站项目》监测报告中</w:t>
            </w:r>
            <w:r>
              <w:rPr>
                <w:rFonts w:hint="default" w:ascii="Times New Roman" w:hAnsi="Times New Roman" w:cs="Times New Roman"/>
                <w:snapToGrid w:val="0"/>
                <w:color w:val="auto"/>
                <w:kern w:val="0"/>
                <w:sz w:val="24"/>
                <w:highlight w:val="none"/>
              </w:rPr>
              <w:t>监测点位的环境空气</w:t>
            </w:r>
            <w:r>
              <w:rPr>
                <w:rFonts w:hint="default" w:ascii="Times New Roman" w:hAnsi="Times New Roman" w:cs="Times New Roman"/>
                <w:bCs/>
                <w:color w:val="auto"/>
                <w:sz w:val="24"/>
                <w:highlight w:val="none"/>
              </w:rPr>
              <w:t>苯并（a）芘</w:t>
            </w:r>
            <w:r>
              <w:rPr>
                <w:rFonts w:hint="default" w:ascii="Times New Roman" w:hAnsi="Times New Roman" w:cs="Times New Roman"/>
                <w:bCs/>
                <w:color w:val="auto"/>
                <w:sz w:val="24"/>
                <w:highlight w:val="none"/>
                <w:lang w:eastAsia="zh-CN"/>
              </w:rPr>
              <w:t>、</w:t>
            </w:r>
            <w:r>
              <w:rPr>
                <w:rFonts w:hint="default" w:ascii="Times New Roman" w:hAnsi="Times New Roman" w:cs="Times New Roman"/>
                <w:snapToGrid w:val="0"/>
                <w:color w:val="auto"/>
                <w:kern w:val="0"/>
                <w:sz w:val="24"/>
                <w:highlight w:val="none"/>
                <w:lang w:eastAsia="zh-CN"/>
              </w:rPr>
              <w:t>总悬浮颗粒物、</w:t>
            </w:r>
            <w:r>
              <w:rPr>
                <w:rFonts w:hint="default" w:ascii="Times New Roman" w:hAnsi="Times New Roman" w:cs="Times New Roman"/>
                <w:snapToGrid w:val="0"/>
                <w:color w:val="auto"/>
                <w:kern w:val="0"/>
                <w:sz w:val="24"/>
                <w:highlight w:val="none"/>
                <w:lang w:val="en-US" w:eastAsia="zh-CN"/>
              </w:rPr>
              <w:t>TPS</w:t>
            </w:r>
            <w:r>
              <w:rPr>
                <w:rFonts w:hint="default" w:ascii="Times New Roman" w:hAnsi="Times New Roman" w:cs="Times New Roman"/>
                <w:snapToGrid w:val="0"/>
                <w:color w:val="auto"/>
                <w:kern w:val="0"/>
                <w:sz w:val="24"/>
                <w:highlight w:val="none"/>
              </w:rPr>
              <w:t>监测指标均小于</w:t>
            </w:r>
            <w:r>
              <w:rPr>
                <w:rFonts w:hint="default" w:ascii="Times New Roman" w:hAnsi="Times New Roman" w:cs="Times New Roman"/>
                <w:color w:val="auto"/>
                <w:sz w:val="24"/>
                <w:highlight w:val="none"/>
              </w:rPr>
              <w:t>《环境空气质量标准》（GB3095-2012）中二级浓度</w:t>
            </w:r>
            <w:r>
              <w:rPr>
                <w:rFonts w:hint="default" w:ascii="Times New Roman" w:hAnsi="Times New Roman" w:cs="Times New Roman"/>
                <w:snapToGrid w:val="0"/>
                <w:color w:val="auto"/>
                <w:kern w:val="0"/>
                <w:sz w:val="24"/>
                <w:highlight w:val="none"/>
              </w:rPr>
              <w:t>限值要求</w:t>
            </w:r>
            <w:r>
              <w:rPr>
                <w:rFonts w:hint="default" w:ascii="Times New Roman" w:hAnsi="Times New Roman" w:cs="Times New Roman"/>
                <w:snapToGrid w:val="0"/>
                <w:color w:val="auto"/>
                <w:kern w:val="0"/>
                <w:sz w:val="24"/>
                <w:highlight w:val="none"/>
                <w:lang w:eastAsia="zh-CN"/>
              </w:rPr>
              <w:t>；TVOC检测结果满足《环境影响评价技术导则大气环境》（HJ2.2-2018）附录D其他污染</w:t>
            </w:r>
            <w:r>
              <w:rPr>
                <w:rFonts w:hint="default" w:ascii="Times New Roman" w:hAnsi="Times New Roman" w:eastAsia="宋体" w:cs="Times New Roman"/>
                <w:color w:val="000000"/>
                <w:kern w:val="0"/>
                <w:sz w:val="24"/>
                <w:szCs w:val="24"/>
                <w:lang w:val="en-US" w:eastAsia="zh-CN" w:bidi="ar"/>
              </w:rPr>
              <w:t>物空气质量浓度参考限值要求，因此，监测结果表明项目所在地区域的环境空气质量良好，尚有一定的环境容量。</w:t>
            </w:r>
          </w:p>
          <w:p>
            <w:pPr>
              <w:pStyle w:val="1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baseline"/>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项目地表水引用九龙生态环境局网站发布的九龙县生态功能区县域生态环境质量现状地表水监测数据，监测断面水质评价指标均达到《地表水环境质量标准》（GB3838-2002）中的Ⅱ类水域标准，拟建项目评价区域地表水质量整体上良好。</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项目拟建地大气、地表水环境质量现状均满足相应功能区要求。建设单位严格执行环评提出的各项要求，认真落实污染防治措施，确保治理措施的治理效果达到设计及环评提出的要求，不会改变区域的环境功能，可满足功能区大气、地表水等环境质量达标。项目运营期不排放污染物，项目建设符合区域符合环境质量底线管理要求</w:t>
            </w:r>
            <w:r>
              <w:rPr>
                <w:rFonts w:hint="default" w:ascii="Times New Roman" w:hAnsi="Times New Roman" w:cs="Times New Roman"/>
                <w:color w:val="000000"/>
                <w:kern w:val="0"/>
                <w:sz w:val="24"/>
                <w:szCs w:val="24"/>
                <w:lang w:val="en-US" w:eastAsia="zh-CN" w:bidi="ar"/>
              </w:rPr>
              <w:t>。</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资源利用上线</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textAlignment w:val="auto"/>
              <w:rPr>
                <w:rFonts w:hint="default" w:ascii="Times New Roman" w:hAnsi="Times New Roman" w:eastAsia="宋体" w:cs="Times New Roman"/>
                <w:color w:val="auto"/>
                <w:sz w:val="24"/>
                <w:szCs w:val="24"/>
                <w:highlight w:val="none"/>
                <w:lang w:val="zh-CN" w:eastAsia="zh-CN" w:bidi="zh-CN"/>
              </w:rPr>
            </w:pPr>
            <w:r>
              <w:rPr>
                <w:rFonts w:hint="default" w:ascii="Times New Roman" w:hAnsi="Times New Roman" w:cs="Times New Roman"/>
                <w:lang w:val="zh-CN" w:eastAsia="zh-CN"/>
              </w:rPr>
              <w:t>资</w:t>
            </w:r>
            <w:r>
              <w:rPr>
                <w:rFonts w:hint="default" w:ascii="Times New Roman" w:hAnsi="Times New Roman" w:eastAsia="宋体" w:cs="Times New Roman"/>
                <w:color w:val="auto"/>
                <w:sz w:val="24"/>
                <w:szCs w:val="24"/>
                <w:highlight w:val="none"/>
                <w:lang w:val="zh-CN" w:eastAsia="zh-CN" w:bidi="zh-CN"/>
              </w:rPr>
              <w:t>源利用上线是指按照自然资源资</w:t>
            </w:r>
            <w:r>
              <w:rPr>
                <w:rFonts w:hint="eastAsia" w:ascii="宋体" w:hAnsi="宋体" w:eastAsia="宋体" w:cs="宋体"/>
                <w:color w:val="auto"/>
                <w:sz w:val="24"/>
                <w:szCs w:val="24"/>
                <w:highlight w:val="none"/>
                <w:lang w:val="zh-CN" w:eastAsia="zh-CN" w:bidi="zh-CN"/>
              </w:rPr>
              <w:t>产“只能增值、不能贬值”</w:t>
            </w:r>
            <w:r>
              <w:rPr>
                <w:rFonts w:hint="default" w:ascii="Times New Roman" w:hAnsi="Times New Roman" w:eastAsia="宋体" w:cs="Times New Roman"/>
                <w:color w:val="auto"/>
                <w:sz w:val="24"/>
                <w:szCs w:val="24"/>
                <w:highlight w:val="none"/>
                <w:lang w:val="zh-CN" w:eastAsia="zh-CN" w:bidi="zh-CN"/>
              </w:rPr>
              <w:t>的原则，以保障生态安全和改善环境质量为目的，参考自然资源资产负债表，结合自然资源开发利用效率，提出的分区域分阶段的资源开发利用总量、强度、效率等上线管控要求。</w:t>
            </w:r>
          </w:p>
          <w:p>
            <w:pPr>
              <w:pStyle w:val="17"/>
              <w:ind w:firstLine="480"/>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本项目用地为临时建设用地，不占用基本农田，并严格控制在用地红线内，未超出土地资源利用上线。项目生产用水来自</w:t>
            </w:r>
            <w:r>
              <w:rPr>
                <w:rFonts w:hint="default" w:ascii="Times New Roman" w:hAnsi="Times New Roman" w:eastAsia="宋体" w:cs="Times New Roman"/>
                <w:color w:val="auto"/>
                <w:sz w:val="24"/>
                <w:highlight w:val="none"/>
                <w:lang w:val="en-US" w:eastAsia="zh-CN"/>
              </w:rPr>
              <w:t>道路沿途水源</w:t>
            </w:r>
            <w:r>
              <w:rPr>
                <w:rFonts w:hint="default" w:ascii="Times New Roman" w:hAnsi="Times New Roman" w:eastAsia="宋体" w:cs="Times New Roman"/>
                <w:color w:val="auto"/>
                <w:sz w:val="24"/>
                <w:highlight w:val="none"/>
              </w:rPr>
              <w:t>，生活用水来自</w:t>
            </w:r>
            <w:r>
              <w:rPr>
                <w:rFonts w:hint="default" w:ascii="Times New Roman" w:hAnsi="Times New Roman" w:eastAsia="宋体" w:cs="Times New Roman"/>
                <w:color w:val="auto"/>
                <w:sz w:val="24"/>
                <w:highlight w:val="none"/>
                <w:lang w:val="en-US" w:eastAsia="zh-CN"/>
              </w:rPr>
              <w:t>附近居民用水</w:t>
            </w:r>
            <w:r>
              <w:rPr>
                <w:rFonts w:hint="default" w:ascii="Times New Roman" w:hAnsi="Times New Roman" w:eastAsia="宋体" w:cs="Times New Roman"/>
                <w:color w:val="auto"/>
                <w:sz w:val="24"/>
                <w:highlight w:val="none"/>
              </w:rPr>
              <w:t>，该区域对企业水利用无要求；项目能源主要采用电能、柴油等清洁能源。本项目为沥青砼生产项目，资源的利用符合国家相关标准，建设项目资源利用符合国家相关要求。</w:t>
            </w:r>
          </w:p>
          <w:p>
            <w:pPr>
              <w:pStyle w:val="17"/>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因此，项目资源利用满足要求。</w:t>
            </w:r>
          </w:p>
          <w:p>
            <w:pPr>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（4）环境准入负面清单</w:t>
            </w:r>
          </w:p>
          <w:p>
            <w:pPr>
              <w:pStyle w:val="17"/>
              <w:keepNext w:val="0"/>
              <w:keepLines w:val="0"/>
              <w:pageBreakBefore w:val="0"/>
              <w:widowControl w:val="0"/>
              <w:kinsoku/>
              <w:wordWrap/>
              <w:overflowPunct/>
              <w:topLinePunct w:val="0"/>
              <w:bidi w:val="0"/>
              <w:spacing w:line="360" w:lineRule="auto"/>
              <w:ind w:left="0" w:leftChars="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本项目为沥青砼生产项目，位</w:t>
            </w:r>
            <w:r>
              <w:rPr>
                <w:rFonts w:hint="default" w:ascii="Times New Roman" w:hAnsi="Times New Roman" w:eastAsia="宋体" w:cs="Times New Roman"/>
                <w:color w:val="auto"/>
                <w:sz w:val="24"/>
                <w:highlight w:val="none"/>
                <w:lang w:val="en-US" w:eastAsia="zh-CN"/>
              </w:rPr>
              <w:t>九龙县崩崩冲村</w:t>
            </w:r>
            <w:r>
              <w:rPr>
                <w:rFonts w:hint="default" w:ascii="Times New Roman" w:hAnsi="Times New Roman" w:eastAsia="宋体" w:cs="Times New Roman"/>
                <w:color w:val="auto"/>
                <w:sz w:val="24"/>
                <w:highlight w:val="none"/>
              </w:rPr>
              <w:t>，根据《四川省国家重点生态功能区产业主内负面清单（第一批）（试行）》，本项目不属于</w:t>
            </w:r>
            <w:r>
              <w:rPr>
                <w:rFonts w:hint="eastAsia" w:ascii="Times New Roman" w:hAnsi="Times New Roman" w:cs="Times New Roman"/>
                <w:color w:val="auto"/>
                <w:sz w:val="24"/>
                <w:highlight w:val="none"/>
                <w:lang w:val="en-US" w:eastAsia="zh-CN"/>
              </w:rPr>
              <w:t>九龙</w:t>
            </w:r>
            <w:r>
              <w:rPr>
                <w:rFonts w:hint="default" w:ascii="Times New Roman" w:hAnsi="Times New Roman" w:eastAsia="宋体" w:cs="Times New Roman"/>
                <w:color w:val="auto"/>
                <w:sz w:val="24"/>
                <w:highlight w:val="none"/>
              </w:rPr>
              <w:t>县产业准入负面清单中限制类和禁止类项目。</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综上所述，本项目不涉及生态保护红线、符合环境质量底线要求、满足资源利用要求，未列入环境准入负面清单，项目建</w:t>
            </w:r>
            <w:r>
              <w:rPr>
                <w:rFonts w:hint="default" w:ascii="Times New Roman" w:hAnsi="Times New Roman" w:eastAsia="宋体" w:cs="Times New Roman"/>
                <w:color w:val="auto"/>
                <w:sz w:val="24"/>
                <w:highlight w:val="none"/>
                <w:lang w:val="en-US" w:eastAsia="zh-CN"/>
              </w:rPr>
              <w:t>成</w:t>
            </w:r>
            <w:r>
              <w:rPr>
                <w:rFonts w:hint="default" w:ascii="Times New Roman" w:hAnsi="Times New Roman" w:eastAsia="宋体" w:cs="Times New Roman"/>
                <w:color w:val="auto"/>
                <w:sz w:val="24"/>
                <w:highlight w:val="none"/>
              </w:rPr>
              <w:t>后对促进当地经济社会发展具有积极的正效益。</w:t>
            </w:r>
          </w:p>
          <w:p>
            <w:pPr>
              <w:snapToGrid w:val="0"/>
              <w:spacing w:line="360" w:lineRule="auto"/>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en-US" w:eastAsia="zh-CN"/>
              </w:rPr>
              <w:t>.与大气污染防治等相关规划符合性分析</w:t>
            </w:r>
          </w:p>
          <w:p>
            <w:pPr>
              <w:pStyle w:val="3"/>
              <w:ind w:firstLine="48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本项目与《四川</w:t>
            </w:r>
            <w:r>
              <w:rPr>
                <w:rFonts w:hint="eastAsia" w:ascii="宋体" w:hAnsi="宋体" w:eastAsia="宋体" w:cs="宋体"/>
                <w:color w:val="auto"/>
                <w:sz w:val="24"/>
                <w:highlight w:val="none"/>
              </w:rPr>
              <w:t>省“十三五”环</w:t>
            </w:r>
            <w:r>
              <w:rPr>
                <w:rFonts w:hint="default" w:ascii="Times New Roman" w:hAnsi="Times New Roman" w:eastAsia="宋体" w:cs="Times New Roman"/>
                <w:color w:val="auto"/>
                <w:sz w:val="24"/>
                <w:highlight w:val="none"/>
              </w:rPr>
              <w:t>境保护规划》（川府发</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2017</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14号）、环保部《四川省蓝天保卫行动方案（2017-2020年）》（川污防“三大战役”办</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2017</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33号）、《四川省打赢蓝天保卫战实施方案》的符合性如下：</w:t>
            </w:r>
          </w:p>
          <w:p>
            <w:pPr>
              <w:spacing w:line="360" w:lineRule="auto"/>
              <w:ind w:firstLine="361" w:firstLineChars="200"/>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表1-1  与大气污染防治等相关规划符合性</w:t>
            </w:r>
          </w:p>
          <w:tbl>
            <w:tblPr>
              <w:tblStyle w:val="11"/>
              <w:tblW w:w="4771"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28" w:type="dxa"/>
                <w:bottom w:w="0" w:type="dxa"/>
                <w:right w:w="28" w:type="dxa"/>
              </w:tblCellMar>
            </w:tblPr>
            <w:tblGrid>
              <w:gridCol w:w="1284"/>
              <w:gridCol w:w="3300"/>
              <w:gridCol w:w="1742"/>
              <w:gridCol w:w="521"/>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8" w:type="dxa"/>
                  <w:bottom w:w="0" w:type="dxa"/>
                  <w:right w:w="28" w:type="dxa"/>
                </w:tblCellMar>
              </w:tblPrEx>
              <w:trPr>
                <w:trHeight w:val="381" w:hRule="atLeast"/>
                <w:jc w:val="center"/>
              </w:trPr>
              <w:tc>
                <w:tcPr>
                  <w:tcW w:w="937" w:type="pct"/>
                  <w:noWrap w:val="0"/>
                  <w:tcMar>
                    <w:left w:w="28" w:type="dxa"/>
                    <w:right w:w="28" w:type="dxa"/>
                  </w:tcMar>
                  <w:vAlign w:val="center"/>
                </w:tcPr>
                <w:p>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大气污染防治规划文件</w:t>
                  </w:r>
                </w:p>
              </w:tc>
              <w:tc>
                <w:tcPr>
                  <w:tcW w:w="2409" w:type="pct"/>
                  <w:noWrap w:val="0"/>
                  <w:vAlign w:val="center"/>
                </w:tcPr>
                <w:p>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规划要求</w:t>
                  </w:r>
                </w:p>
              </w:tc>
              <w:tc>
                <w:tcPr>
                  <w:tcW w:w="1272" w:type="pct"/>
                  <w:noWrap w:val="0"/>
                  <w:vAlign w:val="center"/>
                </w:tcPr>
                <w:p>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本项目情况</w:t>
                  </w:r>
                </w:p>
              </w:tc>
              <w:tc>
                <w:tcPr>
                  <w:tcW w:w="380" w:type="pct"/>
                  <w:noWrap w:val="0"/>
                  <w:vAlign w:val="center"/>
                </w:tcPr>
                <w:p>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符合性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8" w:type="dxa"/>
                  <w:bottom w:w="0" w:type="dxa"/>
                  <w:right w:w="28" w:type="dxa"/>
                </w:tblCellMar>
              </w:tblPrEx>
              <w:trPr>
                <w:trHeight w:val="763" w:hRule="atLeast"/>
                <w:jc w:val="center"/>
              </w:trPr>
              <w:tc>
                <w:tcPr>
                  <w:tcW w:w="937" w:type="pct"/>
                  <w:vMerge w:val="restart"/>
                  <w:noWrap w:val="0"/>
                  <w:tcMar>
                    <w:left w:w="28" w:type="dxa"/>
                    <w:right w:w="28" w:type="dxa"/>
                  </w:tcMar>
                  <w:vAlign w:val="center"/>
                </w:tcPr>
                <w:p>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《四川省“十三五”环境保护规划》（川府发</w:t>
                  </w:r>
                  <w:r>
                    <w:rPr>
                      <w:rFonts w:hint="eastAsia" w:ascii="Times New Roman" w:hAnsi="Times New Roman" w:cs="Times New Roman"/>
                      <w:color w:val="auto"/>
                      <w:sz w:val="21"/>
                      <w:highlight w:val="none"/>
                      <w:lang w:eastAsia="zh-CN"/>
                    </w:rPr>
                    <w:t>〔</w:t>
                  </w:r>
                  <w:r>
                    <w:rPr>
                      <w:rFonts w:hint="default" w:ascii="Times New Roman" w:hAnsi="Times New Roman" w:eastAsia="宋体" w:cs="Times New Roman"/>
                      <w:color w:val="auto"/>
                      <w:sz w:val="21"/>
                      <w:highlight w:val="none"/>
                    </w:rPr>
                    <w:t>2017</w:t>
                  </w:r>
                  <w:r>
                    <w:rPr>
                      <w:rFonts w:hint="eastAsia" w:ascii="Times New Roman" w:hAnsi="Times New Roman" w:cs="Times New Roman"/>
                      <w:color w:val="auto"/>
                      <w:sz w:val="21"/>
                      <w:highlight w:val="none"/>
                      <w:lang w:eastAsia="zh-CN"/>
                    </w:rPr>
                    <w:t>〕</w:t>
                  </w:r>
                  <w:r>
                    <w:rPr>
                      <w:rFonts w:hint="default" w:ascii="Times New Roman" w:hAnsi="Times New Roman" w:eastAsia="宋体" w:cs="Times New Roman"/>
                      <w:color w:val="auto"/>
                      <w:sz w:val="21"/>
                      <w:highlight w:val="none"/>
                    </w:rPr>
                    <w:t>14号）</w:t>
                  </w:r>
                </w:p>
              </w:tc>
              <w:tc>
                <w:tcPr>
                  <w:tcW w:w="2409" w:type="pct"/>
                  <w:noWrap w:val="0"/>
                  <w:vAlign w:val="center"/>
                </w:tcPr>
                <w:p>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地级及以上城市建成区禁止新建20蒸吨以下的燃煤锅炉，全面淘汰10蒸吨及以下燃煤小锅炉。</w:t>
                  </w:r>
                </w:p>
              </w:tc>
              <w:tc>
                <w:tcPr>
                  <w:tcW w:w="1272" w:type="pct"/>
                  <w:noWrap w:val="0"/>
                  <w:vAlign w:val="center"/>
                </w:tcPr>
                <w:p>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本项目不属于城市建成区，且项目不涉及燃煤锅炉的建设。</w:t>
                  </w:r>
                </w:p>
              </w:tc>
              <w:tc>
                <w:tcPr>
                  <w:tcW w:w="380" w:type="pct"/>
                  <w:noWrap w:val="0"/>
                  <w:vAlign w:val="center"/>
                </w:tcPr>
                <w:p>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8" w:type="dxa"/>
                  <w:bottom w:w="0" w:type="dxa"/>
                  <w:right w:w="28" w:type="dxa"/>
                </w:tblCellMar>
              </w:tblPrEx>
              <w:trPr>
                <w:trHeight w:val="2084" w:hRule="atLeast"/>
                <w:jc w:val="center"/>
              </w:trPr>
              <w:tc>
                <w:tcPr>
                  <w:tcW w:w="937" w:type="pct"/>
                  <w:vMerge w:val="continue"/>
                  <w:noWrap w:val="0"/>
                  <w:tcMar>
                    <w:left w:w="28" w:type="dxa"/>
                    <w:right w:w="28" w:type="dxa"/>
                  </w:tcMar>
                  <w:vAlign w:val="center"/>
                </w:tcPr>
                <w:p>
                  <w:pPr>
                    <w:adjustRightInd w:val="0"/>
                    <w:snapToGrid w:val="0"/>
                    <w:jc w:val="center"/>
                    <w:rPr>
                      <w:rFonts w:hint="default" w:ascii="Times New Roman" w:hAnsi="Times New Roman" w:eastAsia="宋体" w:cs="Times New Roman"/>
                      <w:color w:val="auto"/>
                      <w:sz w:val="21"/>
                      <w:highlight w:val="none"/>
                    </w:rPr>
                  </w:pPr>
                </w:p>
              </w:tc>
              <w:tc>
                <w:tcPr>
                  <w:tcW w:w="2409" w:type="pct"/>
                  <w:noWrap w:val="0"/>
                  <w:vAlign w:val="center"/>
                </w:tcPr>
                <w:p>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重点行业除尘改造。实施钢铁、冶金、火电、水泥、平板玻璃、砖瓦陶瓷、石油化工、化工等行业除尘提标升级改造。</w:t>
                  </w:r>
                </w:p>
              </w:tc>
              <w:tc>
                <w:tcPr>
                  <w:tcW w:w="1272" w:type="pct"/>
                  <w:noWrap w:val="0"/>
                  <w:vAlign w:val="center"/>
                </w:tcPr>
                <w:p>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本项目不属于规划中提到的重点行业，且项目对各产尘点均设置了废气收集系统，配设了袋式除尘器，含尘气体经处理后符合《大气污染物综合排放标准》及《锅炉大气污染物排放标准》要求。</w:t>
                  </w:r>
                </w:p>
              </w:tc>
              <w:tc>
                <w:tcPr>
                  <w:tcW w:w="380" w:type="pct"/>
                  <w:noWrap w:val="0"/>
                  <w:vAlign w:val="center"/>
                </w:tcPr>
                <w:p>
                  <w:pPr>
                    <w:adjustRightInd w:val="0"/>
                    <w:snapToGrid w:val="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8" w:type="dxa"/>
                  <w:bottom w:w="0" w:type="dxa"/>
                  <w:right w:w="28" w:type="dxa"/>
                </w:tblCellMar>
              </w:tblPrEx>
              <w:trPr>
                <w:trHeight w:val="1896" w:hRule="atLeast"/>
                <w:jc w:val="center"/>
              </w:trPr>
              <w:tc>
                <w:tcPr>
                  <w:tcW w:w="937" w:type="pct"/>
                  <w:vMerge w:val="restart"/>
                  <w:noWrap w:val="0"/>
                  <w:tcMar>
                    <w:left w:w="28" w:type="dxa"/>
                    <w:right w:w="28" w:type="dxa"/>
                  </w:tcMar>
                  <w:vAlign w:val="center"/>
                </w:tcPr>
                <w:p>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《四川省打赢蓝天保卫战实施方案》</w:t>
                  </w:r>
                </w:p>
              </w:tc>
              <w:tc>
                <w:tcPr>
                  <w:tcW w:w="2409" w:type="pct"/>
                  <w:noWrap w:val="0"/>
                  <w:vAlign w:val="center"/>
                </w:tcPr>
                <w:p>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一）强化“三线一单”（生态保护红线、环境质量底线、资源利用上限、生态环境准入清单）约束，明确禁止和限制发展的产行业、生产工艺和产业目录，优化产业布局和资源配置，积极推进区域、规划环境影响评价，新、改、扩建钢铁、石化、化工、焦化、建材、有色等项目的环境影响评价应满足区域、规划环境影响评价要求。</w:t>
                  </w:r>
                </w:p>
              </w:tc>
              <w:tc>
                <w:tcPr>
                  <w:tcW w:w="1272" w:type="pct"/>
                  <w:noWrap w:val="0"/>
                  <w:vAlign w:val="center"/>
                </w:tcPr>
                <w:p>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本项目不属于大气污染防治重点区域，项目用地属临时建设用地，项目建设符合三线一单”的管理要求</w:t>
                  </w:r>
                </w:p>
              </w:tc>
              <w:tc>
                <w:tcPr>
                  <w:tcW w:w="380" w:type="pct"/>
                  <w:noWrap w:val="0"/>
                  <w:vAlign w:val="center"/>
                </w:tcPr>
                <w:p>
                  <w:pPr>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8" w:type="dxa"/>
                  <w:bottom w:w="0" w:type="dxa"/>
                  <w:right w:w="28" w:type="dxa"/>
                </w:tblCellMar>
              </w:tblPrEx>
              <w:trPr>
                <w:trHeight w:val="1140" w:hRule="atLeast"/>
                <w:jc w:val="center"/>
              </w:trPr>
              <w:tc>
                <w:tcPr>
                  <w:tcW w:w="937" w:type="pct"/>
                  <w:vMerge w:val="continue"/>
                  <w:noWrap w:val="0"/>
                  <w:tcMar>
                    <w:left w:w="28" w:type="dxa"/>
                    <w:right w:w="28" w:type="dxa"/>
                  </w:tcMar>
                  <w:vAlign w:val="center"/>
                </w:tcPr>
                <w:p>
                  <w:pPr>
                    <w:adjustRightInd w:val="0"/>
                    <w:snapToGrid w:val="0"/>
                    <w:jc w:val="center"/>
                    <w:rPr>
                      <w:rFonts w:hint="default" w:ascii="Times New Roman" w:hAnsi="Times New Roman" w:eastAsia="宋体" w:cs="Times New Roman"/>
                      <w:color w:val="auto"/>
                      <w:sz w:val="21"/>
                      <w:highlight w:val="none"/>
                    </w:rPr>
                  </w:pPr>
                </w:p>
              </w:tc>
              <w:tc>
                <w:tcPr>
                  <w:tcW w:w="2409" w:type="pct"/>
                  <w:noWrap w:val="0"/>
                  <w:vAlign w:val="center"/>
                </w:tcPr>
                <w:p>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重点区域执行大气污染物特别排放限值，严禁新增钢铁、电力、水泥、玻璃、砖瓦、陶瓷、焦化、电解铝、有色等重点行业大气污染物排放。</w:t>
                  </w:r>
                </w:p>
              </w:tc>
              <w:tc>
                <w:tcPr>
                  <w:tcW w:w="1272" w:type="pct"/>
                  <w:noWrap w:val="0"/>
                  <w:vAlign w:val="center"/>
                </w:tcPr>
                <w:p>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本项目不属于大气污染防治重点区域，且项目为沥青砼生产，不涉及规划提及的重点行业。</w:t>
                  </w:r>
                </w:p>
              </w:tc>
              <w:tc>
                <w:tcPr>
                  <w:tcW w:w="380" w:type="pct"/>
                  <w:noWrap w:val="0"/>
                  <w:vAlign w:val="center"/>
                </w:tcPr>
                <w:p>
                  <w:pPr>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28" w:type="dxa"/>
                  <w:bottom w:w="0" w:type="dxa"/>
                  <w:right w:w="28" w:type="dxa"/>
                </w:tblCellMar>
              </w:tblPrEx>
              <w:trPr>
                <w:trHeight w:val="1144" w:hRule="atLeast"/>
                <w:jc w:val="center"/>
              </w:trPr>
              <w:tc>
                <w:tcPr>
                  <w:tcW w:w="937" w:type="pct"/>
                  <w:vMerge w:val="continue"/>
                  <w:noWrap w:val="0"/>
                  <w:tcMar>
                    <w:left w:w="28" w:type="dxa"/>
                    <w:right w:w="28" w:type="dxa"/>
                  </w:tcMar>
                  <w:vAlign w:val="center"/>
                </w:tcPr>
                <w:p>
                  <w:pPr>
                    <w:adjustRightInd w:val="0"/>
                    <w:snapToGrid w:val="0"/>
                    <w:jc w:val="center"/>
                    <w:rPr>
                      <w:rFonts w:hint="default" w:ascii="Times New Roman" w:hAnsi="Times New Roman" w:eastAsia="宋体" w:cs="Times New Roman"/>
                      <w:color w:val="auto"/>
                      <w:sz w:val="21"/>
                      <w:highlight w:val="none"/>
                    </w:rPr>
                  </w:pPr>
                </w:p>
              </w:tc>
              <w:tc>
                <w:tcPr>
                  <w:tcW w:w="2409" w:type="pct"/>
                  <w:noWrap w:val="0"/>
                  <w:vAlign w:val="center"/>
                </w:tcPr>
                <w:p>
                  <w:pPr>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开展燃煤锅炉综合整治。加大燃煤小锅炉淘汰力度。到2020年，县级及以上城市建成区全面淘汰每小时10蒸吨及以下燃煤锅炉，原则上不再新建每小时30蒸吨以下的燃煤锅炉；其他地区原则上不再新建每小时10蒸吨以下的燃煤锅炉。</w:t>
                  </w:r>
                </w:p>
              </w:tc>
              <w:tc>
                <w:tcPr>
                  <w:tcW w:w="1272" w:type="pct"/>
                  <w:noWrap w:val="0"/>
                  <w:vAlign w:val="center"/>
                </w:tcPr>
                <w:p>
                  <w:pPr>
                    <w:widowControl/>
                    <w:adjustRightInd w:val="0"/>
                    <w:snapToGrid w:val="0"/>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本项目不涉及燃煤锅炉。</w:t>
                  </w:r>
                </w:p>
              </w:tc>
              <w:tc>
                <w:tcPr>
                  <w:tcW w:w="380" w:type="pct"/>
                  <w:noWrap w:val="0"/>
                  <w:vAlign w:val="center"/>
                </w:tcPr>
                <w:p>
                  <w:pPr>
                    <w:jc w:val="center"/>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符合</w:t>
                  </w:r>
                </w:p>
              </w:tc>
            </w:tr>
          </w:tbl>
          <w:p>
            <w:pPr>
              <w:pStyle w:val="17"/>
              <w:rPr>
                <w:rFonts w:hint="default" w:ascii="Times New Roman" w:hAnsi="Times New Roman" w:cs="Times New Roman"/>
                <w:color w:val="FF0000"/>
                <w:lang w:val="zh-CN" w:eastAsia="zh-CN"/>
              </w:rPr>
            </w:pPr>
            <w:r>
              <w:rPr>
                <w:rFonts w:hint="default" w:ascii="Times New Roman" w:hAnsi="Times New Roman" w:eastAsia="宋体" w:cs="Times New Roman"/>
                <w:color w:val="auto"/>
                <w:sz w:val="24"/>
                <w:highlight w:val="none"/>
              </w:rPr>
              <w:t>综上所述，本项目位于</w:t>
            </w:r>
            <w:r>
              <w:rPr>
                <w:rFonts w:hint="default" w:ascii="Times New Roman" w:hAnsi="Times New Roman" w:eastAsia="宋体" w:cs="Times New Roman"/>
                <w:color w:val="auto"/>
                <w:sz w:val="24"/>
                <w:highlight w:val="none"/>
                <w:lang w:val="en-US" w:eastAsia="zh-CN"/>
              </w:rPr>
              <w:t>九龙县崩崩冲村</w:t>
            </w:r>
            <w:r>
              <w:rPr>
                <w:rFonts w:hint="default" w:ascii="Times New Roman" w:hAnsi="Times New Roman" w:eastAsia="宋体" w:cs="Times New Roman"/>
                <w:color w:val="auto"/>
                <w:sz w:val="24"/>
                <w:highlight w:val="none"/>
              </w:rPr>
              <w:t>，不属于重点控制区和一般控制区。本项目不涉及燃煤锅炉的建设，针对各废气污染源采取先进的污染治理设施，确保污染物达标排放。因此，与《四川省“十三五”环境保护规划》（川府发</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2017</w:t>
            </w:r>
            <w:r>
              <w:rPr>
                <w:rFonts w:hint="eastAsia"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14号）、《四川省打赢蓝天保卫战实施方案》的相关要求相符。</w:t>
            </w:r>
          </w:p>
          <w:p>
            <w:pPr>
              <w:keepNext w:val="0"/>
              <w:keepLines w:val="0"/>
              <w:pageBreakBefore w:val="0"/>
              <w:widowControl w:val="0"/>
              <w:kinsoku/>
              <w:wordWrap/>
              <w:overflowPunct/>
              <w:topLinePunct w:val="0"/>
              <w:bidi w:val="0"/>
              <w:snapToGrid w:val="0"/>
              <w:spacing w:line="360" w:lineRule="auto"/>
              <w:textAlignment w:val="auto"/>
              <w:rPr>
                <w:rFonts w:hint="default" w:ascii="Times New Roman" w:hAnsi="Times New Roman" w:eastAsia="宋体" w:cs="Times New Roman"/>
                <w:b/>
                <w:bCs/>
                <w:color w:val="auto"/>
                <w:sz w:val="24"/>
                <w:szCs w:val="36"/>
                <w:highlight w:val="none"/>
              </w:rPr>
            </w:pPr>
            <w:r>
              <w:rPr>
                <w:rFonts w:hint="default" w:ascii="Times New Roman" w:hAnsi="Times New Roman" w:cs="Times New Roman"/>
                <w:color w:val="auto"/>
                <w:sz w:val="24"/>
                <w:highlight w:val="none"/>
                <w:lang w:val="en-US" w:eastAsia="zh-CN"/>
              </w:rPr>
              <w:t>3、</w:t>
            </w:r>
            <w:r>
              <w:rPr>
                <w:rFonts w:hint="default" w:ascii="Times New Roman" w:hAnsi="Times New Roman" w:eastAsia="宋体" w:cs="Times New Roman"/>
                <w:b/>
                <w:bCs/>
                <w:color w:val="auto"/>
                <w:sz w:val="24"/>
                <w:szCs w:val="36"/>
                <w:highlight w:val="none"/>
              </w:rPr>
              <w:t>外环境关系及选址</w:t>
            </w:r>
            <w:r>
              <w:rPr>
                <w:rFonts w:hint="eastAsia" w:ascii="Times New Roman" w:hAnsi="Times New Roman" w:cs="Times New Roman"/>
                <w:b/>
                <w:bCs/>
                <w:color w:val="auto"/>
                <w:sz w:val="24"/>
                <w:szCs w:val="36"/>
                <w:highlight w:val="none"/>
                <w:lang w:val="en-US" w:eastAsia="zh-CN"/>
              </w:rPr>
              <w:t>用地</w:t>
            </w:r>
            <w:r>
              <w:rPr>
                <w:rFonts w:hint="default" w:ascii="Times New Roman" w:hAnsi="Times New Roman" w:eastAsia="宋体" w:cs="Times New Roman"/>
                <w:b/>
                <w:bCs/>
                <w:color w:val="auto"/>
                <w:sz w:val="24"/>
                <w:szCs w:val="36"/>
                <w:highlight w:val="none"/>
              </w:rPr>
              <w:t>合理性分析</w:t>
            </w:r>
          </w:p>
          <w:p>
            <w:pPr>
              <w:pStyle w:val="3"/>
              <w:ind w:left="0" w:leftChars="0" w:firstLine="480" w:firstLineChars="200"/>
              <w:rPr>
                <w:rFonts w:hint="eastAsia"/>
                <w:lang w:eastAsia="zh-CN"/>
              </w:rPr>
            </w:pP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val="en-US" w:eastAsia="zh-CN"/>
              </w:rPr>
              <w:t>相关施工图设计文件</w:t>
            </w:r>
            <w:r>
              <w:rPr>
                <w:rFonts w:hint="eastAsia" w:cs="Times New Roman"/>
                <w:color w:val="auto"/>
                <w:sz w:val="24"/>
                <w:highlight w:val="none"/>
                <w:lang w:val="en-US" w:eastAsia="zh-CN"/>
              </w:rPr>
              <w:t>及</w:t>
            </w:r>
            <w:r>
              <w:rPr>
                <w:rFonts w:hint="eastAsia"/>
                <w:color w:val="auto"/>
              </w:rPr>
              <w:t>根据现场踏勘，</w:t>
            </w:r>
            <w:r>
              <w:rPr>
                <w:rFonts w:hint="eastAsia" w:cs="Times New Roman"/>
                <w:color w:val="auto"/>
                <w:sz w:val="24"/>
                <w:highlight w:val="none"/>
                <w:lang w:val="en-US" w:eastAsia="zh-CN"/>
              </w:rPr>
              <w:t>本项目</w:t>
            </w:r>
            <w:r>
              <w:rPr>
                <w:rFonts w:hint="default" w:ascii="Times New Roman" w:hAnsi="Times New Roman" w:eastAsia="宋体" w:cs="Times New Roman"/>
                <w:color w:val="auto"/>
                <w:sz w:val="24"/>
                <w:highlight w:val="none"/>
                <w:lang w:val="en-US" w:eastAsia="zh-CN"/>
              </w:rPr>
              <w:t>位于</w:t>
            </w:r>
            <w:r>
              <w:rPr>
                <w:rFonts w:hint="eastAsia" w:cs="Times New Roman"/>
                <w:color w:val="auto"/>
                <w:sz w:val="24"/>
                <w:highlight w:val="none"/>
                <w:lang w:val="en-US" w:eastAsia="zh-CN"/>
              </w:rPr>
              <w:t>九龙县汤古镇崩崩冲村。</w:t>
            </w:r>
            <w:r>
              <w:rPr>
                <w:rFonts w:hint="default" w:ascii="Times New Roman" w:hAnsi="Times New Roman" w:cs="Times New Roman"/>
                <w:color w:val="auto"/>
              </w:rPr>
              <w:t>项目</w:t>
            </w:r>
            <w:r>
              <w:rPr>
                <w:rFonts w:hint="default" w:ascii="Times New Roman" w:hAnsi="Times New Roman" w:cs="Times New Roman"/>
                <w:color w:val="auto"/>
                <w:lang w:val="en-US" w:eastAsia="zh-CN"/>
              </w:rPr>
              <w:t>东侧</w:t>
            </w:r>
            <w:r>
              <w:rPr>
                <w:rFonts w:hint="default" w:ascii="Times New Roman" w:hAnsi="Times New Roman" w:cs="Times New Roman"/>
                <w:color w:val="auto"/>
              </w:rPr>
              <w:t>紧邻</w:t>
            </w:r>
            <w:r>
              <w:rPr>
                <w:rFonts w:hint="default" w:ascii="Times New Roman" w:hAnsi="Times New Roman" w:eastAsia="宋体" w:cs="Times New Roman"/>
                <w:color w:val="auto"/>
                <w:sz w:val="24"/>
                <w:highlight w:val="none"/>
                <w:lang w:val="en-US" w:eastAsia="zh-CN"/>
              </w:rPr>
              <w:t>G248线</w:t>
            </w:r>
            <w:r>
              <w:rPr>
                <w:rFonts w:hint="default" w:ascii="Times New Roman" w:hAnsi="Times New Roman" w:cs="Times New Roman"/>
                <w:color w:val="auto"/>
                <w:sz w:val="24"/>
                <w:highlight w:val="none"/>
                <w:lang w:val="en-US" w:eastAsia="zh-CN"/>
              </w:rPr>
              <w:t>公路，西侧为山地，北侧约3</w:t>
            </w:r>
            <w:r>
              <w:rPr>
                <w:rFonts w:hint="eastAsia" w:cs="Times New Roman"/>
                <w:color w:val="auto"/>
                <w:sz w:val="24"/>
                <w:highlight w:val="none"/>
                <w:lang w:val="en-US" w:eastAsia="zh-CN"/>
              </w:rPr>
              <w:t>1</w:t>
            </w:r>
            <w:r>
              <w:rPr>
                <w:rFonts w:hint="default" w:ascii="Times New Roman" w:hAnsi="Times New Roman" w:cs="Times New Roman"/>
                <w:color w:val="auto"/>
                <w:sz w:val="24"/>
                <w:highlight w:val="none"/>
                <w:lang w:val="en-US" w:eastAsia="zh-CN"/>
              </w:rPr>
              <w:t>0米为崩崩冲村居民约30户，南侧为空地，项目所在位置空旷，</w:t>
            </w:r>
            <w:r>
              <w:rPr>
                <w:rFonts w:hint="default" w:ascii="Times New Roman" w:hAnsi="Times New Roman" w:cs="Times New Roman"/>
                <w:color w:val="auto"/>
              </w:rPr>
              <w:t>项目出场道路由东侧接入</w:t>
            </w:r>
            <w:r>
              <w:rPr>
                <w:rFonts w:hint="default" w:ascii="Times New Roman" w:hAnsi="Times New Roman" w:cs="Times New Roman"/>
                <w:color w:val="auto"/>
                <w:lang w:val="en-US" w:eastAsia="zh-CN"/>
              </w:rPr>
              <w:t>国</w:t>
            </w:r>
            <w:r>
              <w:rPr>
                <w:rFonts w:hint="default" w:ascii="Times New Roman" w:hAnsi="Times New Roman" w:cs="Times New Roman"/>
                <w:color w:val="auto"/>
              </w:rPr>
              <w:t>道。</w:t>
            </w:r>
            <w:r>
              <w:rPr>
                <w:rFonts w:hint="eastAsia"/>
              </w:rPr>
              <w:t>项目</w:t>
            </w:r>
            <w:r>
              <w:t>东南侧</w:t>
            </w:r>
            <w:r>
              <w:rPr>
                <w:rFonts w:hint="eastAsia"/>
                <w:highlight w:val="none"/>
                <w:lang w:val="en-US" w:eastAsia="zh-CN"/>
              </w:rPr>
              <w:t>20</w:t>
            </w:r>
            <w:r>
              <w:rPr>
                <w:rFonts w:hint="eastAsia"/>
                <w:highlight w:val="none"/>
              </w:rPr>
              <w:t>0m</w:t>
            </w:r>
            <w:r>
              <w:rPr>
                <w:rFonts w:hint="eastAsia"/>
              </w:rPr>
              <w:t>处</w:t>
            </w:r>
            <w:r>
              <w:t>为</w:t>
            </w:r>
            <w:r>
              <w:rPr>
                <w:rFonts w:hint="eastAsia"/>
                <w:lang w:val="en-US" w:eastAsia="zh-CN"/>
              </w:rPr>
              <w:t>建设用地内</w:t>
            </w:r>
            <w:r>
              <w:t>原</w:t>
            </w:r>
            <w:r>
              <w:rPr>
                <w:rFonts w:hint="eastAsia"/>
                <w:lang w:val="en-US" w:eastAsia="zh-CN"/>
              </w:rPr>
              <w:t>崩崩冲村砂厂</w:t>
            </w:r>
            <w:r>
              <w:t>施工营地，现已空置，作为本项目生活营地</w:t>
            </w:r>
            <w:r>
              <w:rPr>
                <w:rFonts w:hint="eastAsia"/>
                <w:lang w:eastAsia="zh-CN"/>
              </w:rPr>
              <w:t>。</w:t>
            </w:r>
          </w:p>
          <w:p>
            <w:pPr>
              <w:pStyle w:val="3"/>
              <w:ind w:firstLine="480"/>
              <w:rPr>
                <w:color w:val="auto"/>
                <w:highlight w:val="none"/>
                <w:u w:val="none"/>
              </w:rPr>
            </w:pPr>
            <w:r>
              <w:rPr>
                <w:rFonts w:hint="eastAsia"/>
              </w:rPr>
              <w:t>项目周围</w:t>
            </w:r>
            <w:r>
              <w:rPr>
                <w:rFonts w:hint="eastAsia"/>
                <w:lang w:val="en-US" w:eastAsia="zh-CN"/>
              </w:rPr>
              <w:t>3</w:t>
            </w:r>
            <w:r>
              <w:rPr>
                <w:rFonts w:hint="eastAsia"/>
              </w:rPr>
              <w:t>00m内无村民居住地。</w:t>
            </w:r>
            <w:r>
              <w:rPr>
                <w:color w:val="auto"/>
                <w:highlight w:val="none"/>
                <w:u w:val="none"/>
              </w:rPr>
              <w:t>本项目以生产区边界为起点，设置</w:t>
            </w:r>
            <w:r>
              <w:rPr>
                <w:rFonts w:hint="eastAsia"/>
                <w:color w:val="auto"/>
                <w:highlight w:val="none"/>
                <w:u w:val="none"/>
                <w:lang w:val="en-US" w:eastAsia="zh-CN"/>
              </w:rPr>
              <w:t>3</w:t>
            </w:r>
            <w:r>
              <w:rPr>
                <w:color w:val="auto"/>
                <w:highlight w:val="none"/>
                <w:u w:val="none"/>
              </w:rPr>
              <w:t>00m的卫生防护距离。现状项目卫生防护距离内不存在敏感点。</w:t>
            </w:r>
          </w:p>
          <w:p>
            <w:pPr>
              <w:pStyle w:val="3"/>
              <w:ind w:firstLine="480"/>
            </w:pPr>
            <w:r>
              <w:rPr>
                <w:rFonts w:hint="eastAsia"/>
              </w:rPr>
              <w:t>本项目选址不涉及自然保护区、风景名胜区、饮用水水源保护区等，外环境简单，无明确的制约因素。</w:t>
            </w:r>
          </w:p>
          <w:p>
            <w:pPr>
              <w:pStyle w:val="2"/>
              <w:ind w:firstLine="480"/>
              <w:rPr>
                <w:rFonts w:hint="eastAsia"/>
                <w:color w:val="auto"/>
                <w:highlight w:val="none"/>
                <w:lang w:val="en-US" w:eastAsia="zh-CN"/>
              </w:rPr>
            </w:pPr>
            <w:r>
              <w:rPr>
                <w:rFonts w:hint="eastAsia"/>
                <w:color w:val="auto"/>
                <w:highlight w:val="none"/>
              </w:rPr>
              <w:t>根据</w:t>
            </w:r>
            <w:r>
              <w:rPr>
                <w:rFonts w:hint="eastAsia"/>
                <w:color w:val="auto"/>
                <w:highlight w:val="none"/>
                <w:lang w:val="en-US" w:eastAsia="zh-CN"/>
              </w:rPr>
              <w:t>九龙县自然资源局给甘孜州公路建设服务中心下发的通知，</w:t>
            </w:r>
          </w:p>
          <w:p>
            <w:pPr>
              <w:pStyle w:val="2"/>
              <w:ind w:left="0" w:leftChars="0" w:firstLine="0" w:firstLineChars="0"/>
              <w:rPr>
                <w:highlight w:val="yellow"/>
              </w:rPr>
            </w:pPr>
            <w:r>
              <w:rPr>
                <w:rFonts w:hint="eastAsia"/>
                <w:color w:val="auto"/>
                <w:highlight w:val="none"/>
                <w:lang w:val="en-US" w:eastAsia="zh-CN"/>
              </w:rPr>
              <w:t>该项目临时占用汤古镇崩崩冲村崩崩冲组集体土地0.8601公顷，属建设用地中的采矿用地。且已完成（G248线2020年度公路路面大中修工程沥青砼热拌站临时用地复垦方案公众参与调查问卷）。项目实施完毕后临时用地由甘孜州公路建设服务中心负责将其进行临时用地复垦工作。</w:t>
            </w:r>
          </w:p>
          <w:p>
            <w:pPr>
              <w:pStyle w:val="3"/>
              <w:ind w:left="0" w:leftChars="0" w:firstLine="480" w:firstLineChars="200"/>
              <w:rPr>
                <w:rFonts w:hint="default" w:ascii="Times New Roman" w:hAnsi="Times New Roman" w:eastAsia="宋体" w:cs="Times New Roman"/>
                <w:color w:val="auto"/>
                <w:sz w:val="24"/>
                <w:highlight w:val="none"/>
                <w:lang w:eastAsia="zh-CN"/>
              </w:rPr>
            </w:pPr>
            <w:r>
              <w:rPr>
                <w:rFonts w:hint="eastAsia"/>
              </w:rPr>
              <w:t>因此</w:t>
            </w:r>
            <w:r>
              <w:t>，项目选址</w:t>
            </w:r>
            <w:r>
              <w:rPr>
                <w:rFonts w:hint="eastAsia"/>
              </w:rPr>
              <w:t>于</w:t>
            </w:r>
            <w:r>
              <w:rPr>
                <w:rFonts w:hint="eastAsia" w:cs="Times New Roman"/>
                <w:color w:val="auto"/>
                <w:sz w:val="24"/>
                <w:highlight w:val="none"/>
                <w:lang w:val="en-US" w:eastAsia="zh-CN"/>
              </w:rPr>
              <w:t>九龙县汤古镇崩崩冲村</w:t>
            </w:r>
            <w:r>
              <w:rPr>
                <w:rFonts w:hint="eastAsia"/>
              </w:rPr>
              <w:t>是</w:t>
            </w:r>
            <w:r>
              <w:t>合理可行的。</w:t>
            </w:r>
          </w:p>
          <w:p>
            <w:pPr>
              <w:rPr>
                <w:rFonts w:hint="default" w:ascii="Times New Roman" w:hAnsi="Times New Roman" w:eastAsia="宋体" w:cs="Times New Roman"/>
                <w:color w:val="auto"/>
                <w:sz w:val="24"/>
                <w:highlight w:val="none"/>
              </w:rPr>
            </w:pPr>
          </w:p>
          <w:p>
            <w:pPr>
              <w:rPr>
                <w:rFonts w:hint="default" w:ascii="Times New Roman" w:hAnsi="Times New Roman" w:eastAsia="宋体" w:cs="Times New Roman"/>
                <w:color w:val="auto"/>
                <w:sz w:val="24"/>
                <w:highlight w:val="none"/>
              </w:rPr>
            </w:pPr>
          </w:p>
          <w:p>
            <w:pPr>
              <w:rPr>
                <w:rFonts w:hint="default" w:ascii="Times New Roman" w:hAnsi="Times New Roman" w:eastAsia="宋体" w:cs="Times New Roman"/>
                <w:color w:val="auto"/>
                <w:sz w:val="24"/>
                <w:highlight w:val="none"/>
              </w:rPr>
            </w:pPr>
          </w:p>
          <w:p>
            <w:pPr>
              <w:pStyle w:val="15"/>
              <w:spacing w:before="1"/>
              <w:jc w:val="both"/>
              <w:rPr>
                <w:rFonts w:hint="default" w:ascii="Times New Roman" w:hAnsi="Times New Roman" w:cs="Times New Roman"/>
                <w:sz w:val="21"/>
              </w:rPr>
            </w:pPr>
          </w:p>
        </w:tc>
      </w:tr>
    </w:tbl>
    <w:p>
      <w:pPr>
        <w:spacing w:after="0"/>
        <w:jc w:val="center"/>
        <w:rPr>
          <w:sz w:val="21"/>
        </w:rPr>
        <w:sectPr>
          <w:footerReference r:id="rId7" w:type="default"/>
          <w:footerReference r:id="rId8" w:type="even"/>
          <w:pgSz w:w="11910" w:h="16840"/>
          <w:pgMar w:top="1580" w:right="1320" w:bottom="1240" w:left="1340" w:header="0" w:footer="1043" w:gutter="0"/>
          <w:pgBorders>
            <w:top w:val="none" w:sz="0" w:space="0"/>
            <w:left w:val="none" w:sz="0" w:space="0"/>
            <w:bottom w:val="none" w:sz="0" w:space="0"/>
            <w:right w:val="none" w:sz="0" w:space="0"/>
          </w:pgBorders>
          <w:pgNumType w:fmt="decimal" w:start="1"/>
          <w:cols w:space="720" w:num="1"/>
        </w:sectPr>
      </w:pPr>
    </w:p>
    <w:p>
      <w:pPr>
        <w:pStyle w:val="7"/>
        <w:spacing w:before="8"/>
        <w:rPr>
          <w:sz w:val="25"/>
        </w:rPr>
      </w:pPr>
    </w:p>
    <w:p>
      <w:pPr>
        <w:pStyle w:val="7"/>
        <w:spacing w:before="58"/>
        <w:ind w:left="635" w:right="653"/>
        <w:jc w:val="center"/>
      </w:pPr>
      <w:r>
        <w:t>二、建设项目工程分析</w:t>
      </w:r>
    </w:p>
    <w:p>
      <w:pPr>
        <w:pStyle w:val="7"/>
        <w:spacing w:before="11" w:after="1"/>
        <w:rPr>
          <w:sz w:val="21"/>
        </w:rPr>
      </w:pPr>
    </w:p>
    <w:tbl>
      <w:tblPr>
        <w:tblStyle w:val="11"/>
        <w:tblW w:w="0" w:type="auto"/>
        <w:tblInd w:w="13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96"/>
        <w:gridCol w:w="838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193" w:hRule="atLeast"/>
        </w:trPr>
        <w:tc>
          <w:tcPr>
            <w:tcW w:w="596" w:type="dxa"/>
            <w:tcBorders>
              <w:bottom w:val="single" w:color="000000" w:sz="4" w:space="0"/>
              <w:right w:val="single" w:color="000000" w:sz="4" w:space="0"/>
            </w:tcBorders>
            <w:vAlign w:val="center"/>
          </w:tcPr>
          <w:p>
            <w:pPr>
              <w:pStyle w:val="15"/>
              <w:jc w:val="center"/>
              <w:rPr>
                <w:rFonts w:ascii="黑体"/>
                <w:sz w:val="20"/>
              </w:rPr>
            </w:pPr>
          </w:p>
          <w:p>
            <w:pPr>
              <w:pStyle w:val="15"/>
              <w:jc w:val="center"/>
              <w:rPr>
                <w:rFonts w:ascii="黑体"/>
                <w:sz w:val="20"/>
              </w:rPr>
            </w:pPr>
          </w:p>
          <w:p>
            <w:pPr>
              <w:pStyle w:val="15"/>
              <w:jc w:val="center"/>
              <w:rPr>
                <w:rFonts w:ascii="黑体"/>
                <w:sz w:val="20"/>
              </w:rPr>
            </w:pPr>
          </w:p>
          <w:p>
            <w:pPr>
              <w:pStyle w:val="15"/>
              <w:jc w:val="center"/>
              <w:rPr>
                <w:rFonts w:ascii="黑体"/>
                <w:sz w:val="20"/>
              </w:rPr>
            </w:pPr>
          </w:p>
          <w:p>
            <w:pPr>
              <w:pStyle w:val="15"/>
              <w:jc w:val="center"/>
              <w:rPr>
                <w:rFonts w:ascii="黑体"/>
                <w:sz w:val="20"/>
              </w:rPr>
            </w:pPr>
          </w:p>
          <w:p>
            <w:pPr>
              <w:pStyle w:val="15"/>
              <w:jc w:val="center"/>
              <w:rPr>
                <w:rFonts w:ascii="黑体"/>
                <w:sz w:val="20"/>
              </w:rPr>
            </w:pPr>
          </w:p>
          <w:p>
            <w:pPr>
              <w:pStyle w:val="15"/>
              <w:jc w:val="center"/>
              <w:rPr>
                <w:rFonts w:ascii="黑体"/>
                <w:sz w:val="20"/>
              </w:rPr>
            </w:pPr>
          </w:p>
          <w:p>
            <w:pPr>
              <w:pStyle w:val="10"/>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center"/>
              <w:textAlignment w:val="auto"/>
              <w:rPr>
                <w:rFonts w:ascii="Times New Roman" w:hAnsi="Times New Roman"/>
                <w:sz w:val="24"/>
              </w:rPr>
            </w:pPr>
          </w:p>
          <w:p>
            <w:pPr>
              <w:pStyle w:val="10"/>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jc w:val="center"/>
              <w:textAlignment w:val="auto"/>
              <w:rPr>
                <w:rFonts w:ascii="Times New Roman" w:hAnsi="Times New Roman"/>
                <w:sz w:val="24"/>
              </w:rPr>
            </w:pPr>
          </w:p>
          <w:p>
            <w:pPr>
              <w:pStyle w:val="10"/>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right="0"/>
              <w:jc w:val="center"/>
              <w:textAlignment w:val="auto"/>
              <w:rPr>
                <w:rFonts w:ascii="Times New Roman" w:hAnsi="Times New Roman"/>
                <w:sz w:val="24"/>
              </w:rPr>
            </w:pPr>
            <w:r>
              <w:rPr>
                <w:rFonts w:ascii="Times New Roman" w:hAnsi="Times New Roman"/>
                <w:sz w:val="24"/>
              </w:rPr>
              <w:t>建</w:t>
            </w:r>
          </w:p>
          <w:p>
            <w:pPr>
              <w:pStyle w:val="10"/>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right="0"/>
              <w:jc w:val="center"/>
              <w:textAlignment w:val="auto"/>
              <w:rPr>
                <w:rFonts w:ascii="Times New Roman" w:hAnsi="Times New Roman"/>
                <w:sz w:val="24"/>
              </w:rPr>
            </w:pPr>
            <w:r>
              <w:rPr>
                <w:rFonts w:ascii="Times New Roman" w:hAnsi="Times New Roman"/>
                <w:sz w:val="24"/>
              </w:rPr>
              <w:t>设</w:t>
            </w:r>
          </w:p>
          <w:p>
            <w:pPr>
              <w:pStyle w:val="10"/>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right="0"/>
              <w:jc w:val="center"/>
              <w:textAlignment w:val="auto"/>
              <w:rPr>
                <w:rFonts w:ascii="Times New Roman" w:hAnsi="Times New Roman"/>
                <w:sz w:val="24"/>
              </w:rPr>
            </w:pPr>
            <w:r>
              <w:rPr>
                <w:rFonts w:ascii="Times New Roman" w:hAnsi="Times New Roman"/>
                <w:sz w:val="24"/>
              </w:rPr>
              <w:t>内</w:t>
            </w:r>
          </w:p>
          <w:p>
            <w:pPr>
              <w:pStyle w:val="10"/>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right="0"/>
              <w:jc w:val="center"/>
              <w:textAlignment w:val="auto"/>
              <w:rPr>
                <w:sz w:val="21"/>
              </w:rPr>
            </w:pPr>
            <w:r>
              <w:rPr>
                <w:rFonts w:ascii="Times New Roman" w:hAnsi="Times New Roman"/>
                <w:sz w:val="24"/>
              </w:rPr>
              <w:t>容</w:t>
            </w:r>
          </w:p>
        </w:tc>
        <w:tc>
          <w:tcPr>
            <w:tcW w:w="8388" w:type="dxa"/>
            <w:tcBorders>
              <w:left w:val="single" w:color="000000" w:sz="4" w:space="0"/>
              <w:bottom w:val="single" w:color="000000" w:sz="4" w:space="0"/>
            </w:tcBorders>
          </w:tcPr>
          <w:p>
            <w:pPr>
              <w:snapToGrid w:val="0"/>
              <w:spacing w:line="360" w:lineRule="auto"/>
              <w:rPr>
                <w:rFonts w:hint="default" w:eastAsia="宋体"/>
                <w:b/>
                <w:color w:val="auto"/>
                <w:sz w:val="24"/>
                <w:highlight w:val="none"/>
                <w:lang w:val="en-US" w:eastAsia="zh-CN"/>
              </w:rPr>
            </w:pPr>
            <w:r>
              <w:rPr>
                <w:rFonts w:hint="eastAsia"/>
                <w:b/>
                <w:color w:val="auto"/>
                <w:sz w:val="24"/>
                <w:highlight w:val="none"/>
                <w:lang w:val="en-US" w:eastAsia="zh-CN"/>
              </w:rPr>
              <w:t>1、项目由来</w:t>
            </w:r>
          </w:p>
          <w:p>
            <w:pPr>
              <w:pStyle w:val="10"/>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sz w:val="24"/>
                <w:lang w:eastAsia="zh-CN"/>
              </w:rPr>
            </w:pPr>
            <w:r>
              <w:rPr>
                <w:rFonts w:ascii="Times New Roman" w:hAnsi="Times New Roman"/>
                <w:sz w:val="24"/>
              </w:rPr>
              <w:t>G248 线是连接甘孜州南北的大通道，是连接甘孜州境内 G318 与G549主要通道，</w:t>
            </w:r>
            <w:r>
              <w:rPr>
                <w:rFonts w:hint="eastAsia" w:ascii="Times New Roman" w:hAnsi="Times New Roman"/>
                <w:sz w:val="24"/>
                <w:lang w:val="en-US" w:eastAsia="zh-CN"/>
              </w:rPr>
              <w:t>也</w:t>
            </w:r>
            <w:r>
              <w:rPr>
                <w:rFonts w:ascii="Times New Roman" w:hAnsi="Times New Roman"/>
                <w:sz w:val="24"/>
              </w:rPr>
              <w:t>是连接甘孜县与新龙县的主要通道，是一条政治线、旅游线、经济线，路线功能较为重要。随着康定市、九龙县经济的发展，交通量不断增加，旅游车辆和物资车辆的日益增加，路面出现不同程度网裂、纵横向裂缝、沉陷等病害</w:t>
            </w:r>
            <w:r>
              <w:rPr>
                <w:rFonts w:hint="eastAsia" w:ascii="Times New Roman" w:hAnsi="Times New Roman"/>
                <w:sz w:val="24"/>
                <w:lang w:eastAsia="zh-CN"/>
              </w:rPr>
              <w:t>，</w:t>
            </w:r>
            <w:r>
              <w:rPr>
                <w:bCs/>
                <w:sz w:val="24"/>
              </w:rPr>
              <w:t>严重影响了公路的通行能力和行车舒适性</w:t>
            </w:r>
            <w:r>
              <w:rPr>
                <w:rFonts w:hint="eastAsia"/>
                <w:bCs/>
                <w:sz w:val="24"/>
              </w:rPr>
              <w:t>，</w:t>
            </w:r>
            <w:r>
              <w:rPr>
                <w:bCs/>
                <w:sz w:val="24"/>
              </w:rPr>
              <w:t>不能满足通行需求</w:t>
            </w:r>
            <w:r>
              <w:rPr>
                <w:rFonts w:hint="eastAsia"/>
                <w:bCs/>
                <w:sz w:val="24"/>
                <w:lang w:eastAsia="zh-CN"/>
              </w:rPr>
              <w:t>。</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Times New Roman" w:hAnsi="Times New Roman" w:eastAsia="宋体"/>
                <w:sz w:val="24"/>
                <w:szCs w:val="24"/>
                <w:lang w:val="en-US" w:eastAsia="zh-CN"/>
              </w:rPr>
            </w:pPr>
            <w:r>
              <w:rPr>
                <w:rFonts w:hint="eastAsia"/>
                <w:bCs/>
                <w:sz w:val="24"/>
                <w:lang w:val="en-US" w:eastAsia="zh-CN"/>
              </w:rPr>
              <w:t>实施</w:t>
            </w:r>
            <w:r>
              <w:rPr>
                <w:rFonts w:ascii="Times New Roman" w:hAnsi="Times New Roman"/>
                <w:sz w:val="24"/>
              </w:rPr>
              <w:t>大中修工程不仅可以提高G248线路的行车舒适性、行车安全性及其通行能力，而且能够带动项目沿线泉华滩、子梅垭口、贡嘎山风景名胜区、九龙伍须海风景区、塔公草原等旅游资源的开发和利用。同时，项目所在区域的社会经济地位和作用也将会日渐增强，将进一步促进沿线乡镇的农林业、土地和矿产等</w:t>
            </w:r>
            <w:r>
              <w:rPr>
                <w:rFonts w:hint="eastAsia" w:ascii="Times New Roman" w:hAnsi="Times New Roman" w:eastAsia="宋体"/>
                <w:sz w:val="24"/>
                <w:szCs w:val="24"/>
                <w:lang w:val="en-US" w:eastAsia="zh-CN"/>
              </w:rPr>
              <w:t>资源更好地开发利用，并带动相关产业的发展，对改善甘孜州的投资环境产生积极的影响，具有极大的社会效益。</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Times New Roman" w:hAnsi="Times New Roman"/>
                <w:sz w:val="24"/>
                <w:lang w:val="en-US" w:eastAsia="zh-CN"/>
              </w:rPr>
            </w:pPr>
            <w:r>
              <w:rPr>
                <w:rFonts w:hint="eastAsia" w:ascii="Times New Roman" w:hAnsi="Times New Roman" w:eastAsia="宋体"/>
                <w:sz w:val="24"/>
                <w:szCs w:val="24"/>
                <w:lang w:val="en-US" w:eastAsia="zh-CN"/>
              </w:rPr>
              <w:t>2019年10月，甘孜州发展和改革委员会以</w:t>
            </w:r>
            <w:r>
              <w:rPr>
                <w:rFonts w:hint="eastAsia" w:ascii="Times New Roman" w:hAnsi="Times New Roman"/>
                <w:sz w:val="24"/>
                <w:szCs w:val="24"/>
                <w:lang w:val="en-US" w:eastAsia="zh-CN"/>
              </w:rPr>
              <w:t>“</w:t>
            </w:r>
            <w:r>
              <w:rPr>
                <w:rFonts w:hint="eastAsia" w:ascii="Times New Roman" w:hAnsi="Times New Roman" w:eastAsia="宋体"/>
                <w:sz w:val="24"/>
                <w:szCs w:val="24"/>
                <w:lang w:val="en-US" w:eastAsia="zh-CN"/>
              </w:rPr>
              <w:t>甘发改〔2019〕543号</w:t>
            </w:r>
            <w:r>
              <w:rPr>
                <w:rFonts w:hint="eastAsia" w:ascii="Times New Roman" w:hAnsi="Times New Roman"/>
                <w:sz w:val="24"/>
                <w:szCs w:val="24"/>
                <w:lang w:val="en-US" w:eastAsia="zh-CN"/>
              </w:rPr>
              <w:t>”</w:t>
            </w:r>
            <w:r>
              <w:rPr>
                <w:rFonts w:hint="eastAsia" w:ascii="Times New Roman" w:hAnsi="Times New Roman" w:eastAsia="宋体"/>
                <w:sz w:val="24"/>
                <w:szCs w:val="24"/>
                <w:lang w:val="en-US" w:eastAsia="zh-CN"/>
              </w:rPr>
              <w:t>文发布了《G248线2020年度公路路面大中修工程养护技术方案的批复》</w:t>
            </w:r>
            <w:r>
              <w:rPr>
                <w:rFonts w:hint="eastAsia" w:ascii="Times New Roman" w:hAnsi="Times New Roman"/>
                <w:sz w:val="24"/>
                <w:szCs w:val="24"/>
                <w:lang w:val="en-US" w:eastAsia="zh-CN"/>
              </w:rPr>
              <w:t>。</w:t>
            </w:r>
            <w:r>
              <w:rPr>
                <w:rFonts w:ascii="Times New Roman" w:hAnsi="Times New Roman"/>
                <w:sz w:val="24"/>
              </w:rPr>
              <w:t>大中修工程</w:t>
            </w:r>
            <w:r>
              <w:rPr>
                <w:rFonts w:hint="eastAsia" w:ascii="Times New Roman" w:hAnsi="Times New Roman"/>
                <w:sz w:val="24"/>
                <w:lang w:val="en-US" w:eastAsia="zh-CN"/>
              </w:rPr>
              <w:t>位于康定市与九龙县境内，公路平面线维持现有路线走向不变。大修补里程共计79.989公里，其中大修路段9.228公里，中修路段70.761公里。该路面大中修工程采用三级公路技术标准进行，路面大修工程总投资12841.44万元。</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Times New Roman" w:hAnsi="Times New Roman"/>
                <w:sz w:val="24"/>
                <w:lang w:val="en-US" w:eastAsia="zh-CN"/>
              </w:rPr>
            </w:pPr>
            <w:r>
              <w:rPr>
                <w:rFonts w:hint="eastAsia" w:ascii="Times New Roman" w:hAnsi="Times New Roman"/>
                <w:sz w:val="24"/>
                <w:lang w:val="en-US" w:eastAsia="zh-CN"/>
              </w:rPr>
              <w:t>2020年6月，四川省交通运输厅以“川交许可建</w:t>
            </w:r>
            <w:r>
              <w:rPr>
                <w:rFonts w:hint="eastAsia" w:ascii="Times New Roman" w:hAnsi="Times New Roman" w:eastAsia="宋体"/>
                <w:sz w:val="24"/>
                <w:szCs w:val="24"/>
                <w:lang w:val="en-US" w:eastAsia="zh-CN"/>
              </w:rPr>
              <w:t>〔20</w:t>
            </w:r>
            <w:r>
              <w:rPr>
                <w:rFonts w:hint="eastAsia" w:ascii="Times New Roman" w:hAnsi="Times New Roman"/>
                <w:sz w:val="24"/>
                <w:szCs w:val="24"/>
                <w:lang w:val="en-US" w:eastAsia="zh-CN"/>
              </w:rPr>
              <w:t>20</w:t>
            </w:r>
            <w:r>
              <w:rPr>
                <w:rFonts w:hint="eastAsia" w:ascii="Times New Roman" w:hAnsi="Times New Roman" w:eastAsia="宋体"/>
                <w:sz w:val="24"/>
                <w:szCs w:val="24"/>
                <w:lang w:val="en-US" w:eastAsia="zh-CN"/>
              </w:rPr>
              <w:t>〕</w:t>
            </w:r>
            <w:r>
              <w:rPr>
                <w:rFonts w:hint="eastAsia" w:ascii="Times New Roman" w:hAnsi="Times New Roman"/>
                <w:sz w:val="24"/>
                <w:szCs w:val="24"/>
                <w:lang w:val="en-US" w:eastAsia="zh-CN"/>
              </w:rPr>
              <w:t>130号</w:t>
            </w:r>
            <w:r>
              <w:rPr>
                <w:rFonts w:hint="eastAsia" w:ascii="Times New Roman" w:hAnsi="Times New Roman"/>
                <w:sz w:val="24"/>
                <w:lang w:val="en-US" w:eastAsia="zh-CN"/>
              </w:rPr>
              <w:t>”文下发了《关于G227线新龙县沙堆乡热巴村至理塘县高城镇新车站段等4个大中修工程项目一阶段施工图设计文件的批复》，此批复文件中包含</w:t>
            </w:r>
            <w:r>
              <w:rPr>
                <w:rFonts w:hint="default" w:ascii="Times New Roman" w:hAnsi="Times New Roman"/>
                <w:sz w:val="24"/>
                <w:lang w:val="en-US" w:eastAsia="zh-CN"/>
              </w:rPr>
              <w:t xml:space="preserve">G248 </w:t>
            </w:r>
            <w:r>
              <w:rPr>
                <w:rFonts w:hint="eastAsia" w:ascii="Times New Roman" w:hAnsi="Times New Roman"/>
                <w:sz w:val="24"/>
                <w:lang w:val="en-US" w:eastAsia="zh-CN"/>
              </w:rPr>
              <w:t>线</w:t>
            </w:r>
            <w:r>
              <w:rPr>
                <w:rFonts w:hint="default" w:ascii="Times New Roman" w:hAnsi="Times New Roman"/>
                <w:sz w:val="24"/>
                <w:lang w:val="en-US" w:eastAsia="zh-CN"/>
              </w:rPr>
              <w:t>2020 年度公路路面大中修工程一阶段施工图设计文件</w:t>
            </w:r>
            <w:r>
              <w:rPr>
                <w:rFonts w:hint="eastAsia" w:ascii="Times New Roman" w:hAnsi="Times New Roman"/>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olor w:val="auto"/>
                <w:sz w:val="24"/>
                <w:szCs w:val="22"/>
                <w:highlight w:val="none"/>
                <w:u w:val="none"/>
              </w:rPr>
            </w:pPr>
            <w:r>
              <w:rPr>
                <w:rFonts w:hint="eastAsia" w:ascii="Times New Roman" w:hAnsi="Times New Roman"/>
                <w:sz w:val="24"/>
                <w:lang w:val="en-US" w:eastAsia="zh-CN"/>
              </w:rPr>
              <w:t>根据《</w:t>
            </w:r>
            <w:r>
              <w:rPr>
                <w:rFonts w:hint="default" w:ascii="Times New Roman" w:hAnsi="Times New Roman"/>
                <w:sz w:val="24"/>
                <w:lang w:val="en-US" w:eastAsia="zh-CN"/>
              </w:rPr>
              <w:t xml:space="preserve">G248 </w:t>
            </w:r>
            <w:r>
              <w:rPr>
                <w:rFonts w:hint="eastAsia" w:ascii="Times New Roman" w:hAnsi="Times New Roman"/>
                <w:sz w:val="24"/>
                <w:lang w:val="en-US" w:eastAsia="zh-CN"/>
              </w:rPr>
              <w:t>线</w:t>
            </w:r>
            <w:r>
              <w:rPr>
                <w:rFonts w:hint="default" w:ascii="Times New Roman" w:hAnsi="Times New Roman"/>
                <w:sz w:val="24"/>
                <w:lang w:val="en-US" w:eastAsia="zh-CN"/>
              </w:rPr>
              <w:t>2020年度公路路面大中修工程一阶段施工图设计文件</w:t>
            </w:r>
            <w:r>
              <w:rPr>
                <w:rFonts w:hint="eastAsia" w:ascii="Times New Roman" w:hAnsi="Times New Roman"/>
                <w:sz w:val="24"/>
                <w:lang w:val="en-US" w:eastAsia="zh-CN"/>
              </w:rPr>
              <w:t>》该工程将沥青砼热拌站作为大修工程的配套工程，为路面大修工程提供沥青砼，并分配110万元作为沥青拌合站场地建设费用、沥青混合料拌和设备安装与拆除费用。</w:t>
            </w:r>
          </w:p>
          <w:p>
            <w:pPr>
              <w:snapToGrid w:val="0"/>
              <w:spacing w:line="360" w:lineRule="auto"/>
              <w:ind w:firstLine="480" w:firstLineChars="200"/>
              <w:rPr>
                <w:rFonts w:hint="default" w:ascii="Times New Roman" w:hAnsi="Times New Roman" w:cs="Times New Roman"/>
                <w:color w:val="auto"/>
                <w:sz w:val="24"/>
                <w:szCs w:val="22"/>
                <w:highlight w:val="none"/>
                <w:u w:val="none"/>
              </w:rPr>
            </w:pPr>
            <w:r>
              <w:rPr>
                <w:rFonts w:hint="eastAsia"/>
                <w:color w:val="auto"/>
                <w:sz w:val="24"/>
                <w:szCs w:val="22"/>
                <w:highlight w:val="none"/>
                <w:u w:val="none"/>
              </w:rPr>
              <w:t>为了避免建筑工地临时搅拌站引起的环境污染，减少物料运输产生的污染及相关的运输风险，同时为了满足沥青混凝土稳定性等质量方面的较高要求，</w:t>
            </w:r>
            <w:r>
              <w:rPr>
                <w:rFonts w:hint="default" w:ascii="Times New Roman" w:hAnsi="Times New Roman" w:cs="Times New Roman"/>
                <w:color w:val="auto"/>
                <w:sz w:val="24"/>
                <w:szCs w:val="22"/>
                <w:highlight w:val="none"/>
                <w:u w:val="none"/>
              </w:rPr>
              <w:t>经综合考虑，</w:t>
            </w:r>
            <w:r>
              <w:rPr>
                <w:rFonts w:hint="default" w:ascii="Times New Roman" w:hAnsi="Times New Roman" w:cs="Times New Roman"/>
                <w:color w:val="auto"/>
                <w:sz w:val="24"/>
                <w:szCs w:val="22"/>
                <w:highlight w:val="none"/>
                <w:u w:val="none"/>
                <w:lang w:val="en-US" w:eastAsia="zh-CN"/>
              </w:rPr>
              <w:t>G248 线2020 年度公路路面大中修工程配套热拌站项目为道路的配套工程，</w:t>
            </w:r>
            <w:r>
              <w:rPr>
                <w:rFonts w:hint="eastAsia" w:ascii="Times New Roman" w:hAnsi="Times New Roman" w:cs="Times New Roman"/>
                <w:color w:val="auto"/>
                <w:sz w:val="24"/>
                <w:szCs w:val="22"/>
                <w:highlight w:val="none"/>
                <w:u w:val="none"/>
                <w:lang w:val="en-US" w:eastAsia="zh-CN"/>
              </w:rPr>
              <w:t>为</w:t>
            </w:r>
            <w:r>
              <w:rPr>
                <w:rFonts w:hint="default" w:ascii="Times New Roman" w:hAnsi="Times New Roman" w:cs="Times New Roman"/>
                <w:color w:val="auto"/>
                <w:sz w:val="24"/>
                <w:szCs w:val="22"/>
                <w:highlight w:val="none"/>
                <w:u w:val="none"/>
                <w:lang w:val="en-US" w:eastAsia="zh-CN"/>
              </w:rPr>
              <w:t>G248 线2020 年度公路路面大中修工程提供沥青混凝土不外售。根据《建设项目环境影响评价分类管理名录》</w:t>
            </w:r>
            <w:r>
              <w:rPr>
                <w:rFonts w:hint="eastAsia" w:ascii="Times New Roman" w:hAnsi="Times New Roman" w:cs="Times New Roman"/>
                <w:color w:val="auto"/>
                <w:sz w:val="24"/>
                <w:szCs w:val="22"/>
                <w:highlight w:val="none"/>
                <w:u w:val="none"/>
                <w:lang w:val="en-US" w:eastAsia="zh-CN"/>
              </w:rPr>
              <w:t>“二十七、非金属矿物制造业 56 其他建筑材料制造”</w:t>
            </w:r>
            <w:r>
              <w:rPr>
                <w:rFonts w:hint="default" w:ascii="Times New Roman" w:hAnsi="Times New Roman" w:cs="Times New Roman"/>
                <w:color w:val="auto"/>
                <w:sz w:val="24"/>
                <w:szCs w:val="22"/>
                <w:highlight w:val="none"/>
                <w:u w:val="none"/>
                <w:lang w:val="en-US" w:eastAsia="zh-CN"/>
              </w:rPr>
              <w:t>，确定本项目的环境影响评价类别为编制建设项目环境影响报告表。为此，甘孜藏族自治州公路建设服务中心</w:t>
            </w:r>
            <w:r>
              <w:rPr>
                <w:rFonts w:hint="default" w:ascii="Times New Roman" w:hAnsi="Times New Roman" w:cs="Times New Roman"/>
                <w:color w:val="auto"/>
                <w:sz w:val="24"/>
                <w:szCs w:val="22"/>
                <w:highlight w:val="none"/>
                <w:u w:val="none"/>
              </w:rPr>
              <w:t>特委托</w:t>
            </w:r>
            <w:r>
              <w:rPr>
                <w:rFonts w:hint="default" w:ascii="Times New Roman" w:hAnsi="Times New Roman" w:cs="Times New Roman"/>
                <w:color w:val="auto"/>
                <w:sz w:val="24"/>
                <w:szCs w:val="22"/>
                <w:highlight w:val="none"/>
                <w:u w:val="none"/>
                <w:lang w:val="en-US" w:eastAsia="zh-CN"/>
              </w:rPr>
              <w:t>四川双清工程咨询</w:t>
            </w:r>
            <w:r>
              <w:rPr>
                <w:rFonts w:hint="default" w:ascii="Times New Roman" w:hAnsi="Times New Roman" w:cs="Times New Roman"/>
                <w:color w:val="auto"/>
                <w:sz w:val="24"/>
                <w:szCs w:val="22"/>
                <w:highlight w:val="none"/>
                <w:u w:val="none"/>
              </w:rPr>
              <w:t>有限公司进行环境影响评价工作。我单位接受委托后，即派工程技术人员到项目现场进行了实地勘察和调研、收集有关资料，结合项目的建设实际特点，并按国家有关技术要求，编制完成该项目环境影响报告表，待审核、审批后作为项目环境管理及环保设计的依据。</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auto"/>
                <w:sz w:val="24"/>
                <w:szCs w:val="22"/>
                <w:highlight w:val="none"/>
                <w:u w:val="none"/>
                <w:lang w:val="en-US" w:eastAsia="zh-CN" w:bidi="zh-CN"/>
              </w:rPr>
            </w:pPr>
            <w:r>
              <w:rPr>
                <w:rFonts w:hint="eastAsia" w:ascii="Times New Roman" w:hAnsi="Times New Roman" w:cs="Times New Roman"/>
                <w:color w:val="auto"/>
                <w:sz w:val="24"/>
                <w:szCs w:val="22"/>
                <w:highlight w:val="none"/>
                <w:u w:val="none"/>
                <w:lang w:val="en-US" w:eastAsia="zh-CN" w:bidi="zh-CN"/>
              </w:rPr>
              <w:t>2021年7月8日，甘孜州九龙生态环境局以“九环行罚字（2021）10号”文对本项目进行处罚，违法事实：G248线2020年度公路路面大中修工程九龙县汤古镇崩崩冲村沥青热拌站项目环境影响评价文件未经批准，擅自开工建设，</w:t>
            </w:r>
            <w:r>
              <w:rPr>
                <w:rFonts w:hint="eastAsia" w:ascii="宋体" w:hAnsi="宋体" w:eastAsia="宋体" w:cs="宋体"/>
                <w:color w:val="auto"/>
                <w:sz w:val="24"/>
                <w:szCs w:val="22"/>
                <w:highlight w:val="none"/>
                <w:u w:val="none"/>
                <w:lang w:val="en-US" w:eastAsia="zh-CN" w:bidi="zh-CN"/>
              </w:rPr>
              <w:t>属“未批先建”违</w:t>
            </w:r>
            <w:r>
              <w:rPr>
                <w:rFonts w:hint="eastAsia" w:ascii="Times New Roman" w:hAnsi="Times New Roman" w:eastAsia="宋体" w:cs="Times New Roman"/>
                <w:color w:val="auto"/>
                <w:sz w:val="24"/>
                <w:szCs w:val="22"/>
                <w:highlight w:val="none"/>
                <w:u w:val="none"/>
                <w:lang w:val="en-US" w:eastAsia="zh-CN" w:bidi="zh-CN"/>
              </w:rPr>
              <w:t>法行为。</w:t>
            </w:r>
            <w:r>
              <w:rPr>
                <w:rFonts w:hint="eastAsia" w:ascii="Times New Roman" w:hAnsi="Times New Roman" w:cs="Times New Roman"/>
                <w:color w:val="auto"/>
                <w:sz w:val="24"/>
                <w:szCs w:val="22"/>
                <w:highlight w:val="none"/>
                <w:u w:val="none"/>
                <w:lang w:val="en-US" w:eastAsia="zh-CN" w:bidi="zh-CN"/>
              </w:rPr>
              <w:t>业主单位于2021年7月9日，接受处罚并已向九龙县财政局完成罚款缴费（缴费证明见附件6-2）</w:t>
            </w:r>
          </w:p>
          <w:p>
            <w:pPr>
              <w:snapToGrid w:val="0"/>
              <w:spacing w:line="360" w:lineRule="auto"/>
              <w:rPr>
                <w:b/>
                <w:color w:val="auto"/>
                <w:sz w:val="24"/>
                <w:highlight w:val="none"/>
              </w:rPr>
            </w:pPr>
            <w:r>
              <w:rPr>
                <w:rFonts w:hint="eastAsia"/>
                <w:b/>
                <w:color w:val="auto"/>
                <w:sz w:val="24"/>
                <w:highlight w:val="none"/>
                <w:lang w:val="en-US" w:eastAsia="zh-CN"/>
              </w:rPr>
              <w:t>2</w:t>
            </w:r>
            <w:r>
              <w:rPr>
                <w:rFonts w:hint="eastAsia"/>
                <w:b/>
                <w:color w:val="auto"/>
                <w:sz w:val="24"/>
                <w:highlight w:val="none"/>
                <w:lang w:eastAsia="zh-CN"/>
              </w:rPr>
              <w:t>、</w:t>
            </w:r>
            <w:r>
              <w:rPr>
                <w:b/>
                <w:color w:val="auto"/>
                <w:sz w:val="24"/>
                <w:highlight w:val="none"/>
              </w:rPr>
              <w:t>项目建设内容及规模</w:t>
            </w:r>
          </w:p>
          <w:p>
            <w:pPr>
              <w:keepNext w:val="0"/>
              <w:keepLines w:val="0"/>
              <w:pageBreakBefore w:val="0"/>
              <w:widowControl w:val="0"/>
              <w:kinsoku/>
              <w:wordWrap/>
              <w:overflowPunct/>
              <w:topLinePunct w:val="0"/>
              <w:bidi w:val="0"/>
              <w:adjustRightInd/>
              <w:snapToGrid w:val="0"/>
              <w:spacing w:after="0" w:line="360" w:lineRule="auto"/>
              <w:ind w:firstLine="480" w:firstLineChars="200"/>
              <w:textAlignment w:val="auto"/>
              <w:rPr>
                <w:rFonts w:hint="eastAsia" w:ascii="Times New Roman" w:hAnsi="Times New Roman" w:eastAsia="宋体"/>
                <w:sz w:val="24"/>
                <w:szCs w:val="24"/>
                <w:lang w:val="en-US" w:eastAsia="zh-CN"/>
              </w:rPr>
            </w:pPr>
            <w:r>
              <w:rPr>
                <w:rFonts w:ascii="Times New Roman" w:hAnsi="Times New Roman" w:eastAsia="宋体"/>
                <w:bCs/>
                <w:color w:val="auto"/>
                <w:kern w:val="0"/>
                <w:sz w:val="24"/>
                <w:szCs w:val="24"/>
                <w:highlight w:val="none"/>
              </w:rPr>
              <w:t>项目名称：</w:t>
            </w:r>
            <w:r>
              <w:rPr>
                <w:rFonts w:hint="eastAsia" w:ascii="Times New Roman" w:hAnsi="Times New Roman" w:eastAsia="宋体"/>
                <w:sz w:val="24"/>
                <w:szCs w:val="24"/>
                <w:lang w:val="en-US" w:eastAsia="zh-CN"/>
              </w:rPr>
              <w:t>G248线2020年度公路路面大中修工程配套热拌站项目</w:t>
            </w:r>
          </w:p>
          <w:p>
            <w:pPr>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ascii="Times New Roman" w:hAnsi="Times New Roman" w:eastAsia="宋体"/>
                <w:bCs/>
                <w:color w:val="auto"/>
                <w:kern w:val="0"/>
                <w:sz w:val="24"/>
                <w:szCs w:val="24"/>
                <w:highlight w:val="none"/>
              </w:rPr>
            </w:pPr>
            <w:r>
              <w:rPr>
                <w:rFonts w:ascii="Times New Roman" w:hAnsi="Times New Roman" w:eastAsia="宋体"/>
                <w:bCs/>
                <w:color w:val="auto"/>
                <w:kern w:val="0"/>
                <w:sz w:val="24"/>
                <w:szCs w:val="24"/>
                <w:highlight w:val="none"/>
              </w:rPr>
              <w:t>建设性质：新建</w:t>
            </w:r>
          </w:p>
          <w:p>
            <w:pPr>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hint="default" w:ascii="Times New Roman" w:hAnsi="Times New Roman" w:eastAsia="宋体"/>
                <w:bCs/>
                <w:color w:val="auto"/>
                <w:kern w:val="0"/>
                <w:sz w:val="24"/>
                <w:szCs w:val="24"/>
                <w:highlight w:val="none"/>
                <w:lang w:val="en-US" w:eastAsia="zh-CN"/>
              </w:rPr>
            </w:pPr>
            <w:r>
              <w:rPr>
                <w:rFonts w:ascii="Times New Roman" w:hAnsi="Times New Roman" w:eastAsia="宋体"/>
                <w:bCs/>
                <w:color w:val="auto"/>
                <w:kern w:val="0"/>
                <w:sz w:val="24"/>
                <w:szCs w:val="24"/>
                <w:highlight w:val="none"/>
              </w:rPr>
              <w:t>建设地点：</w:t>
            </w:r>
            <w:r>
              <w:rPr>
                <w:rFonts w:ascii="Times New Roman" w:hAnsi="Times New Roman" w:eastAsia="宋体"/>
                <w:color w:val="auto"/>
                <w:sz w:val="24"/>
                <w:szCs w:val="24"/>
                <w:highlight w:val="none"/>
              </w:rPr>
              <w:t>甘孜州</w:t>
            </w:r>
            <w:r>
              <w:rPr>
                <w:rFonts w:hint="eastAsia" w:ascii="Times New Roman" w:hAnsi="Times New Roman" w:eastAsia="宋体"/>
                <w:bCs/>
                <w:sz w:val="24"/>
                <w:szCs w:val="24"/>
                <w:lang w:val="en-US" w:eastAsia="zh-CN"/>
              </w:rPr>
              <w:t>九龙县崩崩冲村</w:t>
            </w:r>
          </w:p>
          <w:p>
            <w:pPr>
              <w:keepNext w:val="0"/>
              <w:keepLines w:val="0"/>
              <w:pageBreakBefore w:val="0"/>
              <w:widowControl w:val="0"/>
              <w:kinsoku/>
              <w:wordWrap/>
              <w:overflowPunct/>
              <w:topLinePunct w:val="0"/>
              <w:autoSpaceDE/>
              <w:autoSpaceDN/>
              <w:bidi w:val="0"/>
              <w:adjustRightInd/>
              <w:snapToGrid w:val="0"/>
              <w:spacing w:after="0" w:line="360" w:lineRule="auto"/>
              <w:ind w:left="0" w:leftChars="0" w:firstLine="480" w:firstLineChars="200"/>
              <w:textAlignment w:val="auto"/>
              <w:rPr>
                <w:rFonts w:ascii="Times New Roman" w:hAnsi="Times New Roman" w:eastAsia="宋体"/>
                <w:bCs/>
                <w:color w:val="auto"/>
                <w:kern w:val="0"/>
                <w:sz w:val="24"/>
                <w:szCs w:val="24"/>
                <w:highlight w:val="none"/>
              </w:rPr>
            </w:pPr>
            <w:r>
              <w:rPr>
                <w:rFonts w:ascii="Times New Roman" w:hAnsi="Times New Roman" w:eastAsia="宋体"/>
                <w:bCs/>
                <w:color w:val="auto"/>
                <w:kern w:val="0"/>
                <w:sz w:val="24"/>
                <w:szCs w:val="24"/>
                <w:highlight w:val="none"/>
              </w:rPr>
              <w:t>建设内容：项目占地面积</w:t>
            </w:r>
            <w:r>
              <w:rPr>
                <w:rFonts w:hint="eastAsia" w:ascii="Times New Roman" w:hAnsi="Times New Roman" w:eastAsia="宋体"/>
                <w:bCs/>
                <w:color w:val="auto"/>
                <w:kern w:val="0"/>
                <w:sz w:val="24"/>
                <w:szCs w:val="24"/>
                <w:highlight w:val="none"/>
                <w:lang w:val="en-US" w:eastAsia="zh-CN"/>
              </w:rPr>
              <w:t>8600</w:t>
            </w:r>
            <w:r>
              <w:rPr>
                <w:rFonts w:hint="eastAsia" w:ascii="Times New Roman" w:hAnsi="Times New Roman"/>
                <w:bCs/>
                <w:color w:val="auto"/>
                <w:kern w:val="0"/>
                <w:sz w:val="24"/>
                <w:szCs w:val="24"/>
                <w:highlight w:val="none"/>
                <w:lang w:val="en-US" w:eastAsia="zh-CN"/>
              </w:rPr>
              <w:t>.70</w:t>
            </w:r>
            <w:r>
              <w:rPr>
                <w:rFonts w:ascii="Times New Roman" w:hAnsi="Times New Roman" w:eastAsia="宋体"/>
                <w:color w:val="auto"/>
                <w:sz w:val="24"/>
                <w:szCs w:val="24"/>
                <w:highlight w:val="none"/>
              </w:rPr>
              <w:t>m</w:t>
            </w:r>
            <w:r>
              <w:rPr>
                <w:rFonts w:ascii="Times New Roman" w:hAnsi="Times New Roman" w:eastAsia="宋体"/>
                <w:color w:val="auto"/>
                <w:sz w:val="24"/>
                <w:szCs w:val="24"/>
                <w:highlight w:val="none"/>
                <w:vertAlign w:val="superscript"/>
              </w:rPr>
              <w:t>2</w:t>
            </w:r>
            <w:r>
              <w:rPr>
                <w:rFonts w:ascii="Times New Roman" w:hAnsi="Times New Roman" w:eastAsia="宋体"/>
                <w:bCs/>
                <w:color w:val="auto"/>
                <w:sz w:val="24"/>
                <w:szCs w:val="24"/>
                <w:highlight w:val="none"/>
              </w:rPr>
              <w:t>，建设内容主要包括新建沥青砼拌主体工程；原料储存区等辅助设施</w:t>
            </w:r>
          </w:p>
          <w:p>
            <w:pPr>
              <w:keepNext w:val="0"/>
              <w:keepLines w:val="0"/>
              <w:pageBreakBefore w:val="0"/>
              <w:widowControl w:val="0"/>
              <w:kinsoku/>
              <w:wordWrap/>
              <w:overflowPunct/>
              <w:topLinePunct w:val="0"/>
              <w:autoSpaceDE/>
              <w:autoSpaceDN/>
              <w:bidi w:val="0"/>
              <w:adjustRightInd/>
              <w:spacing w:after="0" w:afterLines="0" w:line="360" w:lineRule="auto"/>
              <w:ind w:left="0" w:leftChars="0" w:firstLine="480" w:firstLineChars="200"/>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lang w:val="en-US" w:eastAsia="zh-CN"/>
              </w:rPr>
              <w:t>建设规模：共生产沥青砼</w:t>
            </w:r>
            <w:r>
              <w:rPr>
                <w:rFonts w:hint="eastAsia" w:ascii="Times New Roman" w:hAnsi="Times New Roman"/>
                <w:color w:val="auto"/>
                <w:sz w:val="24"/>
                <w:szCs w:val="24"/>
                <w:highlight w:val="none"/>
                <w:lang w:val="en-US" w:eastAsia="zh-CN"/>
              </w:rPr>
              <w:t>14.4万吨</w:t>
            </w:r>
          </w:p>
          <w:p>
            <w:pPr>
              <w:keepNext w:val="0"/>
              <w:keepLines w:val="0"/>
              <w:pageBreakBefore w:val="0"/>
              <w:widowControl w:val="0"/>
              <w:kinsoku/>
              <w:wordWrap/>
              <w:overflowPunct/>
              <w:topLinePunct w:val="0"/>
              <w:autoSpaceDE/>
              <w:autoSpaceDN/>
              <w:bidi w:val="0"/>
              <w:adjustRightInd/>
              <w:spacing w:after="0" w:afterLines="0" w:line="360" w:lineRule="auto"/>
              <w:ind w:left="0" w:leftChars="0" w:firstLine="480" w:firstLineChars="200"/>
              <w:textAlignment w:val="auto"/>
              <w:rPr>
                <w:rFonts w:hint="eastAsia" w:ascii="Times New Roman" w:hAnsi="Times New Roman" w:eastAsia="宋体"/>
                <w:color w:val="auto"/>
                <w:sz w:val="24"/>
                <w:szCs w:val="24"/>
                <w:highlight w:val="none"/>
                <w:vertAlign w:val="baseline"/>
                <w:lang w:val="en-US" w:eastAsia="zh-CN"/>
              </w:rPr>
            </w:pPr>
            <w:r>
              <w:rPr>
                <w:rFonts w:hint="eastAsia" w:ascii="Times New Roman" w:hAnsi="Times New Roman" w:eastAsia="宋体"/>
                <w:color w:val="auto"/>
                <w:sz w:val="24"/>
                <w:szCs w:val="24"/>
                <w:highlight w:val="none"/>
                <w:vertAlign w:val="baseline"/>
                <w:lang w:val="en-US" w:eastAsia="zh-CN"/>
              </w:rPr>
              <w:t>生产工期：6个月。</w:t>
            </w:r>
          </w:p>
          <w:p>
            <w:pPr>
              <w:pStyle w:val="17"/>
              <w:ind w:left="0" w:leftChars="0" w:firstLine="0" w:firstLineChars="0"/>
              <w:rPr>
                <w:rFonts w:hint="eastAsia" w:ascii="Times New Roman" w:hAnsi="Times New Roman"/>
                <w:color w:val="auto"/>
                <w:sz w:val="24"/>
                <w:szCs w:val="24"/>
                <w:highlight w:val="none"/>
                <w:vertAlign w:val="baseline"/>
                <w:lang w:val="en-US" w:eastAsia="zh-CN"/>
              </w:rPr>
            </w:pPr>
            <w:r>
              <w:rPr>
                <w:rFonts w:hint="eastAsia" w:ascii="Times New Roman" w:hAnsi="Times New Roman"/>
                <w:color w:val="auto"/>
                <w:sz w:val="24"/>
                <w:szCs w:val="24"/>
                <w:highlight w:val="none"/>
                <w:vertAlign w:val="baseline"/>
                <w:lang w:val="en-US" w:eastAsia="zh-CN"/>
              </w:rPr>
              <w:t>3、工程现状</w:t>
            </w:r>
          </w:p>
          <w:p>
            <w:pPr>
              <w:snapToGrid w:val="0"/>
              <w:spacing w:line="360" w:lineRule="auto"/>
              <w:ind w:firstLine="465"/>
              <w:rPr>
                <w:rFonts w:hint="default" w:eastAsia="宋体"/>
                <w:b/>
                <w:color w:val="auto"/>
                <w:szCs w:val="21"/>
                <w:lang w:val="en-US" w:eastAsia="zh-CN"/>
              </w:rPr>
            </w:pPr>
            <w:r>
              <w:rPr>
                <w:rFonts w:hint="eastAsia"/>
                <w:bCs/>
                <w:color w:val="auto"/>
                <w:sz w:val="24"/>
                <w:lang w:val="en-US" w:eastAsia="zh-CN"/>
              </w:rPr>
              <w:t>根据现场踏勘，目前已建设内容包括</w:t>
            </w:r>
            <w:r>
              <w:rPr>
                <w:rFonts w:hint="eastAsia"/>
                <w:bCs/>
                <w:color w:val="auto"/>
                <w:sz w:val="24"/>
              </w:rPr>
              <w:t>沥青砼拌和楼1座（HLB3000）及</w:t>
            </w:r>
            <w:r>
              <w:rPr>
                <w:bCs/>
                <w:color w:val="auto"/>
                <w:sz w:val="24"/>
              </w:rPr>
              <w:t>配套设施</w:t>
            </w:r>
            <w:r>
              <w:rPr>
                <w:rFonts w:hint="eastAsia"/>
                <w:bCs/>
                <w:color w:val="auto"/>
                <w:sz w:val="24"/>
              </w:rPr>
              <w:t>，配电房1间（利旧）、原料堆场（利旧）、</w:t>
            </w:r>
            <w:r>
              <w:rPr>
                <w:bCs/>
                <w:color w:val="auto"/>
                <w:sz w:val="24"/>
              </w:rPr>
              <w:t>旱厕</w:t>
            </w:r>
            <w:r>
              <w:rPr>
                <w:rFonts w:hint="eastAsia"/>
                <w:bCs/>
                <w:color w:val="auto"/>
                <w:sz w:val="24"/>
              </w:rPr>
              <w:t>（利旧）</w:t>
            </w:r>
            <w:r>
              <w:rPr>
                <w:rFonts w:hint="eastAsia"/>
                <w:bCs/>
                <w:color w:val="auto"/>
                <w:sz w:val="24"/>
                <w:lang w:eastAsia="zh-CN"/>
              </w:rPr>
              <w:t>，</w:t>
            </w:r>
            <w:r>
              <w:rPr>
                <w:rFonts w:hint="eastAsia"/>
                <w:bCs/>
                <w:color w:val="auto"/>
                <w:sz w:val="24"/>
                <w:lang w:val="en-US" w:eastAsia="zh-CN"/>
              </w:rPr>
              <w:t>生活营地</w:t>
            </w:r>
            <w:r>
              <w:rPr>
                <w:rFonts w:hint="eastAsia"/>
                <w:bCs/>
                <w:color w:val="auto"/>
                <w:sz w:val="24"/>
              </w:rPr>
              <w:t>（利旧）</w:t>
            </w:r>
            <w:r>
              <w:rPr>
                <w:rFonts w:hint="eastAsia"/>
                <w:bCs/>
                <w:color w:val="auto"/>
                <w:sz w:val="24"/>
                <w:lang w:eastAsia="zh-CN"/>
              </w:rPr>
              <w:t>。</w:t>
            </w:r>
            <w:r>
              <w:rPr>
                <w:rFonts w:hint="eastAsia"/>
                <w:bCs/>
                <w:color w:val="auto"/>
                <w:sz w:val="24"/>
                <w:lang w:val="en-US" w:eastAsia="zh-CN"/>
              </w:rPr>
              <w:t>部分场地已平整，厂区边界进行部分遮挡，目前沥青拌合楼已组建完毕，处于停产状态，未进行投产使用。</w:t>
            </w:r>
          </w:p>
          <w:p>
            <w:pPr>
              <w:pStyle w:val="3"/>
              <w:rPr>
                <w:rFonts w:hint="default"/>
                <w:lang w:val="en-US" w:eastAsia="zh-CN"/>
              </w:rPr>
            </w:pPr>
          </w:p>
          <w:p>
            <w:pPr>
              <w:pStyle w:val="3"/>
              <w:rPr>
                <w:rFonts w:hint="eastAsia" w:ascii="Times New Roman" w:hAnsi="Times New Roman"/>
                <w:color w:val="auto"/>
                <w:sz w:val="24"/>
                <w:szCs w:val="24"/>
                <w:highlight w:val="none"/>
                <w:vertAlign w:val="baseline"/>
                <w:lang w:val="en-US" w:eastAsia="zh-CN"/>
              </w:rPr>
            </w:pPr>
          </w:p>
          <w:p>
            <w:pPr>
              <w:pStyle w:val="3"/>
              <w:rPr>
                <w:rFonts w:hint="eastAsia" w:ascii="Times New Roman" w:hAnsi="Times New Roman"/>
                <w:color w:val="auto"/>
                <w:sz w:val="24"/>
                <w:szCs w:val="24"/>
                <w:highlight w:val="none"/>
                <w:vertAlign w:val="baseline"/>
                <w:lang w:val="en-US" w:eastAsia="zh-CN"/>
              </w:rPr>
            </w:pPr>
          </w:p>
          <w:p>
            <w:pPr>
              <w:pStyle w:val="3"/>
              <w:rPr>
                <w:rFonts w:hint="eastAsia" w:ascii="Times New Roman" w:hAnsi="Times New Roman"/>
                <w:color w:val="auto"/>
                <w:sz w:val="24"/>
                <w:szCs w:val="24"/>
                <w:highlight w:val="none"/>
                <w:vertAlign w:val="baseline"/>
                <w:lang w:val="en-US" w:eastAsia="zh-CN"/>
              </w:rPr>
            </w:pPr>
          </w:p>
          <w:p>
            <w:pPr>
              <w:pStyle w:val="3"/>
              <w:rPr>
                <w:rFonts w:hint="eastAsia" w:ascii="Times New Roman" w:hAnsi="Times New Roman"/>
                <w:color w:val="auto"/>
                <w:sz w:val="24"/>
                <w:szCs w:val="24"/>
                <w:highlight w:val="none"/>
                <w:vertAlign w:val="baseline"/>
                <w:lang w:val="en-US" w:eastAsia="zh-CN"/>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87"/>
              <w:gridCol w:w="4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7" w:type="dxa"/>
                </w:tcPr>
                <w:p>
                  <w:pPr>
                    <w:pStyle w:val="17"/>
                    <w:ind w:left="0" w:leftChars="0" w:firstLine="0" w:firstLineChars="0"/>
                    <w:rPr>
                      <w:rFonts w:hint="eastAsia" w:ascii="Times New Roman" w:hAnsi="Times New Roman" w:cs="Times New Roman"/>
                      <w:color w:val="FF0000"/>
                      <w:sz w:val="24"/>
                      <w:szCs w:val="22"/>
                      <w:highlight w:val="none"/>
                      <w:u w:val="none"/>
                      <w:vertAlign w:val="baseline"/>
                      <w:lang w:val="en-US" w:eastAsia="zh-CN" w:bidi="zh-CN"/>
                    </w:rPr>
                  </w:pPr>
                  <w:r>
                    <w:rPr>
                      <w:rFonts w:hint="eastAsia" w:ascii="Times New Roman" w:hAnsi="Times New Roman" w:cs="Times New Roman"/>
                      <w:color w:val="FF0000"/>
                      <w:sz w:val="24"/>
                      <w:szCs w:val="22"/>
                      <w:highlight w:val="none"/>
                      <w:u w:val="none"/>
                      <w:vertAlign w:val="baseline"/>
                      <w:lang w:val="en-US" w:eastAsia="zh-CN" w:bidi="zh-CN"/>
                    </w:rPr>
                    <w:drawing>
                      <wp:inline distT="0" distB="0" distL="114300" distR="114300">
                        <wp:extent cx="2496185" cy="1871980"/>
                        <wp:effectExtent l="0" t="0" r="18415" b="13970"/>
                        <wp:docPr id="30" name="图片 30" descr="IMG_0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0025(0)"/>
                                <pic:cNvPicPr>
                                  <a:picLocks noChangeAspect="1"/>
                                </pic:cNvPicPr>
                              </pic:nvPicPr>
                              <pic:blipFill>
                                <a:blip r:embed="rId16"/>
                                <a:stretch>
                                  <a:fillRect/>
                                </a:stretch>
                              </pic:blipFill>
                              <pic:spPr>
                                <a:xfrm>
                                  <a:off x="0" y="0"/>
                                  <a:ext cx="2496185" cy="1871980"/>
                                </a:xfrm>
                                <a:prstGeom prst="rect">
                                  <a:avLst/>
                                </a:prstGeom>
                              </pic:spPr>
                            </pic:pic>
                          </a:graphicData>
                        </a:graphic>
                      </wp:inline>
                    </w:drawing>
                  </w:r>
                </w:p>
              </w:tc>
              <w:tc>
                <w:tcPr>
                  <w:tcW w:w="4187" w:type="dxa"/>
                </w:tcPr>
                <w:p>
                  <w:pPr>
                    <w:pStyle w:val="17"/>
                    <w:ind w:left="0" w:leftChars="0" w:firstLine="0" w:firstLineChars="0"/>
                    <w:rPr>
                      <w:rFonts w:hint="eastAsia" w:ascii="Times New Roman" w:hAnsi="Times New Roman" w:cs="Times New Roman"/>
                      <w:color w:val="FF0000"/>
                      <w:sz w:val="24"/>
                      <w:szCs w:val="22"/>
                      <w:highlight w:val="none"/>
                      <w:u w:val="none"/>
                      <w:vertAlign w:val="baseline"/>
                      <w:lang w:val="en-US" w:eastAsia="zh-CN" w:bidi="zh-CN"/>
                    </w:rPr>
                  </w:pPr>
                  <w:r>
                    <w:rPr>
                      <w:rFonts w:hint="eastAsia" w:ascii="Times New Roman" w:hAnsi="Times New Roman" w:cs="Times New Roman"/>
                      <w:color w:val="FF0000"/>
                      <w:sz w:val="24"/>
                      <w:szCs w:val="22"/>
                      <w:highlight w:val="none"/>
                      <w:u w:val="none"/>
                      <w:vertAlign w:val="baseline"/>
                      <w:lang w:val="en-US" w:eastAsia="zh-CN" w:bidi="zh-CN"/>
                    </w:rPr>
                    <w:drawing>
                      <wp:inline distT="0" distB="0" distL="114300" distR="114300">
                        <wp:extent cx="2496185" cy="1871980"/>
                        <wp:effectExtent l="0" t="0" r="18415" b="13970"/>
                        <wp:docPr id="34" name="图片 34" descr="IMG_0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0029(0)"/>
                                <pic:cNvPicPr>
                                  <a:picLocks noChangeAspect="1"/>
                                </pic:cNvPicPr>
                              </pic:nvPicPr>
                              <pic:blipFill>
                                <a:blip r:embed="rId17"/>
                                <a:stretch>
                                  <a:fillRect/>
                                </a:stretch>
                              </pic:blipFill>
                              <pic:spPr>
                                <a:xfrm>
                                  <a:off x="0" y="0"/>
                                  <a:ext cx="2496185" cy="18719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7" w:type="dxa"/>
                </w:tcPr>
                <w:p>
                  <w:pPr>
                    <w:pStyle w:val="17"/>
                    <w:jc w:val="center"/>
                    <w:rPr>
                      <w:rFonts w:hint="default" w:ascii="Times New Roman" w:hAnsi="Times New Roman" w:cs="Times New Roman"/>
                      <w:color w:val="auto"/>
                      <w:sz w:val="24"/>
                      <w:szCs w:val="22"/>
                      <w:highlight w:val="none"/>
                      <w:u w:val="none"/>
                      <w:vertAlign w:val="baseline"/>
                      <w:lang w:val="en-US" w:eastAsia="zh-CN" w:bidi="zh-CN"/>
                    </w:rPr>
                  </w:pPr>
                  <w:r>
                    <w:rPr>
                      <w:rFonts w:hint="eastAsia" w:ascii="Times New Roman" w:hAnsi="Times New Roman" w:cs="Times New Roman"/>
                      <w:color w:val="auto"/>
                      <w:sz w:val="24"/>
                      <w:szCs w:val="22"/>
                      <w:highlight w:val="none"/>
                      <w:u w:val="none"/>
                      <w:vertAlign w:val="baseline"/>
                      <w:lang w:val="en-US" w:eastAsia="zh-CN" w:bidi="zh-CN"/>
                    </w:rPr>
                    <w:t>厂区</w:t>
                  </w:r>
                </w:p>
              </w:tc>
              <w:tc>
                <w:tcPr>
                  <w:tcW w:w="4187" w:type="dxa"/>
                </w:tcPr>
                <w:p>
                  <w:pPr>
                    <w:pStyle w:val="17"/>
                    <w:jc w:val="center"/>
                    <w:rPr>
                      <w:rFonts w:hint="default" w:ascii="Times New Roman" w:hAnsi="Times New Roman" w:cs="Times New Roman"/>
                      <w:color w:val="auto"/>
                      <w:sz w:val="24"/>
                      <w:szCs w:val="22"/>
                      <w:highlight w:val="none"/>
                      <w:u w:val="none"/>
                      <w:vertAlign w:val="baseline"/>
                      <w:lang w:val="en-US" w:eastAsia="zh-CN" w:bidi="zh-CN"/>
                    </w:rPr>
                  </w:pPr>
                  <w:r>
                    <w:rPr>
                      <w:rFonts w:hint="eastAsia" w:ascii="Times New Roman" w:hAnsi="Times New Roman" w:cs="Times New Roman"/>
                      <w:color w:val="auto"/>
                      <w:sz w:val="24"/>
                      <w:szCs w:val="22"/>
                      <w:highlight w:val="none"/>
                      <w:u w:val="none"/>
                      <w:vertAlign w:val="baseline"/>
                      <w:lang w:val="en-US" w:eastAsia="zh-CN" w:bidi="zh-CN"/>
                    </w:rPr>
                    <w:t>沥青和柴油储存罐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7" w:type="dxa"/>
                </w:tcPr>
                <w:p>
                  <w:pPr>
                    <w:pStyle w:val="17"/>
                    <w:ind w:left="0" w:leftChars="0" w:firstLine="0" w:firstLineChars="0"/>
                    <w:jc w:val="center"/>
                    <w:rPr>
                      <w:rFonts w:hint="eastAsia" w:ascii="Times New Roman" w:hAnsi="Times New Roman" w:cs="Times New Roman"/>
                      <w:color w:val="auto"/>
                      <w:sz w:val="24"/>
                      <w:szCs w:val="22"/>
                      <w:highlight w:val="none"/>
                      <w:u w:val="none"/>
                      <w:vertAlign w:val="baseline"/>
                      <w:lang w:val="en-US" w:eastAsia="zh-CN" w:bidi="zh-CN"/>
                    </w:rPr>
                  </w:pPr>
                  <w:r>
                    <w:rPr>
                      <w:rFonts w:hint="eastAsia" w:ascii="Times New Roman" w:hAnsi="Times New Roman" w:cs="Times New Roman"/>
                      <w:color w:val="auto"/>
                      <w:sz w:val="24"/>
                      <w:szCs w:val="22"/>
                      <w:highlight w:val="none"/>
                      <w:u w:val="none"/>
                      <w:vertAlign w:val="baseline"/>
                      <w:lang w:val="en-US" w:eastAsia="zh-CN" w:bidi="zh-CN"/>
                    </w:rPr>
                    <w:drawing>
                      <wp:inline distT="0" distB="0" distL="114300" distR="114300">
                        <wp:extent cx="2496185" cy="1871980"/>
                        <wp:effectExtent l="0" t="0" r="18415" b="13970"/>
                        <wp:docPr id="35" name="图片 35" descr="IMG_0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0034(0)"/>
                                <pic:cNvPicPr>
                                  <a:picLocks noChangeAspect="1"/>
                                </pic:cNvPicPr>
                              </pic:nvPicPr>
                              <pic:blipFill>
                                <a:blip r:embed="rId18"/>
                                <a:stretch>
                                  <a:fillRect/>
                                </a:stretch>
                              </pic:blipFill>
                              <pic:spPr>
                                <a:xfrm>
                                  <a:off x="0" y="0"/>
                                  <a:ext cx="2496185" cy="1871980"/>
                                </a:xfrm>
                                <a:prstGeom prst="rect">
                                  <a:avLst/>
                                </a:prstGeom>
                              </pic:spPr>
                            </pic:pic>
                          </a:graphicData>
                        </a:graphic>
                      </wp:inline>
                    </w:drawing>
                  </w:r>
                </w:p>
              </w:tc>
              <w:tc>
                <w:tcPr>
                  <w:tcW w:w="4187" w:type="dxa"/>
                </w:tcPr>
                <w:p>
                  <w:pPr>
                    <w:pStyle w:val="17"/>
                    <w:ind w:left="0" w:leftChars="0" w:firstLine="0" w:firstLineChars="0"/>
                    <w:jc w:val="center"/>
                    <w:rPr>
                      <w:rFonts w:hint="eastAsia" w:ascii="Times New Roman" w:hAnsi="Times New Roman" w:cs="Times New Roman"/>
                      <w:color w:val="auto"/>
                      <w:sz w:val="24"/>
                      <w:szCs w:val="22"/>
                      <w:highlight w:val="none"/>
                      <w:u w:val="none"/>
                      <w:vertAlign w:val="baseline"/>
                      <w:lang w:val="en-US" w:eastAsia="zh-CN" w:bidi="zh-CN"/>
                    </w:rPr>
                  </w:pPr>
                  <w:r>
                    <w:rPr>
                      <w:rFonts w:hint="eastAsia" w:ascii="Times New Roman" w:hAnsi="Times New Roman" w:cs="Times New Roman"/>
                      <w:color w:val="auto"/>
                      <w:sz w:val="24"/>
                      <w:szCs w:val="22"/>
                      <w:highlight w:val="none"/>
                      <w:u w:val="none"/>
                      <w:vertAlign w:val="baseline"/>
                      <w:lang w:val="en-US" w:eastAsia="zh-CN" w:bidi="zh-CN"/>
                    </w:rPr>
                    <w:drawing>
                      <wp:inline distT="0" distB="0" distL="114300" distR="114300">
                        <wp:extent cx="2496185" cy="1871980"/>
                        <wp:effectExtent l="0" t="0" r="18415" b="13970"/>
                        <wp:docPr id="36" name="图片 36" descr="IMG_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0038(0)"/>
                                <pic:cNvPicPr>
                                  <a:picLocks noChangeAspect="1"/>
                                </pic:cNvPicPr>
                              </pic:nvPicPr>
                              <pic:blipFill>
                                <a:blip r:embed="rId19"/>
                                <a:stretch>
                                  <a:fillRect/>
                                </a:stretch>
                              </pic:blipFill>
                              <pic:spPr>
                                <a:xfrm>
                                  <a:off x="0" y="0"/>
                                  <a:ext cx="2496185" cy="18719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7" w:type="dxa"/>
                </w:tcPr>
                <w:p>
                  <w:pPr>
                    <w:pStyle w:val="17"/>
                    <w:jc w:val="center"/>
                    <w:rPr>
                      <w:rFonts w:hint="default" w:ascii="Times New Roman" w:hAnsi="Times New Roman" w:cs="Times New Roman"/>
                      <w:color w:val="auto"/>
                      <w:sz w:val="24"/>
                      <w:szCs w:val="22"/>
                      <w:highlight w:val="none"/>
                      <w:u w:val="none"/>
                      <w:vertAlign w:val="baseline"/>
                      <w:lang w:val="en-US" w:eastAsia="zh-CN" w:bidi="zh-CN"/>
                    </w:rPr>
                  </w:pPr>
                  <w:r>
                    <w:rPr>
                      <w:rFonts w:hint="eastAsia" w:ascii="Times New Roman" w:hAnsi="Times New Roman" w:cs="Times New Roman"/>
                      <w:color w:val="auto"/>
                      <w:sz w:val="24"/>
                      <w:szCs w:val="22"/>
                      <w:highlight w:val="none"/>
                      <w:u w:val="none"/>
                      <w:vertAlign w:val="baseline"/>
                      <w:lang w:val="en-US" w:eastAsia="zh-CN" w:bidi="zh-CN"/>
                    </w:rPr>
                    <w:t>厂区围挡</w:t>
                  </w:r>
                </w:p>
              </w:tc>
              <w:tc>
                <w:tcPr>
                  <w:tcW w:w="4187" w:type="dxa"/>
                </w:tcPr>
                <w:p>
                  <w:pPr>
                    <w:pStyle w:val="17"/>
                    <w:jc w:val="center"/>
                    <w:rPr>
                      <w:rFonts w:hint="default" w:ascii="Times New Roman" w:hAnsi="Times New Roman" w:cs="Times New Roman"/>
                      <w:color w:val="auto"/>
                      <w:sz w:val="24"/>
                      <w:szCs w:val="22"/>
                      <w:highlight w:val="none"/>
                      <w:u w:val="none"/>
                      <w:vertAlign w:val="baseline"/>
                      <w:lang w:val="en-US" w:eastAsia="zh-CN" w:bidi="zh-CN"/>
                    </w:rPr>
                  </w:pPr>
                  <w:r>
                    <w:rPr>
                      <w:rFonts w:hint="eastAsia" w:ascii="Times New Roman" w:hAnsi="Times New Roman" w:cs="Times New Roman"/>
                      <w:color w:val="auto"/>
                      <w:sz w:val="24"/>
                      <w:szCs w:val="22"/>
                      <w:highlight w:val="none"/>
                      <w:u w:val="none"/>
                      <w:vertAlign w:val="baseline"/>
                      <w:lang w:val="en-US" w:eastAsia="zh-CN" w:bidi="zh-CN"/>
                    </w:rPr>
                    <w:t>生活区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7" w:type="dxa"/>
                </w:tcPr>
                <w:p>
                  <w:pPr>
                    <w:pStyle w:val="17"/>
                    <w:ind w:left="0" w:leftChars="0" w:firstLine="0" w:firstLineChars="0"/>
                    <w:jc w:val="center"/>
                    <w:rPr>
                      <w:rFonts w:hint="eastAsia" w:ascii="Times New Roman" w:hAnsi="Times New Roman" w:cs="Times New Roman"/>
                      <w:color w:val="auto"/>
                      <w:sz w:val="24"/>
                      <w:szCs w:val="22"/>
                      <w:highlight w:val="none"/>
                      <w:u w:val="none"/>
                      <w:vertAlign w:val="baseline"/>
                      <w:lang w:val="en-US" w:eastAsia="zh-CN" w:bidi="zh-CN"/>
                    </w:rPr>
                  </w:pPr>
                  <w:r>
                    <w:rPr>
                      <w:rFonts w:hint="eastAsia" w:ascii="Times New Roman" w:hAnsi="Times New Roman" w:cs="Times New Roman"/>
                      <w:color w:val="auto"/>
                      <w:sz w:val="24"/>
                      <w:szCs w:val="22"/>
                      <w:highlight w:val="none"/>
                      <w:u w:val="none"/>
                      <w:vertAlign w:val="baseline"/>
                      <w:lang w:val="en-US" w:eastAsia="zh-CN" w:bidi="zh-CN"/>
                    </w:rPr>
                    <w:drawing>
                      <wp:inline distT="0" distB="0" distL="114300" distR="114300">
                        <wp:extent cx="2496185" cy="1871980"/>
                        <wp:effectExtent l="0" t="0" r="18415" b="13970"/>
                        <wp:docPr id="37" name="图片 37" descr="IMG_0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0059(0)"/>
                                <pic:cNvPicPr>
                                  <a:picLocks noChangeAspect="1"/>
                                </pic:cNvPicPr>
                              </pic:nvPicPr>
                              <pic:blipFill>
                                <a:blip r:embed="rId20"/>
                                <a:stretch>
                                  <a:fillRect/>
                                </a:stretch>
                              </pic:blipFill>
                              <pic:spPr>
                                <a:xfrm>
                                  <a:off x="0" y="0"/>
                                  <a:ext cx="2496185" cy="1871980"/>
                                </a:xfrm>
                                <a:prstGeom prst="rect">
                                  <a:avLst/>
                                </a:prstGeom>
                              </pic:spPr>
                            </pic:pic>
                          </a:graphicData>
                        </a:graphic>
                      </wp:inline>
                    </w:drawing>
                  </w:r>
                </w:p>
              </w:tc>
              <w:tc>
                <w:tcPr>
                  <w:tcW w:w="4187" w:type="dxa"/>
                </w:tcPr>
                <w:p>
                  <w:pPr>
                    <w:pStyle w:val="17"/>
                    <w:ind w:left="0" w:leftChars="0" w:firstLine="0" w:firstLineChars="0"/>
                    <w:jc w:val="center"/>
                    <w:rPr>
                      <w:rFonts w:hint="eastAsia" w:ascii="Times New Roman" w:hAnsi="Times New Roman" w:cs="Times New Roman"/>
                      <w:color w:val="auto"/>
                      <w:sz w:val="24"/>
                      <w:szCs w:val="22"/>
                      <w:highlight w:val="none"/>
                      <w:u w:val="none"/>
                      <w:vertAlign w:val="baseline"/>
                      <w:lang w:val="en-US" w:eastAsia="zh-CN" w:bidi="zh-CN"/>
                    </w:rPr>
                  </w:pPr>
                  <w:r>
                    <w:rPr>
                      <w:rFonts w:hint="eastAsia" w:ascii="Times New Roman" w:hAnsi="Times New Roman" w:cs="Times New Roman"/>
                      <w:color w:val="auto"/>
                      <w:sz w:val="24"/>
                      <w:szCs w:val="22"/>
                      <w:highlight w:val="none"/>
                      <w:u w:val="none"/>
                      <w:vertAlign w:val="baseline"/>
                      <w:lang w:val="en-US" w:eastAsia="zh-CN" w:bidi="zh-CN"/>
                    </w:rPr>
                    <w:drawing>
                      <wp:inline distT="0" distB="0" distL="114300" distR="114300">
                        <wp:extent cx="2496185" cy="1871980"/>
                        <wp:effectExtent l="0" t="0" r="18415" b="13970"/>
                        <wp:docPr id="25" name="图片 25" descr="IMG_0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0027(0)"/>
                                <pic:cNvPicPr>
                                  <a:picLocks noChangeAspect="1"/>
                                </pic:cNvPicPr>
                              </pic:nvPicPr>
                              <pic:blipFill>
                                <a:blip r:embed="rId21"/>
                                <a:stretch>
                                  <a:fillRect/>
                                </a:stretch>
                              </pic:blipFill>
                              <pic:spPr>
                                <a:xfrm>
                                  <a:off x="0" y="0"/>
                                  <a:ext cx="2496185" cy="18719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7" w:type="dxa"/>
                </w:tcPr>
                <w:p>
                  <w:pPr>
                    <w:pStyle w:val="17"/>
                    <w:jc w:val="center"/>
                    <w:rPr>
                      <w:rFonts w:hint="default" w:ascii="Times New Roman" w:hAnsi="Times New Roman" w:cs="Times New Roman"/>
                      <w:color w:val="auto"/>
                      <w:sz w:val="24"/>
                      <w:szCs w:val="22"/>
                      <w:highlight w:val="none"/>
                      <w:u w:val="none"/>
                      <w:vertAlign w:val="baseline"/>
                      <w:lang w:val="en-US" w:eastAsia="zh-CN" w:bidi="zh-CN"/>
                    </w:rPr>
                  </w:pPr>
                  <w:r>
                    <w:rPr>
                      <w:rFonts w:hint="eastAsia" w:ascii="Times New Roman" w:hAnsi="Times New Roman" w:cs="Times New Roman"/>
                      <w:color w:val="auto"/>
                      <w:sz w:val="24"/>
                      <w:szCs w:val="22"/>
                      <w:highlight w:val="none"/>
                      <w:u w:val="none"/>
                      <w:vertAlign w:val="baseline"/>
                      <w:lang w:val="en-US" w:eastAsia="zh-CN" w:bidi="zh-CN"/>
                    </w:rPr>
                    <w:t>进场道路</w:t>
                  </w:r>
                </w:p>
              </w:tc>
              <w:tc>
                <w:tcPr>
                  <w:tcW w:w="4187" w:type="dxa"/>
                </w:tcPr>
                <w:p>
                  <w:pPr>
                    <w:pStyle w:val="17"/>
                    <w:jc w:val="center"/>
                    <w:rPr>
                      <w:rFonts w:hint="default" w:ascii="Times New Roman" w:hAnsi="Times New Roman" w:cs="Times New Roman"/>
                      <w:color w:val="auto"/>
                      <w:sz w:val="24"/>
                      <w:szCs w:val="22"/>
                      <w:highlight w:val="none"/>
                      <w:u w:val="none"/>
                      <w:vertAlign w:val="baseline"/>
                      <w:lang w:val="en-US" w:eastAsia="zh-CN" w:bidi="zh-CN"/>
                    </w:rPr>
                  </w:pPr>
                  <w:r>
                    <w:rPr>
                      <w:rFonts w:hint="eastAsia" w:ascii="Times New Roman" w:hAnsi="Times New Roman" w:cs="Times New Roman"/>
                      <w:color w:val="auto"/>
                      <w:sz w:val="24"/>
                      <w:szCs w:val="22"/>
                      <w:highlight w:val="none"/>
                      <w:u w:val="none"/>
                      <w:vertAlign w:val="baseline"/>
                      <w:lang w:val="en-US" w:eastAsia="zh-CN" w:bidi="zh-CN"/>
                    </w:rPr>
                    <w:t>配电房</w:t>
                  </w:r>
                </w:p>
              </w:tc>
            </w:tr>
          </w:tbl>
          <w:p>
            <w:pPr>
              <w:snapToGrid w:val="0"/>
              <w:spacing w:line="360" w:lineRule="auto"/>
              <w:rPr>
                <w:b/>
                <w:color w:val="auto"/>
                <w:sz w:val="24"/>
                <w:highlight w:val="none"/>
              </w:rPr>
            </w:pPr>
            <w:r>
              <w:rPr>
                <w:rFonts w:hint="eastAsia"/>
                <w:b/>
                <w:bCs/>
                <w:w w:val="100"/>
                <w:sz w:val="21"/>
                <w:lang w:val="en-US" w:eastAsia="zh-CN"/>
              </w:rPr>
              <w:t>4</w:t>
            </w:r>
            <w:r>
              <w:rPr>
                <w:rFonts w:hint="eastAsia"/>
                <w:b/>
                <w:bCs/>
                <w:color w:val="auto"/>
                <w:sz w:val="24"/>
                <w:highlight w:val="none"/>
                <w:lang w:val="en-US" w:eastAsia="zh-CN"/>
              </w:rPr>
              <w:t>、</w:t>
            </w:r>
            <w:r>
              <w:rPr>
                <w:b/>
                <w:color w:val="auto"/>
                <w:sz w:val="24"/>
                <w:highlight w:val="none"/>
              </w:rPr>
              <w:t>建设内容及项目组成</w:t>
            </w:r>
          </w:p>
          <w:p>
            <w:pPr>
              <w:snapToGrid w:val="0"/>
              <w:spacing w:line="360" w:lineRule="auto"/>
              <w:ind w:firstLine="555"/>
              <w:rPr>
                <w:rFonts w:hint="eastAsia" w:ascii="Times New Roman" w:hAnsi="Times New Roman"/>
                <w:color w:val="auto"/>
                <w:sz w:val="24"/>
                <w:szCs w:val="24"/>
                <w:highlight w:val="none"/>
                <w:lang w:val="en-US" w:eastAsia="zh-CN"/>
              </w:rPr>
            </w:pPr>
            <w:r>
              <w:rPr>
                <w:color w:val="auto"/>
                <w:sz w:val="24"/>
                <w:highlight w:val="none"/>
              </w:rPr>
              <w:t>（1）项目组成及主要环境问题见</w:t>
            </w:r>
            <w:r>
              <w:rPr>
                <w:rFonts w:hint="eastAsia" w:ascii="Times New Roman" w:hAnsi="Times New Roman"/>
                <w:color w:val="auto"/>
                <w:sz w:val="24"/>
                <w:szCs w:val="24"/>
                <w:highlight w:val="none"/>
                <w:lang w:val="en-US" w:eastAsia="zh-CN"/>
              </w:rPr>
              <w:t>表2-1。</w:t>
            </w:r>
          </w:p>
          <w:p>
            <w:pPr>
              <w:snapToGrid w:val="0"/>
              <w:spacing w:line="360" w:lineRule="auto"/>
              <w:jc w:val="center"/>
              <w:rPr>
                <w:rFonts w:hint="eastAsia" w:ascii="宋体" w:hAnsi="宋体" w:eastAsia="宋体" w:cs="宋体"/>
                <w:b/>
                <w:bCs/>
                <w:color w:val="auto"/>
                <w:sz w:val="21"/>
                <w:szCs w:val="21"/>
                <w:highlight w:val="none"/>
              </w:rPr>
            </w:pPr>
            <w:r>
              <w:rPr>
                <w:rFonts w:hint="eastAsia"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rPr>
              <w:t>-1    拌合</w:t>
            </w:r>
            <w:r>
              <w:rPr>
                <w:rFonts w:hint="eastAsia" w:ascii="宋体" w:hAnsi="宋体" w:eastAsia="宋体" w:cs="宋体"/>
                <w:b/>
                <w:bCs/>
                <w:color w:val="auto"/>
                <w:sz w:val="21"/>
                <w:szCs w:val="21"/>
                <w:highlight w:val="none"/>
              </w:rPr>
              <w:t>站项目组成表</w:t>
            </w:r>
          </w:p>
          <w:tbl>
            <w:tblPr>
              <w:tblStyle w:val="11"/>
              <w:tblpPr w:leftFromText="180" w:rightFromText="180" w:vertAnchor="text" w:horzAnchor="margin" w:tblpXSpec="center" w:tblpY="8"/>
              <w:tblOverlap w:val="never"/>
              <w:tblW w:w="48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468"/>
              <w:gridCol w:w="415"/>
              <w:gridCol w:w="3536"/>
              <w:gridCol w:w="1017"/>
              <w:gridCol w:w="1072"/>
              <w:gridCol w:w="1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0" w:hRule="atLeast"/>
              </w:trPr>
              <w:tc>
                <w:tcPr>
                  <w:tcW w:w="37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名称</w:t>
                  </w:r>
                </w:p>
              </w:tc>
              <w:tc>
                <w:tcPr>
                  <w:tcW w:w="2702" w:type="pct"/>
                  <w:gridSpan w:val="3"/>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建设内容及规模</w:t>
                  </w:r>
                </w:p>
              </w:tc>
              <w:tc>
                <w:tcPr>
                  <w:tcW w:w="621"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施工期可能产生的环境问题</w:t>
                  </w:r>
                </w:p>
              </w:tc>
              <w:tc>
                <w:tcPr>
                  <w:tcW w:w="65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营运期可能产生的环境问题</w:t>
                  </w:r>
                </w:p>
              </w:tc>
              <w:tc>
                <w:tcPr>
                  <w:tcW w:w="64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5" w:hRule="atLeast"/>
              </w:trPr>
              <w:tc>
                <w:tcPr>
                  <w:tcW w:w="37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主体工程</w:t>
                  </w:r>
                </w:p>
              </w:tc>
              <w:tc>
                <w:tcPr>
                  <w:tcW w:w="539" w:type="pct"/>
                  <w:gridSpan w:val="2"/>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none"/>
                    </w:rPr>
                  </w:pPr>
                  <w:r>
                    <w:rPr>
                      <w:rFonts w:hint="default" w:ascii="Times New Roman" w:hAnsi="Times New Roman" w:cs="Times New Roman"/>
                      <w:bCs/>
                      <w:color w:val="auto"/>
                      <w:sz w:val="21"/>
                      <w:szCs w:val="24"/>
                      <w:highlight w:val="none"/>
                    </w:rPr>
                    <w:t>沥青砼生产线</w:t>
                  </w:r>
                </w:p>
              </w:tc>
              <w:tc>
                <w:tcPr>
                  <w:tcW w:w="2162" w:type="pct"/>
                  <w:noWrap w:val="0"/>
                  <w:vAlign w:val="center"/>
                </w:tcPr>
                <w:p>
                  <w:pPr>
                    <w:keepNext w:val="0"/>
                    <w:keepLines w:val="0"/>
                    <w:pageBreakBefore w:val="0"/>
                    <w:widowControl w:val="0"/>
                    <w:kinsoku/>
                    <w:wordWrap/>
                    <w:overflowPunct/>
                    <w:topLinePunct w:val="0"/>
                    <w:bidi w:val="0"/>
                    <w:snapToGrid w:val="0"/>
                    <w:ind w:left="0" w:leftChars="0" w:firstLine="0" w:firstLineChars="0"/>
                    <w:jc w:val="both"/>
                    <w:textAlignment w:val="auto"/>
                    <w:rPr>
                      <w:rFonts w:hint="default" w:ascii="Times New Roman" w:hAnsi="Times New Roman" w:eastAsia="宋体" w:cs="Times New Roman"/>
                      <w:color w:val="auto"/>
                      <w:sz w:val="21"/>
                      <w:szCs w:val="24"/>
                      <w:highlight w:val="none"/>
                      <w:lang w:eastAsia="zh-CN"/>
                    </w:rPr>
                  </w:pPr>
                  <w:r>
                    <w:rPr>
                      <w:rFonts w:hint="default" w:ascii="Times New Roman" w:hAnsi="Times New Roman" w:cs="Times New Roman"/>
                      <w:color w:val="auto"/>
                      <w:sz w:val="21"/>
                      <w:szCs w:val="24"/>
                      <w:highlight w:val="none"/>
                    </w:rPr>
                    <w:t>项目新建沥青砼生产线1条（LB</w:t>
                  </w:r>
                  <w:r>
                    <w:rPr>
                      <w:rFonts w:hint="default" w:ascii="Times New Roman" w:hAnsi="Times New Roman" w:cs="Times New Roman"/>
                      <w:color w:val="auto"/>
                      <w:sz w:val="21"/>
                      <w:szCs w:val="24"/>
                      <w:highlight w:val="none"/>
                      <w:lang w:val="en-US" w:eastAsia="zh-CN"/>
                    </w:rPr>
                    <w:t>-30</w:t>
                  </w:r>
                  <w:r>
                    <w:rPr>
                      <w:rFonts w:hint="default" w:ascii="Times New Roman" w:hAnsi="Times New Roman" w:cs="Times New Roman"/>
                      <w:color w:val="auto"/>
                      <w:sz w:val="21"/>
                      <w:szCs w:val="24"/>
                      <w:highlight w:val="none"/>
                    </w:rPr>
                    <w:t>00型，1</w:t>
                  </w:r>
                  <w:r>
                    <w:rPr>
                      <w:rFonts w:hint="default" w:ascii="Times New Roman" w:hAnsi="Times New Roman" w:cs="Times New Roman"/>
                      <w:color w:val="auto"/>
                      <w:sz w:val="21"/>
                      <w:szCs w:val="24"/>
                      <w:highlight w:val="none"/>
                      <w:lang w:val="en-US" w:eastAsia="zh-CN"/>
                    </w:rPr>
                    <w:t>8</w:t>
                  </w:r>
                  <w:r>
                    <w:rPr>
                      <w:rFonts w:hint="default" w:ascii="Times New Roman" w:hAnsi="Times New Roman" w:cs="Times New Roman"/>
                      <w:color w:val="auto"/>
                      <w:sz w:val="21"/>
                      <w:szCs w:val="24"/>
                      <w:highlight w:val="none"/>
                    </w:rPr>
                    <w:t>0～2</w:t>
                  </w:r>
                  <w:r>
                    <w:rPr>
                      <w:rFonts w:hint="default" w:ascii="Times New Roman" w:hAnsi="Times New Roman" w:cs="Times New Roman"/>
                      <w:color w:val="auto"/>
                      <w:sz w:val="21"/>
                      <w:szCs w:val="24"/>
                      <w:highlight w:val="none"/>
                      <w:lang w:val="en-US" w:eastAsia="zh-CN"/>
                    </w:rPr>
                    <w:t>6</w:t>
                  </w:r>
                  <w:r>
                    <w:rPr>
                      <w:rFonts w:hint="default" w:ascii="Times New Roman" w:hAnsi="Times New Roman" w:cs="Times New Roman"/>
                      <w:color w:val="auto"/>
                      <w:sz w:val="21"/>
                      <w:szCs w:val="24"/>
                      <w:highlight w:val="none"/>
                    </w:rPr>
                    <w:t>0t/h）</w:t>
                  </w:r>
                  <w:r>
                    <w:rPr>
                      <w:rFonts w:hint="default" w:ascii="Times New Roman" w:hAnsi="Times New Roman" w:cs="Times New Roman"/>
                      <w:sz w:val="21"/>
                      <w:szCs w:val="24"/>
                      <w:highlight w:val="none"/>
                    </w:rPr>
                    <w:t>，</w:t>
                  </w:r>
                  <w:r>
                    <w:rPr>
                      <w:rFonts w:hint="default" w:ascii="Times New Roman" w:hAnsi="Times New Roman" w:cs="Times New Roman"/>
                      <w:sz w:val="21"/>
                      <w:szCs w:val="24"/>
                      <w:highlight w:val="none"/>
                      <w:lang w:val="en-US" w:eastAsia="zh-CN"/>
                    </w:rPr>
                    <w:t>共</w:t>
                  </w:r>
                  <w:r>
                    <w:rPr>
                      <w:rFonts w:hint="default" w:ascii="Times New Roman" w:hAnsi="Times New Roman" w:cs="Times New Roman"/>
                      <w:sz w:val="21"/>
                      <w:szCs w:val="24"/>
                      <w:highlight w:val="none"/>
                    </w:rPr>
                    <w:t>产沥青砼</w:t>
                  </w:r>
                  <w:r>
                    <w:rPr>
                      <w:rFonts w:hint="default" w:ascii="Times New Roman" w:hAnsi="Times New Roman" w:cs="Times New Roman"/>
                      <w:sz w:val="21"/>
                      <w:szCs w:val="24"/>
                      <w:highlight w:val="none"/>
                      <w:lang w:val="en-US" w:eastAsia="zh-CN"/>
                    </w:rPr>
                    <w:t>14.4</w:t>
                  </w:r>
                  <w:r>
                    <w:rPr>
                      <w:rFonts w:hint="default" w:ascii="Times New Roman" w:hAnsi="Times New Roman" w:cs="Times New Roman"/>
                      <w:sz w:val="21"/>
                      <w:szCs w:val="24"/>
                      <w:highlight w:val="none"/>
                    </w:rPr>
                    <w:t>万吨。</w:t>
                  </w:r>
                  <w:r>
                    <w:rPr>
                      <w:rFonts w:hint="default" w:ascii="Times New Roman" w:hAnsi="Times New Roman" w:cs="Times New Roman"/>
                      <w:color w:val="auto"/>
                      <w:sz w:val="21"/>
                      <w:szCs w:val="24"/>
                      <w:highlight w:val="none"/>
                    </w:rPr>
                    <w:t>生产线位于厂区</w:t>
                  </w:r>
                  <w:r>
                    <w:rPr>
                      <w:rFonts w:hint="default" w:ascii="Times New Roman" w:hAnsi="Times New Roman" w:cs="Times New Roman"/>
                      <w:color w:val="auto"/>
                      <w:sz w:val="21"/>
                      <w:szCs w:val="24"/>
                      <w:highlight w:val="none"/>
                      <w:lang w:val="en-US" w:eastAsia="zh-CN"/>
                    </w:rPr>
                    <w:t>北部</w:t>
                  </w:r>
                  <w:r>
                    <w:rPr>
                      <w:rFonts w:hint="default" w:ascii="Times New Roman" w:hAnsi="Times New Roman" w:cs="Times New Roman"/>
                      <w:color w:val="auto"/>
                      <w:sz w:val="21"/>
                      <w:szCs w:val="24"/>
                      <w:highlight w:val="none"/>
                    </w:rPr>
                    <w:t>，由冷骨料供给系统（冷料仓、给料器、输送机等）、骨料干燥系统（</w:t>
                  </w:r>
                  <w:r>
                    <w:rPr>
                      <w:rFonts w:hint="default" w:ascii="Times New Roman" w:hAnsi="Times New Roman" w:cs="Times New Roman"/>
                      <w:color w:val="auto"/>
                      <w:sz w:val="21"/>
                      <w:szCs w:val="24"/>
                      <w:highlight w:val="none"/>
                      <w:lang w:val="en-US" w:eastAsia="zh-CN"/>
                    </w:rPr>
                    <w:t>柴</w:t>
                  </w:r>
                  <w:r>
                    <w:rPr>
                      <w:rFonts w:hint="default" w:ascii="Times New Roman" w:hAnsi="Times New Roman" w:cs="Times New Roman"/>
                      <w:color w:val="auto"/>
                      <w:sz w:val="21"/>
                      <w:szCs w:val="24"/>
                      <w:highlight w:val="none"/>
                    </w:rPr>
                    <w:t>油燃烧器、烘干滚筒）、骨料筛选设备（振动筛）、热料仓、计量系统、搅拌系统、粉料供应系统、控制系统、沥青供给系统等</w:t>
                  </w:r>
                  <w:r>
                    <w:rPr>
                      <w:rFonts w:hint="default" w:ascii="Times New Roman" w:hAnsi="Times New Roman" w:cs="Times New Roman"/>
                      <w:color w:val="auto"/>
                      <w:sz w:val="21"/>
                      <w:szCs w:val="24"/>
                      <w:highlight w:val="none"/>
                      <w:lang w:eastAsia="zh-CN"/>
                    </w:rPr>
                    <w:t>。</w:t>
                  </w:r>
                </w:p>
              </w:tc>
              <w:tc>
                <w:tcPr>
                  <w:tcW w:w="621" w:type="pct"/>
                  <w:vMerge w:val="restart"/>
                  <w:noWrap w:val="0"/>
                  <w:vAlign w:val="center"/>
                </w:tcPr>
                <w:p>
                  <w:pPr>
                    <w:keepNext w:val="0"/>
                    <w:keepLines w:val="0"/>
                    <w:pageBreakBefore w:val="0"/>
                    <w:widowControl w:val="0"/>
                    <w:kinsoku/>
                    <w:wordWrap/>
                    <w:overflowPunct/>
                    <w:topLinePunct w:val="0"/>
                    <w:bidi w:val="0"/>
                    <w:ind w:left="0" w:leftChars="0" w:firstLine="0" w:firstLineChars="0"/>
                    <w:jc w:val="center"/>
                    <w:textAlignment w:val="auto"/>
                    <w:rPr>
                      <w:rFonts w:hint="default" w:ascii="Times New Roman" w:hAnsi="Times New Roman" w:cs="Times New Roman"/>
                      <w:color w:val="auto"/>
                      <w:sz w:val="21"/>
                      <w:szCs w:val="24"/>
                      <w:highlight w:val="none"/>
                    </w:rPr>
                  </w:pPr>
                </w:p>
                <w:p>
                  <w:pPr>
                    <w:keepNext w:val="0"/>
                    <w:keepLines w:val="0"/>
                    <w:pageBreakBefore w:val="0"/>
                    <w:widowControl w:val="0"/>
                    <w:kinsoku/>
                    <w:wordWrap/>
                    <w:overflowPunct/>
                    <w:topLinePunct w:val="0"/>
                    <w:bidi w:val="0"/>
                    <w:ind w:left="0" w:leftChars="0" w:firstLine="0" w:firstLineChars="0"/>
                    <w:jc w:val="center"/>
                    <w:textAlignment w:val="auto"/>
                    <w:rPr>
                      <w:rFonts w:hint="default" w:ascii="Times New Roman" w:hAnsi="Times New Roman" w:cs="Times New Roman"/>
                      <w:color w:val="auto"/>
                      <w:sz w:val="21"/>
                      <w:szCs w:val="24"/>
                      <w:highlight w:val="none"/>
                    </w:rPr>
                  </w:pPr>
                </w:p>
                <w:p>
                  <w:pPr>
                    <w:keepNext w:val="0"/>
                    <w:keepLines w:val="0"/>
                    <w:pageBreakBefore w:val="0"/>
                    <w:widowControl w:val="0"/>
                    <w:kinsoku/>
                    <w:wordWrap/>
                    <w:overflowPunct/>
                    <w:topLinePunct w:val="0"/>
                    <w:bidi w:val="0"/>
                    <w:ind w:left="0" w:leftChars="0" w:firstLine="0" w:firstLineChars="0"/>
                    <w:jc w:val="center"/>
                    <w:textAlignment w:val="auto"/>
                    <w:rPr>
                      <w:rFonts w:hint="default" w:ascii="Times New Roman" w:hAnsi="Times New Roman" w:cs="Times New Roman"/>
                      <w:color w:val="auto"/>
                      <w:sz w:val="21"/>
                      <w:szCs w:val="24"/>
                      <w:highlight w:val="none"/>
                    </w:rPr>
                  </w:pPr>
                </w:p>
                <w:p>
                  <w:pPr>
                    <w:keepNext w:val="0"/>
                    <w:keepLines w:val="0"/>
                    <w:pageBreakBefore w:val="0"/>
                    <w:widowControl w:val="0"/>
                    <w:kinsoku/>
                    <w:wordWrap/>
                    <w:overflowPunct/>
                    <w:topLinePunct w:val="0"/>
                    <w:bidi w:val="0"/>
                    <w:ind w:left="0" w:leftChars="0" w:firstLine="0" w:firstLineChars="0"/>
                    <w:jc w:val="center"/>
                    <w:textAlignment w:val="auto"/>
                    <w:rPr>
                      <w:rFonts w:hint="default" w:ascii="Times New Roman" w:hAnsi="Times New Roman" w:cs="Times New Roman"/>
                      <w:color w:val="auto"/>
                      <w:sz w:val="21"/>
                      <w:szCs w:val="24"/>
                      <w:highlight w:val="none"/>
                    </w:rPr>
                  </w:pPr>
                </w:p>
                <w:p>
                  <w:pPr>
                    <w:keepNext w:val="0"/>
                    <w:keepLines w:val="0"/>
                    <w:pageBreakBefore w:val="0"/>
                    <w:widowControl w:val="0"/>
                    <w:kinsoku/>
                    <w:wordWrap/>
                    <w:overflowPunct/>
                    <w:topLinePunct w:val="0"/>
                    <w:bidi w:val="0"/>
                    <w:ind w:left="0" w:leftChars="0" w:firstLine="0" w:firstLineChars="0"/>
                    <w:jc w:val="center"/>
                    <w:textAlignment w:val="auto"/>
                    <w:rPr>
                      <w:rFonts w:hint="default" w:ascii="Times New Roman" w:hAnsi="Times New Roman" w:cs="Times New Roman"/>
                      <w:color w:val="auto"/>
                      <w:sz w:val="21"/>
                      <w:szCs w:val="24"/>
                      <w:highlight w:val="none"/>
                    </w:rPr>
                  </w:pPr>
                </w:p>
                <w:p>
                  <w:pPr>
                    <w:keepNext w:val="0"/>
                    <w:keepLines w:val="0"/>
                    <w:pageBreakBefore w:val="0"/>
                    <w:widowControl w:val="0"/>
                    <w:kinsoku/>
                    <w:wordWrap/>
                    <w:overflowPunct/>
                    <w:topLinePunct w:val="0"/>
                    <w:bidi w:val="0"/>
                    <w:ind w:left="0" w:leftChars="0" w:firstLine="0" w:firstLineChars="0"/>
                    <w:jc w:val="center"/>
                    <w:textAlignment w:val="auto"/>
                    <w:rPr>
                      <w:rFonts w:hint="default" w:ascii="Times New Roman" w:hAnsi="Times New Roman" w:cs="Times New Roman"/>
                      <w:color w:val="auto"/>
                      <w:sz w:val="21"/>
                      <w:szCs w:val="24"/>
                      <w:highlight w:val="none"/>
                    </w:rPr>
                  </w:pPr>
                </w:p>
                <w:p>
                  <w:pPr>
                    <w:keepNext w:val="0"/>
                    <w:keepLines w:val="0"/>
                    <w:pageBreakBefore w:val="0"/>
                    <w:widowControl w:val="0"/>
                    <w:kinsoku/>
                    <w:wordWrap/>
                    <w:overflowPunct/>
                    <w:topLinePunct w:val="0"/>
                    <w:bidi w:val="0"/>
                    <w:ind w:left="0" w:leftChars="0" w:firstLine="0" w:firstLineChars="0"/>
                    <w:jc w:val="center"/>
                    <w:textAlignment w:val="auto"/>
                    <w:rPr>
                      <w:rFonts w:hint="default" w:ascii="Times New Roman" w:hAnsi="Times New Roman" w:cs="Times New Roman"/>
                      <w:color w:val="auto"/>
                      <w:sz w:val="21"/>
                      <w:szCs w:val="24"/>
                      <w:highlight w:val="none"/>
                    </w:rPr>
                  </w:pPr>
                </w:p>
                <w:p>
                  <w:pPr>
                    <w:keepNext w:val="0"/>
                    <w:keepLines w:val="0"/>
                    <w:pageBreakBefore w:val="0"/>
                    <w:widowControl w:val="0"/>
                    <w:kinsoku/>
                    <w:wordWrap/>
                    <w:overflowPunct/>
                    <w:topLinePunct w:val="0"/>
                    <w:bidi w:val="0"/>
                    <w:ind w:left="0" w:leftChars="0" w:firstLine="0" w:firstLineChars="0"/>
                    <w:jc w:val="center"/>
                    <w:textAlignment w:val="auto"/>
                    <w:rPr>
                      <w:rFonts w:hint="default" w:ascii="Times New Roman" w:hAnsi="Times New Roman" w:cs="Times New Roman"/>
                      <w:color w:val="auto"/>
                      <w:sz w:val="21"/>
                      <w:szCs w:val="24"/>
                      <w:highlight w:val="none"/>
                    </w:rPr>
                  </w:pPr>
                </w:p>
                <w:p>
                  <w:pPr>
                    <w:keepNext w:val="0"/>
                    <w:keepLines w:val="0"/>
                    <w:pageBreakBefore w:val="0"/>
                    <w:widowControl w:val="0"/>
                    <w:kinsoku/>
                    <w:wordWrap/>
                    <w:overflowPunct/>
                    <w:topLinePunct w:val="0"/>
                    <w:bidi w:val="0"/>
                    <w:ind w:left="0" w:leftChars="0" w:firstLine="0" w:firstLineChars="0"/>
                    <w:jc w:val="center"/>
                    <w:textAlignment w:val="auto"/>
                    <w:rPr>
                      <w:rFonts w:hint="default" w:ascii="Times New Roman" w:hAnsi="Times New Roman" w:cs="Times New Roman"/>
                      <w:color w:val="auto"/>
                      <w:sz w:val="21"/>
                      <w:szCs w:val="24"/>
                      <w:highlight w:val="none"/>
                    </w:rPr>
                  </w:pPr>
                </w:p>
                <w:p>
                  <w:pPr>
                    <w:keepNext w:val="0"/>
                    <w:keepLines w:val="0"/>
                    <w:pageBreakBefore w:val="0"/>
                    <w:widowControl w:val="0"/>
                    <w:kinsoku/>
                    <w:wordWrap/>
                    <w:overflowPunct/>
                    <w:topLinePunct w:val="0"/>
                    <w:bidi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施工扬尘、</w:t>
                  </w:r>
                </w:p>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废水、噪声、建筑废渣、生态破坏</w:t>
                  </w:r>
                </w:p>
              </w:tc>
              <w:tc>
                <w:tcPr>
                  <w:tcW w:w="65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none"/>
                    </w:rPr>
                  </w:pPr>
                  <w:r>
                    <w:rPr>
                      <w:rFonts w:hint="default" w:ascii="Times New Roman" w:hAnsi="Times New Roman" w:cs="Times New Roman"/>
                      <w:color w:val="auto"/>
                      <w:sz w:val="21"/>
                      <w:szCs w:val="24"/>
                      <w:highlight w:val="none"/>
                    </w:rPr>
                    <w:t>粉尘、沥青烟、噪声</w:t>
                  </w:r>
                </w:p>
              </w:tc>
              <w:tc>
                <w:tcPr>
                  <w:tcW w:w="64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trPr>
              <w:tc>
                <w:tcPr>
                  <w:tcW w:w="375" w:type="pct"/>
                  <w:vMerge w:val="restar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r>
                    <w:rPr>
                      <w:rFonts w:hint="default" w:ascii="Times New Roman" w:hAnsi="Times New Roman" w:cs="Times New Roman"/>
                      <w:color w:val="auto"/>
                      <w:sz w:val="21"/>
                      <w:szCs w:val="24"/>
                      <w:highlight w:val="none"/>
                    </w:rPr>
                    <w:t>辅助工程</w:t>
                  </w:r>
                </w:p>
              </w:tc>
              <w:tc>
                <w:tcPr>
                  <w:tcW w:w="539" w:type="pct"/>
                  <w:gridSpan w:val="2"/>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none"/>
                    </w:rPr>
                  </w:pPr>
                  <w:r>
                    <w:rPr>
                      <w:rFonts w:hint="default" w:ascii="Times New Roman" w:hAnsi="Times New Roman" w:cs="Times New Roman"/>
                      <w:color w:val="auto"/>
                      <w:sz w:val="21"/>
                      <w:szCs w:val="24"/>
                      <w:highlight w:val="none"/>
                    </w:rPr>
                    <w:t>配电房</w:t>
                  </w:r>
                </w:p>
              </w:tc>
              <w:tc>
                <w:tcPr>
                  <w:tcW w:w="2162"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yellow"/>
                    </w:rPr>
                  </w:pPr>
                  <w:r>
                    <w:rPr>
                      <w:rFonts w:hint="default" w:ascii="Times New Roman" w:hAnsi="Times New Roman" w:cs="Times New Roman"/>
                      <w:bCs/>
                      <w:color w:val="auto"/>
                      <w:sz w:val="21"/>
                      <w:szCs w:val="24"/>
                      <w:highlight w:val="none"/>
                    </w:rPr>
                    <w:t>1间，建筑面积5m</w:t>
                  </w:r>
                  <w:r>
                    <w:rPr>
                      <w:rFonts w:hint="default" w:ascii="Times New Roman" w:hAnsi="Times New Roman" w:cs="Times New Roman"/>
                      <w:bCs/>
                      <w:color w:val="auto"/>
                      <w:sz w:val="21"/>
                      <w:szCs w:val="24"/>
                      <w:highlight w:val="none"/>
                      <w:vertAlign w:val="superscript"/>
                    </w:rPr>
                    <w:t>2</w:t>
                  </w:r>
                </w:p>
              </w:tc>
              <w:tc>
                <w:tcPr>
                  <w:tcW w:w="621"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yellow"/>
                    </w:rPr>
                  </w:pPr>
                </w:p>
              </w:tc>
              <w:tc>
                <w:tcPr>
                  <w:tcW w:w="65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none"/>
                    </w:rPr>
                  </w:pPr>
                  <w:r>
                    <w:rPr>
                      <w:rFonts w:hint="default" w:ascii="Times New Roman" w:hAnsi="Times New Roman" w:cs="Times New Roman"/>
                      <w:bCs/>
                      <w:color w:val="auto"/>
                      <w:sz w:val="21"/>
                      <w:szCs w:val="24"/>
                      <w:highlight w:val="none"/>
                    </w:rPr>
                    <w:t>/</w:t>
                  </w:r>
                </w:p>
              </w:tc>
              <w:tc>
                <w:tcPr>
                  <w:tcW w:w="64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eastAsia="宋体" w:cs="Times New Roman"/>
                      <w:bCs/>
                      <w:color w:val="auto"/>
                      <w:sz w:val="21"/>
                      <w:szCs w:val="24"/>
                      <w:highlight w:val="none"/>
                      <w:lang w:eastAsia="zh-CN"/>
                    </w:rPr>
                  </w:pPr>
                  <w:r>
                    <w:rPr>
                      <w:rFonts w:hint="default" w:ascii="Times New Roman" w:hAnsi="Times New Roman" w:cs="Times New Roman"/>
                      <w:color w:val="auto"/>
                      <w:sz w:val="21"/>
                      <w:szCs w:val="24"/>
                      <w:highlight w:val="none"/>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375"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p>
              </w:tc>
              <w:tc>
                <w:tcPr>
                  <w:tcW w:w="539" w:type="pct"/>
                  <w:gridSpan w:val="2"/>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沥青粉料仓</w:t>
                  </w:r>
                </w:p>
              </w:tc>
              <w:tc>
                <w:tcPr>
                  <w:tcW w:w="2162"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yellow"/>
                    </w:rPr>
                  </w:pPr>
                  <w:r>
                    <w:rPr>
                      <w:rFonts w:hint="default" w:ascii="Times New Roman" w:hAnsi="Times New Roman" w:cs="Times New Roman"/>
                      <w:sz w:val="21"/>
                      <w:szCs w:val="24"/>
                    </w:rPr>
                    <w:t>2个，单罐容积为35m</w:t>
                  </w:r>
                  <w:r>
                    <w:rPr>
                      <w:rFonts w:hint="default" w:ascii="Times New Roman" w:hAnsi="Times New Roman" w:cs="Times New Roman"/>
                      <w:sz w:val="21"/>
                      <w:szCs w:val="24"/>
                      <w:vertAlign w:val="superscript"/>
                    </w:rPr>
                    <w:t>3</w:t>
                  </w:r>
                </w:p>
              </w:tc>
              <w:tc>
                <w:tcPr>
                  <w:tcW w:w="621"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yellow"/>
                    </w:rPr>
                  </w:pPr>
                </w:p>
              </w:tc>
              <w:tc>
                <w:tcPr>
                  <w:tcW w:w="65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none"/>
                    </w:rPr>
                  </w:pPr>
                  <w:r>
                    <w:rPr>
                      <w:rFonts w:hint="default" w:ascii="Times New Roman" w:hAnsi="Times New Roman" w:cs="Times New Roman"/>
                      <w:color w:val="auto"/>
                      <w:sz w:val="21"/>
                      <w:szCs w:val="24"/>
                      <w:highlight w:val="none"/>
                    </w:rPr>
                    <w:t>粉尘</w:t>
                  </w:r>
                </w:p>
              </w:tc>
              <w:tc>
                <w:tcPr>
                  <w:tcW w:w="64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none"/>
                    </w:rPr>
                  </w:pPr>
                  <w:r>
                    <w:rPr>
                      <w:rFonts w:hint="default" w:ascii="Times New Roman" w:hAnsi="Times New Roman" w:cs="Times New Roman"/>
                      <w:bCs/>
                      <w:color w:val="auto"/>
                      <w:sz w:val="21"/>
                      <w:szCs w:val="24"/>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375"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p>
              </w:tc>
              <w:tc>
                <w:tcPr>
                  <w:tcW w:w="539" w:type="pct"/>
                  <w:gridSpan w:val="2"/>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沥青骨料原料堆场</w:t>
                  </w:r>
                </w:p>
              </w:tc>
              <w:tc>
                <w:tcPr>
                  <w:tcW w:w="2162"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r>
                    <w:rPr>
                      <w:rFonts w:hint="default" w:ascii="Times New Roman" w:hAnsi="Times New Roman" w:cs="Times New Roman"/>
                      <w:color w:val="auto"/>
                      <w:sz w:val="21"/>
                      <w:szCs w:val="24"/>
                      <w:highlight w:val="none"/>
                    </w:rPr>
                    <w:t>位于厂区西南侧，分为砂、碎石堆场</w:t>
                  </w:r>
                </w:p>
              </w:tc>
              <w:tc>
                <w:tcPr>
                  <w:tcW w:w="621"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yellow"/>
                    </w:rPr>
                  </w:pPr>
                </w:p>
              </w:tc>
              <w:tc>
                <w:tcPr>
                  <w:tcW w:w="65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粉尘、固废</w:t>
                  </w:r>
                </w:p>
              </w:tc>
              <w:tc>
                <w:tcPr>
                  <w:tcW w:w="64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none"/>
                    </w:rPr>
                  </w:pPr>
                  <w:r>
                    <w:rPr>
                      <w:rFonts w:hint="default" w:ascii="Times New Roman" w:hAnsi="Times New Roman" w:cs="Times New Roman"/>
                      <w:bCs/>
                      <w:color w:val="auto"/>
                      <w:sz w:val="21"/>
                      <w:szCs w:val="24"/>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375"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p>
              </w:tc>
              <w:tc>
                <w:tcPr>
                  <w:tcW w:w="539" w:type="pct"/>
                  <w:gridSpan w:val="2"/>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沥青储罐</w:t>
                  </w:r>
                </w:p>
              </w:tc>
              <w:tc>
                <w:tcPr>
                  <w:tcW w:w="2162"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r>
                    <w:rPr>
                      <w:rFonts w:hint="default" w:ascii="Times New Roman" w:hAnsi="Times New Roman" w:cs="Times New Roman"/>
                      <w:sz w:val="21"/>
                      <w:szCs w:val="24"/>
                    </w:rPr>
                    <w:t>3个（储量50t/个）</w:t>
                  </w:r>
                </w:p>
              </w:tc>
              <w:tc>
                <w:tcPr>
                  <w:tcW w:w="621"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yellow"/>
                    </w:rPr>
                  </w:pPr>
                </w:p>
              </w:tc>
              <w:tc>
                <w:tcPr>
                  <w:tcW w:w="65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none"/>
                    </w:rPr>
                  </w:pPr>
                  <w:r>
                    <w:rPr>
                      <w:rFonts w:hint="default" w:ascii="Times New Roman" w:hAnsi="Times New Roman" w:cs="Times New Roman"/>
                      <w:bCs/>
                      <w:color w:val="auto"/>
                      <w:sz w:val="21"/>
                      <w:szCs w:val="24"/>
                      <w:highlight w:val="none"/>
                    </w:rPr>
                    <w:t>/</w:t>
                  </w:r>
                </w:p>
              </w:tc>
              <w:tc>
                <w:tcPr>
                  <w:tcW w:w="64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none"/>
                    </w:rPr>
                  </w:pPr>
                  <w:r>
                    <w:rPr>
                      <w:rFonts w:hint="default" w:ascii="Times New Roman" w:hAnsi="Times New Roman" w:cs="Times New Roman"/>
                      <w:bCs/>
                      <w:color w:val="auto"/>
                      <w:sz w:val="21"/>
                      <w:szCs w:val="24"/>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375"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p>
              </w:tc>
              <w:tc>
                <w:tcPr>
                  <w:tcW w:w="539" w:type="pct"/>
                  <w:gridSpan w:val="2"/>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r>
                    <w:rPr>
                      <w:rFonts w:hint="default" w:ascii="Times New Roman" w:hAnsi="Times New Roman" w:cs="Times New Roman"/>
                      <w:color w:val="auto"/>
                      <w:sz w:val="21"/>
                      <w:szCs w:val="24"/>
                      <w:highlight w:val="none"/>
                      <w:lang w:val="en-US" w:eastAsia="zh-CN"/>
                    </w:rPr>
                    <w:t>柴</w:t>
                  </w:r>
                  <w:r>
                    <w:rPr>
                      <w:rFonts w:hint="default" w:ascii="Times New Roman" w:hAnsi="Times New Roman" w:cs="Times New Roman"/>
                      <w:color w:val="auto"/>
                      <w:sz w:val="21"/>
                      <w:szCs w:val="24"/>
                      <w:highlight w:val="none"/>
                    </w:rPr>
                    <w:t>油储罐</w:t>
                  </w:r>
                </w:p>
              </w:tc>
              <w:tc>
                <w:tcPr>
                  <w:tcW w:w="2162"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r>
                    <w:rPr>
                      <w:rFonts w:hint="default" w:ascii="Times New Roman" w:hAnsi="Times New Roman" w:cs="Times New Roman"/>
                      <w:color w:val="auto"/>
                      <w:sz w:val="21"/>
                      <w:szCs w:val="24"/>
                      <w:highlight w:val="none"/>
                    </w:rPr>
                    <w:t>1个（储量50t/个）</w:t>
                  </w:r>
                </w:p>
              </w:tc>
              <w:tc>
                <w:tcPr>
                  <w:tcW w:w="621"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yellow"/>
                    </w:rPr>
                  </w:pPr>
                </w:p>
              </w:tc>
              <w:tc>
                <w:tcPr>
                  <w:tcW w:w="65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none"/>
                    </w:rPr>
                  </w:pPr>
                  <w:r>
                    <w:rPr>
                      <w:rFonts w:hint="default" w:ascii="Times New Roman" w:hAnsi="Times New Roman" w:cs="Times New Roman"/>
                      <w:bCs/>
                      <w:color w:val="auto"/>
                      <w:sz w:val="21"/>
                      <w:szCs w:val="24"/>
                      <w:highlight w:val="none"/>
                    </w:rPr>
                    <w:t>/</w:t>
                  </w:r>
                </w:p>
              </w:tc>
              <w:tc>
                <w:tcPr>
                  <w:tcW w:w="64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none"/>
                    </w:rPr>
                  </w:pPr>
                  <w:r>
                    <w:rPr>
                      <w:rFonts w:hint="default" w:ascii="Times New Roman" w:hAnsi="Times New Roman" w:cs="Times New Roman"/>
                      <w:bCs/>
                      <w:color w:val="auto"/>
                      <w:sz w:val="21"/>
                      <w:szCs w:val="24"/>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915" w:type="pct"/>
                  <w:gridSpan w:val="3"/>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生活设施</w:t>
                  </w:r>
                </w:p>
              </w:tc>
              <w:tc>
                <w:tcPr>
                  <w:tcW w:w="2162" w:type="pct"/>
                  <w:noWrap w:val="0"/>
                  <w:vAlign w:val="center"/>
                </w:tcPr>
                <w:p>
                  <w:pPr>
                    <w:snapToGrid w:val="0"/>
                    <w:ind w:left="46" w:leftChars="21" w:firstLine="44" w:firstLineChars="21"/>
                    <w:jc w:val="center"/>
                    <w:rPr>
                      <w:rFonts w:hint="default" w:ascii="Times New Roman" w:hAnsi="Times New Roman" w:eastAsia="宋体" w:cs="Times New Roman"/>
                      <w:color w:val="auto"/>
                      <w:sz w:val="21"/>
                      <w:szCs w:val="24"/>
                      <w:lang w:eastAsia="zh-CN"/>
                    </w:rPr>
                  </w:pPr>
                  <w:r>
                    <w:rPr>
                      <w:rFonts w:hint="default" w:ascii="Times New Roman" w:hAnsi="Times New Roman" w:cs="Times New Roman"/>
                      <w:color w:val="auto"/>
                      <w:sz w:val="21"/>
                      <w:szCs w:val="24"/>
                    </w:rPr>
                    <w:t>依托</w:t>
                  </w:r>
                  <w:r>
                    <w:rPr>
                      <w:rFonts w:hint="default" w:ascii="Times New Roman" w:hAnsi="Times New Roman" w:cs="Times New Roman"/>
                      <w:color w:val="auto"/>
                      <w:sz w:val="21"/>
                      <w:szCs w:val="24"/>
                      <w:lang w:val="en-US" w:eastAsia="zh-CN"/>
                    </w:rPr>
                    <w:t>原崩崩冲砂厂地的</w:t>
                  </w:r>
                  <w:r>
                    <w:rPr>
                      <w:rFonts w:hint="default" w:ascii="Times New Roman" w:hAnsi="Times New Roman" w:cs="Times New Roman"/>
                      <w:color w:val="auto"/>
                      <w:sz w:val="21"/>
                      <w:szCs w:val="24"/>
                    </w:rPr>
                    <w:t>自建板房，</w:t>
                  </w:r>
                  <w:r>
                    <w:rPr>
                      <w:rFonts w:hint="default" w:ascii="Times New Roman" w:hAnsi="Times New Roman" w:cs="Times New Roman"/>
                      <w:color w:val="auto"/>
                      <w:sz w:val="21"/>
                      <w:szCs w:val="24"/>
                      <w:lang w:val="en-US" w:eastAsia="zh-CN"/>
                    </w:rPr>
                    <w:t>为生活</w:t>
                  </w:r>
                  <w:r>
                    <w:rPr>
                      <w:rFonts w:hint="default" w:ascii="Times New Roman" w:hAnsi="Times New Roman" w:cs="Times New Roman"/>
                      <w:color w:val="auto"/>
                      <w:sz w:val="21"/>
                      <w:szCs w:val="24"/>
                    </w:rPr>
                    <w:t>营地，占地面积</w:t>
                  </w:r>
                  <w:r>
                    <w:rPr>
                      <w:rFonts w:hint="default" w:ascii="Times New Roman" w:hAnsi="Times New Roman" w:cs="Times New Roman"/>
                      <w:color w:val="auto"/>
                      <w:sz w:val="21"/>
                      <w:szCs w:val="24"/>
                      <w:lang w:val="en-US" w:eastAsia="zh-CN"/>
                    </w:rPr>
                    <w:t>150</w:t>
                  </w:r>
                  <w:r>
                    <w:rPr>
                      <w:rFonts w:hint="default" w:ascii="Times New Roman" w:hAnsi="Times New Roman" w:cs="Times New Roman"/>
                      <w:color w:val="auto"/>
                      <w:sz w:val="21"/>
                      <w:szCs w:val="24"/>
                    </w:rPr>
                    <w:t>m</w:t>
                  </w:r>
                  <w:r>
                    <w:rPr>
                      <w:rFonts w:hint="default" w:ascii="Times New Roman" w:hAnsi="Times New Roman" w:cs="Times New Roman"/>
                      <w:color w:val="auto"/>
                      <w:sz w:val="21"/>
                      <w:szCs w:val="24"/>
                      <w:vertAlign w:val="superscript"/>
                    </w:rPr>
                    <w:t>2</w:t>
                  </w:r>
                  <w:r>
                    <w:rPr>
                      <w:rFonts w:hint="default" w:ascii="Times New Roman" w:hAnsi="Times New Roman" w:cs="Times New Roman"/>
                      <w:color w:val="auto"/>
                      <w:sz w:val="21"/>
                      <w:szCs w:val="24"/>
                      <w:vertAlign w:val="baseline"/>
                      <w:lang w:eastAsia="zh-CN"/>
                    </w:rPr>
                    <w:t>，</w:t>
                  </w:r>
                  <w:r>
                    <w:rPr>
                      <w:rFonts w:hint="default" w:ascii="Times New Roman" w:hAnsi="Times New Roman" w:cs="Times New Roman"/>
                      <w:color w:val="auto"/>
                      <w:sz w:val="21"/>
                      <w:szCs w:val="24"/>
                    </w:rPr>
                    <w:t>位于本项目东南侧</w:t>
                  </w:r>
                  <w:r>
                    <w:rPr>
                      <w:rFonts w:hint="default" w:ascii="Times New Roman" w:hAnsi="Times New Roman" w:cs="Times New Roman"/>
                      <w:color w:val="auto"/>
                      <w:sz w:val="21"/>
                      <w:szCs w:val="24"/>
                      <w:lang w:val="en-US" w:eastAsia="zh-CN"/>
                    </w:rPr>
                    <w:t>20</w:t>
                  </w:r>
                  <w:r>
                    <w:rPr>
                      <w:rFonts w:hint="default" w:ascii="Times New Roman" w:hAnsi="Times New Roman" w:cs="Times New Roman"/>
                      <w:color w:val="auto"/>
                      <w:sz w:val="21"/>
                      <w:szCs w:val="24"/>
                    </w:rPr>
                    <w:t>0m处</w:t>
                  </w:r>
                  <w:r>
                    <w:rPr>
                      <w:rFonts w:hint="default" w:ascii="Times New Roman" w:hAnsi="Times New Roman" w:cs="Times New Roman"/>
                      <w:color w:val="auto"/>
                      <w:sz w:val="21"/>
                      <w:szCs w:val="24"/>
                      <w:lang w:eastAsia="zh-CN"/>
                    </w:rPr>
                    <w:t>。</w:t>
                  </w:r>
                </w:p>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eastAsia="宋体" w:cs="Times New Roman"/>
                      <w:color w:val="auto"/>
                      <w:sz w:val="21"/>
                      <w:szCs w:val="24"/>
                      <w:highlight w:val="none"/>
                      <w:lang w:val="en-US" w:eastAsia="zh-CN"/>
                    </w:rPr>
                  </w:pPr>
                </w:p>
              </w:tc>
              <w:tc>
                <w:tcPr>
                  <w:tcW w:w="621"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yellow"/>
                    </w:rPr>
                  </w:pPr>
                </w:p>
              </w:tc>
              <w:tc>
                <w:tcPr>
                  <w:tcW w:w="65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eastAsia="宋体" w:cs="Times New Roman"/>
                      <w:bCs/>
                      <w:color w:val="auto"/>
                      <w:sz w:val="21"/>
                      <w:szCs w:val="24"/>
                      <w:highlight w:val="none"/>
                      <w:lang w:val="en-US" w:eastAsia="zh-CN"/>
                    </w:rPr>
                  </w:pPr>
                  <w:r>
                    <w:rPr>
                      <w:rFonts w:hint="default" w:ascii="Times New Roman" w:hAnsi="Times New Roman" w:cs="Times New Roman"/>
                      <w:color w:val="auto"/>
                      <w:sz w:val="21"/>
                      <w:szCs w:val="24"/>
                      <w:highlight w:val="none"/>
                      <w:lang w:val="en-US" w:eastAsia="zh-CN"/>
                    </w:rPr>
                    <w:t>/</w:t>
                  </w:r>
                </w:p>
              </w:tc>
              <w:tc>
                <w:tcPr>
                  <w:tcW w:w="64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eastAsia="宋体" w:cs="Times New Roman"/>
                      <w:bCs/>
                      <w:color w:val="auto"/>
                      <w:sz w:val="21"/>
                      <w:szCs w:val="24"/>
                      <w:highlight w:val="none"/>
                      <w:lang w:val="en-US" w:eastAsia="zh-CN"/>
                    </w:rPr>
                  </w:pPr>
                  <w:r>
                    <w:rPr>
                      <w:rFonts w:hint="default" w:ascii="Times New Roman" w:hAnsi="Times New Roman" w:cs="Times New Roman"/>
                      <w:bCs/>
                      <w:color w:val="auto"/>
                      <w:sz w:val="21"/>
                      <w:szCs w:val="24"/>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375" w:type="pct"/>
                  <w:vMerge w:val="restar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r>
                    <w:rPr>
                      <w:rFonts w:hint="default" w:ascii="Times New Roman" w:hAnsi="Times New Roman" w:cs="Times New Roman"/>
                      <w:color w:val="auto"/>
                      <w:sz w:val="21"/>
                      <w:szCs w:val="24"/>
                      <w:highlight w:val="none"/>
                    </w:rPr>
                    <w:t>公用工程</w:t>
                  </w:r>
                </w:p>
              </w:tc>
              <w:tc>
                <w:tcPr>
                  <w:tcW w:w="539" w:type="pct"/>
                  <w:gridSpan w:val="2"/>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none"/>
                    </w:rPr>
                  </w:pPr>
                  <w:r>
                    <w:rPr>
                      <w:rFonts w:hint="default" w:ascii="Times New Roman" w:hAnsi="Times New Roman" w:cs="Times New Roman"/>
                      <w:color w:val="auto"/>
                      <w:sz w:val="21"/>
                      <w:szCs w:val="24"/>
                      <w:highlight w:val="none"/>
                    </w:rPr>
                    <w:t>供电</w:t>
                  </w:r>
                </w:p>
              </w:tc>
              <w:tc>
                <w:tcPr>
                  <w:tcW w:w="2162"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none"/>
                    </w:rPr>
                  </w:pPr>
                  <w:r>
                    <w:rPr>
                      <w:rFonts w:hint="default" w:ascii="Times New Roman" w:hAnsi="Times New Roman" w:cs="Times New Roman"/>
                      <w:color w:val="auto"/>
                      <w:sz w:val="21"/>
                      <w:szCs w:val="24"/>
                      <w:highlight w:val="none"/>
                    </w:rPr>
                    <w:t>工区可接高压动力线，可以满足工程及生活用电</w:t>
                  </w:r>
                </w:p>
              </w:tc>
              <w:tc>
                <w:tcPr>
                  <w:tcW w:w="621"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p>
              </w:tc>
              <w:tc>
                <w:tcPr>
                  <w:tcW w:w="65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w:t>
                  </w:r>
                </w:p>
              </w:tc>
              <w:tc>
                <w:tcPr>
                  <w:tcW w:w="64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bCs/>
                      <w:color w:val="auto"/>
                      <w:sz w:val="21"/>
                      <w:szCs w:val="24"/>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375"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p>
              </w:tc>
              <w:tc>
                <w:tcPr>
                  <w:tcW w:w="539" w:type="pct"/>
                  <w:gridSpan w:val="2"/>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供水</w:t>
                  </w:r>
                </w:p>
              </w:tc>
              <w:tc>
                <w:tcPr>
                  <w:tcW w:w="2162"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生产用水取自</w:t>
                  </w:r>
                  <w:r>
                    <w:rPr>
                      <w:rFonts w:hint="default" w:ascii="Times New Roman" w:hAnsi="Times New Roman" w:cs="Times New Roman"/>
                      <w:color w:val="auto"/>
                      <w:sz w:val="21"/>
                      <w:szCs w:val="24"/>
                      <w:highlight w:val="none"/>
                      <w:lang w:val="en-US" w:eastAsia="zh-CN"/>
                    </w:rPr>
                    <w:t>项目东侧河道</w:t>
                  </w:r>
                  <w:r>
                    <w:rPr>
                      <w:rFonts w:hint="default" w:ascii="Times New Roman" w:hAnsi="Times New Roman" w:cs="Times New Roman"/>
                      <w:color w:val="auto"/>
                      <w:sz w:val="21"/>
                      <w:szCs w:val="24"/>
                      <w:highlight w:val="none"/>
                    </w:rPr>
                    <w:t>，生活用水来自</w:t>
                  </w:r>
                  <w:r>
                    <w:rPr>
                      <w:rFonts w:hint="default" w:ascii="Times New Roman" w:hAnsi="Times New Roman" w:cs="Times New Roman"/>
                      <w:color w:val="auto"/>
                      <w:sz w:val="21"/>
                      <w:szCs w:val="24"/>
                      <w:highlight w:val="none"/>
                      <w:lang w:val="en-US" w:eastAsia="zh-CN"/>
                    </w:rPr>
                    <w:t>附近居民</w:t>
                  </w:r>
                  <w:r>
                    <w:rPr>
                      <w:rFonts w:hint="default" w:ascii="Times New Roman" w:hAnsi="Times New Roman" w:cs="Times New Roman"/>
                      <w:color w:val="auto"/>
                      <w:sz w:val="21"/>
                      <w:szCs w:val="24"/>
                      <w:highlight w:val="none"/>
                    </w:rPr>
                    <w:t>用水</w:t>
                  </w:r>
                </w:p>
              </w:tc>
              <w:tc>
                <w:tcPr>
                  <w:tcW w:w="621"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p>
              </w:tc>
              <w:tc>
                <w:tcPr>
                  <w:tcW w:w="65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w:t>
                  </w:r>
                </w:p>
              </w:tc>
              <w:tc>
                <w:tcPr>
                  <w:tcW w:w="64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bCs/>
                      <w:color w:val="auto"/>
                      <w:sz w:val="21"/>
                      <w:szCs w:val="24"/>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375"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p>
              </w:tc>
              <w:tc>
                <w:tcPr>
                  <w:tcW w:w="539" w:type="pct"/>
                  <w:gridSpan w:val="2"/>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供热</w:t>
                  </w:r>
                </w:p>
              </w:tc>
              <w:tc>
                <w:tcPr>
                  <w:tcW w:w="2162"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沥青供热系统采用的导热油炉供热，导热油炉燃烧器使用柴油。骨料烘干系统采用柴油燃烧系统供热</w:t>
                  </w:r>
                </w:p>
              </w:tc>
              <w:tc>
                <w:tcPr>
                  <w:tcW w:w="621"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p>
              </w:tc>
              <w:tc>
                <w:tcPr>
                  <w:tcW w:w="65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废气</w:t>
                  </w:r>
                </w:p>
              </w:tc>
              <w:tc>
                <w:tcPr>
                  <w:tcW w:w="64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bCs/>
                      <w:color w:val="auto"/>
                      <w:sz w:val="21"/>
                      <w:szCs w:val="24"/>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9" w:hRule="atLeast"/>
              </w:trPr>
              <w:tc>
                <w:tcPr>
                  <w:tcW w:w="375"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p>
              </w:tc>
              <w:tc>
                <w:tcPr>
                  <w:tcW w:w="539" w:type="pct"/>
                  <w:gridSpan w:val="2"/>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废水</w:t>
                  </w:r>
                </w:p>
              </w:tc>
              <w:tc>
                <w:tcPr>
                  <w:tcW w:w="2162" w:type="pct"/>
                  <w:noWrap w:val="0"/>
                  <w:vAlign w:val="center"/>
                </w:tcPr>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center"/>
                    <w:textAlignment w:val="auto"/>
                    <w:rPr>
                      <w:rFonts w:hint="default" w:ascii="Times New Roman" w:hAnsi="Times New Roman" w:cs="Times New Roman"/>
                      <w:color w:val="auto"/>
                      <w:sz w:val="21"/>
                      <w:szCs w:val="24"/>
                      <w:highlight w:val="none"/>
                      <w:lang w:val="en-US" w:eastAsia="zh-CN"/>
                    </w:rPr>
                  </w:pPr>
                  <w:r>
                    <w:rPr>
                      <w:rFonts w:hint="default" w:ascii="Times New Roman" w:hAnsi="Times New Roman" w:cs="Times New Roman"/>
                      <w:bCs/>
                      <w:color w:val="auto"/>
                      <w:sz w:val="21"/>
                      <w:szCs w:val="24"/>
                      <w:highlight w:val="none"/>
                    </w:rPr>
                    <w:t>项目建设一座</w:t>
                  </w:r>
                  <w:r>
                    <w:rPr>
                      <w:rFonts w:hint="default" w:ascii="Times New Roman" w:hAnsi="Times New Roman" w:cs="Times New Roman"/>
                      <w:bCs/>
                      <w:color w:val="auto"/>
                      <w:sz w:val="21"/>
                      <w:szCs w:val="24"/>
                      <w:highlight w:val="none"/>
                      <w:lang w:val="en-US" w:eastAsia="zh-CN"/>
                    </w:rPr>
                    <w:t>三级</w:t>
                  </w:r>
                  <w:r>
                    <w:rPr>
                      <w:rFonts w:hint="default" w:ascii="Times New Roman" w:hAnsi="Times New Roman" w:cs="Times New Roman"/>
                      <w:bCs/>
                      <w:color w:val="auto"/>
                      <w:sz w:val="21"/>
                      <w:szCs w:val="24"/>
                      <w:highlight w:val="none"/>
                    </w:rPr>
                    <w:t>沉砂池用于场地清洗水</w:t>
                  </w:r>
                  <w:r>
                    <w:rPr>
                      <w:rFonts w:hint="default" w:ascii="Times New Roman" w:hAnsi="Times New Roman" w:cs="Times New Roman"/>
                      <w:bCs/>
                      <w:color w:val="auto"/>
                      <w:sz w:val="21"/>
                      <w:szCs w:val="24"/>
                      <w:highlight w:val="none"/>
                      <w:lang w:val="en-US" w:eastAsia="zh-CN"/>
                    </w:rPr>
                    <w:t>和雨水</w:t>
                  </w:r>
                  <w:r>
                    <w:rPr>
                      <w:rFonts w:hint="default" w:ascii="Times New Roman" w:hAnsi="Times New Roman" w:cs="Times New Roman"/>
                      <w:bCs/>
                      <w:color w:val="auto"/>
                      <w:sz w:val="21"/>
                      <w:szCs w:val="24"/>
                      <w:highlight w:val="none"/>
                    </w:rPr>
                    <w:t>处理，处理后的废水回用于</w:t>
                  </w:r>
                  <w:r>
                    <w:rPr>
                      <w:rFonts w:hint="default" w:ascii="Times New Roman" w:hAnsi="Times New Roman" w:cs="Times New Roman"/>
                      <w:bCs/>
                      <w:color w:val="auto"/>
                      <w:sz w:val="21"/>
                      <w:szCs w:val="24"/>
                      <w:highlight w:val="none"/>
                      <w:lang w:val="en-US" w:eastAsia="zh-CN"/>
                    </w:rPr>
                    <w:t>地面洒水</w:t>
                  </w:r>
                  <w:r>
                    <w:rPr>
                      <w:rFonts w:hint="default" w:ascii="Times New Roman" w:hAnsi="Times New Roman" w:cs="Times New Roman"/>
                      <w:bCs/>
                      <w:color w:val="auto"/>
                      <w:sz w:val="21"/>
                      <w:szCs w:val="24"/>
                      <w:highlight w:val="none"/>
                    </w:rPr>
                    <w:t>，不外排</w:t>
                  </w:r>
                </w:p>
              </w:tc>
              <w:tc>
                <w:tcPr>
                  <w:tcW w:w="621"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p>
              </w:tc>
              <w:tc>
                <w:tcPr>
                  <w:tcW w:w="655" w:type="pct"/>
                  <w:vMerge w:val="restar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废水、恶臭</w:t>
                  </w:r>
                </w:p>
              </w:tc>
              <w:tc>
                <w:tcPr>
                  <w:tcW w:w="645" w:type="pct"/>
                  <w:tcBorders/>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none"/>
                    </w:rPr>
                  </w:pPr>
                  <w:r>
                    <w:rPr>
                      <w:rFonts w:hint="default" w:ascii="Times New Roman" w:hAnsi="Times New Roman" w:cs="Times New Roman"/>
                      <w:bCs/>
                      <w:color w:val="auto"/>
                      <w:sz w:val="21"/>
                      <w:szCs w:val="24"/>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9" w:hRule="atLeast"/>
              </w:trPr>
              <w:tc>
                <w:tcPr>
                  <w:tcW w:w="375"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p>
              </w:tc>
              <w:tc>
                <w:tcPr>
                  <w:tcW w:w="539" w:type="pct"/>
                  <w:gridSpan w:val="2"/>
                  <w:vMerge w:val="continue"/>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center"/>
                    <w:textAlignment w:val="auto"/>
                    <w:rPr>
                      <w:rFonts w:hint="default" w:ascii="Times New Roman" w:hAnsi="Times New Roman" w:cs="Times New Roman"/>
                      <w:color w:val="auto"/>
                      <w:sz w:val="21"/>
                      <w:szCs w:val="24"/>
                      <w:highlight w:val="none"/>
                    </w:rPr>
                  </w:pPr>
                </w:p>
              </w:tc>
              <w:tc>
                <w:tcPr>
                  <w:tcW w:w="2162" w:type="pct"/>
                  <w:noWrap w:val="0"/>
                  <w:vAlign w:val="center"/>
                </w:tcPr>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center"/>
                    <w:textAlignment w:val="auto"/>
                    <w:rPr>
                      <w:rFonts w:hint="default" w:ascii="Times New Roman" w:hAnsi="Times New Roman" w:cs="Times New Roman"/>
                      <w:color w:val="auto"/>
                      <w:sz w:val="21"/>
                      <w:szCs w:val="24"/>
                      <w:highlight w:val="none"/>
                      <w:lang w:val="en-US" w:eastAsia="zh-CN"/>
                    </w:rPr>
                  </w:pPr>
                  <w:r>
                    <w:rPr>
                      <w:rFonts w:hint="default" w:ascii="Times New Roman" w:hAnsi="Times New Roman" w:cs="Times New Roman"/>
                      <w:bCs/>
                      <w:color w:val="auto"/>
                      <w:sz w:val="21"/>
                      <w:szCs w:val="24"/>
                      <w:highlight w:val="none"/>
                    </w:rPr>
                    <w:t>生活废水经化</w:t>
                  </w:r>
                  <w:r>
                    <w:rPr>
                      <w:rFonts w:hint="default" w:ascii="Times New Roman" w:hAnsi="Times New Roman" w:cs="Times New Roman"/>
                      <w:bCs/>
                      <w:color w:val="auto"/>
                      <w:sz w:val="21"/>
                      <w:szCs w:val="24"/>
                      <w:highlight w:val="none"/>
                      <w:lang w:val="en-US" w:eastAsia="zh-CN"/>
                    </w:rPr>
                    <w:t>旱厕</w:t>
                  </w:r>
                  <w:r>
                    <w:rPr>
                      <w:rFonts w:hint="default" w:ascii="Times New Roman" w:hAnsi="Times New Roman" w:cs="Times New Roman"/>
                      <w:bCs/>
                      <w:color w:val="auto"/>
                      <w:sz w:val="21"/>
                      <w:szCs w:val="24"/>
                      <w:highlight w:val="none"/>
                    </w:rPr>
                    <w:t>收集后用作</w:t>
                  </w:r>
                  <w:r>
                    <w:rPr>
                      <w:rFonts w:hint="default" w:ascii="Times New Roman" w:hAnsi="Times New Roman" w:cs="Times New Roman"/>
                      <w:bCs/>
                      <w:color w:val="auto"/>
                      <w:sz w:val="21"/>
                      <w:szCs w:val="24"/>
                      <w:highlight w:val="none"/>
                      <w:lang w:val="en-US" w:eastAsia="zh-CN"/>
                    </w:rPr>
                    <w:t>林灌</w:t>
                  </w:r>
                </w:p>
              </w:tc>
              <w:tc>
                <w:tcPr>
                  <w:tcW w:w="621"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p>
              </w:tc>
              <w:tc>
                <w:tcPr>
                  <w:tcW w:w="655" w:type="pct"/>
                  <w:vMerge w:val="continue"/>
                  <w:tcBorders/>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p>
              </w:tc>
              <w:tc>
                <w:tcPr>
                  <w:tcW w:w="645" w:type="pct"/>
                  <w:tcBorders/>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none"/>
                    </w:rPr>
                  </w:pPr>
                  <w:r>
                    <w:rPr>
                      <w:rFonts w:hint="default" w:ascii="Times New Roman" w:hAnsi="Times New Roman" w:cs="Times New Roman"/>
                      <w:bCs/>
                      <w:color w:val="auto"/>
                      <w:sz w:val="21"/>
                      <w:szCs w:val="24"/>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29" w:hRule="atLeast"/>
              </w:trPr>
              <w:tc>
                <w:tcPr>
                  <w:tcW w:w="375"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p>
              </w:tc>
              <w:tc>
                <w:tcPr>
                  <w:tcW w:w="539"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固废</w:t>
                  </w:r>
                </w:p>
              </w:tc>
              <w:tc>
                <w:tcPr>
                  <w:tcW w:w="2162" w:type="pct"/>
                  <w:noWrap w:val="0"/>
                  <w:vAlign w:val="center"/>
                </w:tcPr>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center"/>
                    <w:textAlignment w:val="auto"/>
                    <w:rPr>
                      <w:rFonts w:hint="default" w:ascii="Times New Roman" w:hAnsi="Times New Roman" w:cs="Times New Roman"/>
                      <w:color w:val="auto"/>
                      <w:sz w:val="21"/>
                      <w:szCs w:val="24"/>
                      <w:highlight w:val="yellow"/>
                    </w:rPr>
                  </w:pPr>
                  <w:r>
                    <w:rPr>
                      <w:rFonts w:hint="default" w:ascii="Times New Roman" w:hAnsi="Times New Roman" w:cs="Times New Roman"/>
                      <w:color w:val="auto"/>
                      <w:sz w:val="21"/>
                      <w:szCs w:val="24"/>
                      <w:highlight w:val="none"/>
                      <w:lang w:val="en-US" w:eastAsia="zh-CN"/>
                    </w:rPr>
                    <w:t>依托厂区内</w:t>
                  </w:r>
                  <w:r>
                    <w:rPr>
                      <w:rFonts w:hint="default" w:ascii="Times New Roman" w:hAnsi="Times New Roman" w:cs="Times New Roman"/>
                      <w:color w:val="auto"/>
                      <w:sz w:val="21"/>
                      <w:szCs w:val="24"/>
                      <w:highlight w:val="none"/>
                    </w:rPr>
                    <w:t>危废暂存</w:t>
                  </w:r>
                  <w:r>
                    <w:rPr>
                      <w:rFonts w:hint="default" w:ascii="Times New Roman" w:hAnsi="Times New Roman" w:cs="Times New Roman"/>
                      <w:color w:val="auto"/>
                      <w:sz w:val="21"/>
                      <w:szCs w:val="24"/>
                      <w:highlight w:val="none"/>
                      <w:lang w:val="en-US" w:eastAsia="zh-CN"/>
                    </w:rPr>
                    <w:t>间</w:t>
                  </w:r>
                  <w:r>
                    <w:rPr>
                      <w:rFonts w:hint="default" w:ascii="Times New Roman" w:hAnsi="Times New Roman" w:cs="Times New Roman"/>
                      <w:color w:val="auto"/>
                      <w:sz w:val="21"/>
                      <w:szCs w:val="24"/>
                      <w:highlight w:val="none"/>
                    </w:rPr>
                    <w:t>，建筑面积</w:t>
                  </w:r>
                  <w:r>
                    <w:rPr>
                      <w:rFonts w:hint="default" w:ascii="Times New Roman" w:hAnsi="Times New Roman" w:cs="Times New Roman"/>
                      <w:color w:val="auto"/>
                      <w:sz w:val="21"/>
                      <w:szCs w:val="24"/>
                      <w:highlight w:val="none"/>
                      <w:lang w:val="en-US" w:eastAsia="zh-CN"/>
                    </w:rPr>
                    <w:t>5</w:t>
                  </w:r>
                  <w:r>
                    <w:rPr>
                      <w:rFonts w:hint="default" w:ascii="Times New Roman" w:hAnsi="Times New Roman" w:cs="Times New Roman"/>
                      <w:color w:val="auto"/>
                      <w:sz w:val="21"/>
                      <w:szCs w:val="24"/>
                      <w:highlight w:val="none"/>
                    </w:rPr>
                    <w:t>m</w:t>
                  </w:r>
                  <w:r>
                    <w:rPr>
                      <w:rFonts w:hint="default" w:ascii="Times New Roman" w:hAnsi="Times New Roman" w:cs="Times New Roman"/>
                      <w:color w:val="auto"/>
                      <w:sz w:val="21"/>
                      <w:szCs w:val="24"/>
                      <w:highlight w:val="none"/>
                      <w:vertAlign w:val="superscript"/>
                    </w:rPr>
                    <w:t>2</w:t>
                  </w:r>
                </w:p>
              </w:tc>
              <w:tc>
                <w:tcPr>
                  <w:tcW w:w="621"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p>
              </w:tc>
              <w:tc>
                <w:tcPr>
                  <w:tcW w:w="65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危废</w:t>
                  </w:r>
                </w:p>
              </w:tc>
              <w:tc>
                <w:tcPr>
                  <w:tcW w:w="645" w:type="pct"/>
                  <w:tcBorders/>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bCs/>
                      <w:color w:val="auto"/>
                      <w:sz w:val="21"/>
                      <w:szCs w:val="24"/>
                      <w:highlight w:val="none"/>
                      <w:lang w:val="en-US"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0" w:hRule="atLeast"/>
              </w:trPr>
              <w:tc>
                <w:tcPr>
                  <w:tcW w:w="375"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p>
              </w:tc>
              <w:tc>
                <w:tcPr>
                  <w:tcW w:w="286"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废气</w:t>
                  </w:r>
                </w:p>
              </w:tc>
              <w:tc>
                <w:tcPr>
                  <w:tcW w:w="253" w:type="pct"/>
                  <w:vMerge w:val="restart"/>
                  <w:noWrap w:val="0"/>
                  <w:vAlign w:val="center"/>
                </w:tcPr>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沥青砼生产线</w:t>
                  </w:r>
                </w:p>
              </w:tc>
              <w:tc>
                <w:tcPr>
                  <w:tcW w:w="2162" w:type="pct"/>
                  <w:noWrap w:val="0"/>
                  <w:vAlign w:val="center"/>
                </w:tcPr>
                <w:p>
                  <w:pPr>
                    <w:keepNext w:val="0"/>
                    <w:keepLines w:val="0"/>
                    <w:widowControl/>
                    <w:suppressLineNumbers w:val="0"/>
                    <w:jc w:val="left"/>
                    <w:rPr>
                      <w:rFonts w:hint="default" w:ascii="Times New Roman" w:hAnsi="Times New Roman" w:cs="Times New Roman"/>
                      <w:color w:val="auto"/>
                      <w:sz w:val="21"/>
                      <w:szCs w:val="24"/>
                      <w:highlight w:val="yellow"/>
                    </w:rPr>
                  </w:pPr>
                  <w:r>
                    <w:rPr>
                      <w:rFonts w:hint="default" w:ascii="Times New Roman" w:hAnsi="Times New Roman" w:cs="Times New Roman"/>
                      <w:color w:val="auto"/>
                      <w:sz w:val="21"/>
                      <w:szCs w:val="21"/>
                      <w:highlight w:val="none"/>
                    </w:rPr>
                    <w:t>沥青混合料</w:t>
                  </w:r>
                  <w:r>
                    <w:rPr>
                      <w:rFonts w:hint="default" w:ascii="Times New Roman" w:hAnsi="Times New Roman" w:cs="Times New Roman"/>
                      <w:color w:val="auto"/>
                      <w:sz w:val="21"/>
                      <w:szCs w:val="21"/>
                      <w:highlight w:val="none"/>
                      <w:lang w:eastAsia="zh-CN"/>
                    </w:rPr>
                    <w:t>拌和站</w:t>
                  </w:r>
                  <w:r>
                    <w:rPr>
                      <w:rFonts w:hint="default" w:ascii="Times New Roman" w:hAnsi="Times New Roman" w:cs="Times New Roman"/>
                      <w:color w:val="auto"/>
                      <w:sz w:val="21"/>
                      <w:szCs w:val="21"/>
                      <w:highlight w:val="none"/>
                    </w:rPr>
                    <w:t>上</w:t>
                  </w:r>
                  <w:r>
                    <w:rPr>
                      <w:rFonts w:hint="default" w:ascii="Times New Roman" w:hAnsi="Times New Roman" w:cs="Times New Roman"/>
                      <w:color w:val="auto"/>
                      <w:sz w:val="21"/>
                      <w:szCs w:val="21"/>
                      <w:highlight w:val="none"/>
                      <w:lang w:eastAsia="zh-CN"/>
                    </w:rPr>
                    <w:t>料、搅</w:t>
                  </w:r>
                  <w:r>
                    <w:rPr>
                      <w:rFonts w:hint="default" w:ascii="Times New Roman" w:hAnsi="Times New Roman" w:cs="Times New Roman"/>
                      <w:color w:val="auto"/>
                      <w:sz w:val="21"/>
                      <w:szCs w:val="21"/>
                      <w:highlight w:val="none"/>
                      <w:lang w:val="en-US" w:eastAsia="zh-CN"/>
                    </w:rPr>
                    <w:t>拌采用一级蜗壳惯性除尘加二级布袋除尘器</w:t>
                  </w:r>
                  <w:r>
                    <w:rPr>
                      <w:rFonts w:hint="default" w:ascii="Times New Roman" w:hAnsi="Times New Roman" w:cs="Times New Roman"/>
                      <w:color w:val="auto"/>
                      <w:sz w:val="21"/>
                      <w:szCs w:val="21"/>
                      <w:highlight w:val="none"/>
                    </w:rPr>
                    <w:t>进行处理，处理效率≥99%</w:t>
                  </w:r>
                </w:p>
              </w:tc>
              <w:tc>
                <w:tcPr>
                  <w:tcW w:w="621"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p>
              </w:tc>
              <w:tc>
                <w:tcPr>
                  <w:tcW w:w="65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粉尘</w:t>
                  </w:r>
                </w:p>
              </w:tc>
              <w:tc>
                <w:tcPr>
                  <w:tcW w:w="64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bCs/>
                      <w:color w:val="auto"/>
                      <w:sz w:val="21"/>
                      <w:szCs w:val="24"/>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5" w:hRule="atLeast"/>
              </w:trPr>
              <w:tc>
                <w:tcPr>
                  <w:tcW w:w="375"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p>
              </w:tc>
              <w:tc>
                <w:tcPr>
                  <w:tcW w:w="286"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center"/>
                    <w:textAlignment w:val="auto"/>
                    <w:rPr>
                      <w:rFonts w:hint="default" w:ascii="Times New Roman" w:hAnsi="Times New Roman" w:cs="Times New Roman"/>
                      <w:color w:val="auto"/>
                      <w:sz w:val="21"/>
                      <w:szCs w:val="24"/>
                      <w:highlight w:val="none"/>
                    </w:rPr>
                  </w:pPr>
                </w:p>
              </w:tc>
              <w:tc>
                <w:tcPr>
                  <w:tcW w:w="253"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center"/>
                    <w:textAlignment w:val="auto"/>
                    <w:rPr>
                      <w:rFonts w:hint="default" w:ascii="Times New Roman" w:hAnsi="Times New Roman" w:cs="Times New Roman"/>
                      <w:color w:val="auto"/>
                      <w:sz w:val="21"/>
                      <w:szCs w:val="24"/>
                      <w:highlight w:val="none"/>
                    </w:rPr>
                  </w:pPr>
                </w:p>
              </w:tc>
              <w:tc>
                <w:tcPr>
                  <w:tcW w:w="2162" w:type="pct"/>
                  <w:noWrap w:val="0"/>
                  <w:vAlign w:val="center"/>
                </w:tcPr>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center"/>
                    <w:textAlignment w:val="auto"/>
                    <w:rPr>
                      <w:rFonts w:hint="default" w:ascii="Times New Roman" w:hAnsi="Times New Roman" w:cs="Times New Roman"/>
                      <w:color w:val="auto"/>
                      <w:sz w:val="21"/>
                      <w:szCs w:val="24"/>
                      <w:highlight w:val="yellow"/>
                    </w:rPr>
                  </w:pPr>
                  <w:r>
                    <w:rPr>
                      <w:rFonts w:hint="default" w:ascii="Times New Roman" w:hAnsi="Times New Roman" w:cs="Times New Roman"/>
                      <w:color w:val="auto"/>
                      <w:sz w:val="21"/>
                      <w:szCs w:val="21"/>
                      <w:highlight w:val="none"/>
                    </w:rPr>
                    <w:t>堆场扬尘、道路扬尘采用地表硬化、定期洒水降尘</w:t>
                  </w:r>
                </w:p>
              </w:tc>
              <w:tc>
                <w:tcPr>
                  <w:tcW w:w="621"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p>
              </w:tc>
              <w:tc>
                <w:tcPr>
                  <w:tcW w:w="65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粉尘</w:t>
                  </w:r>
                </w:p>
              </w:tc>
              <w:tc>
                <w:tcPr>
                  <w:tcW w:w="64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none"/>
                    </w:rPr>
                  </w:pPr>
                  <w:r>
                    <w:rPr>
                      <w:rFonts w:hint="default" w:ascii="Times New Roman" w:hAnsi="Times New Roman" w:cs="Times New Roman"/>
                      <w:bCs/>
                      <w:color w:val="auto"/>
                      <w:sz w:val="21"/>
                      <w:szCs w:val="24"/>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375"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p>
              </w:tc>
              <w:tc>
                <w:tcPr>
                  <w:tcW w:w="286"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center"/>
                    <w:textAlignment w:val="auto"/>
                    <w:rPr>
                      <w:rFonts w:hint="default" w:ascii="Times New Roman" w:hAnsi="Times New Roman" w:cs="Times New Roman"/>
                      <w:color w:val="auto"/>
                      <w:sz w:val="21"/>
                      <w:szCs w:val="24"/>
                      <w:highlight w:val="none"/>
                    </w:rPr>
                  </w:pPr>
                </w:p>
              </w:tc>
              <w:tc>
                <w:tcPr>
                  <w:tcW w:w="253"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center"/>
                    <w:textAlignment w:val="auto"/>
                    <w:rPr>
                      <w:rFonts w:hint="default" w:ascii="Times New Roman" w:hAnsi="Times New Roman" w:cs="Times New Roman"/>
                      <w:color w:val="auto"/>
                      <w:sz w:val="21"/>
                      <w:szCs w:val="24"/>
                      <w:highlight w:val="none"/>
                    </w:rPr>
                  </w:pPr>
                </w:p>
              </w:tc>
              <w:tc>
                <w:tcPr>
                  <w:tcW w:w="2162" w:type="pct"/>
                  <w:noWrap w:val="0"/>
                  <w:vAlign w:val="center"/>
                </w:tcPr>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center"/>
                    <w:textAlignment w:val="auto"/>
                    <w:rPr>
                      <w:rFonts w:hint="default" w:ascii="Times New Roman" w:hAnsi="Times New Roman" w:cs="Times New Roman"/>
                      <w:color w:val="auto"/>
                      <w:sz w:val="21"/>
                      <w:szCs w:val="24"/>
                      <w:highlight w:val="yellow"/>
                    </w:rPr>
                  </w:pPr>
                  <w:r>
                    <w:rPr>
                      <w:rFonts w:hint="default" w:ascii="Times New Roman" w:hAnsi="Times New Roman" w:cs="Times New Roman"/>
                      <w:color w:val="auto"/>
                      <w:sz w:val="21"/>
                      <w:szCs w:val="24"/>
                      <w:highlight w:val="none"/>
                    </w:rPr>
                    <w:t>导热油炉、燃烧器燃烧废气采取低氮燃烧器+排气筒排放</w:t>
                  </w:r>
                </w:p>
              </w:tc>
              <w:tc>
                <w:tcPr>
                  <w:tcW w:w="621"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p>
              </w:tc>
              <w:tc>
                <w:tcPr>
                  <w:tcW w:w="65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SO</w:t>
                  </w:r>
                  <w:r>
                    <w:rPr>
                      <w:rFonts w:hint="default" w:ascii="Times New Roman" w:hAnsi="Times New Roman" w:cs="Times New Roman"/>
                      <w:color w:val="auto"/>
                      <w:sz w:val="21"/>
                      <w:szCs w:val="24"/>
                      <w:highlight w:val="none"/>
                      <w:vertAlign w:val="subscript"/>
                    </w:rPr>
                    <w:t>2</w:t>
                  </w:r>
                  <w:r>
                    <w:rPr>
                      <w:rFonts w:hint="default" w:ascii="Times New Roman" w:hAnsi="Times New Roman" w:cs="Times New Roman"/>
                      <w:color w:val="auto"/>
                      <w:sz w:val="21"/>
                      <w:szCs w:val="24"/>
                      <w:highlight w:val="none"/>
                    </w:rPr>
                    <w:t>、NOx、烟尘</w:t>
                  </w:r>
                </w:p>
              </w:tc>
              <w:tc>
                <w:tcPr>
                  <w:tcW w:w="64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bCs/>
                      <w:color w:val="auto"/>
                      <w:sz w:val="21"/>
                      <w:szCs w:val="24"/>
                      <w:highlight w:val="none"/>
                    </w:rPr>
                  </w:pPr>
                  <w:r>
                    <w:rPr>
                      <w:rFonts w:hint="default" w:ascii="Times New Roman" w:hAnsi="Times New Roman" w:cs="Times New Roman"/>
                      <w:bCs/>
                      <w:color w:val="auto"/>
                      <w:sz w:val="21"/>
                      <w:szCs w:val="24"/>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375"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p>
              </w:tc>
              <w:tc>
                <w:tcPr>
                  <w:tcW w:w="286"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center"/>
                    <w:textAlignment w:val="auto"/>
                    <w:rPr>
                      <w:rFonts w:hint="default" w:ascii="Times New Roman" w:hAnsi="Times New Roman" w:cs="Times New Roman"/>
                      <w:color w:val="auto"/>
                      <w:sz w:val="21"/>
                      <w:szCs w:val="24"/>
                      <w:highlight w:val="none"/>
                    </w:rPr>
                  </w:pPr>
                </w:p>
              </w:tc>
              <w:tc>
                <w:tcPr>
                  <w:tcW w:w="253"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center"/>
                    <w:textAlignment w:val="auto"/>
                    <w:rPr>
                      <w:rFonts w:hint="default" w:ascii="Times New Roman" w:hAnsi="Times New Roman" w:cs="Times New Roman"/>
                      <w:color w:val="auto"/>
                      <w:sz w:val="21"/>
                      <w:szCs w:val="24"/>
                      <w:highlight w:val="none"/>
                    </w:rPr>
                  </w:pPr>
                </w:p>
              </w:tc>
              <w:tc>
                <w:tcPr>
                  <w:tcW w:w="2162" w:type="pct"/>
                  <w:noWrap w:val="0"/>
                  <w:vAlign w:val="center"/>
                </w:tcPr>
                <w:p>
                  <w:pPr>
                    <w:keepNext w:val="0"/>
                    <w:keepLines w:val="0"/>
                    <w:widowControl/>
                    <w:suppressLineNumbers w:val="0"/>
                    <w:ind w:firstLine="420" w:firstLineChars="200"/>
                    <w:jc w:val="left"/>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沥青加热及搅拌过程中产生的沥青烟、苯并(ａ)芘采取</w:t>
                  </w:r>
                  <w:r>
                    <w:rPr>
                      <w:rFonts w:hint="default" w:ascii="Times New Roman" w:hAnsi="Times New Roman" w:cs="Times New Roman"/>
                      <w:sz w:val="21"/>
                      <w:szCs w:val="21"/>
                      <w:lang w:val="en-US" w:eastAsia="zh-CN"/>
                    </w:rPr>
                    <w:t>喷淋洗涤塔</w:t>
                  </w:r>
                  <w:r>
                    <w:rPr>
                      <w:rFonts w:hint="default" w:ascii="Times New Roman" w:hAnsi="Times New Roman" w:cs="Times New Roman"/>
                      <w:sz w:val="21"/>
                      <w:szCs w:val="21"/>
                    </w:rPr>
                    <w:t>+</w:t>
                  </w:r>
                  <w:r>
                    <w:rPr>
                      <w:rFonts w:hint="default" w:ascii="Times New Roman" w:hAnsi="Times New Roman" w:cs="Times New Roman"/>
                      <w:sz w:val="21"/>
                      <w:szCs w:val="21"/>
                      <w:lang w:val="en-US" w:eastAsia="zh-CN"/>
                    </w:rPr>
                    <w:t>电场等离子+UV 光氧催化一体化处理设备</w:t>
                  </w:r>
                  <w:r>
                    <w:rPr>
                      <w:rFonts w:hint="default" w:ascii="Times New Roman" w:hAnsi="Times New Roman" w:cs="Times New Roman"/>
                      <w:sz w:val="21"/>
                      <w:szCs w:val="21"/>
                    </w:rPr>
                    <w:t>一体机去除</w:t>
                  </w:r>
                  <w:r>
                    <w:rPr>
                      <w:rFonts w:hint="default" w:ascii="Times New Roman" w:hAnsi="Times New Roman" w:cs="Times New Roman"/>
                      <w:sz w:val="21"/>
                      <w:szCs w:val="21"/>
                      <w:lang w:eastAsia="zh-CN"/>
                    </w:rPr>
                    <w:t>。</w:t>
                  </w:r>
                </w:p>
                <w:p>
                  <w:pPr>
                    <w:keepNext w:val="0"/>
                    <w:keepLines w:val="0"/>
                    <w:widowControl/>
                    <w:suppressLineNumbers w:val="0"/>
                    <w:ind w:firstLine="420" w:firstLineChars="200"/>
                    <w:jc w:val="left"/>
                    <w:rPr>
                      <w:rFonts w:hint="default" w:ascii="Times New Roman" w:hAnsi="Times New Roman" w:cs="Times New Roman"/>
                    </w:rPr>
                  </w:pPr>
                  <w:r>
                    <w:rPr>
                      <w:rFonts w:hint="default" w:ascii="Times New Roman" w:hAnsi="Times New Roman" w:cs="Times New Roman"/>
                      <w:sz w:val="21"/>
                      <w:szCs w:val="21"/>
                      <w:lang w:val="en-US" w:eastAsia="zh-CN"/>
                    </w:rPr>
                    <w:t>废气经废弃处理后绝大部分的污染物，最后经过活性炭吸附箱，内装有高效吸附性能的蜂窝活性炭填料、玻璃丝棉层，通过调节适当的风速能有效使活性炭填料充分吸收废气中的有害物质，在活性炭层不能处理的废气再达标后的气体最后由离心风机送出排放口。</w:t>
                  </w:r>
                  <w:r>
                    <w:rPr>
                      <w:rFonts w:hint="default" w:ascii="Times New Roman" w:hAnsi="Times New Roman" w:cs="Times New Roman"/>
                      <w:lang w:val="en-US" w:eastAsia="zh-CN"/>
                    </w:rPr>
                    <w:t xml:space="preserve"> </w:t>
                  </w:r>
                </w:p>
              </w:tc>
              <w:tc>
                <w:tcPr>
                  <w:tcW w:w="621"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p>
              </w:tc>
              <w:tc>
                <w:tcPr>
                  <w:tcW w:w="65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沥青烟、苯并(ａ)芘</w:t>
                  </w:r>
                </w:p>
              </w:tc>
              <w:tc>
                <w:tcPr>
                  <w:tcW w:w="64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bCs/>
                      <w:color w:val="auto"/>
                      <w:sz w:val="21"/>
                      <w:szCs w:val="24"/>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375"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p>
              </w:tc>
              <w:tc>
                <w:tcPr>
                  <w:tcW w:w="539"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噪声</w:t>
                  </w:r>
                </w:p>
              </w:tc>
              <w:tc>
                <w:tcPr>
                  <w:tcW w:w="2162" w:type="pct"/>
                  <w:noWrap w:val="0"/>
                  <w:vAlign w:val="center"/>
                </w:tcPr>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项目对高噪设备进行隔声降噪，并合理安排高噪设备布局，减少噪声对周边区域的影响</w:t>
                  </w:r>
                </w:p>
              </w:tc>
              <w:tc>
                <w:tcPr>
                  <w:tcW w:w="621"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p>
              </w:tc>
              <w:tc>
                <w:tcPr>
                  <w:tcW w:w="65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噪声</w:t>
                  </w:r>
                </w:p>
              </w:tc>
              <w:tc>
                <w:tcPr>
                  <w:tcW w:w="64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bCs/>
                      <w:color w:val="auto"/>
                      <w:sz w:val="21"/>
                      <w:szCs w:val="24"/>
                      <w:highlight w:val="none"/>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0" w:hRule="atLeast"/>
              </w:trPr>
              <w:tc>
                <w:tcPr>
                  <w:tcW w:w="375"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p>
              </w:tc>
              <w:tc>
                <w:tcPr>
                  <w:tcW w:w="539" w:type="pct"/>
                  <w:gridSpan w:val="2"/>
                  <w:noWrap w:val="0"/>
                  <w:vAlign w:val="center"/>
                </w:tcPr>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地下水</w:t>
                  </w:r>
                </w:p>
              </w:tc>
              <w:tc>
                <w:tcPr>
                  <w:tcW w:w="2162" w:type="pct"/>
                  <w:noWrap w:val="0"/>
                  <w:vAlign w:val="center"/>
                </w:tcPr>
                <w:p>
                  <w:pPr>
                    <w:keepNext w:val="0"/>
                    <w:keepLines w:val="0"/>
                    <w:pageBreakBefore w:val="0"/>
                    <w:widowControl w:val="0"/>
                    <w:kinsoku/>
                    <w:wordWrap/>
                    <w:overflowPunct/>
                    <w:topLinePunct w:val="0"/>
                    <w:autoSpaceDE w:val="0"/>
                    <w:autoSpaceDN w:val="0"/>
                    <w:bidi w:val="0"/>
                    <w:adjustRightInd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对危废暂存间、油品储存区、沥青砼生产区进行重点防渗，生活区、</w:t>
                  </w:r>
                  <w:r>
                    <w:rPr>
                      <w:rFonts w:hint="default" w:ascii="Times New Roman" w:hAnsi="Times New Roman" w:cs="Times New Roman"/>
                      <w:color w:val="auto"/>
                      <w:sz w:val="21"/>
                      <w:szCs w:val="24"/>
                      <w:highlight w:val="none"/>
                      <w:lang w:val="en-US" w:eastAsia="zh-CN"/>
                    </w:rPr>
                    <w:t>旱厕</w:t>
                  </w:r>
                  <w:r>
                    <w:rPr>
                      <w:rFonts w:hint="default" w:ascii="Times New Roman" w:hAnsi="Times New Roman" w:cs="Times New Roman"/>
                      <w:color w:val="auto"/>
                      <w:sz w:val="21"/>
                      <w:szCs w:val="24"/>
                      <w:highlight w:val="none"/>
                    </w:rPr>
                    <w:t>进行一般防渗</w:t>
                  </w:r>
                </w:p>
              </w:tc>
              <w:tc>
                <w:tcPr>
                  <w:tcW w:w="621" w:type="pct"/>
                  <w:vMerge w:val="continue"/>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yellow"/>
                    </w:rPr>
                  </w:pPr>
                </w:p>
              </w:tc>
              <w:tc>
                <w:tcPr>
                  <w:tcW w:w="65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color w:val="auto"/>
                      <w:sz w:val="21"/>
                      <w:szCs w:val="24"/>
                      <w:highlight w:val="none"/>
                    </w:rPr>
                    <w:t>/</w:t>
                  </w:r>
                </w:p>
              </w:tc>
              <w:tc>
                <w:tcPr>
                  <w:tcW w:w="645" w:type="pct"/>
                  <w:noWrap w:val="0"/>
                  <w:vAlign w:val="center"/>
                </w:tcPr>
                <w:p>
                  <w:pPr>
                    <w:keepNext w:val="0"/>
                    <w:keepLines w:val="0"/>
                    <w:pageBreakBefore w:val="0"/>
                    <w:widowControl w:val="0"/>
                    <w:kinsoku/>
                    <w:wordWrap/>
                    <w:overflowPunct/>
                    <w:topLinePunct w:val="0"/>
                    <w:bidi w:val="0"/>
                    <w:snapToGrid w:val="0"/>
                    <w:ind w:left="0" w:leftChars="0" w:firstLine="0" w:firstLineChars="0"/>
                    <w:jc w:val="center"/>
                    <w:textAlignment w:val="auto"/>
                    <w:rPr>
                      <w:rFonts w:hint="default" w:ascii="Times New Roman" w:hAnsi="Times New Roman" w:cs="Times New Roman"/>
                      <w:color w:val="auto"/>
                      <w:sz w:val="21"/>
                      <w:szCs w:val="24"/>
                      <w:highlight w:val="none"/>
                    </w:rPr>
                  </w:pPr>
                  <w:r>
                    <w:rPr>
                      <w:rFonts w:hint="default" w:ascii="Times New Roman" w:hAnsi="Times New Roman" w:cs="Times New Roman"/>
                      <w:bCs/>
                      <w:color w:val="auto"/>
                      <w:sz w:val="21"/>
                      <w:szCs w:val="24"/>
                      <w:highlight w:val="none"/>
                    </w:rPr>
                    <w:t>新建</w:t>
                  </w:r>
                </w:p>
              </w:tc>
            </w:tr>
          </w:tbl>
          <w:p>
            <w:pPr>
              <w:snapToGrid w:val="0"/>
              <w:spacing w:before="240" w:line="360" w:lineRule="auto"/>
              <w:ind w:firstLine="555"/>
              <w:rPr>
                <w:rFonts w:hint="default" w:ascii="Times New Roman" w:hAnsi="Times New Roman" w:cs="Times New Roman"/>
                <w:sz w:val="24"/>
              </w:rPr>
            </w:pPr>
            <w:r>
              <w:rPr>
                <w:rFonts w:hint="default" w:ascii="Times New Roman" w:hAnsi="Times New Roman" w:cs="Times New Roman"/>
                <w:sz w:val="24"/>
              </w:rPr>
              <w:t>（2）产品方案</w:t>
            </w:r>
          </w:p>
          <w:p>
            <w:pPr>
              <w:snapToGrid w:val="0"/>
              <w:spacing w:line="360" w:lineRule="auto"/>
              <w:ind w:firstLine="470" w:firstLineChars="196"/>
              <w:rPr>
                <w:rFonts w:hint="default" w:ascii="Times New Roman" w:hAnsi="Times New Roman" w:cs="Times New Roman"/>
                <w:sz w:val="21"/>
              </w:rPr>
            </w:pPr>
            <w:r>
              <w:rPr>
                <w:rFonts w:hint="default" w:ascii="Times New Roman" w:hAnsi="Times New Roman" w:cs="Times New Roman"/>
                <w:color w:val="auto"/>
                <w:sz w:val="24"/>
                <w:szCs w:val="24"/>
                <w:highlight w:val="none"/>
                <w:u w:val="none"/>
                <w:lang w:val="en-US" w:eastAsia="zh-CN"/>
              </w:rPr>
              <w:t>本项目专为</w:t>
            </w:r>
            <w:r>
              <w:rPr>
                <w:rFonts w:hint="default" w:ascii="Times New Roman" w:hAnsi="Times New Roman" w:cs="Times New Roman" w:eastAsiaTheme="minorEastAsia"/>
                <w:sz w:val="24"/>
                <w:szCs w:val="24"/>
                <w:lang w:val="en-US" w:eastAsia="zh-CN"/>
              </w:rPr>
              <w:t>G248线2020年度公路路面大中修工程</w:t>
            </w:r>
            <w:r>
              <w:rPr>
                <w:rFonts w:hint="default" w:ascii="Times New Roman" w:hAnsi="Times New Roman" w:eastAsia="宋体" w:cs="Times New Roman"/>
                <w:color w:val="auto"/>
                <w:sz w:val="24"/>
                <w:szCs w:val="24"/>
                <w:highlight w:val="none"/>
                <w:lang w:val="en-US" w:eastAsia="zh-CN"/>
              </w:rPr>
              <w:t>提供沥青混凝土</w:t>
            </w:r>
            <w:r>
              <w:rPr>
                <w:rFonts w:hint="default" w:ascii="Times New Roman" w:hAnsi="Times New Roman" w:eastAsia="宋体" w:cs="Times New Roman"/>
                <w:color w:val="auto"/>
                <w:sz w:val="24"/>
                <w:highlight w:val="none"/>
                <w:lang w:val="en-US" w:eastAsia="zh-CN"/>
              </w:rPr>
              <w:t>，根据道路项目具体需求</w:t>
            </w:r>
            <w:r>
              <w:rPr>
                <w:rFonts w:hint="default" w:ascii="Times New Roman" w:hAnsi="Times New Roman" w:cs="Times New Roman"/>
                <w:color w:val="auto"/>
                <w:sz w:val="24"/>
                <w:highlight w:val="none"/>
              </w:rPr>
              <w:t>项目生产规模及产品方案见</w:t>
            </w:r>
            <w:r>
              <w:rPr>
                <w:rFonts w:hint="default" w:ascii="Times New Roman" w:hAnsi="Times New Roman" w:cs="Times New Roman"/>
                <w:color w:val="auto"/>
                <w:sz w:val="24"/>
                <w:highlight w:val="none"/>
                <w:lang w:val="en-US" w:eastAsia="zh-CN"/>
              </w:rPr>
              <w:t>下</w:t>
            </w:r>
            <w:r>
              <w:rPr>
                <w:rFonts w:hint="default" w:ascii="Times New Roman" w:hAnsi="Times New Roman" w:cs="Times New Roman"/>
                <w:color w:val="auto"/>
                <w:sz w:val="24"/>
                <w:highlight w:val="none"/>
              </w:rPr>
              <w:t>表</w:t>
            </w:r>
            <w:r>
              <w:rPr>
                <w:rFonts w:hint="eastAsia" w:ascii="Times New Roman" w:hAnsi="Times New Roman" w:cs="Times New Roman"/>
                <w:sz w:val="24"/>
                <w:lang w:val="en-US" w:eastAsia="zh-CN"/>
              </w:rPr>
              <w:t>2</w:t>
            </w:r>
            <w:r>
              <w:rPr>
                <w:rFonts w:hint="default" w:ascii="Times New Roman" w:hAnsi="Times New Roman" w:cs="Times New Roman"/>
                <w:sz w:val="24"/>
              </w:rPr>
              <w:t>-2。</w:t>
            </w:r>
          </w:p>
          <w:p>
            <w:pPr>
              <w:snapToGrid w:val="0"/>
              <w:spacing w:line="360" w:lineRule="auto"/>
              <w:jc w:val="center"/>
              <w:rPr>
                <w:rFonts w:hint="eastAsia" w:ascii="宋体" w:hAnsi="宋体" w:eastAsia="宋体" w:cs="宋体"/>
                <w:b/>
                <w:bCs/>
                <w:color w:val="auto"/>
                <w:sz w:val="21"/>
                <w:szCs w:val="21"/>
                <w:highlight w:val="none"/>
              </w:rPr>
            </w:pPr>
            <w:r>
              <w:rPr>
                <w:rFonts w:hint="eastAsia"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rPr>
              <w:t>-2  生产规</w:t>
            </w:r>
            <w:r>
              <w:rPr>
                <w:rFonts w:hint="eastAsia" w:ascii="宋体" w:hAnsi="宋体" w:eastAsia="宋体" w:cs="宋体"/>
                <w:b/>
                <w:bCs/>
                <w:color w:val="auto"/>
                <w:sz w:val="21"/>
                <w:szCs w:val="21"/>
                <w:highlight w:val="none"/>
              </w:rPr>
              <w:t>模及产品方案表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6"/>
              <w:gridCol w:w="2626"/>
              <w:gridCol w:w="2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626" w:type="dxa"/>
                  <w:noWrap w:val="0"/>
                  <w:vAlign w:val="center"/>
                </w:tcPr>
                <w:p>
                  <w:pPr>
                    <w:snapToGrid w:val="0"/>
                    <w:spacing w:line="360" w:lineRule="auto"/>
                    <w:jc w:val="center"/>
                    <w:rPr>
                      <w:rFonts w:hint="eastAsia"/>
                      <w:b/>
                      <w:color w:val="000000"/>
                      <w:szCs w:val="21"/>
                    </w:rPr>
                  </w:pPr>
                  <w:r>
                    <w:rPr>
                      <w:rFonts w:hint="eastAsia"/>
                      <w:b/>
                      <w:color w:val="000000"/>
                      <w:szCs w:val="21"/>
                    </w:rPr>
                    <w:t>序号</w:t>
                  </w:r>
                </w:p>
              </w:tc>
              <w:tc>
                <w:tcPr>
                  <w:tcW w:w="2626" w:type="dxa"/>
                  <w:noWrap w:val="0"/>
                  <w:vAlign w:val="center"/>
                </w:tcPr>
                <w:p>
                  <w:pPr>
                    <w:snapToGrid w:val="0"/>
                    <w:spacing w:line="360" w:lineRule="auto"/>
                    <w:jc w:val="center"/>
                    <w:rPr>
                      <w:rFonts w:hint="eastAsia"/>
                      <w:b/>
                      <w:color w:val="000000"/>
                      <w:szCs w:val="21"/>
                    </w:rPr>
                  </w:pPr>
                  <w:r>
                    <w:rPr>
                      <w:rFonts w:hint="eastAsia"/>
                      <w:b/>
                      <w:color w:val="000000"/>
                      <w:szCs w:val="21"/>
                    </w:rPr>
                    <w:t>产品名称</w:t>
                  </w:r>
                </w:p>
              </w:tc>
              <w:tc>
                <w:tcPr>
                  <w:tcW w:w="2626" w:type="dxa"/>
                  <w:noWrap w:val="0"/>
                  <w:vAlign w:val="center"/>
                </w:tcPr>
                <w:p>
                  <w:pPr>
                    <w:snapToGrid w:val="0"/>
                    <w:spacing w:line="360" w:lineRule="auto"/>
                    <w:jc w:val="center"/>
                    <w:rPr>
                      <w:rFonts w:hint="eastAsia"/>
                      <w:b/>
                      <w:color w:val="000000"/>
                      <w:szCs w:val="21"/>
                    </w:rPr>
                  </w:pPr>
                  <w:r>
                    <w:rPr>
                      <w:rFonts w:hint="eastAsia"/>
                      <w:b/>
                      <w:color w:val="000000"/>
                      <w:szCs w:val="21"/>
                    </w:rPr>
                    <w:t>产量（</w:t>
                  </w:r>
                  <w:r>
                    <w:rPr>
                      <w:rFonts w:hint="eastAsia"/>
                      <w:b/>
                      <w:color w:val="000000"/>
                      <w:szCs w:val="21"/>
                      <w:lang w:val="en-US" w:eastAsia="zh-CN"/>
                    </w:rPr>
                    <w:t>万</w:t>
                  </w:r>
                  <w:r>
                    <w:rPr>
                      <w:rFonts w:hint="eastAsia"/>
                      <w:b/>
                      <w:color w:val="000000"/>
                      <w:szCs w:val="21"/>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626" w:type="dxa"/>
                  <w:noWrap w:val="0"/>
                  <w:vAlign w:val="center"/>
                </w:tcPr>
                <w:p>
                  <w:pPr>
                    <w:snapToGrid w:val="0"/>
                    <w:spacing w:line="360" w:lineRule="auto"/>
                    <w:jc w:val="center"/>
                    <w:rPr>
                      <w:rFonts w:hint="eastAsia"/>
                      <w:b/>
                      <w:color w:val="000000"/>
                      <w:szCs w:val="21"/>
                    </w:rPr>
                  </w:pPr>
                  <w:r>
                    <w:rPr>
                      <w:rFonts w:hint="eastAsia"/>
                      <w:bCs/>
                      <w:color w:val="000000"/>
                      <w:szCs w:val="21"/>
                    </w:rPr>
                    <w:t>1</w:t>
                  </w:r>
                </w:p>
              </w:tc>
              <w:tc>
                <w:tcPr>
                  <w:tcW w:w="2626" w:type="dxa"/>
                  <w:noWrap w:val="0"/>
                  <w:vAlign w:val="center"/>
                </w:tcPr>
                <w:p>
                  <w:pPr>
                    <w:snapToGrid w:val="0"/>
                    <w:spacing w:line="360" w:lineRule="auto"/>
                    <w:jc w:val="center"/>
                    <w:rPr>
                      <w:rFonts w:hint="eastAsia"/>
                      <w:bCs/>
                      <w:color w:val="000000"/>
                      <w:szCs w:val="21"/>
                    </w:rPr>
                  </w:pPr>
                  <w:r>
                    <w:rPr>
                      <w:rFonts w:hint="eastAsia"/>
                      <w:bCs/>
                      <w:color w:val="000000"/>
                      <w:szCs w:val="21"/>
                    </w:rPr>
                    <w:t>沥青混合料</w:t>
                  </w:r>
                </w:p>
              </w:tc>
              <w:tc>
                <w:tcPr>
                  <w:tcW w:w="2626" w:type="dxa"/>
                  <w:noWrap w:val="0"/>
                  <w:vAlign w:val="center"/>
                </w:tcPr>
                <w:p>
                  <w:pPr>
                    <w:snapToGrid w:val="0"/>
                    <w:spacing w:line="360" w:lineRule="auto"/>
                    <w:jc w:val="center"/>
                    <w:rPr>
                      <w:rFonts w:hint="default" w:eastAsia="宋体"/>
                      <w:bCs/>
                      <w:color w:val="000000"/>
                      <w:szCs w:val="21"/>
                      <w:lang w:val="en-US" w:eastAsia="zh-CN"/>
                    </w:rPr>
                  </w:pPr>
                  <w:r>
                    <w:rPr>
                      <w:rFonts w:hint="eastAsia"/>
                      <w:bCs/>
                      <w:color w:val="000000"/>
                      <w:szCs w:val="21"/>
                      <w:lang w:val="en-US" w:eastAsia="zh-CN"/>
                    </w:rPr>
                    <w:t>14.4</w:t>
                  </w:r>
                </w:p>
              </w:tc>
            </w:tr>
          </w:tbl>
          <w:p>
            <w:pPr>
              <w:numPr>
                <w:ilvl w:val="0"/>
                <w:numId w:val="0"/>
              </w:numPr>
              <w:spacing w:before="156" w:beforeLines="50" w:line="360" w:lineRule="auto"/>
              <w:ind w:left="220" w:leftChars="0" w:right="0" w:rightChars="0"/>
              <w:rPr>
                <w:b/>
                <w:color w:val="auto"/>
                <w:sz w:val="24"/>
                <w:highlight w:val="none"/>
              </w:rPr>
            </w:pPr>
            <w:r>
              <w:rPr>
                <w:rFonts w:hint="eastAsia"/>
                <w:b/>
                <w:color w:val="auto"/>
                <w:sz w:val="24"/>
                <w:highlight w:val="none"/>
                <w:lang w:val="en-US" w:eastAsia="zh-CN"/>
              </w:rPr>
              <w:t>5、</w:t>
            </w:r>
            <w:r>
              <w:rPr>
                <w:b/>
                <w:color w:val="auto"/>
                <w:sz w:val="24"/>
                <w:highlight w:val="none"/>
              </w:rPr>
              <w:t>主要设备</w:t>
            </w:r>
          </w:p>
          <w:p>
            <w:pPr>
              <w:snapToGrid w:val="0"/>
              <w:spacing w:line="360" w:lineRule="auto"/>
              <w:jc w:val="center"/>
              <w:rPr>
                <w:rFonts w:hint="eastAsia" w:ascii="宋体" w:hAnsi="宋体" w:eastAsia="宋体" w:cs="宋体"/>
                <w:b/>
                <w:bCs/>
                <w:color w:val="auto"/>
                <w:sz w:val="21"/>
                <w:szCs w:val="21"/>
                <w:highlight w:val="none"/>
              </w:rPr>
            </w:pPr>
            <w:r>
              <w:rPr>
                <w:rFonts w:hint="eastAsia"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rPr>
              <w:t>-3   项</w:t>
            </w:r>
            <w:r>
              <w:rPr>
                <w:rFonts w:hint="eastAsia" w:ascii="宋体" w:hAnsi="宋体" w:eastAsia="宋体" w:cs="宋体"/>
                <w:b/>
                <w:bCs/>
                <w:color w:val="auto"/>
                <w:sz w:val="21"/>
                <w:szCs w:val="21"/>
                <w:highlight w:val="none"/>
              </w:rPr>
              <w:t>目主要生产设备一览表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006"/>
              <w:gridCol w:w="2089"/>
              <w:gridCol w:w="3188"/>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78" w:type="dxa"/>
                  <w:noWrap w:val="0"/>
                  <w:vAlign w:val="center"/>
                </w:tcPr>
                <w:p>
                  <w:pPr>
                    <w:snapToGrid w:val="0"/>
                    <w:jc w:val="center"/>
                    <w:rPr>
                      <w:rFonts w:ascii="Times New Roman" w:hAnsi="Times New Roman"/>
                      <w:b/>
                      <w:sz w:val="21"/>
                      <w:szCs w:val="21"/>
                    </w:rPr>
                  </w:pPr>
                  <w:r>
                    <w:rPr>
                      <w:rFonts w:ascii="Times New Roman" w:hAnsi="Times New Roman"/>
                      <w:b/>
                      <w:sz w:val="21"/>
                      <w:szCs w:val="21"/>
                    </w:rPr>
                    <w:t>编号</w:t>
                  </w:r>
                </w:p>
              </w:tc>
              <w:tc>
                <w:tcPr>
                  <w:tcW w:w="3095" w:type="dxa"/>
                  <w:gridSpan w:val="2"/>
                  <w:noWrap w:val="0"/>
                  <w:vAlign w:val="center"/>
                </w:tcPr>
                <w:p>
                  <w:pPr>
                    <w:snapToGrid w:val="0"/>
                    <w:jc w:val="center"/>
                    <w:rPr>
                      <w:rFonts w:ascii="Times New Roman" w:hAnsi="Times New Roman"/>
                      <w:b/>
                      <w:sz w:val="21"/>
                      <w:szCs w:val="21"/>
                    </w:rPr>
                  </w:pPr>
                  <w:r>
                    <w:rPr>
                      <w:rFonts w:ascii="Times New Roman" w:hAnsi="Times New Roman"/>
                      <w:b/>
                      <w:sz w:val="21"/>
                      <w:szCs w:val="21"/>
                    </w:rPr>
                    <w:t>系统部件</w:t>
                  </w:r>
                </w:p>
              </w:tc>
              <w:tc>
                <w:tcPr>
                  <w:tcW w:w="3188" w:type="dxa"/>
                  <w:noWrap w:val="0"/>
                  <w:vAlign w:val="center"/>
                </w:tcPr>
                <w:p>
                  <w:pPr>
                    <w:snapToGrid w:val="0"/>
                    <w:jc w:val="center"/>
                    <w:rPr>
                      <w:rFonts w:ascii="Times New Roman" w:hAnsi="Times New Roman"/>
                      <w:b/>
                      <w:sz w:val="21"/>
                      <w:szCs w:val="21"/>
                    </w:rPr>
                  </w:pPr>
                  <w:r>
                    <w:rPr>
                      <w:rFonts w:hint="eastAsia" w:ascii="Times New Roman" w:hAnsi="Times New Roman"/>
                      <w:b/>
                      <w:sz w:val="21"/>
                      <w:szCs w:val="21"/>
                    </w:rPr>
                    <w:t>规模/型号</w:t>
                  </w:r>
                </w:p>
              </w:tc>
              <w:tc>
                <w:tcPr>
                  <w:tcW w:w="678" w:type="dxa"/>
                  <w:noWrap w:val="0"/>
                  <w:vAlign w:val="center"/>
                </w:tcPr>
                <w:p>
                  <w:pPr>
                    <w:snapToGrid w:val="0"/>
                    <w:jc w:val="center"/>
                    <w:rPr>
                      <w:rFonts w:ascii="Times New Roman" w:hAnsi="Times New Roman"/>
                      <w:b/>
                      <w:sz w:val="21"/>
                      <w:szCs w:val="21"/>
                    </w:rPr>
                  </w:pPr>
                  <w:r>
                    <w:rPr>
                      <w:rFonts w:ascii="Times New Roman" w:hAnsi="Times New Roman"/>
                      <w:b/>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78" w:type="dxa"/>
                  <w:vMerge w:val="restart"/>
                  <w:noWrap w:val="0"/>
                  <w:vAlign w:val="center"/>
                </w:tcPr>
                <w:p>
                  <w:pPr>
                    <w:snapToGrid w:val="0"/>
                    <w:jc w:val="center"/>
                    <w:rPr>
                      <w:rFonts w:ascii="Times New Roman" w:hAnsi="Times New Roman"/>
                      <w:sz w:val="21"/>
                      <w:szCs w:val="21"/>
                    </w:rPr>
                  </w:pPr>
                  <w:r>
                    <w:rPr>
                      <w:rFonts w:ascii="Times New Roman" w:hAnsi="Times New Roman"/>
                      <w:sz w:val="21"/>
                      <w:szCs w:val="21"/>
                    </w:rPr>
                    <w:t>1</w:t>
                  </w:r>
                </w:p>
              </w:tc>
              <w:tc>
                <w:tcPr>
                  <w:tcW w:w="1006" w:type="dxa"/>
                  <w:vMerge w:val="restart"/>
                  <w:noWrap w:val="0"/>
                  <w:vAlign w:val="center"/>
                </w:tcPr>
                <w:p>
                  <w:pPr>
                    <w:snapToGrid w:val="0"/>
                    <w:jc w:val="center"/>
                    <w:rPr>
                      <w:rFonts w:hint="eastAsia" w:ascii="Times New Roman" w:hAnsi="Times New Roman"/>
                      <w:sz w:val="21"/>
                      <w:szCs w:val="21"/>
                    </w:rPr>
                  </w:pPr>
                  <w:r>
                    <w:rPr>
                      <w:rFonts w:hint="eastAsia" w:ascii="Times New Roman" w:hAnsi="Times New Roman"/>
                      <w:sz w:val="21"/>
                      <w:szCs w:val="21"/>
                    </w:rPr>
                    <w:t>沥青</w:t>
                  </w:r>
                  <w:r>
                    <w:rPr>
                      <w:rFonts w:ascii="Times New Roman" w:hAnsi="Times New Roman"/>
                      <w:sz w:val="21"/>
                      <w:szCs w:val="21"/>
                    </w:rPr>
                    <w:t>混合料搅拌设备</w:t>
                  </w:r>
                </w:p>
              </w:tc>
              <w:tc>
                <w:tcPr>
                  <w:tcW w:w="2089" w:type="dxa"/>
                  <w:noWrap w:val="0"/>
                  <w:vAlign w:val="center"/>
                </w:tcPr>
                <w:p>
                  <w:pPr>
                    <w:snapToGrid w:val="0"/>
                    <w:jc w:val="center"/>
                    <w:rPr>
                      <w:rFonts w:hint="eastAsia" w:ascii="Times New Roman" w:hAnsi="Times New Roman"/>
                      <w:sz w:val="21"/>
                      <w:szCs w:val="21"/>
                    </w:rPr>
                  </w:pPr>
                  <w:r>
                    <w:rPr>
                      <w:rFonts w:hint="eastAsia" w:ascii="Times New Roman" w:hAnsi="Times New Roman"/>
                      <w:sz w:val="21"/>
                      <w:szCs w:val="21"/>
                    </w:rPr>
                    <w:t>加热滚筒</w:t>
                  </w:r>
                </w:p>
              </w:tc>
              <w:tc>
                <w:tcPr>
                  <w:tcW w:w="3188" w:type="dxa"/>
                  <w:vMerge w:val="restart"/>
                  <w:noWrap w:val="0"/>
                  <w:vAlign w:val="center"/>
                </w:tcPr>
                <w:p>
                  <w:pPr>
                    <w:snapToGrid w:val="0"/>
                    <w:jc w:val="center"/>
                    <w:rPr>
                      <w:rFonts w:hint="eastAsia" w:ascii="Times New Roman" w:hAnsi="Times New Roman"/>
                      <w:sz w:val="21"/>
                      <w:szCs w:val="21"/>
                    </w:rPr>
                  </w:pPr>
                  <w:r>
                    <w:rPr>
                      <w:rFonts w:hint="eastAsia" w:ascii="Times New Roman" w:hAnsi="Times New Roman"/>
                      <w:sz w:val="21"/>
                      <w:szCs w:val="21"/>
                    </w:rPr>
                    <w:t>H</w:t>
                  </w:r>
                  <w:r>
                    <w:rPr>
                      <w:rFonts w:ascii="Times New Roman" w:hAnsi="Times New Roman"/>
                      <w:sz w:val="21"/>
                      <w:szCs w:val="21"/>
                    </w:rPr>
                    <w:t>LB-3000</w:t>
                  </w:r>
                  <w:r>
                    <w:rPr>
                      <w:rFonts w:hint="eastAsia" w:ascii="Times New Roman" w:hAnsi="Times New Roman"/>
                      <w:sz w:val="21"/>
                      <w:szCs w:val="21"/>
                    </w:rPr>
                    <w:t>型</w:t>
                  </w:r>
                </w:p>
              </w:tc>
              <w:tc>
                <w:tcPr>
                  <w:tcW w:w="678" w:type="dxa"/>
                  <w:vMerge w:val="restart"/>
                  <w:noWrap w:val="0"/>
                  <w:vAlign w:val="center"/>
                </w:tcPr>
                <w:p>
                  <w:pPr>
                    <w:snapToGrid w:val="0"/>
                    <w:jc w:val="center"/>
                    <w:rPr>
                      <w:rFonts w:ascii="Times New Roman" w:hAnsi="Times New Roman"/>
                      <w:sz w:val="21"/>
                      <w:szCs w:val="21"/>
                    </w:rPr>
                  </w:pPr>
                  <w:r>
                    <w:rPr>
                      <w:rFonts w:hint="eastAsia" w:ascii="Times New Roman" w:hAnsi="Times New Roman"/>
                      <w:sz w:val="21"/>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78" w:type="dxa"/>
                  <w:vMerge w:val="continue"/>
                  <w:noWrap w:val="0"/>
                  <w:vAlign w:val="center"/>
                </w:tcPr>
                <w:p>
                  <w:pPr>
                    <w:snapToGrid w:val="0"/>
                    <w:jc w:val="center"/>
                    <w:rPr>
                      <w:rFonts w:ascii="Times New Roman" w:hAnsi="Times New Roman"/>
                      <w:sz w:val="21"/>
                      <w:szCs w:val="21"/>
                    </w:rPr>
                  </w:pPr>
                </w:p>
              </w:tc>
              <w:tc>
                <w:tcPr>
                  <w:tcW w:w="1006" w:type="dxa"/>
                  <w:vMerge w:val="continue"/>
                  <w:noWrap w:val="0"/>
                  <w:vAlign w:val="center"/>
                </w:tcPr>
                <w:p>
                  <w:pPr>
                    <w:snapToGrid w:val="0"/>
                    <w:jc w:val="center"/>
                    <w:rPr>
                      <w:rFonts w:ascii="Times New Roman" w:hAnsi="Times New Roman"/>
                      <w:sz w:val="21"/>
                      <w:szCs w:val="21"/>
                    </w:rPr>
                  </w:pPr>
                </w:p>
              </w:tc>
              <w:tc>
                <w:tcPr>
                  <w:tcW w:w="2089" w:type="dxa"/>
                  <w:noWrap w:val="0"/>
                  <w:vAlign w:val="center"/>
                </w:tcPr>
                <w:p>
                  <w:pPr>
                    <w:snapToGrid w:val="0"/>
                    <w:jc w:val="center"/>
                    <w:rPr>
                      <w:rFonts w:hint="eastAsia" w:ascii="Times New Roman" w:hAnsi="Times New Roman"/>
                      <w:sz w:val="21"/>
                      <w:szCs w:val="21"/>
                    </w:rPr>
                  </w:pPr>
                  <w:r>
                    <w:rPr>
                      <w:rFonts w:hint="eastAsia" w:ascii="Times New Roman" w:hAnsi="Times New Roman"/>
                      <w:sz w:val="21"/>
                      <w:szCs w:val="21"/>
                    </w:rPr>
                    <w:t>热料提升机</w:t>
                  </w:r>
                </w:p>
              </w:tc>
              <w:tc>
                <w:tcPr>
                  <w:tcW w:w="3188" w:type="dxa"/>
                  <w:vMerge w:val="continue"/>
                  <w:noWrap w:val="0"/>
                  <w:vAlign w:val="center"/>
                </w:tcPr>
                <w:p>
                  <w:pPr>
                    <w:snapToGrid w:val="0"/>
                    <w:jc w:val="center"/>
                    <w:rPr>
                      <w:rFonts w:hint="eastAsia" w:ascii="Times New Roman" w:hAnsi="Times New Roman"/>
                      <w:sz w:val="21"/>
                      <w:szCs w:val="21"/>
                    </w:rPr>
                  </w:pPr>
                </w:p>
              </w:tc>
              <w:tc>
                <w:tcPr>
                  <w:tcW w:w="678" w:type="dxa"/>
                  <w:vMerge w:val="continue"/>
                  <w:noWrap w:val="0"/>
                  <w:vAlign w:val="center"/>
                </w:tcPr>
                <w:p>
                  <w:pPr>
                    <w:snapToGrid w:val="0"/>
                    <w:jc w:val="center"/>
                    <w:rPr>
                      <w:rFonts w:hint="eastAsia"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 w:hRule="atLeast"/>
                <w:jc w:val="center"/>
              </w:trPr>
              <w:tc>
                <w:tcPr>
                  <w:tcW w:w="678" w:type="dxa"/>
                  <w:vMerge w:val="continue"/>
                  <w:noWrap w:val="0"/>
                  <w:vAlign w:val="center"/>
                </w:tcPr>
                <w:p>
                  <w:pPr>
                    <w:snapToGrid w:val="0"/>
                    <w:jc w:val="center"/>
                    <w:rPr>
                      <w:rFonts w:ascii="Times New Roman" w:hAnsi="Times New Roman"/>
                      <w:sz w:val="21"/>
                      <w:szCs w:val="21"/>
                    </w:rPr>
                  </w:pPr>
                </w:p>
              </w:tc>
              <w:tc>
                <w:tcPr>
                  <w:tcW w:w="1006" w:type="dxa"/>
                  <w:vMerge w:val="continue"/>
                  <w:noWrap w:val="0"/>
                  <w:vAlign w:val="center"/>
                </w:tcPr>
                <w:p>
                  <w:pPr>
                    <w:snapToGrid w:val="0"/>
                    <w:jc w:val="center"/>
                    <w:rPr>
                      <w:rFonts w:ascii="Times New Roman" w:hAnsi="Times New Roman"/>
                      <w:sz w:val="21"/>
                      <w:szCs w:val="21"/>
                    </w:rPr>
                  </w:pPr>
                </w:p>
              </w:tc>
              <w:tc>
                <w:tcPr>
                  <w:tcW w:w="2089" w:type="dxa"/>
                  <w:noWrap w:val="0"/>
                  <w:vAlign w:val="center"/>
                </w:tcPr>
                <w:p>
                  <w:pPr>
                    <w:snapToGrid w:val="0"/>
                    <w:jc w:val="center"/>
                    <w:rPr>
                      <w:rFonts w:hint="eastAsia" w:ascii="Times New Roman" w:hAnsi="Times New Roman"/>
                      <w:sz w:val="21"/>
                      <w:szCs w:val="21"/>
                    </w:rPr>
                  </w:pPr>
                  <w:r>
                    <w:rPr>
                      <w:rFonts w:hint="eastAsia" w:ascii="Times New Roman" w:hAnsi="Times New Roman"/>
                      <w:sz w:val="21"/>
                      <w:szCs w:val="21"/>
                    </w:rPr>
                    <w:t>矿粉提升机</w:t>
                  </w:r>
                </w:p>
              </w:tc>
              <w:tc>
                <w:tcPr>
                  <w:tcW w:w="3188" w:type="dxa"/>
                  <w:vMerge w:val="continue"/>
                  <w:noWrap w:val="0"/>
                  <w:vAlign w:val="center"/>
                </w:tcPr>
                <w:p>
                  <w:pPr>
                    <w:snapToGrid w:val="0"/>
                    <w:jc w:val="center"/>
                    <w:rPr>
                      <w:rFonts w:hint="eastAsia" w:ascii="Times New Roman" w:hAnsi="Times New Roman"/>
                      <w:sz w:val="21"/>
                      <w:szCs w:val="21"/>
                    </w:rPr>
                  </w:pPr>
                </w:p>
              </w:tc>
              <w:tc>
                <w:tcPr>
                  <w:tcW w:w="678" w:type="dxa"/>
                  <w:vMerge w:val="continue"/>
                  <w:noWrap w:val="0"/>
                  <w:vAlign w:val="center"/>
                </w:tcPr>
                <w:p>
                  <w:pPr>
                    <w:snapToGrid w:val="0"/>
                    <w:jc w:val="center"/>
                    <w:rPr>
                      <w:rFonts w:hint="eastAsia"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78" w:type="dxa"/>
                  <w:vMerge w:val="continue"/>
                  <w:noWrap w:val="0"/>
                  <w:vAlign w:val="center"/>
                </w:tcPr>
                <w:p>
                  <w:pPr>
                    <w:snapToGrid w:val="0"/>
                    <w:jc w:val="center"/>
                    <w:rPr>
                      <w:rFonts w:ascii="Times New Roman" w:hAnsi="Times New Roman"/>
                      <w:sz w:val="21"/>
                      <w:szCs w:val="21"/>
                    </w:rPr>
                  </w:pPr>
                </w:p>
              </w:tc>
              <w:tc>
                <w:tcPr>
                  <w:tcW w:w="1006" w:type="dxa"/>
                  <w:vMerge w:val="continue"/>
                  <w:noWrap w:val="0"/>
                  <w:vAlign w:val="center"/>
                </w:tcPr>
                <w:p>
                  <w:pPr>
                    <w:snapToGrid w:val="0"/>
                    <w:jc w:val="center"/>
                    <w:rPr>
                      <w:rFonts w:ascii="Times New Roman" w:hAnsi="Times New Roman"/>
                      <w:sz w:val="21"/>
                      <w:szCs w:val="21"/>
                    </w:rPr>
                  </w:pPr>
                </w:p>
              </w:tc>
              <w:tc>
                <w:tcPr>
                  <w:tcW w:w="2089" w:type="dxa"/>
                  <w:noWrap w:val="0"/>
                  <w:vAlign w:val="center"/>
                </w:tcPr>
                <w:p>
                  <w:pPr>
                    <w:snapToGrid w:val="0"/>
                    <w:jc w:val="center"/>
                    <w:rPr>
                      <w:rFonts w:hint="eastAsia" w:ascii="Times New Roman" w:hAnsi="Times New Roman"/>
                      <w:sz w:val="21"/>
                      <w:szCs w:val="21"/>
                    </w:rPr>
                  </w:pPr>
                  <w:r>
                    <w:rPr>
                      <w:rFonts w:hint="eastAsia" w:ascii="Times New Roman" w:hAnsi="Times New Roman"/>
                      <w:sz w:val="21"/>
                      <w:szCs w:val="21"/>
                    </w:rPr>
                    <w:t>热料储备仓</w:t>
                  </w:r>
                </w:p>
              </w:tc>
              <w:tc>
                <w:tcPr>
                  <w:tcW w:w="3188" w:type="dxa"/>
                  <w:vMerge w:val="continue"/>
                  <w:noWrap w:val="0"/>
                  <w:vAlign w:val="center"/>
                </w:tcPr>
                <w:p>
                  <w:pPr>
                    <w:snapToGrid w:val="0"/>
                    <w:jc w:val="center"/>
                    <w:rPr>
                      <w:rFonts w:hint="eastAsia" w:ascii="Times New Roman" w:hAnsi="Times New Roman"/>
                      <w:sz w:val="21"/>
                      <w:szCs w:val="21"/>
                    </w:rPr>
                  </w:pPr>
                </w:p>
              </w:tc>
              <w:tc>
                <w:tcPr>
                  <w:tcW w:w="678" w:type="dxa"/>
                  <w:vMerge w:val="continue"/>
                  <w:noWrap w:val="0"/>
                  <w:vAlign w:val="center"/>
                </w:tcPr>
                <w:p>
                  <w:pPr>
                    <w:snapToGrid w:val="0"/>
                    <w:jc w:val="center"/>
                    <w:rPr>
                      <w:rFonts w:hint="eastAsia"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78" w:type="dxa"/>
                  <w:vMerge w:val="continue"/>
                  <w:noWrap w:val="0"/>
                  <w:vAlign w:val="center"/>
                </w:tcPr>
                <w:p>
                  <w:pPr>
                    <w:snapToGrid w:val="0"/>
                    <w:jc w:val="center"/>
                    <w:rPr>
                      <w:rFonts w:ascii="Times New Roman" w:hAnsi="Times New Roman"/>
                      <w:sz w:val="21"/>
                      <w:szCs w:val="21"/>
                    </w:rPr>
                  </w:pPr>
                </w:p>
              </w:tc>
              <w:tc>
                <w:tcPr>
                  <w:tcW w:w="1006" w:type="dxa"/>
                  <w:vMerge w:val="continue"/>
                  <w:noWrap w:val="0"/>
                  <w:vAlign w:val="center"/>
                </w:tcPr>
                <w:p>
                  <w:pPr>
                    <w:snapToGrid w:val="0"/>
                    <w:jc w:val="center"/>
                    <w:rPr>
                      <w:rFonts w:ascii="Times New Roman" w:hAnsi="Times New Roman"/>
                      <w:sz w:val="21"/>
                      <w:szCs w:val="21"/>
                    </w:rPr>
                  </w:pPr>
                </w:p>
              </w:tc>
              <w:tc>
                <w:tcPr>
                  <w:tcW w:w="2089" w:type="dxa"/>
                  <w:noWrap w:val="0"/>
                  <w:vAlign w:val="center"/>
                </w:tcPr>
                <w:p>
                  <w:pPr>
                    <w:snapToGrid w:val="0"/>
                    <w:jc w:val="center"/>
                    <w:rPr>
                      <w:rFonts w:hint="eastAsia" w:ascii="Times New Roman" w:hAnsi="Times New Roman"/>
                      <w:sz w:val="21"/>
                      <w:szCs w:val="21"/>
                    </w:rPr>
                  </w:pPr>
                  <w:r>
                    <w:rPr>
                      <w:rFonts w:hint="eastAsia" w:ascii="Times New Roman" w:hAnsi="Times New Roman"/>
                      <w:sz w:val="21"/>
                      <w:szCs w:val="21"/>
                    </w:rPr>
                    <w:t>石料称</w:t>
                  </w:r>
                </w:p>
              </w:tc>
              <w:tc>
                <w:tcPr>
                  <w:tcW w:w="3188" w:type="dxa"/>
                  <w:vMerge w:val="continue"/>
                  <w:noWrap w:val="0"/>
                  <w:vAlign w:val="center"/>
                </w:tcPr>
                <w:p>
                  <w:pPr>
                    <w:snapToGrid w:val="0"/>
                    <w:jc w:val="center"/>
                    <w:rPr>
                      <w:rFonts w:hint="eastAsia" w:ascii="Times New Roman" w:hAnsi="Times New Roman"/>
                      <w:sz w:val="21"/>
                      <w:szCs w:val="21"/>
                    </w:rPr>
                  </w:pPr>
                </w:p>
              </w:tc>
              <w:tc>
                <w:tcPr>
                  <w:tcW w:w="678" w:type="dxa"/>
                  <w:vMerge w:val="continue"/>
                  <w:noWrap w:val="0"/>
                  <w:vAlign w:val="center"/>
                </w:tcPr>
                <w:p>
                  <w:pPr>
                    <w:snapToGrid w:val="0"/>
                    <w:jc w:val="center"/>
                    <w:rPr>
                      <w:rFonts w:hint="eastAsia"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78" w:type="dxa"/>
                  <w:vMerge w:val="continue"/>
                  <w:noWrap w:val="0"/>
                  <w:vAlign w:val="center"/>
                </w:tcPr>
                <w:p>
                  <w:pPr>
                    <w:snapToGrid w:val="0"/>
                    <w:jc w:val="center"/>
                    <w:rPr>
                      <w:rFonts w:ascii="Times New Roman" w:hAnsi="Times New Roman"/>
                      <w:sz w:val="21"/>
                      <w:szCs w:val="21"/>
                    </w:rPr>
                  </w:pPr>
                </w:p>
              </w:tc>
              <w:tc>
                <w:tcPr>
                  <w:tcW w:w="1006" w:type="dxa"/>
                  <w:vMerge w:val="continue"/>
                  <w:noWrap w:val="0"/>
                  <w:vAlign w:val="center"/>
                </w:tcPr>
                <w:p>
                  <w:pPr>
                    <w:snapToGrid w:val="0"/>
                    <w:jc w:val="center"/>
                    <w:rPr>
                      <w:rFonts w:ascii="Times New Roman" w:hAnsi="Times New Roman"/>
                      <w:sz w:val="21"/>
                      <w:szCs w:val="21"/>
                    </w:rPr>
                  </w:pPr>
                </w:p>
              </w:tc>
              <w:tc>
                <w:tcPr>
                  <w:tcW w:w="2089" w:type="dxa"/>
                  <w:noWrap w:val="0"/>
                  <w:vAlign w:val="center"/>
                </w:tcPr>
                <w:p>
                  <w:pPr>
                    <w:snapToGrid w:val="0"/>
                    <w:jc w:val="center"/>
                    <w:rPr>
                      <w:rFonts w:hint="eastAsia" w:ascii="Times New Roman" w:hAnsi="Times New Roman"/>
                      <w:sz w:val="21"/>
                      <w:szCs w:val="21"/>
                    </w:rPr>
                  </w:pPr>
                  <w:r>
                    <w:rPr>
                      <w:rFonts w:hint="eastAsia" w:ascii="Times New Roman" w:hAnsi="Times New Roman"/>
                      <w:sz w:val="21"/>
                      <w:szCs w:val="21"/>
                    </w:rPr>
                    <w:t>沥青称</w:t>
                  </w:r>
                </w:p>
              </w:tc>
              <w:tc>
                <w:tcPr>
                  <w:tcW w:w="3188" w:type="dxa"/>
                  <w:vMerge w:val="continue"/>
                  <w:noWrap w:val="0"/>
                  <w:vAlign w:val="center"/>
                </w:tcPr>
                <w:p>
                  <w:pPr>
                    <w:snapToGrid w:val="0"/>
                    <w:jc w:val="center"/>
                    <w:rPr>
                      <w:rFonts w:hint="eastAsia" w:ascii="Times New Roman" w:hAnsi="Times New Roman"/>
                      <w:sz w:val="21"/>
                      <w:szCs w:val="21"/>
                    </w:rPr>
                  </w:pPr>
                </w:p>
              </w:tc>
              <w:tc>
                <w:tcPr>
                  <w:tcW w:w="678" w:type="dxa"/>
                  <w:vMerge w:val="continue"/>
                  <w:noWrap w:val="0"/>
                  <w:vAlign w:val="center"/>
                </w:tcPr>
                <w:p>
                  <w:pPr>
                    <w:snapToGrid w:val="0"/>
                    <w:jc w:val="center"/>
                    <w:rPr>
                      <w:rFonts w:hint="eastAsia"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4" w:hRule="atLeast"/>
                <w:jc w:val="center"/>
              </w:trPr>
              <w:tc>
                <w:tcPr>
                  <w:tcW w:w="678" w:type="dxa"/>
                  <w:vMerge w:val="continue"/>
                  <w:noWrap w:val="0"/>
                  <w:vAlign w:val="center"/>
                </w:tcPr>
                <w:p>
                  <w:pPr>
                    <w:snapToGrid w:val="0"/>
                    <w:jc w:val="center"/>
                    <w:rPr>
                      <w:rFonts w:ascii="Times New Roman" w:hAnsi="Times New Roman"/>
                      <w:sz w:val="21"/>
                      <w:szCs w:val="21"/>
                    </w:rPr>
                  </w:pPr>
                </w:p>
              </w:tc>
              <w:tc>
                <w:tcPr>
                  <w:tcW w:w="1006" w:type="dxa"/>
                  <w:vMerge w:val="continue"/>
                  <w:noWrap w:val="0"/>
                  <w:vAlign w:val="center"/>
                </w:tcPr>
                <w:p>
                  <w:pPr>
                    <w:snapToGrid w:val="0"/>
                    <w:jc w:val="center"/>
                    <w:rPr>
                      <w:rFonts w:ascii="Times New Roman" w:hAnsi="Times New Roman"/>
                      <w:sz w:val="21"/>
                      <w:szCs w:val="21"/>
                    </w:rPr>
                  </w:pPr>
                </w:p>
              </w:tc>
              <w:tc>
                <w:tcPr>
                  <w:tcW w:w="2089" w:type="dxa"/>
                  <w:noWrap w:val="0"/>
                  <w:vAlign w:val="center"/>
                </w:tcPr>
                <w:p>
                  <w:pPr>
                    <w:snapToGrid w:val="0"/>
                    <w:jc w:val="center"/>
                    <w:rPr>
                      <w:rFonts w:hint="eastAsia" w:ascii="Times New Roman" w:hAnsi="Times New Roman"/>
                      <w:sz w:val="21"/>
                      <w:szCs w:val="21"/>
                    </w:rPr>
                  </w:pPr>
                  <w:r>
                    <w:rPr>
                      <w:rFonts w:hint="eastAsia" w:ascii="Times New Roman" w:hAnsi="Times New Roman"/>
                      <w:sz w:val="21"/>
                      <w:szCs w:val="21"/>
                    </w:rPr>
                    <w:t>石粉称</w:t>
                  </w:r>
                </w:p>
              </w:tc>
              <w:tc>
                <w:tcPr>
                  <w:tcW w:w="3188" w:type="dxa"/>
                  <w:vMerge w:val="continue"/>
                  <w:noWrap w:val="0"/>
                  <w:vAlign w:val="center"/>
                </w:tcPr>
                <w:p>
                  <w:pPr>
                    <w:snapToGrid w:val="0"/>
                    <w:jc w:val="center"/>
                    <w:rPr>
                      <w:rFonts w:hint="eastAsia" w:ascii="Times New Roman" w:hAnsi="Times New Roman"/>
                      <w:sz w:val="21"/>
                      <w:szCs w:val="21"/>
                    </w:rPr>
                  </w:pPr>
                </w:p>
              </w:tc>
              <w:tc>
                <w:tcPr>
                  <w:tcW w:w="678" w:type="dxa"/>
                  <w:vMerge w:val="continue"/>
                  <w:noWrap w:val="0"/>
                  <w:vAlign w:val="center"/>
                </w:tcPr>
                <w:p>
                  <w:pPr>
                    <w:snapToGrid w:val="0"/>
                    <w:jc w:val="center"/>
                    <w:rPr>
                      <w:rFonts w:hint="eastAsia"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78" w:type="dxa"/>
                  <w:vMerge w:val="continue"/>
                  <w:noWrap w:val="0"/>
                  <w:vAlign w:val="center"/>
                </w:tcPr>
                <w:p>
                  <w:pPr>
                    <w:snapToGrid w:val="0"/>
                    <w:jc w:val="center"/>
                    <w:rPr>
                      <w:rFonts w:ascii="Times New Roman" w:hAnsi="Times New Roman"/>
                      <w:sz w:val="21"/>
                      <w:szCs w:val="21"/>
                    </w:rPr>
                  </w:pPr>
                </w:p>
              </w:tc>
              <w:tc>
                <w:tcPr>
                  <w:tcW w:w="1006" w:type="dxa"/>
                  <w:vMerge w:val="continue"/>
                  <w:noWrap w:val="0"/>
                  <w:vAlign w:val="center"/>
                </w:tcPr>
                <w:p>
                  <w:pPr>
                    <w:snapToGrid w:val="0"/>
                    <w:jc w:val="center"/>
                    <w:rPr>
                      <w:rFonts w:ascii="Times New Roman" w:hAnsi="Times New Roman"/>
                      <w:sz w:val="21"/>
                      <w:szCs w:val="21"/>
                    </w:rPr>
                  </w:pPr>
                </w:p>
              </w:tc>
              <w:tc>
                <w:tcPr>
                  <w:tcW w:w="2089" w:type="dxa"/>
                  <w:noWrap w:val="0"/>
                  <w:vAlign w:val="center"/>
                </w:tcPr>
                <w:p>
                  <w:pPr>
                    <w:snapToGrid w:val="0"/>
                    <w:jc w:val="center"/>
                    <w:rPr>
                      <w:rFonts w:hint="eastAsia" w:ascii="Times New Roman" w:hAnsi="Times New Roman"/>
                      <w:sz w:val="21"/>
                      <w:szCs w:val="21"/>
                    </w:rPr>
                  </w:pPr>
                  <w:r>
                    <w:rPr>
                      <w:rFonts w:hint="eastAsia" w:ascii="Times New Roman" w:hAnsi="Times New Roman"/>
                      <w:sz w:val="21"/>
                      <w:szCs w:val="21"/>
                    </w:rPr>
                    <w:t>拌缸</w:t>
                  </w:r>
                </w:p>
              </w:tc>
              <w:tc>
                <w:tcPr>
                  <w:tcW w:w="3188" w:type="dxa"/>
                  <w:vMerge w:val="continue"/>
                  <w:noWrap w:val="0"/>
                  <w:vAlign w:val="center"/>
                </w:tcPr>
                <w:p>
                  <w:pPr>
                    <w:snapToGrid w:val="0"/>
                    <w:jc w:val="center"/>
                    <w:rPr>
                      <w:rFonts w:hint="eastAsia" w:ascii="Times New Roman" w:hAnsi="Times New Roman"/>
                      <w:sz w:val="21"/>
                      <w:szCs w:val="21"/>
                    </w:rPr>
                  </w:pPr>
                </w:p>
              </w:tc>
              <w:tc>
                <w:tcPr>
                  <w:tcW w:w="678" w:type="dxa"/>
                  <w:vMerge w:val="continue"/>
                  <w:noWrap w:val="0"/>
                  <w:vAlign w:val="center"/>
                </w:tcPr>
                <w:p>
                  <w:pPr>
                    <w:snapToGrid w:val="0"/>
                    <w:jc w:val="center"/>
                    <w:rPr>
                      <w:rFonts w:hint="eastAsia"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78" w:type="dxa"/>
                  <w:vMerge w:val="continue"/>
                  <w:noWrap w:val="0"/>
                  <w:vAlign w:val="center"/>
                </w:tcPr>
                <w:p>
                  <w:pPr>
                    <w:snapToGrid w:val="0"/>
                    <w:jc w:val="center"/>
                    <w:rPr>
                      <w:rFonts w:ascii="Times New Roman" w:hAnsi="Times New Roman"/>
                      <w:sz w:val="21"/>
                      <w:szCs w:val="21"/>
                    </w:rPr>
                  </w:pPr>
                </w:p>
              </w:tc>
              <w:tc>
                <w:tcPr>
                  <w:tcW w:w="1006" w:type="dxa"/>
                  <w:vMerge w:val="continue"/>
                  <w:noWrap w:val="0"/>
                  <w:vAlign w:val="center"/>
                </w:tcPr>
                <w:p>
                  <w:pPr>
                    <w:snapToGrid w:val="0"/>
                    <w:jc w:val="center"/>
                    <w:rPr>
                      <w:rFonts w:ascii="Times New Roman" w:hAnsi="Times New Roman"/>
                      <w:sz w:val="21"/>
                      <w:szCs w:val="21"/>
                    </w:rPr>
                  </w:pPr>
                </w:p>
              </w:tc>
              <w:tc>
                <w:tcPr>
                  <w:tcW w:w="2089" w:type="dxa"/>
                  <w:noWrap w:val="0"/>
                  <w:vAlign w:val="center"/>
                </w:tcPr>
                <w:p>
                  <w:pPr>
                    <w:snapToGrid w:val="0"/>
                    <w:jc w:val="center"/>
                    <w:rPr>
                      <w:rFonts w:hint="eastAsia" w:ascii="Times New Roman" w:hAnsi="Times New Roman"/>
                      <w:sz w:val="21"/>
                      <w:szCs w:val="21"/>
                    </w:rPr>
                  </w:pPr>
                  <w:r>
                    <w:rPr>
                      <w:rFonts w:hint="eastAsia" w:ascii="Times New Roman" w:hAnsi="Times New Roman"/>
                      <w:sz w:val="21"/>
                      <w:szCs w:val="21"/>
                    </w:rPr>
                    <w:t>石粉储备罐</w:t>
                  </w:r>
                </w:p>
              </w:tc>
              <w:tc>
                <w:tcPr>
                  <w:tcW w:w="3188" w:type="dxa"/>
                  <w:vMerge w:val="continue"/>
                  <w:noWrap w:val="0"/>
                  <w:vAlign w:val="center"/>
                </w:tcPr>
                <w:p>
                  <w:pPr>
                    <w:snapToGrid w:val="0"/>
                    <w:jc w:val="center"/>
                    <w:rPr>
                      <w:rFonts w:hint="eastAsia" w:ascii="Times New Roman" w:hAnsi="Times New Roman"/>
                      <w:sz w:val="21"/>
                      <w:szCs w:val="21"/>
                    </w:rPr>
                  </w:pPr>
                </w:p>
              </w:tc>
              <w:tc>
                <w:tcPr>
                  <w:tcW w:w="678" w:type="dxa"/>
                  <w:vMerge w:val="continue"/>
                  <w:noWrap w:val="0"/>
                  <w:vAlign w:val="center"/>
                </w:tcPr>
                <w:p>
                  <w:pPr>
                    <w:snapToGrid w:val="0"/>
                    <w:jc w:val="center"/>
                    <w:rPr>
                      <w:rFonts w:hint="eastAsia" w:ascii="Times New Roman" w:hAnsi="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7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2</w:t>
                  </w:r>
                </w:p>
              </w:tc>
              <w:tc>
                <w:tcPr>
                  <w:tcW w:w="3095" w:type="dxa"/>
                  <w:gridSpan w:val="2"/>
                  <w:noWrap w:val="0"/>
                  <w:vAlign w:val="center"/>
                </w:tcPr>
                <w:p>
                  <w:pPr>
                    <w:spacing w:line="360" w:lineRule="atLeast"/>
                    <w:jc w:val="center"/>
                    <w:rPr>
                      <w:rFonts w:ascii="Times New Roman" w:hAnsi="Times New Roman"/>
                      <w:sz w:val="21"/>
                      <w:szCs w:val="21"/>
                    </w:rPr>
                  </w:pPr>
                  <w:r>
                    <w:rPr>
                      <w:rFonts w:hint="eastAsia" w:ascii="Times New Roman" w:hAnsi="Times New Roman"/>
                      <w:sz w:val="21"/>
                      <w:szCs w:val="21"/>
                    </w:rPr>
                    <w:t>干燥</w:t>
                  </w:r>
                  <w:r>
                    <w:rPr>
                      <w:rFonts w:ascii="Times New Roman" w:hAnsi="Times New Roman"/>
                      <w:sz w:val="21"/>
                      <w:szCs w:val="21"/>
                    </w:rPr>
                    <w:t>筒</w:t>
                  </w:r>
                </w:p>
              </w:tc>
              <w:tc>
                <w:tcPr>
                  <w:tcW w:w="318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280t/h</w:t>
                  </w:r>
                </w:p>
              </w:tc>
              <w:tc>
                <w:tcPr>
                  <w:tcW w:w="67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7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3</w:t>
                  </w:r>
                </w:p>
              </w:tc>
              <w:tc>
                <w:tcPr>
                  <w:tcW w:w="3095" w:type="dxa"/>
                  <w:gridSpan w:val="2"/>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振动筛</w:t>
                  </w:r>
                </w:p>
              </w:tc>
              <w:tc>
                <w:tcPr>
                  <w:tcW w:w="318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5.5Kw</w:t>
                  </w:r>
                </w:p>
              </w:tc>
              <w:tc>
                <w:tcPr>
                  <w:tcW w:w="67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atLeast"/>
                <w:jc w:val="center"/>
              </w:trPr>
              <w:tc>
                <w:tcPr>
                  <w:tcW w:w="67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4</w:t>
                  </w:r>
                </w:p>
              </w:tc>
              <w:tc>
                <w:tcPr>
                  <w:tcW w:w="3095" w:type="dxa"/>
                  <w:gridSpan w:val="2"/>
                  <w:noWrap w:val="0"/>
                  <w:vAlign w:val="center"/>
                </w:tcPr>
                <w:p>
                  <w:pPr>
                    <w:spacing w:line="360" w:lineRule="atLeast"/>
                    <w:jc w:val="center"/>
                    <w:rPr>
                      <w:rFonts w:hint="eastAsia" w:ascii="Times New Roman" w:hAnsi="Times New Roman"/>
                      <w:sz w:val="21"/>
                      <w:szCs w:val="21"/>
                    </w:rPr>
                  </w:pPr>
                  <w:r>
                    <w:rPr>
                      <w:rFonts w:ascii="Times New Roman" w:hAnsi="Times New Roman"/>
                      <w:sz w:val="21"/>
                      <w:szCs w:val="21"/>
                    </w:rPr>
                    <w:t>搅拌</w:t>
                  </w:r>
                  <w:r>
                    <w:rPr>
                      <w:rFonts w:hint="eastAsia" w:ascii="Times New Roman" w:hAnsi="Times New Roman"/>
                      <w:sz w:val="21"/>
                      <w:szCs w:val="21"/>
                    </w:rPr>
                    <w:t>系统</w:t>
                  </w:r>
                </w:p>
              </w:tc>
              <w:tc>
                <w:tcPr>
                  <w:tcW w:w="318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240t/h</w:t>
                  </w:r>
                </w:p>
              </w:tc>
              <w:tc>
                <w:tcPr>
                  <w:tcW w:w="67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7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5</w:t>
                  </w:r>
                </w:p>
              </w:tc>
              <w:tc>
                <w:tcPr>
                  <w:tcW w:w="3095" w:type="dxa"/>
                  <w:gridSpan w:val="2"/>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沥青储罐</w:t>
                  </w:r>
                </w:p>
              </w:tc>
              <w:tc>
                <w:tcPr>
                  <w:tcW w:w="3188" w:type="dxa"/>
                  <w:noWrap w:val="0"/>
                  <w:vAlign w:val="center"/>
                </w:tcPr>
                <w:p>
                  <w:pPr>
                    <w:spacing w:line="360" w:lineRule="atLeast"/>
                    <w:jc w:val="center"/>
                    <w:rPr>
                      <w:rFonts w:ascii="Times New Roman" w:hAnsi="Times New Roman"/>
                      <w:sz w:val="21"/>
                      <w:szCs w:val="21"/>
                    </w:rPr>
                  </w:pPr>
                  <w:r>
                    <w:rPr>
                      <w:rFonts w:hint="eastAsia" w:ascii="Times New Roman" w:hAnsi="Times New Roman"/>
                      <w:sz w:val="21"/>
                      <w:szCs w:val="21"/>
                    </w:rPr>
                    <w:t>50</w:t>
                  </w:r>
                  <w:r>
                    <w:rPr>
                      <w:rFonts w:ascii="Times New Roman" w:hAnsi="Times New Roman"/>
                      <w:color w:val="auto"/>
                      <w:sz w:val="21"/>
                      <w:szCs w:val="21"/>
                    </w:rPr>
                    <w:t>t</w:t>
                  </w:r>
                </w:p>
              </w:tc>
              <w:tc>
                <w:tcPr>
                  <w:tcW w:w="678" w:type="dxa"/>
                  <w:noWrap w:val="0"/>
                  <w:vAlign w:val="center"/>
                </w:tcPr>
                <w:p>
                  <w:pPr>
                    <w:spacing w:line="360" w:lineRule="atLeast"/>
                    <w:jc w:val="center"/>
                    <w:rPr>
                      <w:rFonts w:hint="eastAsia" w:ascii="Times New Roman" w:hAnsi="Times New Roman"/>
                      <w:sz w:val="21"/>
                      <w:szCs w:val="21"/>
                    </w:rPr>
                  </w:pPr>
                  <w:r>
                    <w:rPr>
                      <w:rFonts w:ascii="Times New Roman" w:hAnsi="Times New Roman"/>
                      <w:sz w:val="21"/>
                      <w:szCs w:val="21"/>
                    </w:rPr>
                    <w:t>3</w:t>
                  </w:r>
                  <w:r>
                    <w:rPr>
                      <w:rFonts w:hint="eastAsia" w:ascii="Times New Roman" w:hAnsi="Times New Roman"/>
                      <w:sz w:val="21"/>
                      <w:szCs w:val="21"/>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atLeast"/>
                <w:jc w:val="center"/>
              </w:trPr>
              <w:tc>
                <w:tcPr>
                  <w:tcW w:w="67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6</w:t>
                  </w:r>
                </w:p>
              </w:tc>
              <w:tc>
                <w:tcPr>
                  <w:tcW w:w="3095" w:type="dxa"/>
                  <w:gridSpan w:val="2"/>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冷料仓</w:t>
                  </w:r>
                </w:p>
              </w:tc>
              <w:tc>
                <w:tcPr>
                  <w:tcW w:w="318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w:t>
                  </w:r>
                </w:p>
              </w:tc>
              <w:tc>
                <w:tcPr>
                  <w:tcW w:w="67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3" w:hRule="atLeast"/>
                <w:jc w:val="center"/>
              </w:trPr>
              <w:tc>
                <w:tcPr>
                  <w:tcW w:w="67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7</w:t>
                  </w:r>
                </w:p>
              </w:tc>
              <w:tc>
                <w:tcPr>
                  <w:tcW w:w="3095" w:type="dxa"/>
                  <w:gridSpan w:val="2"/>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平输、斜输皮带</w:t>
                  </w:r>
                </w:p>
              </w:tc>
              <w:tc>
                <w:tcPr>
                  <w:tcW w:w="318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w:t>
                  </w:r>
                </w:p>
              </w:tc>
              <w:tc>
                <w:tcPr>
                  <w:tcW w:w="678" w:type="dxa"/>
                  <w:noWrap w:val="0"/>
                  <w:vAlign w:val="center"/>
                </w:tcPr>
                <w:p>
                  <w:pPr>
                    <w:spacing w:line="360" w:lineRule="atLeast"/>
                    <w:jc w:val="center"/>
                    <w:rPr>
                      <w:rFonts w:ascii="Times New Roman" w:hAnsi="Times New Roman"/>
                      <w:sz w:val="21"/>
                      <w:szCs w:val="21"/>
                    </w:rPr>
                  </w:pPr>
                  <w:r>
                    <w:rPr>
                      <w:rFonts w:hint="eastAsia" w:ascii="Times New Roman" w:hAnsi="Times New Roman"/>
                      <w:sz w:val="21"/>
                      <w:szCs w:val="21"/>
                    </w:rPr>
                    <w:t>1条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7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8</w:t>
                  </w:r>
                </w:p>
              </w:tc>
              <w:tc>
                <w:tcPr>
                  <w:tcW w:w="3095" w:type="dxa"/>
                  <w:gridSpan w:val="2"/>
                  <w:noWrap w:val="0"/>
                  <w:vAlign w:val="center"/>
                </w:tcPr>
                <w:p>
                  <w:pPr>
                    <w:spacing w:line="360" w:lineRule="atLeast"/>
                    <w:jc w:val="center"/>
                    <w:rPr>
                      <w:rFonts w:ascii="Times New Roman" w:hAnsi="Times New Roman"/>
                      <w:color w:val="auto"/>
                      <w:sz w:val="21"/>
                      <w:szCs w:val="21"/>
                    </w:rPr>
                  </w:pPr>
                  <w:r>
                    <w:rPr>
                      <w:rFonts w:hint="eastAsia" w:ascii="Times New Roman" w:hAnsi="Times New Roman"/>
                      <w:color w:val="auto"/>
                      <w:sz w:val="21"/>
                      <w:szCs w:val="21"/>
                      <w:lang w:val="en-US" w:eastAsia="zh-CN"/>
                    </w:rPr>
                    <w:t>柴</w:t>
                  </w:r>
                  <w:r>
                    <w:rPr>
                      <w:rFonts w:hint="eastAsia" w:ascii="Times New Roman" w:hAnsi="Times New Roman"/>
                      <w:color w:val="auto"/>
                      <w:sz w:val="21"/>
                      <w:szCs w:val="21"/>
                    </w:rPr>
                    <w:t>油</w:t>
                  </w:r>
                  <w:r>
                    <w:rPr>
                      <w:rFonts w:ascii="Times New Roman" w:hAnsi="Times New Roman"/>
                      <w:color w:val="auto"/>
                      <w:sz w:val="21"/>
                      <w:szCs w:val="21"/>
                    </w:rPr>
                    <w:t>罐</w:t>
                  </w:r>
                </w:p>
              </w:tc>
              <w:tc>
                <w:tcPr>
                  <w:tcW w:w="3188" w:type="dxa"/>
                  <w:noWrap w:val="0"/>
                  <w:vAlign w:val="center"/>
                </w:tcPr>
                <w:p>
                  <w:pPr>
                    <w:spacing w:line="360" w:lineRule="atLeast"/>
                    <w:jc w:val="center"/>
                    <w:rPr>
                      <w:rFonts w:ascii="Times New Roman" w:hAnsi="Times New Roman"/>
                      <w:color w:val="auto"/>
                      <w:sz w:val="21"/>
                      <w:szCs w:val="21"/>
                    </w:rPr>
                  </w:pPr>
                  <w:r>
                    <w:rPr>
                      <w:rFonts w:ascii="Times New Roman" w:hAnsi="Times New Roman"/>
                      <w:color w:val="auto"/>
                      <w:sz w:val="21"/>
                      <w:szCs w:val="21"/>
                    </w:rPr>
                    <w:t>50t</w:t>
                  </w:r>
                </w:p>
              </w:tc>
              <w:tc>
                <w:tcPr>
                  <w:tcW w:w="678" w:type="dxa"/>
                  <w:noWrap w:val="0"/>
                  <w:vAlign w:val="center"/>
                </w:tcPr>
                <w:p>
                  <w:pPr>
                    <w:spacing w:line="360" w:lineRule="atLeast"/>
                    <w:jc w:val="center"/>
                    <w:rPr>
                      <w:rFonts w:ascii="Times New Roman" w:hAnsi="Times New Roman"/>
                      <w:color w:val="auto"/>
                      <w:sz w:val="21"/>
                      <w:szCs w:val="21"/>
                    </w:rPr>
                  </w:pPr>
                  <w:r>
                    <w:rPr>
                      <w:rFonts w:ascii="Times New Roman" w:hAnsi="Times New Roman"/>
                      <w:color w:val="auto"/>
                      <w:sz w:val="21"/>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7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9</w:t>
                  </w:r>
                </w:p>
              </w:tc>
              <w:tc>
                <w:tcPr>
                  <w:tcW w:w="3095" w:type="dxa"/>
                  <w:gridSpan w:val="2"/>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空压机</w:t>
                  </w:r>
                </w:p>
              </w:tc>
              <w:tc>
                <w:tcPr>
                  <w:tcW w:w="318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w:t>
                  </w:r>
                </w:p>
              </w:tc>
              <w:tc>
                <w:tcPr>
                  <w:tcW w:w="67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7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10</w:t>
                  </w:r>
                </w:p>
              </w:tc>
              <w:tc>
                <w:tcPr>
                  <w:tcW w:w="3095" w:type="dxa"/>
                  <w:gridSpan w:val="2"/>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导热油高低罐</w:t>
                  </w:r>
                </w:p>
              </w:tc>
              <w:tc>
                <w:tcPr>
                  <w:tcW w:w="318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w:t>
                  </w:r>
                </w:p>
              </w:tc>
              <w:tc>
                <w:tcPr>
                  <w:tcW w:w="67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7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11</w:t>
                  </w:r>
                </w:p>
              </w:tc>
              <w:tc>
                <w:tcPr>
                  <w:tcW w:w="3095" w:type="dxa"/>
                  <w:gridSpan w:val="2"/>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热料仓</w:t>
                  </w:r>
                </w:p>
              </w:tc>
              <w:tc>
                <w:tcPr>
                  <w:tcW w:w="318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40m</w:t>
                  </w:r>
                  <w:r>
                    <w:rPr>
                      <w:rFonts w:ascii="Times New Roman" w:hAnsi="Times New Roman"/>
                      <w:sz w:val="21"/>
                      <w:szCs w:val="21"/>
                      <w:vertAlign w:val="superscript"/>
                    </w:rPr>
                    <w:t>3</w:t>
                  </w:r>
                </w:p>
              </w:tc>
              <w:tc>
                <w:tcPr>
                  <w:tcW w:w="67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7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12</w:t>
                  </w:r>
                </w:p>
              </w:tc>
              <w:tc>
                <w:tcPr>
                  <w:tcW w:w="3095" w:type="dxa"/>
                  <w:gridSpan w:val="2"/>
                  <w:noWrap w:val="0"/>
                  <w:vAlign w:val="center"/>
                </w:tcPr>
                <w:p>
                  <w:pPr>
                    <w:spacing w:line="360" w:lineRule="atLeast"/>
                    <w:jc w:val="center"/>
                    <w:rPr>
                      <w:rFonts w:hint="eastAsia" w:ascii="Times New Roman" w:hAnsi="Times New Roman"/>
                      <w:sz w:val="21"/>
                      <w:szCs w:val="21"/>
                    </w:rPr>
                  </w:pPr>
                  <w:r>
                    <w:rPr>
                      <w:rFonts w:hint="eastAsia" w:ascii="Times New Roman" w:hAnsi="Times New Roman"/>
                      <w:sz w:val="21"/>
                      <w:szCs w:val="21"/>
                    </w:rPr>
                    <w:t>有机</w:t>
                  </w:r>
                  <w:r>
                    <w:rPr>
                      <w:rFonts w:ascii="Times New Roman" w:hAnsi="Times New Roman"/>
                      <w:sz w:val="21"/>
                      <w:szCs w:val="21"/>
                    </w:rPr>
                    <w:t>热载体炉</w:t>
                  </w:r>
                </w:p>
              </w:tc>
              <w:tc>
                <w:tcPr>
                  <w:tcW w:w="318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YY(Q)W-930Y(Q)</w:t>
                  </w:r>
                  <w:r>
                    <w:rPr>
                      <w:rFonts w:hint="eastAsia" w:ascii="Times New Roman" w:hAnsi="Times New Roman"/>
                      <w:sz w:val="21"/>
                      <w:szCs w:val="21"/>
                    </w:rPr>
                    <w:t>燃油锅炉（</w:t>
                  </w:r>
                  <w:r>
                    <w:rPr>
                      <w:rFonts w:ascii="Times New Roman" w:hAnsi="Times New Roman"/>
                      <w:sz w:val="21"/>
                      <w:szCs w:val="21"/>
                    </w:rPr>
                    <w:t>930KW</w:t>
                  </w:r>
                  <w:r>
                    <w:rPr>
                      <w:rFonts w:hint="eastAsia" w:ascii="Times New Roman" w:hAnsi="Times New Roman"/>
                      <w:sz w:val="21"/>
                      <w:szCs w:val="21"/>
                    </w:rPr>
                    <w:t>）</w:t>
                  </w:r>
                </w:p>
              </w:tc>
              <w:tc>
                <w:tcPr>
                  <w:tcW w:w="67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678" w:type="dxa"/>
                  <w:noWrap w:val="0"/>
                  <w:vAlign w:val="center"/>
                </w:tcPr>
                <w:p>
                  <w:pPr>
                    <w:spacing w:line="360" w:lineRule="atLeast"/>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13</w:t>
                  </w:r>
                </w:p>
              </w:tc>
              <w:tc>
                <w:tcPr>
                  <w:tcW w:w="3095" w:type="dxa"/>
                  <w:gridSpan w:val="2"/>
                  <w:noWrap w:val="0"/>
                  <w:vAlign w:val="center"/>
                </w:tcPr>
                <w:p>
                  <w:pPr>
                    <w:spacing w:line="360" w:lineRule="atLeast"/>
                    <w:jc w:val="center"/>
                    <w:rPr>
                      <w:rFonts w:hint="eastAsia" w:ascii="Times New Roman" w:hAnsi="Times New Roman" w:eastAsia="宋体"/>
                      <w:sz w:val="21"/>
                      <w:szCs w:val="21"/>
                      <w:lang w:eastAsia="zh-CN"/>
                    </w:rPr>
                  </w:pPr>
                  <w:r>
                    <w:rPr>
                      <w:rFonts w:hint="eastAsia" w:ascii="Times New Roman" w:hAnsi="Times New Roman"/>
                      <w:sz w:val="21"/>
                      <w:szCs w:val="21"/>
                      <w:lang w:val="en-US" w:eastAsia="zh-CN"/>
                    </w:rPr>
                    <w:t>矿粉仓</w:t>
                  </w:r>
                </w:p>
              </w:tc>
              <w:tc>
                <w:tcPr>
                  <w:tcW w:w="3188" w:type="dxa"/>
                  <w:noWrap w:val="0"/>
                  <w:vAlign w:val="center"/>
                </w:tcPr>
                <w:p>
                  <w:pPr>
                    <w:spacing w:line="360" w:lineRule="atLeast"/>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布袋集尘式</w:t>
                  </w:r>
                </w:p>
              </w:tc>
              <w:tc>
                <w:tcPr>
                  <w:tcW w:w="678" w:type="dxa"/>
                  <w:noWrap w:val="0"/>
                  <w:vAlign w:val="center"/>
                </w:tcPr>
                <w:p>
                  <w:pPr>
                    <w:spacing w:line="360" w:lineRule="atLeast"/>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2套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678" w:type="dxa"/>
                  <w:noWrap w:val="0"/>
                  <w:vAlign w:val="center"/>
                </w:tcPr>
                <w:p>
                  <w:pPr>
                    <w:spacing w:line="360" w:lineRule="atLeast"/>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14</w:t>
                  </w:r>
                </w:p>
              </w:tc>
              <w:tc>
                <w:tcPr>
                  <w:tcW w:w="3095" w:type="dxa"/>
                  <w:gridSpan w:val="2"/>
                  <w:noWrap w:val="0"/>
                  <w:vAlign w:val="center"/>
                </w:tcPr>
                <w:p>
                  <w:pPr>
                    <w:spacing w:line="360" w:lineRule="atLeast"/>
                    <w:jc w:val="center"/>
                    <w:rPr>
                      <w:rFonts w:ascii="Times New Roman" w:hAnsi="Times New Roman"/>
                      <w:sz w:val="21"/>
                      <w:szCs w:val="21"/>
                    </w:rPr>
                  </w:pPr>
                  <w:r>
                    <w:rPr>
                      <w:rFonts w:ascii="Times New Roman" w:hAnsi="Times New Roman"/>
                      <w:sz w:val="21"/>
                      <w:szCs w:val="21"/>
                      <w:lang w:val="en-US" w:eastAsia="zh-CN"/>
                    </w:rPr>
                    <w:t>一级蜗壳惯性除尘</w:t>
                  </w:r>
                </w:p>
                <w:p>
                  <w:pPr>
                    <w:spacing w:line="360" w:lineRule="atLeast"/>
                    <w:jc w:val="center"/>
                    <w:rPr>
                      <w:rFonts w:ascii="Times New Roman" w:hAnsi="Times New Roman"/>
                      <w:sz w:val="21"/>
                      <w:szCs w:val="21"/>
                    </w:rPr>
                  </w:pPr>
                </w:p>
              </w:tc>
              <w:tc>
                <w:tcPr>
                  <w:tcW w:w="318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lang w:val="en-US" w:eastAsia="zh-CN"/>
                    </w:rPr>
                    <w:t>离心式</w:t>
                  </w:r>
                </w:p>
                <w:p>
                  <w:pPr>
                    <w:spacing w:line="360" w:lineRule="atLeast"/>
                    <w:jc w:val="center"/>
                    <w:rPr>
                      <w:rFonts w:ascii="Times New Roman" w:hAnsi="Times New Roman"/>
                      <w:sz w:val="21"/>
                      <w:szCs w:val="21"/>
                    </w:rPr>
                  </w:pPr>
                </w:p>
              </w:tc>
              <w:tc>
                <w:tcPr>
                  <w:tcW w:w="678" w:type="dxa"/>
                  <w:noWrap w:val="0"/>
                  <w:vAlign w:val="center"/>
                </w:tcPr>
                <w:p>
                  <w:pPr>
                    <w:spacing w:line="360" w:lineRule="atLeast"/>
                    <w:jc w:val="center"/>
                    <w:rPr>
                      <w:rFonts w:ascii="Times New Roman" w:hAnsi="Times New Roman"/>
                      <w:sz w:val="21"/>
                      <w:szCs w:val="21"/>
                    </w:rPr>
                  </w:pPr>
                  <w:r>
                    <w:rPr>
                      <w:rFonts w:ascii="Times New Roman" w:hAnsi="Times New Roman"/>
                      <w:sz w:val="21"/>
                      <w:szCs w:val="21"/>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78" w:type="dxa"/>
                  <w:noWrap w:val="0"/>
                  <w:vAlign w:val="center"/>
                </w:tcPr>
                <w:p>
                  <w:pPr>
                    <w:spacing w:line="360" w:lineRule="atLeast"/>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15</w:t>
                  </w:r>
                </w:p>
              </w:tc>
              <w:tc>
                <w:tcPr>
                  <w:tcW w:w="3095" w:type="dxa"/>
                  <w:gridSpan w:val="2"/>
                  <w:noWrap w:val="0"/>
                  <w:vAlign w:val="center"/>
                </w:tcPr>
                <w:p>
                  <w:pPr>
                    <w:spacing w:line="360" w:lineRule="atLeast"/>
                    <w:jc w:val="center"/>
                    <w:rPr>
                      <w:rFonts w:ascii="Times New Roman" w:hAnsi="Times New Roman"/>
                      <w:sz w:val="21"/>
                      <w:szCs w:val="21"/>
                    </w:rPr>
                  </w:pPr>
                  <w:r>
                    <w:rPr>
                      <w:rFonts w:hint="eastAsia"/>
                      <w:color w:val="auto"/>
                      <w:sz w:val="21"/>
                      <w:szCs w:val="21"/>
                      <w:highlight w:val="none"/>
                      <w:lang w:val="en-US" w:eastAsia="zh-CN"/>
                    </w:rPr>
                    <w:t>二级</w:t>
                  </w:r>
                  <w:r>
                    <w:rPr>
                      <w:color w:val="auto"/>
                      <w:sz w:val="21"/>
                      <w:szCs w:val="21"/>
                      <w:highlight w:val="none"/>
                    </w:rPr>
                    <w:t>袋式除尘器</w:t>
                  </w:r>
                </w:p>
              </w:tc>
              <w:tc>
                <w:tcPr>
                  <w:tcW w:w="3188" w:type="dxa"/>
                  <w:noWrap w:val="0"/>
                  <w:vAlign w:val="center"/>
                </w:tcPr>
                <w:p>
                  <w:pPr>
                    <w:spacing w:line="360" w:lineRule="atLeast"/>
                    <w:jc w:val="center"/>
                    <w:rPr>
                      <w:rFonts w:hint="eastAsia" w:ascii="Times New Roman" w:hAnsi="Times New Roman"/>
                      <w:sz w:val="21"/>
                      <w:szCs w:val="21"/>
                    </w:rPr>
                  </w:pPr>
                  <w:r>
                    <w:rPr>
                      <w:rFonts w:hint="eastAsia" w:ascii="Times New Roman" w:hAnsi="Times New Roman"/>
                      <w:sz w:val="21"/>
                      <w:szCs w:val="21"/>
                    </w:rPr>
                    <w:t>脉冲式</w:t>
                  </w:r>
                </w:p>
              </w:tc>
              <w:tc>
                <w:tcPr>
                  <w:tcW w:w="678" w:type="dxa"/>
                  <w:noWrap w:val="0"/>
                  <w:vAlign w:val="center"/>
                </w:tcPr>
                <w:p>
                  <w:pPr>
                    <w:spacing w:line="360" w:lineRule="atLeast"/>
                    <w:jc w:val="center"/>
                    <w:rPr>
                      <w:rFonts w:ascii="Times New Roman" w:hAnsi="Times New Roman"/>
                      <w:sz w:val="21"/>
                      <w:szCs w:val="21"/>
                    </w:rPr>
                  </w:pPr>
                  <w:r>
                    <w:rPr>
                      <w:rFonts w:hint="eastAsia" w:ascii="Times New Roman" w:hAnsi="Times New Roman"/>
                      <w:sz w:val="21"/>
                      <w:szCs w:val="21"/>
                      <w:lang w:val="en-US" w:eastAsia="zh-CN"/>
                    </w:rPr>
                    <w:t>2</w:t>
                  </w:r>
                  <w:r>
                    <w:rPr>
                      <w:rFonts w:ascii="Times New Roman" w:hAnsi="Times New Roman"/>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78" w:type="dxa"/>
                  <w:noWrap w:val="0"/>
                  <w:vAlign w:val="center"/>
                </w:tcPr>
                <w:p>
                  <w:pPr>
                    <w:spacing w:line="360" w:lineRule="atLeast"/>
                    <w:jc w:val="center"/>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16</w:t>
                  </w:r>
                </w:p>
              </w:tc>
              <w:tc>
                <w:tcPr>
                  <w:tcW w:w="3095" w:type="dxa"/>
                  <w:gridSpan w:val="2"/>
                  <w:noWrap w:val="0"/>
                  <w:vAlign w:val="center"/>
                </w:tcPr>
                <w:p>
                  <w:pPr>
                    <w:spacing w:line="360" w:lineRule="atLeast"/>
                    <w:jc w:val="center"/>
                    <w:rPr>
                      <w:rFonts w:hint="eastAsia" w:ascii="Times New Roman" w:hAnsi="Times New Roman"/>
                      <w:sz w:val="21"/>
                      <w:szCs w:val="21"/>
                    </w:rPr>
                  </w:pPr>
                  <w:r>
                    <w:rPr>
                      <w:rFonts w:hint="eastAsia" w:ascii="Times New Roman" w:hAnsi="Times New Roman"/>
                      <w:sz w:val="21"/>
                      <w:szCs w:val="21"/>
                    </w:rPr>
                    <w:t>除烟尘</w:t>
                  </w:r>
                  <w:r>
                    <w:rPr>
                      <w:rFonts w:ascii="Times New Roman" w:hAnsi="Times New Roman"/>
                      <w:sz w:val="21"/>
                      <w:szCs w:val="21"/>
                    </w:rPr>
                    <w:t>设备</w:t>
                  </w:r>
                </w:p>
              </w:tc>
              <w:tc>
                <w:tcPr>
                  <w:tcW w:w="3188" w:type="dxa"/>
                  <w:noWrap w:val="0"/>
                  <w:vAlign w:val="center"/>
                </w:tcPr>
                <w:p>
                  <w:pPr>
                    <w:spacing w:line="360" w:lineRule="atLeast"/>
                    <w:jc w:val="center"/>
                    <w:rPr>
                      <w:rFonts w:hint="eastAsia" w:ascii="Times New Roman" w:hAnsi="Times New Roman"/>
                      <w:sz w:val="21"/>
                      <w:szCs w:val="21"/>
                    </w:rPr>
                  </w:pPr>
                  <w:r>
                    <w:rPr>
                      <w:rFonts w:hint="eastAsia" w:ascii="Times New Roman" w:hAnsi="Times New Roman"/>
                      <w:sz w:val="21"/>
                      <w:szCs w:val="21"/>
                    </w:rPr>
                    <w:t>等离子六位</w:t>
                  </w:r>
                  <w:r>
                    <w:rPr>
                      <w:rFonts w:ascii="Times New Roman" w:hAnsi="Times New Roman"/>
                      <w:sz w:val="21"/>
                      <w:szCs w:val="21"/>
                    </w:rPr>
                    <w:t>光催化一体机</w:t>
                  </w:r>
                </w:p>
              </w:tc>
              <w:tc>
                <w:tcPr>
                  <w:tcW w:w="678" w:type="dxa"/>
                  <w:noWrap w:val="0"/>
                  <w:vAlign w:val="center"/>
                </w:tcPr>
                <w:p>
                  <w:pPr>
                    <w:spacing w:line="360" w:lineRule="atLeast"/>
                    <w:jc w:val="center"/>
                    <w:rPr>
                      <w:rFonts w:hint="eastAsia" w:ascii="Times New Roman" w:hAnsi="Times New Roman"/>
                      <w:sz w:val="21"/>
                      <w:szCs w:val="21"/>
                    </w:rPr>
                  </w:pPr>
                  <w:r>
                    <w:rPr>
                      <w:rFonts w:ascii="Times New Roman" w:hAnsi="Times New Roman"/>
                      <w:sz w:val="21"/>
                      <w:szCs w:val="21"/>
                    </w:rPr>
                    <w:t>1</w:t>
                  </w:r>
                  <w:r>
                    <w:rPr>
                      <w:rFonts w:hint="eastAsia" w:ascii="Times New Roman" w:hAnsi="Times New Roman"/>
                      <w:sz w:val="21"/>
                      <w:szCs w:val="21"/>
                    </w:rPr>
                    <w:t>套</w:t>
                  </w:r>
                </w:p>
              </w:tc>
            </w:tr>
          </w:tbl>
          <w:p>
            <w:pPr>
              <w:snapToGrid w:val="0"/>
              <w:spacing w:before="156" w:beforeLines="50" w:line="360" w:lineRule="auto"/>
              <w:ind w:firstLine="465"/>
              <w:rPr>
                <w:rFonts w:hint="eastAsia"/>
                <w:b/>
                <w:bCs/>
                <w:color w:val="auto"/>
                <w:sz w:val="24"/>
                <w:highlight w:val="none"/>
                <w:lang w:val="en-US" w:eastAsia="zh-CN"/>
              </w:rPr>
            </w:pPr>
            <w:r>
              <w:rPr>
                <w:rFonts w:hint="eastAsia"/>
                <w:bCs/>
                <w:kern w:val="0"/>
                <w:sz w:val="24"/>
              </w:rPr>
              <w:t>本项目主要工艺设备选型以能保证产品质量和符合用户要求为前提，选用国内成熟的生产线。根据《高耗能落后机电设备淘汰目录》，本项目生产设备中没有淘汰类中明令淘汰的机械设备。</w:t>
            </w:r>
          </w:p>
          <w:p>
            <w:pPr>
              <w:numPr>
                <w:ilvl w:val="0"/>
                <w:numId w:val="0"/>
              </w:numPr>
              <w:spacing w:before="156" w:beforeLines="50" w:line="360" w:lineRule="auto"/>
              <w:ind w:left="220" w:leftChars="0" w:right="0" w:rightChars="0"/>
              <w:rPr>
                <w:b/>
                <w:bCs/>
                <w:color w:val="auto"/>
                <w:sz w:val="24"/>
                <w:highlight w:val="none"/>
              </w:rPr>
            </w:pPr>
            <w:r>
              <w:rPr>
                <w:rFonts w:hint="eastAsia"/>
                <w:b/>
                <w:bCs/>
                <w:color w:val="auto"/>
                <w:sz w:val="24"/>
                <w:highlight w:val="none"/>
                <w:lang w:val="en-US" w:eastAsia="zh-CN"/>
              </w:rPr>
              <w:t>6、</w:t>
            </w:r>
            <w:r>
              <w:rPr>
                <w:b/>
                <w:bCs/>
                <w:color w:val="auto"/>
                <w:sz w:val="24"/>
                <w:highlight w:val="none"/>
              </w:rPr>
              <w:t>主要原辅材料及动力消耗</w:t>
            </w:r>
          </w:p>
          <w:p>
            <w:pPr>
              <w:snapToGrid w:val="0"/>
              <w:spacing w:line="360" w:lineRule="auto"/>
              <w:jc w:val="center"/>
              <w:rPr>
                <w:rFonts w:hint="eastAsia" w:ascii="宋体" w:hAnsi="宋体" w:eastAsia="宋体" w:cs="宋体"/>
                <w:b/>
                <w:bCs/>
                <w:color w:val="auto"/>
                <w:sz w:val="21"/>
                <w:szCs w:val="21"/>
                <w:highlight w:val="none"/>
              </w:rPr>
            </w:pPr>
            <w:r>
              <w:rPr>
                <w:rFonts w:hint="eastAsia"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rPr>
              <w:t>-4   主要</w:t>
            </w:r>
            <w:r>
              <w:rPr>
                <w:rFonts w:hint="eastAsia" w:ascii="宋体" w:hAnsi="宋体" w:eastAsia="宋体" w:cs="宋体"/>
                <w:b/>
                <w:bCs/>
                <w:color w:val="auto"/>
                <w:sz w:val="21"/>
                <w:szCs w:val="21"/>
                <w:highlight w:val="none"/>
              </w:rPr>
              <w:t>原辅材料及动力消耗表</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68"/>
              <w:gridCol w:w="707"/>
              <w:gridCol w:w="767"/>
              <w:gridCol w:w="1377"/>
              <w:gridCol w:w="1342"/>
              <w:gridCol w:w="25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2242" w:type="dxa"/>
                  <w:gridSpan w:val="3"/>
                  <w:tcBorders>
                    <w:top w:val="single" w:color="auto" w:sz="4" w:space="0"/>
                    <w:left w:val="single" w:color="auto" w:sz="0" w:space="0"/>
                    <w:bottom w:val="single" w:color="auto" w:sz="4" w:space="0"/>
                    <w:right w:val="single" w:color="auto" w:sz="4" w:space="0"/>
                  </w:tcBorders>
                  <w:noWrap w:val="0"/>
                  <w:vAlign w:val="center"/>
                </w:tcPr>
                <w:p>
                  <w:pPr>
                    <w:spacing w:line="360" w:lineRule="atLeast"/>
                    <w:jc w:val="center"/>
                    <w:rPr>
                      <w:rFonts w:hint="eastAsia" w:ascii="Times New Roman" w:hAnsi="Times New Roman" w:eastAsia="宋体" w:cs="宋体"/>
                      <w:b/>
                      <w:bCs/>
                      <w:kern w:val="0"/>
                      <w:sz w:val="21"/>
                      <w:szCs w:val="21"/>
                    </w:rPr>
                  </w:pPr>
                  <w:r>
                    <w:rPr>
                      <w:rFonts w:hint="eastAsia" w:ascii="Times New Roman" w:hAnsi="Times New Roman" w:eastAsia="宋体" w:cs="宋体"/>
                      <w:b/>
                      <w:bCs/>
                      <w:kern w:val="0"/>
                      <w:sz w:val="21"/>
                      <w:szCs w:val="21"/>
                    </w:rPr>
                    <w:t>名称</w:t>
                  </w:r>
                </w:p>
              </w:tc>
              <w:tc>
                <w:tcPr>
                  <w:tcW w:w="137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hint="eastAsia" w:ascii="Times New Roman" w:hAnsi="Times New Roman" w:eastAsia="宋体" w:cs="宋体"/>
                      <w:b/>
                      <w:bCs/>
                      <w:kern w:val="0"/>
                      <w:sz w:val="21"/>
                      <w:szCs w:val="21"/>
                    </w:rPr>
                  </w:pPr>
                  <w:r>
                    <w:rPr>
                      <w:rFonts w:hint="eastAsia" w:ascii="Times New Roman" w:hAnsi="Times New Roman" w:eastAsia="宋体" w:cs="宋体"/>
                      <w:b/>
                      <w:bCs/>
                      <w:kern w:val="0"/>
                      <w:sz w:val="21"/>
                      <w:szCs w:val="21"/>
                    </w:rPr>
                    <w:t>总耗量(t)</w:t>
                  </w:r>
                </w:p>
              </w:tc>
              <w:tc>
                <w:tcPr>
                  <w:tcW w:w="1342"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hint="eastAsia" w:ascii="Times New Roman" w:hAnsi="Times New Roman" w:eastAsia="宋体" w:cs="宋体"/>
                      <w:b/>
                      <w:bCs/>
                      <w:kern w:val="0"/>
                      <w:sz w:val="21"/>
                      <w:szCs w:val="21"/>
                    </w:rPr>
                  </w:pPr>
                  <w:r>
                    <w:rPr>
                      <w:rFonts w:hint="eastAsia" w:ascii="Times New Roman" w:hAnsi="Times New Roman" w:eastAsia="宋体" w:cs="宋体"/>
                      <w:b/>
                      <w:bCs/>
                      <w:kern w:val="0"/>
                      <w:sz w:val="21"/>
                      <w:szCs w:val="21"/>
                    </w:rPr>
                    <w:t>储存方式</w:t>
                  </w:r>
                </w:p>
              </w:tc>
              <w:tc>
                <w:tcPr>
                  <w:tcW w:w="251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hint="eastAsia" w:ascii="Times New Roman" w:hAnsi="Times New Roman" w:eastAsia="宋体" w:cs="宋体"/>
                      <w:b/>
                      <w:bCs/>
                      <w:kern w:val="0"/>
                      <w:sz w:val="21"/>
                      <w:szCs w:val="21"/>
                    </w:rPr>
                  </w:pPr>
                  <w:r>
                    <w:rPr>
                      <w:rFonts w:hint="eastAsia" w:ascii="Times New Roman" w:hAnsi="Times New Roman" w:eastAsia="宋体" w:cs="宋体"/>
                      <w:b/>
                      <w:bCs/>
                      <w:kern w:val="0"/>
                      <w:sz w:val="21"/>
                      <w:szCs w:val="21"/>
                    </w:rPr>
                    <w:t>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3" w:hRule="atLeast"/>
                <w:jc w:val="center"/>
              </w:trPr>
              <w:tc>
                <w:tcPr>
                  <w:tcW w:w="76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rPr>
                  </w:pPr>
                  <w:r>
                    <w:rPr>
                      <w:rFonts w:ascii="Times New Roman" w:hAnsi="Times New Roman" w:eastAsia="宋体" w:cs="宋体"/>
                      <w:kern w:val="0"/>
                      <w:sz w:val="21"/>
                      <w:szCs w:val="21"/>
                    </w:rPr>
                    <w:t>主要</w:t>
                  </w:r>
                </w:p>
                <w:p>
                  <w:pPr>
                    <w:spacing w:line="360" w:lineRule="atLeast"/>
                    <w:jc w:val="center"/>
                    <w:rPr>
                      <w:rFonts w:ascii="Times New Roman" w:hAnsi="Times New Roman" w:eastAsia="宋体" w:cs="宋体"/>
                      <w:kern w:val="0"/>
                      <w:sz w:val="21"/>
                      <w:szCs w:val="21"/>
                    </w:rPr>
                  </w:pPr>
                  <w:r>
                    <w:rPr>
                      <w:rFonts w:ascii="Times New Roman" w:hAnsi="Times New Roman" w:eastAsia="宋体" w:cs="宋体"/>
                      <w:kern w:val="0"/>
                      <w:sz w:val="21"/>
                      <w:szCs w:val="21"/>
                    </w:rPr>
                    <w:t>原辅</w:t>
                  </w:r>
                </w:p>
                <w:p>
                  <w:pPr>
                    <w:spacing w:line="360" w:lineRule="atLeast"/>
                    <w:jc w:val="center"/>
                    <w:rPr>
                      <w:rFonts w:ascii="Times New Roman" w:hAnsi="Times New Roman" w:eastAsia="宋体" w:cs="宋体"/>
                      <w:kern w:val="0"/>
                      <w:sz w:val="21"/>
                      <w:szCs w:val="21"/>
                    </w:rPr>
                  </w:pPr>
                  <w:r>
                    <w:rPr>
                      <w:rFonts w:ascii="Times New Roman" w:hAnsi="Times New Roman" w:eastAsia="宋体" w:cs="宋体"/>
                      <w:kern w:val="0"/>
                      <w:sz w:val="21"/>
                      <w:szCs w:val="21"/>
                    </w:rPr>
                    <w:t>材料</w:t>
                  </w:r>
                </w:p>
              </w:tc>
              <w:tc>
                <w:tcPr>
                  <w:tcW w:w="70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rPr>
                  </w:pPr>
                  <w:r>
                    <w:rPr>
                      <w:rFonts w:ascii="Times New Roman" w:hAnsi="Times New Roman" w:eastAsia="宋体" w:cs="宋体"/>
                      <w:kern w:val="0"/>
                      <w:sz w:val="21"/>
                      <w:szCs w:val="21"/>
                    </w:rPr>
                    <w:t>沥青</w:t>
                  </w:r>
                  <w:r>
                    <w:rPr>
                      <w:rFonts w:hint="eastAsia" w:ascii="Times New Roman" w:hAnsi="Times New Roman" w:eastAsia="宋体" w:cs="宋体"/>
                      <w:kern w:val="0"/>
                      <w:sz w:val="21"/>
                      <w:szCs w:val="21"/>
                    </w:rPr>
                    <w:t>混凝土</w:t>
                  </w:r>
                  <w:r>
                    <w:rPr>
                      <w:rFonts w:ascii="Times New Roman" w:hAnsi="Times New Roman" w:eastAsia="宋体" w:cs="宋体"/>
                      <w:kern w:val="0"/>
                      <w:sz w:val="21"/>
                      <w:szCs w:val="21"/>
                    </w:rPr>
                    <w:t>生产线</w:t>
                  </w:r>
                </w:p>
              </w:tc>
              <w:tc>
                <w:tcPr>
                  <w:tcW w:w="76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rPr>
                  </w:pPr>
                  <w:r>
                    <w:rPr>
                      <w:rFonts w:ascii="Times New Roman" w:hAnsi="Times New Roman" w:eastAsia="宋体" w:cs="宋体"/>
                      <w:kern w:val="0"/>
                      <w:sz w:val="21"/>
                      <w:szCs w:val="21"/>
                    </w:rPr>
                    <w:t>沥青</w:t>
                  </w:r>
                </w:p>
              </w:tc>
              <w:tc>
                <w:tcPr>
                  <w:tcW w:w="137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hint="default" w:ascii="Times New Roman" w:hAnsi="Times New Roman" w:eastAsia="宋体" w:cs="宋体"/>
                      <w:color w:val="0000FF"/>
                      <w:kern w:val="0"/>
                      <w:sz w:val="21"/>
                      <w:szCs w:val="21"/>
                      <w:highlight w:val="yellow"/>
                      <w:lang w:val="en-US" w:eastAsia="zh-CN"/>
                    </w:rPr>
                  </w:pPr>
                  <w:r>
                    <w:rPr>
                      <w:rFonts w:hint="eastAsia" w:ascii="Times New Roman" w:hAnsi="Times New Roman" w:cs="宋体"/>
                      <w:color w:val="auto"/>
                      <w:kern w:val="0"/>
                      <w:sz w:val="21"/>
                      <w:szCs w:val="21"/>
                      <w:highlight w:val="none"/>
                      <w:lang w:val="en-US" w:eastAsia="zh-CN"/>
                    </w:rPr>
                    <w:t>6768.84</w:t>
                  </w:r>
                </w:p>
              </w:tc>
              <w:tc>
                <w:tcPr>
                  <w:tcW w:w="1342"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rPr>
                  </w:pPr>
                  <w:r>
                    <w:rPr>
                      <w:rFonts w:hint="default" w:ascii="Times New Roman" w:hAnsi="Times New Roman" w:eastAsia="宋体" w:cs="宋体"/>
                      <w:kern w:val="0"/>
                      <w:sz w:val="21"/>
                      <w:szCs w:val="21"/>
                      <w:lang w:val="zh-TW" w:eastAsia="zh-TW"/>
                    </w:rPr>
                    <w:t>密闭储罐</w:t>
                  </w:r>
                </w:p>
              </w:tc>
              <w:tc>
                <w:tcPr>
                  <w:tcW w:w="251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hint="eastAsia" w:ascii="Times New Roman" w:hAnsi="Times New Roman" w:eastAsia="宋体" w:cs="宋体"/>
                      <w:kern w:val="0"/>
                      <w:sz w:val="21"/>
                      <w:szCs w:val="21"/>
                    </w:rPr>
                  </w:pPr>
                  <w:r>
                    <w:rPr>
                      <w:rFonts w:hint="default" w:ascii="Times New Roman" w:hAnsi="Times New Roman" w:eastAsia="宋体" w:cs="宋体"/>
                      <w:kern w:val="0"/>
                      <w:sz w:val="21"/>
                      <w:szCs w:val="21"/>
                      <w:highlight w:val="none"/>
                      <w:lang w:val="zh-TW"/>
                    </w:rPr>
                    <w:t>成都</w:t>
                  </w:r>
                  <w:r>
                    <w:rPr>
                      <w:rFonts w:hint="default" w:ascii="Times New Roman" w:hAnsi="Times New Roman" w:eastAsia="宋体" w:cs="宋体"/>
                      <w:kern w:val="0"/>
                      <w:sz w:val="21"/>
                      <w:szCs w:val="21"/>
                      <w:highlight w:val="none"/>
                      <w:lang w:val="zh-TW" w:eastAsia="zh-TW"/>
                    </w:rPr>
                    <w:t>外购</w:t>
                  </w:r>
                  <w:r>
                    <w:rPr>
                      <w:rFonts w:hint="default" w:ascii="Times New Roman" w:hAnsi="Times New Roman" w:eastAsia="宋体" w:cs="宋体"/>
                      <w:kern w:val="0"/>
                      <w:sz w:val="21"/>
                      <w:szCs w:val="21"/>
                      <w:highlight w:val="none"/>
                      <w:lang w:val="zh-TW"/>
                    </w:rPr>
                    <w:t>，密封运输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3" w:hRule="atLeast"/>
                <w:jc w:val="center"/>
              </w:trPr>
              <w:tc>
                <w:tcPr>
                  <w:tcW w:w="76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rPr>
                  </w:pPr>
                </w:p>
              </w:tc>
              <w:tc>
                <w:tcPr>
                  <w:tcW w:w="70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rPr>
                  </w:pPr>
                </w:p>
              </w:tc>
              <w:tc>
                <w:tcPr>
                  <w:tcW w:w="76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rPr>
                  </w:pPr>
                  <w:r>
                    <w:rPr>
                      <w:rFonts w:hint="eastAsia" w:ascii="Times New Roman" w:hAnsi="Times New Roman" w:eastAsia="宋体" w:cs="宋体"/>
                      <w:kern w:val="0"/>
                      <w:sz w:val="21"/>
                      <w:szCs w:val="21"/>
                    </w:rPr>
                    <w:t>砂</w:t>
                  </w:r>
                </w:p>
              </w:tc>
              <w:tc>
                <w:tcPr>
                  <w:tcW w:w="137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hint="default" w:ascii="Times New Roman" w:hAnsi="Times New Roman" w:eastAsia="宋体" w:cs="宋体"/>
                      <w:color w:val="auto"/>
                      <w:kern w:val="0"/>
                      <w:sz w:val="21"/>
                      <w:szCs w:val="21"/>
                      <w:highlight w:val="none"/>
                      <w:lang w:val="en-US" w:eastAsia="zh-CN"/>
                    </w:rPr>
                  </w:pPr>
                  <w:r>
                    <w:rPr>
                      <w:rFonts w:hint="eastAsia" w:ascii="Times New Roman" w:hAnsi="Times New Roman" w:cs="宋体"/>
                      <w:color w:val="auto"/>
                      <w:kern w:val="0"/>
                      <w:sz w:val="21"/>
                      <w:szCs w:val="21"/>
                      <w:highlight w:val="none"/>
                      <w:lang w:val="en-US" w:eastAsia="zh-CN"/>
                    </w:rPr>
                    <w:t>19342.58</w:t>
                  </w:r>
                </w:p>
              </w:tc>
              <w:tc>
                <w:tcPr>
                  <w:tcW w:w="1342"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hint="default" w:ascii="Times New Roman" w:hAnsi="Times New Roman" w:eastAsia="宋体" w:cs="宋体"/>
                      <w:color w:val="auto"/>
                      <w:kern w:val="0"/>
                      <w:sz w:val="21"/>
                      <w:szCs w:val="21"/>
                      <w:lang w:val="zh-TW" w:eastAsia="zh-TW"/>
                    </w:rPr>
                  </w:pPr>
                  <w:r>
                    <w:rPr>
                      <w:rFonts w:hint="eastAsia" w:ascii="Times New Roman" w:hAnsi="Times New Roman" w:eastAsia="宋体" w:cs="宋体"/>
                      <w:color w:val="auto"/>
                      <w:kern w:val="0"/>
                      <w:sz w:val="21"/>
                      <w:szCs w:val="21"/>
                    </w:rPr>
                    <w:t>散装堆存</w:t>
                  </w:r>
                </w:p>
              </w:tc>
              <w:tc>
                <w:tcPr>
                  <w:tcW w:w="251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hint="default" w:ascii="Times New Roman" w:hAnsi="Times New Roman" w:eastAsia="宋体" w:cs="宋体"/>
                      <w:kern w:val="0"/>
                      <w:sz w:val="21"/>
                      <w:szCs w:val="21"/>
                      <w:lang w:val="zh-TW" w:eastAsia="zh-TW"/>
                    </w:rPr>
                  </w:pPr>
                  <w:r>
                    <w:rPr>
                      <w:rStyle w:val="19"/>
                      <w:rFonts w:hint="default"/>
                      <w:color w:val="auto"/>
                      <w:sz w:val="21"/>
                      <w:szCs w:val="21"/>
                      <w:highlight w:val="none"/>
                      <w:u w:val="none"/>
                      <w:lang w:val="zh-TW"/>
                    </w:rPr>
                    <w:t>外购，</w:t>
                  </w:r>
                  <w:r>
                    <w:rPr>
                      <w:rStyle w:val="19"/>
                      <w:rFonts w:hint="default"/>
                      <w:color w:val="auto"/>
                      <w:sz w:val="21"/>
                      <w:szCs w:val="21"/>
                      <w:highlight w:val="none"/>
                      <w:u w:val="none"/>
                      <w:lang w:val="zh-TW" w:eastAsia="zh-TW"/>
                    </w:rPr>
                    <w:t>汽车运输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3" w:hRule="atLeast"/>
                <w:jc w:val="center"/>
              </w:trPr>
              <w:tc>
                <w:tcPr>
                  <w:tcW w:w="76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rPr>
                  </w:pPr>
                </w:p>
              </w:tc>
              <w:tc>
                <w:tcPr>
                  <w:tcW w:w="70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hint="eastAsia" w:ascii="Times New Roman" w:hAnsi="Times New Roman" w:eastAsia="宋体" w:cs="宋体"/>
                      <w:kern w:val="0"/>
                      <w:sz w:val="21"/>
                      <w:szCs w:val="21"/>
                    </w:rPr>
                  </w:pPr>
                </w:p>
              </w:tc>
              <w:tc>
                <w:tcPr>
                  <w:tcW w:w="76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rPr>
                  </w:pPr>
                  <w:r>
                    <w:rPr>
                      <w:rFonts w:ascii="Times New Roman" w:hAnsi="Times New Roman" w:eastAsia="宋体" w:cs="宋体"/>
                      <w:kern w:val="0"/>
                      <w:sz w:val="21"/>
                      <w:szCs w:val="21"/>
                    </w:rPr>
                    <w:t>碎石</w:t>
                  </w:r>
                </w:p>
              </w:tc>
              <w:tc>
                <w:tcPr>
                  <w:tcW w:w="137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hint="default" w:ascii="Times New Roman" w:hAnsi="Times New Roman" w:eastAsia="宋体" w:cs="宋体"/>
                      <w:color w:val="auto"/>
                      <w:kern w:val="0"/>
                      <w:sz w:val="21"/>
                      <w:szCs w:val="21"/>
                      <w:highlight w:val="none"/>
                      <w:lang w:val="en-US" w:eastAsia="zh-CN"/>
                    </w:rPr>
                  </w:pPr>
                  <w:r>
                    <w:rPr>
                      <w:rFonts w:hint="eastAsia" w:ascii="Times New Roman" w:hAnsi="Times New Roman" w:cs="宋体"/>
                      <w:color w:val="auto"/>
                      <w:kern w:val="0"/>
                      <w:sz w:val="21"/>
                      <w:szCs w:val="21"/>
                      <w:highlight w:val="none"/>
                      <w:lang w:val="en-US" w:eastAsia="zh-CN"/>
                    </w:rPr>
                    <w:t>109897.14</w:t>
                  </w:r>
                </w:p>
              </w:tc>
              <w:tc>
                <w:tcPr>
                  <w:tcW w:w="1342"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color w:val="auto"/>
                      <w:kern w:val="0"/>
                      <w:sz w:val="21"/>
                      <w:szCs w:val="21"/>
                    </w:rPr>
                  </w:pPr>
                  <w:r>
                    <w:rPr>
                      <w:rFonts w:hint="eastAsia" w:ascii="Times New Roman" w:hAnsi="Times New Roman" w:eastAsia="宋体" w:cs="宋体"/>
                      <w:color w:val="auto"/>
                      <w:kern w:val="0"/>
                      <w:sz w:val="21"/>
                      <w:szCs w:val="21"/>
                    </w:rPr>
                    <w:t>散装堆存</w:t>
                  </w:r>
                </w:p>
              </w:tc>
              <w:tc>
                <w:tcPr>
                  <w:tcW w:w="251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rPr>
                  </w:pPr>
                  <w:r>
                    <w:rPr>
                      <w:rStyle w:val="19"/>
                      <w:rFonts w:hint="default"/>
                      <w:color w:val="auto"/>
                      <w:sz w:val="21"/>
                      <w:szCs w:val="21"/>
                      <w:highlight w:val="none"/>
                      <w:u w:val="none"/>
                      <w:lang w:val="zh-TW"/>
                    </w:rPr>
                    <w:t>外购，</w:t>
                  </w:r>
                  <w:r>
                    <w:rPr>
                      <w:rStyle w:val="19"/>
                      <w:rFonts w:hint="default"/>
                      <w:color w:val="auto"/>
                      <w:sz w:val="21"/>
                      <w:szCs w:val="21"/>
                      <w:highlight w:val="none"/>
                      <w:u w:val="none"/>
                      <w:lang w:val="zh-TW" w:eastAsia="zh-TW"/>
                    </w:rPr>
                    <w:t>汽车运输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3" w:hRule="atLeast"/>
                <w:jc w:val="center"/>
              </w:trPr>
              <w:tc>
                <w:tcPr>
                  <w:tcW w:w="76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rPr>
                  </w:pPr>
                </w:p>
              </w:tc>
              <w:tc>
                <w:tcPr>
                  <w:tcW w:w="70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rPr>
                  </w:pPr>
                </w:p>
              </w:tc>
              <w:tc>
                <w:tcPr>
                  <w:tcW w:w="76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highlight w:val="yellow"/>
                    </w:rPr>
                  </w:pPr>
                  <w:r>
                    <w:rPr>
                      <w:rFonts w:ascii="Times New Roman" w:hAnsi="Times New Roman" w:eastAsia="宋体" w:cs="宋体"/>
                      <w:kern w:val="0"/>
                      <w:sz w:val="21"/>
                      <w:szCs w:val="21"/>
                      <w:highlight w:val="none"/>
                    </w:rPr>
                    <w:t>矿粉</w:t>
                  </w:r>
                </w:p>
              </w:tc>
              <w:tc>
                <w:tcPr>
                  <w:tcW w:w="137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hint="default" w:ascii="Times New Roman" w:hAnsi="Times New Roman" w:eastAsia="宋体" w:cs="宋体"/>
                      <w:color w:val="auto"/>
                      <w:kern w:val="0"/>
                      <w:sz w:val="21"/>
                      <w:szCs w:val="21"/>
                      <w:highlight w:val="yellow"/>
                      <w:lang w:val="en-US" w:eastAsia="zh-CN"/>
                    </w:rPr>
                  </w:pPr>
                  <w:r>
                    <w:rPr>
                      <w:rFonts w:hint="eastAsia" w:ascii="Times New Roman" w:hAnsi="Times New Roman" w:cs="宋体"/>
                      <w:color w:val="auto"/>
                      <w:kern w:val="0"/>
                      <w:sz w:val="21"/>
                      <w:szCs w:val="21"/>
                      <w:highlight w:val="none"/>
                      <w:lang w:val="en-US" w:eastAsia="zh-CN"/>
                    </w:rPr>
                    <w:t>7989.78</w:t>
                  </w:r>
                </w:p>
              </w:tc>
              <w:tc>
                <w:tcPr>
                  <w:tcW w:w="1342"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color w:val="auto"/>
                      <w:kern w:val="0"/>
                      <w:sz w:val="21"/>
                      <w:szCs w:val="21"/>
                      <w:highlight w:val="none"/>
                    </w:rPr>
                  </w:pPr>
                  <w:r>
                    <w:rPr>
                      <w:rFonts w:hint="default" w:ascii="Times New Roman" w:hAnsi="Times New Roman" w:eastAsia="宋体" w:cs="宋体"/>
                      <w:color w:val="auto"/>
                      <w:kern w:val="0"/>
                      <w:sz w:val="21"/>
                      <w:szCs w:val="21"/>
                      <w:highlight w:val="none"/>
                      <w:lang w:val="zh-TW" w:eastAsia="zh-TW"/>
                    </w:rPr>
                    <w:t>密闭储罐</w:t>
                  </w:r>
                </w:p>
              </w:tc>
              <w:tc>
                <w:tcPr>
                  <w:tcW w:w="251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highlight w:val="none"/>
                    </w:rPr>
                  </w:pPr>
                  <w:r>
                    <w:rPr>
                      <w:rFonts w:hint="default" w:ascii="Times New Roman" w:hAnsi="Times New Roman" w:eastAsia="宋体" w:cs="宋体"/>
                      <w:kern w:val="0"/>
                      <w:sz w:val="21"/>
                      <w:szCs w:val="21"/>
                      <w:highlight w:val="none"/>
                      <w:lang w:val="zh-TW"/>
                    </w:rPr>
                    <w:t>成都</w:t>
                  </w:r>
                  <w:r>
                    <w:rPr>
                      <w:rFonts w:hint="default" w:ascii="Times New Roman" w:hAnsi="Times New Roman" w:eastAsia="宋体" w:cs="宋体"/>
                      <w:kern w:val="0"/>
                      <w:sz w:val="21"/>
                      <w:szCs w:val="21"/>
                      <w:highlight w:val="none"/>
                      <w:lang w:val="zh-TW" w:eastAsia="zh-TW"/>
                    </w:rPr>
                    <w:t>外购，粉罐车运输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768"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rPr>
                  </w:pPr>
                </w:p>
              </w:tc>
              <w:tc>
                <w:tcPr>
                  <w:tcW w:w="707" w:type="dxa"/>
                  <w:vMerge w:val="continue"/>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hint="eastAsia" w:ascii="Times New Roman" w:hAnsi="Times New Roman" w:eastAsia="宋体" w:cs="宋体"/>
                      <w:kern w:val="0"/>
                      <w:sz w:val="21"/>
                      <w:szCs w:val="21"/>
                    </w:rPr>
                  </w:pPr>
                </w:p>
              </w:tc>
              <w:tc>
                <w:tcPr>
                  <w:tcW w:w="76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rPr>
                  </w:pPr>
                  <w:r>
                    <w:rPr>
                      <w:rFonts w:hint="eastAsia" w:ascii="Times New Roman" w:hAnsi="Times New Roman" w:eastAsia="宋体" w:cs="宋体"/>
                      <w:kern w:val="0"/>
                      <w:sz w:val="21"/>
                      <w:szCs w:val="21"/>
                    </w:rPr>
                    <w:t>导热油</w:t>
                  </w:r>
                </w:p>
              </w:tc>
              <w:tc>
                <w:tcPr>
                  <w:tcW w:w="137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hint="default" w:ascii="Times New Roman" w:hAnsi="Times New Roman" w:eastAsia="宋体" w:cs="宋体"/>
                      <w:color w:val="0000FF"/>
                      <w:kern w:val="0"/>
                      <w:sz w:val="21"/>
                      <w:szCs w:val="21"/>
                      <w:highlight w:val="yellow"/>
                      <w:lang w:val="en-US" w:eastAsia="zh-CN"/>
                    </w:rPr>
                  </w:pPr>
                  <w:r>
                    <w:rPr>
                      <w:rFonts w:hint="eastAsia" w:ascii="Times New Roman" w:hAnsi="Times New Roman" w:cs="宋体"/>
                      <w:color w:val="auto"/>
                      <w:kern w:val="0"/>
                      <w:sz w:val="21"/>
                      <w:szCs w:val="21"/>
                      <w:highlight w:val="none"/>
                      <w:lang w:val="en-US" w:eastAsia="zh-CN"/>
                    </w:rPr>
                    <w:t>6.0</w:t>
                  </w:r>
                </w:p>
              </w:tc>
              <w:tc>
                <w:tcPr>
                  <w:tcW w:w="1342"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rPr>
                  </w:pPr>
                  <w:r>
                    <w:rPr>
                      <w:rFonts w:hint="default" w:ascii="Times New Roman" w:hAnsi="Times New Roman" w:eastAsia="宋体" w:cs="宋体"/>
                      <w:kern w:val="0"/>
                      <w:sz w:val="21"/>
                      <w:szCs w:val="21"/>
                      <w:lang w:val="zh-TW" w:eastAsia="zh-TW"/>
                    </w:rPr>
                    <w:t>密闭储罐</w:t>
                  </w:r>
                </w:p>
              </w:tc>
              <w:tc>
                <w:tcPr>
                  <w:tcW w:w="251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hint="eastAsia" w:ascii="Times New Roman" w:hAnsi="Times New Roman" w:eastAsia="宋体" w:cs="宋体"/>
                      <w:kern w:val="0"/>
                      <w:sz w:val="21"/>
                      <w:szCs w:val="21"/>
                    </w:rPr>
                  </w:pPr>
                  <w:r>
                    <w:rPr>
                      <w:rFonts w:hint="default" w:ascii="Times New Roman" w:hAnsi="Times New Roman" w:eastAsia="宋体" w:cs="宋体"/>
                      <w:kern w:val="0"/>
                      <w:sz w:val="21"/>
                      <w:szCs w:val="21"/>
                      <w:lang w:val="zh-TW"/>
                    </w:rPr>
                    <w:t>生产厂家通过油罐发货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3" w:hRule="atLeast"/>
                <w:jc w:val="center"/>
              </w:trPr>
              <w:tc>
                <w:tcPr>
                  <w:tcW w:w="768" w:type="dxa"/>
                  <w:vMerge w:val="restart"/>
                  <w:tcBorders>
                    <w:top w:val="single" w:color="auto" w:sz="4" w:space="0"/>
                    <w:left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rPr>
                  </w:pPr>
                  <w:r>
                    <w:rPr>
                      <w:rFonts w:ascii="Times New Roman" w:hAnsi="Times New Roman" w:eastAsia="宋体" w:cs="宋体"/>
                      <w:kern w:val="0"/>
                      <w:sz w:val="21"/>
                      <w:szCs w:val="21"/>
                    </w:rPr>
                    <w:t>能源</w:t>
                  </w:r>
                </w:p>
              </w:tc>
              <w:tc>
                <w:tcPr>
                  <w:tcW w:w="1474"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rPr>
                  </w:pPr>
                  <w:r>
                    <w:rPr>
                      <w:rFonts w:ascii="Times New Roman" w:hAnsi="Times New Roman" w:eastAsia="宋体" w:cs="宋体"/>
                      <w:kern w:val="0"/>
                      <w:sz w:val="21"/>
                      <w:szCs w:val="21"/>
                    </w:rPr>
                    <w:t>电（万 kWh）</w:t>
                  </w:r>
                </w:p>
              </w:tc>
              <w:tc>
                <w:tcPr>
                  <w:tcW w:w="137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hint="eastAsia" w:ascii="Times New Roman" w:hAnsi="Times New Roman" w:eastAsia="宋体" w:cs="宋体"/>
                      <w:color w:val="0000FF"/>
                      <w:kern w:val="0"/>
                      <w:sz w:val="21"/>
                      <w:szCs w:val="21"/>
                      <w:highlight w:val="yellow"/>
                    </w:rPr>
                  </w:pPr>
                  <w:r>
                    <w:rPr>
                      <w:rFonts w:ascii="Times New Roman" w:hAnsi="Times New Roman" w:eastAsia="宋体" w:cs="宋体"/>
                      <w:color w:val="auto"/>
                      <w:kern w:val="0"/>
                      <w:sz w:val="21"/>
                      <w:szCs w:val="21"/>
                      <w:highlight w:val="none"/>
                    </w:rPr>
                    <w:t>35</w:t>
                  </w:r>
                </w:p>
              </w:tc>
              <w:tc>
                <w:tcPr>
                  <w:tcW w:w="1342"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rPr>
                  </w:pPr>
                  <w:r>
                    <w:rPr>
                      <w:rFonts w:hint="eastAsia" w:ascii="Times New Roman" w:hAnsi="Times New Roman" w:eastAsia="宋体" w:cs="宋体"/>
                      <w:kern w:val="0"/>
                      <w:sz w:val="21"/>
                      <w:szCs w:val="21"/>
                    </w:rPr>
                    <w:t>当地</w:t>
                  </w:r>
                  <w:r>
                    <w:rPr>
                      <w:rFonts w:ascii="Times New Roman" w:hAnsi="Times New Roman" w:eastAsia="宋体" w:cs="宋体"/>
                      <w:kern w:val="0"/>
                      <w:sz w:val="21"/>
                      <w:szCs w:val="21"/>
                    </w:rPr>
                    <w:t>电网</w:t>
                  </w:r>
                </w:p>
              </w:tc>
              <w:tc>
                <w:tcPr>
                  <w:tcW w:w="251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hint="eastAsia" w:ascii="Times New Roman" w:hAnsi="Times New Roman" w:eastAsia="宋体" w:cs="宋体"/>
                      <w:kern w:val="0"/>
                      <w:sz w:val="21"/>
                      <w:szCs w:val="21"/>
                    </w:rPr>
                  </w:pPr>
                  <w:r>
                    <w:rPr>
                      <w:rFonts w:hint="eastAsia" w:ascii="Times New Roman" w:hAnsi="Times New Roman" w:eastAsia="宋体" w:cs="宋体"/>
                      <w:kern w:val="0"/>
                      <w:sz w:val="21"/>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768" w:type="dxa"/>
                  <w:vMerge w:val="continue"/>
                  <w:tcBorders>
                    <w:top w:val="single" w:color="auto" w:sz="4" w:space="0"/>
                    <w:left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rPr>
                  </w:pPr>
                </w:p>
              </w:tc>
              <w:tc>
                <w:tcPr>
                  <w:tcW w:w="1474"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color w:val="auto"/>
                      <w:kern w:val="0"/>
                      <w:sz w:val="21"/>
                      <w:szCs w:val="21"/>
                      <w:highlight w:val="none"/>
                    </w:rPr>
                  </w:pPr>
                  <w:r>
                    <w:rPr>
                      <w:color w:val="auto"/>
                      <w:kern w:val="0"/>
                      <w:sz w:val="21"/>
                      <w:szCs w:val="21"/>
                      <w:highlight w:val="none"/>
                    </w:rPr>
                    <w:t>柴油（t）</w:t>
                  </w:r>
                </w:p>
                <w:p>
                  <w:pPr>
                    <w:spacing w:line="360" w:lineRule="atLeast"/>
                    <w:jc w:val="center"/>
                    <w:rPr>
                      <w:rFonts w:ascii="Times New Roman" w:hAnsi="Times New Roman" w:eastAsia="宋体" w:cs="宋体"/>
                      <w:kern w:val="0"/>
                      <w:sz w:val="21"/>
                      <w:szCs w:val="21"/>
                    </w:rPr>
                  </w:pPr>
                  <w:r>
                    <w:rPr>
                      <w:rFonts w:hint="eastAsia"/>
                      <w:color w:val="auto"/>
                      <w:kern w:val="0"/>
                      <w:sz w:val="21"/>
                      <w:szCs w:val="21"/>
                      <w:highlight w:val="none"/>
                      <w:lang w:val="en-US" w:eastAsia="zh-CN"/>
                    </w:rPr>
                    <w:t>加热导热油用</w:t>
                  </w:r>
                </w:p>
              </w:tc>
              <w:tc>
                <w:tcPr>
                  <w:tcW w:w="137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hint="default" w:ascii="Times New Roman" w:hAnsi="Times New Roman" w:eastAsia="宋体" w:cs="宋体"/>
                      <w:color w:val="auto"/>
                      <w:kern w:val="0"/>
                      <w:sz w:val="21"/>
                      <w:szCs w:val="21"/>
                      <w:highlight w:val="none"/>
                      <w:lang w:val="en-US" w:eastAsia="zh-CN"/>
                    </w:rPr>
                  </w:pPr>
                  <w:r>
                    <w:rPr>
                      <w:rFonts w:hint="eastAsia" w:ascii="Times New Roman" w:hAnsi="Times New Roman" w:cs="宋体"/>
                      <w:color w:val="auto"/>
                      <w:kern w:val="0"/>
                      <w:sz w:val="21"/>
                      <w:szCs w:val="21"/>
                      <w:highlight w:val="none"/>
                      <w:lang w:val="en-US" w:eastAsia="zh-CN"/>
                    </w:rPr>
                    <w:t>120</w:t>
                  </w:r>
                </w:p>
              </w:tc>
              <w:tc>
                <w:tcPr>
                  <w:tcW w:w="1342"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hint="default" w:ascii="Times New Roman" w:hAnsi="Times New Roman" w:eastAsia="宋体" w:cs="宋体"/>
                      <w:kern w:val="0"/>
                      <w:sz w:val="21"/>
                      <w:szCs w:val="21"/>
                      <w:highlight w:val="none"/>
                      <w:lang w:val="zh-TW" w:eastAsia="zh-TW"/>
                    </w:rPr>
                  </w:pPr>
                  <w:r>
                    <w:rPr>
                      <w:rFonts w:hint="default" w:ascii="Times New Roman" w:hAnsi="Times New Roman" w:eastAsia="宋体" w:cs="宋体"/>
                      <w:kern w:val="0"/>
                      <w:sz w:val="21"/>
                      <w:szCs w:val="21"/>
                      <w:highlight w:val="none"/>
                      <w:lang w:val="zh-TW" w:eastAsia="zh-TW"/>
                    </w:rPr>
                    <w:t>密闭储罐</w:t>
                  </w:r>
                </w:p>
              </w:tc>
              <w:tc>
                <w:tcPr>
                  <w:tcW w:w="251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hint="default" w:ascii="Times New Roman" w:hAnsi="Times New Roman" w:eastAsia="宋体" w:cs="宋体"/>
                      <w:kern w:val="0"/>
                      <w:sz w:val="21"/>
                      <w:szCs w:val="21"/>
                      <w:highlight w:val="none"/>
                      <w:lang w:val="zh-TW"/>
                    </w:rPr>
                  </w:pPr>
                  <w:r>
                    <w:rPr>
                      <w:rFonts w:hint="default" w:ascii="Times New Roman" w:hAnsi="Times New Roman" w:eastAsia="宋体" w:cs="宋体"/>
                      <w:kern w:val="0"/>
                      <w:sz w:val="21"/>
                      <w:szCs w:val="21"/>
                      <w:highlight w:val="none"/>
                      <w:lang w:val="zh-TW"/>
                    </w:rPr>
                    <w:t>成都外购，油罐车运输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9" w:hRule="atLeast"/>
                <w:jc w:val="center"/>
              </w:trPr>
              <w:tc>
                <w:tcPr>
                  <w:tcW w:w="768" w:type="dxa"/>
                  <w:vMerge w:val="continue"/>
                  <w:tcBorders>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rPr>
                  </w:pPr>
                </w:p>
              </w:tc>
              <w:tc>
                <w:tcPr>
                  <w:tcW w:w="1474"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rPr>
                  </w:pPr>
                  <w:r>
                    <w:rPr>
                      <w:rFonts w:hint="eastAsia" w:ascii="Times New Roman" w:hAnsi="Times New Roman" w:eastAsia="宋体" w:cs="宋体"/>
                      <w:kern w:val="0"/>
                      <w:sz w:val="21"/>
                      <w:szCs w:val="21"/>
                    </w:rPr>
                    <w:t>柴油</w:t>
                  </w:r>
                  <w:r>
                    <w:rPr>
                      <w:rFonts w:ascii="Times New Roman" w:hAnsi="Times New Roman" w:eastAsia="宋体" w:cs="宋体"/>
                      <w:kern w:val="0"/>
                      <w:sz w:val="21"/>
                      <w:szCs w:val="21"/>
                    </w:rPr>
                    <w:t>（</w:t>
                  </w:r>
                  <w:r>
                    <w:rPr>
                      <w:rFonts w:hint="eastAsia" w:ascii="Times New Roman" w:hAnsi="Times New Roman" w:eastAsia="宋体" w:cs="宋体"/>
                      <w:kern w:val="0"/>
                      <w:sz w:val="21"/>
                      <w:szCs w:val="21"/>
                    </w:rPr>
                    <w:t>t</w:t>
                  </w:r>
                  <w:r>
                    <w:rPr>
                      <w:rFonts w:ascii="Times New Roman" w:hAnsi="Times New Roman" w:eastAsia="宋体" w:cs="宋体"/>
                      <w:kern w:val="0"/>
                      <w:sz w:val="21"/>
                      <w:szCs w:val="21"/>
                    </w:rPr>
                    <w:t>）</w:t>
                  </w:r>
                </w:p>
                <w:p>
                  <w:pPr>
                    <w:spacing w:line="360" w:lineRule="atLeast"/>
                    <w:jc w:val="center"/>
                    <w:rPr>
                      <w:rFonts w:hint="eastAsia" w:ascii="Times New Roman" w:hAnsi="Times New Roman" w:eastAsia="宋体" w:cs="宋体"/>
                      <w:kern w:val="0"/>
                      <w:sz w:val="21"/>
                      <w:szCs w:val="21"/>
                    </w:rPr>
                  </w:pPr>
                  <w:r>
                    <w:rPr>
                      <w:rFonts w:hint="eastAsia"/>
                      <w:color w:val="auto"/>
                      <w:kern w:val="0"/>
                      <w:sz w:val="21"/>
                      <w:szCs w:val="21"/>
                      <w:highlight w:val="none"/>
                      <w:lang w:val="en-US" w:eastAsia="zh-CN"/>
                    </w:rPr>
                    <w:t>加热骨料用</w:t>
                  </w:r>
                </w:p>
              </w:tc>
              <w:tc>
                <w:tcPr>
                  <w:tcW w:w="137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hint="default" w:ascii="Times New Roman" w:hAnsi="Times New Roman" w:eastAsia="宋体" w:cs="宋体"/>
                      <w:color w:val="auto"/>
                      <w:kern w:val="0"/>
                      <w:sz w:val="21"/>
                      <w:szCs w:val="21"/>
                      <w:highlight w:val="none"/>
                      <w:lang w:val="en-US" w:eastAsia="zh-CN"/>
                    </w:rPr>
                  </w:pPr>
                  <w:r>
                    <w:rPr>
                      <w:rFonts w:hint="eastAsia" w:ascii="Times New Roman" w:hAnsi="Times New Roman" w:cs="宋体"/>
                      <w:color w:val="auto"/>
                      <w:kern w:val="0"/>
                      <w:sz w:val="21"/>
                      <w:szCs w:val="21"/>
                      <w:highlight w:val="none"/>
                      <w:lang w:val="en-US" w:eastAsia="zh-CN"/>
                    </w:rPr>
                    <w:t>300</w:t>
                  </w:r>
                </w:p>
              </w:tc>
              <w:tc>
                <w:tcPr>
                  <w:tcW w:w="1342"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highlight w:val="none"/>
                    </w:rPr>
                  </w:pPr>
                  <w:r>
                    <w:rPr>
                      <w:rFonts w:hint="default" w:ascii="Times New Roman" w:hAnsi="Times New Roman" w:eastAsia="宋体" w:cs="宋体"/>
                      <w:kern w:val="0"/>
                      <w:sz w:val="21"/>
                      <w:szCs w:val="21"/>
                      <w:highlight w:val="none"/>
                      <w:lang w:val="zh-TW" w:eastAsia="zh-TW"/>
                    </w:rPr>
                    <w:t>密闭储罐</w:t>
                  </w:r>
                </w:p>
              </w:tc>
              <w:tc>
                <w:tcPr>
                  <w:tcW w:w="251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hint="eastAsia" w:ascii="Times New Roman" w:hAnsi="Times New Roman" w:eastAsia="宋体" w:cs="宋体"/>
                      <w:kern w:val="0"/>
                      <w:sz w:val="21"/>
                      <w:szCs w:val="21"/>
                      <w:highlight w:val="none"/>
                    </w:rPr>
                  </w:pPr>
                  <w:r>
                    <w:rPr>
                      <w:rFonts w:hint="default" w:ascii="Times New Roman" w:hAnsi="Times New Roman" w:eastAsia="宋体" w:cs="宋体"/>
                      <w:kern w:val="0"/>
                      <w:sz w:val="21"/>
                      <w:szCs w:val="21"/>
                      <w:highlight w:val="none"/>
                      <w:lang w:val="zh-TW"/>
                    </w:rPr>
                    <w:t>成都外购，油罐车运输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768"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rPr>
                  </w:pPr>
                  <w:r>
                    <w:rPr>
                      <w:rFonts w:ascii="Times New Roman" w:hAnsi="Times New Roman" w:eastAsia="宋体" w:cs="宋体"/>
                      <w:kern w:val="0"/>
                      <w:sz w:val="21"/>
                      <w:szCs w:val="21"/>
                    </w:rPr>
                    <w:t>水</w:t>
                  </w:r>
                </w:p>
              </w:tc>
              <w:tc>
                <w:tcPr>
                  <w:tcW w:w="1474"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ascii="Times New Roman" w:hAnsi="Times New Roman" w:eastAsia="宋体" w:cs="宋体"/>
                      <w:kern w:val="0"/>
                      <w:sz w:val="21"/>
                      <w:szCs w:val="21"/>
                      <w:highlight w:val="none"/>
                    </w:rPr>
                  </w:pPr>
                  <w:r>
                    <w:rPr>
                      <w:rFonts w:hint="eastAsia" w:ascii="Times New Roman" w:hAnsi="Times New Roman" w:eastAsia="宋体" w:cs="宋体"/>
                      <w:kern w:val="0"/>
                      <w:sz w:val="21"/>
                      <w:szCs w:val="21"/>
                      <w:highlight w:val="none"/>
                      <w:lang w:val="en-US" w:eastAsia="zh-CN"/>
                    </w:rPr>
                    <w:t>河</w:t>
                  </w:r>
                  <w:r>
                    <w:rPr>
                      <w:rFonts w:ascii="Times New Roman" w:hAnsi="Times New Roman" w:eastAsia="宋体" w:cs="宋体"/>
                      <w:kern w:val="0"/>
                      <w:sz w:val="21"/>
                      <w:szCs w:val="21"/>
                      <w:highlight w:val="none"/>
                    </w:rPr>
                    <w:t>水（m</w:t>
                  </w:r>
                  <w:r>
                    <w:rPr>
                      <w:rFonts w:ascii="Times New Roman" w:hAnsi="Times New Roman" w:eastAsia="宋体" w:cs="宋体"/>
                      <w:kern w:val="0"/>
                      <w:sz w:val="21"/>
                      <w:szCs w:val="21"/>
                      <w:highlight w:val="none"/>
                      <w:vertAlign w:val="superscript"/>
                    </w:rPr>
                    <w:t>3</w:t>
                  </w:r>
                  <w:r>
                    <w:rPr>
                      <w:rFonts w:ascii="Times New Roman" w:hAnsi="Times New Roman" w:eastAsia="宋体" w:cs="宋体"/>
                      <w:kern w:val="0"/>
                      <w:sz w:val="21"/>
                      <w:szCs w:val="21"/>
                      <w:highlight w:val="none"/>
                    </w:rPr>
                    <w:t>）</w:t>
                  </w:r>
                </w:p>
              </w:tc>
              <w:tc>
                <w:tcPr>
                  <w:tcW w:w="137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hint="default" w:ascii="Times New Roman" w:hAnsi="Times New Roman" w:eastAsia="宋体" w:cs="宋体"/>
                      <w:kern w:val="0"/>
                      <w:sz w:val="21"/>
                      <w:szCs w:val="21"/>
                      <w:highlight w:val="none"/>
                      <w:lang w:val="en-US" w:eastAsia="zh-CN"/>
                    </w:rPr>
                  </w:pPr>
                  <w:r>
                    <w:rPr>
                      <w:rFonts w:hint="eastAsia" w:ascii="Times New Roman" w:hAnsi="Times New Roman" w:cs="宋体"/>
                      <w:color w:val="auto"/>
                      <w:kern w:val="0"/>
                      <w:sz w:val="21"/>
                      <w:szCs w:val="21"/>
                      <w:highlight w:val="none"/>
                      <w:lang w:val="en-US" w:eastAsia="zh-CN"/>
                    </w:rPr>
                    <w:t>982</w:t>
                  </w:r>
                </w:p>
              </w:tc>
              <w:tc>
                <w:tcPr>
                  <w:tcW w:w="1342"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hint="eastAsia" w:ascii="Times New Roman" w:hAnsi="Times New Roman" w:eastAsia="宋体" w:cs="宋体"/>
                      <w:kern w:val="0"/>
                      <w:sz w:val="21"/>
                      <w:szCs w:val="21"/>
                      <w:highlight w:val="none"/>
                    </w:rPr>
                  </w:pPr>
                  <w:r>
                    <w:rPr>
                      <w:rFonts w:hint="eastAsia" w:ascii="Times New Roman" w:hAnsi="Times New Roman" w:eastAsia="宋体" w:cs="宋体"/>
                      <w:kern w:val="0"/>
                      <w:sz w:val="21"/>
                      <w:szCs w:val="21"/>
                      <w:highlight w:val="none"/>
                    </w:rPr>
                    <w:t>/</w:t>
                  </w:r>
                </w:p>
              </w:tc>
              <w:tc>
                <w:tcPr>
                  <w:tcW w:w="2517" w:type="dxa"/>
                  <w:tcBorders>
                    <w:top w:val="single" w:color="auto" w:sz="4" w:space="0"/>
                    <w:left w:val="single" w:color="auto" w:sz="4" w:space="0"/>
                    <w:bottom w:val="single" w:color="auto" w:sz="4" w:space="0"/>
                    <w:right w:val="single" w:color="auto" w:sz="4" w:space="0"/>
                  </w:tcBorders>
                  <w:noWrap w:val="0"/>
                  <w:vAlign w:val="center"/>
                </w:tcPr>
                <w:p>
                  <w:pPr>
                    <w:spacing w:line="360" w:lineRule="atLeast"/>
                    <w:jc w:val="center"/>
                    <w:rPr>
                      <w:rFonts w:hint="eastAsia" w:ascii="Times New Roman" w:hAnsi="Times New Roman" w:eastAsia="宋体" w:cs="宋体"/>
                      <w:kern w:val="0"/>
                      <w:sz w:val="21"/>
                      <w:szCs w:val="21"/>
                      <w:highlight w:val="none"/>
                    </w:rPr>
                  </w:pPr>
                </w:p>
              </w:tc>
            </w:tr>
          </w:tbl>
          <w:p>
            <w:pPr>
              <w:keepNext w:val="0"/>
              <w:keepLines w:val="0"/>
              <w:pageBreakBefore w:val="0"/>
              <w:kinsoku/>
              <w:wordWrap/>
              <w:overflowPunct/>
              <w:topLinePunct w:val="0"/>
              <w:autoSpaceDE w:val="0"/>
              <w:autoSpaceDN w:val="0"/>
              <w:bidi w:val="0"/>
              <w:adjustRightInd/>
              <w:snapToGrid w:val="0"/>
              <w:spacing w:before="0" w:beforeAutospacing="0" w:afterAutospacing="0" w:line="360" w:lineRule="auto"/>
              <w:ind w:firstLine="465"/>
              <w:textAlignment w:val="auto"/>
              <w:rPr>
                <w:rFonts w:hint="eastAsia"/>
                <w:bCs/>
                <w:kern w:val="0"/>
                <w:sz w:val="24"/>
                <w:lang w:eastAsia="zh-TW"/>
              </w:rPr>
            </w:pPr>
            <w:r>
              <w:rPr>
                <w:rFonts w:hint="eastAsia"/>
                <w:bCs/>
                <w:kern w:val="0"/>
                <w:sz w:val="24"/>
                <w:lang w:eastAsia="zh-TW"/>
              </w:rPr>
              <w:t>项目</w:t>
            </w:r>
            <w:r>
              <w:rPr>
                <w:bCs/>
                <w:kern w:val="0"/>
                <w:sz w:val="24"/>
                <w:lang w:eastAsia="zh-TW"/>
              </w:rPr>
              <w:t>主要原材料理化性质</w:t>
            </w:r>
            <w:r>
              <w:rPr>
                <w:rFonts w:hint="eastAsia"/>
                <w:bCs/>
                <w:kern w:val="0"/>
                <w:sz w:val="24"/>
                <w:lang w:eastAsia="zh-TW"/>
              </w:rPr>
              <w:t>如下</w:t>
            </w:r>
            <w:r>
              <w:rPr>
                <w:bCs/>
                <w:kern w:val="0"/>
                <w:sz w:val="24"/>
                <w:lang w:eastAsia="zh-TW"/>
              </w:rPr>
              <w:t>：</w:t>
            </w:r>
          </w:p>
          <w:p>
            <w:pPr>
              <w:keepNext w:val="0"/>
              <w:keepLines w:val="0"/>
              <w:pageBreakBefore w:val="0"/>
              <w:kinsoku/>
              <w:wordWrap/>
              <w:overflowPunct/>
              <w:topLinePunct w:val="0"/>
              <w:autoSpaceDE w:val="0"/>
              <w:autoSpaceDN w:val="0"/>
              <w:bidi w:val="0"/>
              <w:adjustRightInd/>
              <w:snapToGrid w:val="0"/>
              <w:spacing w:before="0" w:beforeAutospacing="0" w:afterAutospacing="0" w:line="360" w:lineRule="auto"/>
              <w:ind w:firstLine="465"/>
              <w:textAlignment w:val="auto"/>
              <w:rPr>
                <w:rFonts w:hint="eastAsia"/>
                <w:b/>
                <w:bCs/>
                <w:kern w:val="0"/>
                <w:sz w:val="24"/>
                <w:highlight w:val="none"/>
                <w:lang w:val="zh-TW"/>
              </w:rPr>
            </w:pPr>
            <w:r>
              <w:rPr>
                <w:rFonts w:hint="eastAsia"/>
                <w:b/>
                <w:bCs/>
                <w:kern w:val="0"/>
                <w:sz w:val="24"/>
                <w:highlight w:val="none"/>
                <w:lang w:val="zh-TW"/>
              </w:rPr>
              <w:t>（1）沥青</w:t>
            </w:r>
          </w:p>
          <w:p>
            <w:pPr>
              <w:pStyle w:val="17"/>
              <w:ind w:firstLine="480"/>
              <w:rPr>
                <w:rFonts w:hint="default" w:ascii="Times New Roman" w:hAnsi="Times New Roman" w:cs="Times New Roman"/>
                <w:color w:val="auto"/>
                <w:highlight w:val="none"/>
                <w:lang w:val="zh-TW"/>
              </w:rPr>
            </w:pPr>
            <w:r>
              <w:rPr>
                <w:rFonts w:hint="default" w:ascii="Times New Roman" w:hAnsi="Times New Roman" w:cs="Times New Roman"/>
                <w:color w:val="auto"/>
                <w:highlight w:val="none"/>
                <w:lang w:val="zh-TW"/>
              </w:rPr>
              <w:t>本项目所使用沥青为石油沥青，沥青含量99.48</w:t>
            </w:r>
            <w:r>
              <w:rPr>
                <w:rFonts w:hint="default" w:ascii="Times New Roman" w:hAnsi="Times New Roman" w:eastAsia="PMingLiU" w:cs="Times New Roman"/>
                <w:color w:val="auto"/>
                <w:highlight w:val="none"/>
                <w:lang w:val="zh-TW" w:eastAsia="zh-TW"/>
              </w:rPr>
              <w:t>%</w:t>
            </w:r>
            <w:r>
              <w:rPr>
                <w:rFonts w:hint="default" w:ascii="Times New Roman" w:hAnsi="Times New Roman" w:cs="Times New Roman"/>
                <w:color w:val="auto"/>
                <w:highlight w:val="none"/>
                <w:lang w:val="zh-TW"/>
              </w:rPr>
              <w:t>。</w:t>
            </w:r>
          </w:p>
          <w:p>
            <w:pPr>
              <w:pStyle w:val="3"/>
              <w:ind w:firstLine="480"/>
              <w:rPr>
                <w:highlight w:val="none"/>
                <w:lang w:val="zh-TW"/>
              </w:rPr>
            </w:pPr>
            <w:r>
              <w:rPr>
                <w:rFonts w:hint="eastAsia"/>
                <w:highlight w:val="none"/>
                <w:lang w:val="zh-TW"/>
              </w:rPr>
              <w:t>外观与</w:t>
            </w:r>
            <w:r>
              <w:rPr>
                <w:highlight w:val="none"/>
                <w:lang w:val="zh-TW"/>
              </w:rPr>
              <w:t>性状：</w:t>
            </w:r>
            <w:r>
              <w:rPr>
                <w:rFonts w:hint="eastAsia"/>
                <w:highlight w:val="none"/>
                <w:lang w:val="zh-TW"/>
              </w:rPr>
              <w:t>常温下</w:t>
            </w:r>
            <w:r>
              <w:rPr>
                <w:highlight w:val="none"/>
                <w:lang w:val="zh-TW"/>
              </w:rPr>
              <w:t>的沥青呈固体、半固体或液体状态，颜色由黑褐色至黑色。</w:t>
            </w:r>
            <w:r>
              <w:rPr>
                <w:rFonts w:hint="eastAsia"/>
                <w:highlight w:val="none"/>
                <w:lang w:val="zh-TW"/>
              </w:rPr>
              <w:t>沥青理化特性见</w:t>
            </w:r>
            <w:r>
              <w:rPr>
                <w:highlight w:val="none"/>
                <w:lang w:val="zh-TW"/>
              </w:rPr>
              <w:t>表</w:t>
            </w:r>
            <w:r>
              <w:rPr>
                <w:rFonts w:hint="eastAsia"/>
                <w:highlight w:val="none"/>
                <w:lang w:val="en-US" w:eastAsia="zh-CN"/>
              </w:rPr>
              <w:t>2-4</w:t>
            </w:r>
            <w:r>
              <w:rPr>
                <w:rFonts w:hint="eastAsia"/>
                <w:highlight w:val="none"/>
                <w:lang w:val="zh-TW"/>
              </w:rPr>
              <w:t>。</w:t>
            </w:r>
          </w:p>
          <w:p>
            <w:pPr>
              <w:snapToGrid w:val="0"/>
              <w:spacing w:line="360" w:lineRule="auto"/>
              <w:jc w:val="center"/>
              <w:rPr>
                <w:rFonts w:hint="eastAsia" w:ascii="宋体" w:hAnsi="宋体" w:eastAsia="宋体" w:cs="宋体"/>
                <w:b/>
                <w:bCs/>
                <w:color w:val="auto"/>
                <w:sz w:val="21"/>
                <w:szCs w:val="21"/>
                <w:highlight w:val="none"/>
              </w:rPr>
            </w:pPr>
            <w:r>
              <w:rPr>
                <w:rFonts w:hint="eastAsia"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2-4</w:t>
            </w:r>
            <w:r>
              <w:rPr>
                <w:rFonts w:hint="eastAsia" w:ascii="Times New Roman" w:hAnsi="Times New Roman" w:eastAsia="宋体" w:cs="Times New Roman"/>
                <w:b/>
                <w:bCs/>
                <w:color w:val="auto"/>
                <w:sz w:val="21"/>
                <w:szCs w:val="21"/>
                <w:highlight w:val="none"/>
              </w:rPr>
              <w:t xml:space="preserve">  沥</w:t>
            </w:r>
            <w:r>
              <w:rPr>
                <w:rFonts w:hint="eastAsia" w:ascii="宋体" w:hAnsi="宋体" w:eastAsia="宋体" w:cs="宋体"/>
                <w:b/>
                <w:bCs/>
                <w:color w:val="auto"/>
                <w:sz w:val="21"/>
                <w:szCs w:val="21"/>
                <w:highlight w:val="none"/>
              </w:rPr>
              <w:t>青理化特性</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5"/>
              <w:gridCol w:w="4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75" w:type="dxa"/>
                  <w:noWrap w:val="0"/>
                  <w:vAlign w:val="top"/>
                </w:tcPr>
                <w:p>
                  <w:pPr>
                    <w:spacing w:line="360" w:lineRule="atLeast"/>
                    <w:jc w:val="center"/>
                    <w:rPr>
                      <w:rFonts w:hint="eastAsia" w:ascii="Times New Roman" w:hAnsi="Times New Roman" w:eastAsia="宋体"/>
                      <w:sz w:val="21"/>
                      <w:szCs w:val="21"/>
                      <w:highlight w:val="none"/>
                    </w:rPr>
                  </w:pPr>
                  <w:r>
                    <w:rPr>
                      <w:rFonts w:hint="eastAsia" w:ascii="Times New Roman" w:hAnsi="Times New Roman" w:eastAsia="宋体"/>
                      <w:sz w:val="21"/>
                      <w:szCs w:val="21"/>
                      <w:highlight w:val="none"/>
                    </w:rPr>
                    <w:t>主要成分</w:t>
                  </w:r>
                </w:p>
              </w:tc>
              <w:tc>
                <w:tcPr>
                  <w:tcW w:w="4844" w:type="dxa"/>
                  <w:noWrap w:val="0"/>
                  <w:vAlign w:val="top"/>
                </w:tcPr>
                <w:p>
                  <w:pPr>
                    <w:spacing w:line="360" w:lineRule="atLeast"/>
                    <w:jc w:val="center"/>
                    <w:rPr>
                      <w:rFonts w:hint="eastAsia" w:ascii="Times New Roman" w:hAnsi="Times New Roman" w:eastAsia="宋体"/>
                      <w:sz w:val="21"/>
                      <w:szCs w:val="21"/>
                      <w:highlight w:val="none"/>
                    </w:rPr>
                  </w:pPr>
                  <w:r>
                    <w:rPr>
                      <w:rFonts w:hint="eastAsia" w:ascii="Times New Roman" w:hAnsi="Times New Roman" w:eastAsia="宋体"/>
                      <w:sz w:val="21"/>
                      <w:szCs w:val="21"/>
                      <w:highlight w:val="none"/>
                    </w:rPr>
                    <w:t>含量99.48</w:t>
                  </w:r>
                  <w:r>
                    <w:rPr>
                      <w:rFonts w:ascii="Times New Roman" w:hAnsi="Times New Roman" w:eastAsia="宋体"/>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75" w:type="dxa"/>
                  <w:noWrap w:val="0"/>
                  <w:vAlign w:val="top"/>
                </w:tcPr>
                <w:p>
                  <w:pPr>
                    <w:spacing w:line="360" w:lineRule="atLeast"/>
                    <w:jc w:val="center"/>
                    <w:rPr>
                      <w:rFonts w:hint="eastAsia" w:ascii="Times New Roman" w:hAnsi="Times New Roman" w:eastAsia="宋体"/>
                      <w:sz w:val="21"/>
                      <w:szCs w:val="21"/>
                      <w:highlight w:val="none"/>
                    </w:rPr>
                  </w:pPr>
                  <w:r>
                    <w:rPr>
                      <w:rFonts w:hint="eastAsia" w:ascii="Times New Roman" w:hAnsi="Times New Roman" w:eastAsia="宋体"/>
                      <w:sz w:val="21"/>
                      <w:szCs w:val="21"/>
                      <w:highlight w:val="none"/>
                    </w:rPr>
                    <w:t>外观</w:t>
                  </w:r>
                  <w:r>
                    <w:rPr>
                      <w:rFonts w:ascii="Times New Roman" w:hAnsi="Times New Roman" w:eastAsia="宋体"/>
                      <w:sz w:val="21"/>
                      <w:szCs w:val="21"/>
                      <w:highlight w:val="none"/>
                    </w:rPr>
                    <w:t>与性状</w:t>
                  </w:r>
                </w:p>
              </w:tc>
              <w:tc>
                <w:tcPr>
                  <w:tcW w:w="4844" w:type="dxa"/>
                  <w:noWrap w:val="0"/>
                  <w:vAlign w:val="top"/>
                </w:tcPr>
                <w:p>
                  <w:pPr>
                    <w:spacing w:line="360" w:lineRule="atLeast"/>
                    <w:jc w:val="center"/>
                    <w:rPr>
                      <w:rFonts w:hint="eastAsia" w:ascii="Times New Roman" w:hAnsi="Times New Roman" w:eastAsia="宋体"/>
                      <w:sz w:val="21"/>
                      <w:szCs w:val="21"/>
                      <w:highlight w:val="none"/>
                    </w:rPr>
                  </w:pPr>
                  <w:r>
                    <w:rPr>
                      <w:rFonts w:ascii="Times New Roman" w:hAnsi="Times New Roman" w:eastAsia="宋体"/>
                      <w:sz w:val="21"/>
                      <w:highlight w:val="none"/>
                      <w:lang w:val="zh-TW"/>
                    </w:rPr>
                    <w:t>固体、半固体或液体状态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75" w:type="dxa"/>
                  <w:noWrap w:val="0"/>
                  <w:vAlign w:val="top"/>
                </w:tcPr>
                <w:p>
                  <w:pPr>
                    <w:spacing w:line="360" w:lineRule="atLeast"/>
                    <w:jc w:val="center"/>
                    <w:rPr>
                      <w:rFonts w:hint="eastAsia" w:ascii="Times New Roman" w:hAnsi="Times New Roman" w:eastAsia="宋体"/>
                      <w:sz w:val="21"/>
                      <w:szCs w:val="21"/>
                      <w:highlight w:val="none"/>
                    </w:rPr>
                  </w:pPr>
                  <w:r>
                    <w:rPr>
                      <w:rFonts w:hint="eastAsia" w:ascii="Times New Roman" w:hAnsi="Times New Roman" w:eastAsia="宋体"/>
                      <w:sz w:val="21"/>
                      <w:szCs w:val="21"/>
                      <w:highlight w:val="none"/>
                    </w:rPr>
                    <w:t>熔点</w:t>
                  </w:r>
                  <w:r>
                    <w:rPr>
                      <w:rFonts w:ascii="Times New Roman" w:hAnsi="Times New Roman" w:eastAsia="宋体"/>
                      <w:sz w:val="21"/>
                      <w:szCs w:val="21"/>
                      <w:highlight w:val="none"/>
                    </w:rPr>
                    <w:t>（</w:t>
                  </w:r>
                  <w:r>
                    <w:rPr>
                      <w:rFonts w:hint="eastAsia" w:ascii="Times New Roman" w:hAnsi="Times New Roman" w:eastAsia="宋体"/>
                      <w:sz w:val="21"/>
                      <w:szCs w:val="21"/>
                      <w:highlight w:val="none"/>
                    </w:rPr>
                    <w:t>℃</w:t>
                  </w:r>
                  <w:r>
                    <w:rPr>
                      <w:rFonts w:ascii="Times New Roman" w:hAnsi="Times New Roman" w:eastAsia="宋体"/>
                      <w:sz w:val="21"/>
                      <w:szCs w:val="21"/>
                      <w:highlight w:val="none"/>
                    </w:rPr>
                    <w:t>）</w:t>
                  </w:r>
                </w:p>
              </w:tc>
              <w:tc>
                <w:tcPr>
                  <w:tcW w:w="4844" w:type="dxa"/>
                  <w:noWrap w:val="0"/>
                  <w:vAlign w:val="top"/>
                </w:tcPr>
                <w:p>
                  <w:pPr>
                    <w:spacing w:line="360" w:lineRule="atLeast"/>
                    <w:jc w:val="center"/>
                    <w:rPr>
                      <w:rFonts w:hint="eastAsia" w:ascii="Times New Roman" w:hAnsi="Times New Roman" w:eastAsia="宋体"/>
                      <w:sz w:val="21"/>
                      <w:szCs w:val="21"/>
                      <w:highlight w:val="none"/>
                    </w:rPr>
                  </w:pPr>
                  <w:r>
                    <w:rPr>
                      <w:rFonts w:hint="eastAsia" w:ascii="Times New Roman" w:hAnsi="Times New Roman" w:eastAsia="宋体"/>
                      <w:sz w:val="21"/>
                      <w:szCs w:val="21"/>
                      <w:highlight w:val="none"/>
                    </w:rPr>
                    <w:t>一般没有固定熔点，54~173℃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75" w:type="dxa"/>
                  <w:noWrap w:val="0"/>
                  <w:vAlign w:val="top"/>
                </w:tcPr>
                <w:p>
                  <w:pPr>
                    <w:spacing w:line="360" w:lineRule="atLeast"/>
                    <w:jc w:val="center"/>
                    <w:rPr>
                      <w:rFonts w:hint="eastAsia" w:ascii="Times New Roman" w:hAnsi="Times New Roman" w:eastAsia="宋体"/>
                      <w:sz w:val="21"/>
                      <w:szCs w:val="21"/>
                      <w:highlight w:val="none"/>
                    </w:rPr>
                  </w:pPr>
                  <w:r>
                    <w:rPr>
                      <w:rFonts w:hint="eastAsia" w:ascii="Times New Roman" w:hAnsi="Times New Roman" w:eastAsia="宋体"/>
                      <w:sz w:val="21"/>
                      <w:szCs w:val="21"/>
                      <w:highlight w:val="none"/>
                    </w:rPr>
                    <w:t>闪点</w:t>
                  </w:r>
                  <w:r>
                    <w:rPr>
                      <w:rFonts w:ascii="Times New Roman" w:hAnsi="Times New Roman" w:eastAsia="宋体"/>
                      <w:sz w:val="21"/>
                      <w:szCs w:val="21"/>
                      <w:highlight w:val="none"/>
                    </w:rPr>
                    <w:t>（</w:t>
                  </w:r>
                  <w:r>
                    <w:rPr>
                      <w:rFonts w:hint="eastAsia" w:ascii="Times New Roman" w:hAnsi="Times New Roman" w:eastAsia="宋体"/>
                      <w:sz w:val="21"/>
                      <w:szCs w:val="21"/>
                      <w:highlight w:val="none"/>
                    </w:rPr>
                    <w:t>℃</w:t>
                  </w:r>
                  <w:r>
                    <w:rPr>
                      <w:rFonts w:ascii="Times New Roman" w:hAnsi="Times New Roman" w:eastAsia="宋体"/>
                      <w:sz w:val="21"/>
                      <w:szCs w:val="21"/>
                      <w:highlight w:val="none"/>
                    </w:rPr>
                    <w:t>）</w:t>
                  </w:r>
                </w:p>
              </w:tc>
              <w:tc>
                <w:tcPr>
                  <w:tcW w:w="4844" w:type="dxa"/>
                  <w:noWrap w:val="0"/>
                  <w:vAlign w:val="top"/>
                </w:tcPr>
                <w:p>
                  <w:pPr>
                    <w:spacing w:line="360" w:lineRule="atLeast"/>
                    <w:jc w:val="center"/>
                    <w:rPr>
                      <w:rFonts w:hint="eastAsia" w:ascii="Times New Roman" w:hAnsi="Times New Roman" w:eastAsia="宋体"/>
                      <w:sz w:val="21"/>
                      <w:szCs w:val="21"/>
                      <w:highlight w:val="none"/>
                    </w:rPr>
                  </w:pPr>
                  <w:r>
                    <w:rPr>
                      <w:rFonts w:hint="eastAsia" w:ascii="Times New Roman" w:hAnsi="Times New Roman" w:eastAsia="宋体"/>
                      <w:sz w:val="21"/>
                      <w:szCs w:val="21"/>
                      <w:highlight w:val="none"/>
                    </w:rPr>
                    <w:t>204.4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75" w:type="dxa"/>
                  <w:noWrap w:val="0"/>
                  <w:vAlign w:val="top"/>
                </w:tcPr>
                <w:p>
                  <w:pPr>
                    <w:spacing w:line="360" w:lineRule="atLeast"/>
                    <w:jc w:val="center"/>
                    <w:rPr>
                      <w:rFonts w:hint="eastAsia" w:ascii="Times New Roman" w:hAnsi="Times New Roman" w:eastAsia="宋体"/>
                      <w:sz w:val="21"/>
                      <w:szCs w:val="21"/>
                      <w:highlight w:val="none"/>
                    </w:rPr>
                  </w:pPr>
                  <w:r>
                    <w:rPr>
                      <w:rFonts w:hint="eastAsia" w:ascii="Times New Roman" w:hAnsi="Times New Roman" w:eastAsia="宋体"/>
                      <w:sz w:val="21"/>
                      <w:szCs w:val="21"/>
                      <w:highlight w:val="none"/>
                    </w:rPr>
                    <w:t>沸点</w:t>
                  </w:r>
                  <w:r>
                    <w:rPr>
                      <w:rFonts w:ascii="Times New Roman" w:hAnsi="Times New Roman" w:eastAsia="宋体"/>
                      <w:sz w:val="21"/>
                      <w:szCs w:val="21"/>
                      <w:highlight w:val="none"/>
                    </w:rPr>
                    <w:t>（</w:t>
                  </w:r>
                  <w:r>
                    <w:rPr>
                      <w:rFonts w:hint="eastAsia" w:ascii="Times New Roman" w:hAnsi="Times New Roman" w:eastAsia="宋体"/>
                      <w:sz w:val="21"/>
                      <w:szCs w:val="21"/>
                      <w:highlight w:val="none"/>
                    </w:rPr>
                    <w:t>℃</w:t>
                  </w:r>
                  <w:r>
                    <w:rPr>
                      <w:rFonts w:ascii="Times New Roman" w:hAnsi="Times New Roman" w:eastAsia="宋体"/>
                      <w:sz w:val="21"/>
                      <w:szCs w:val="21"/>
                      <w:highlight w:val="none"/>
                    </w:rPr>
                    <w:t>）</w:t>
                  </w:r>
                </w:p>
              </w:tc>
              <w:tc>
                <w:tcPr>
                  <w:tcW w:w="4844" w:type="dxa"/>
                  <w:noWrap w:val="0"/>
                  <w:vAlign w:val="top"/>
                </w:tcPr>
                <w:p>
                  <w:pPr>
                    <w:spacing w:line="360" w:lineRule="atLeast"/>
                    <w:jc w:val="center"/>
                    <w:rPr>
                      <w:rFonts w:hint="eastAsia" w:ascii="Times New Roman" w:hAnsi="Times New Roman" w:eastAsia="宋体"/>
                      <w:sz w:val="21"/>
                      <w:szCs w:val="21"/>
                      <w:highlight w:val="none"/>
                    </w:rPr>
                  </w:pPr>
                  <w:r>
                    <w:rPr>
                      <w:rFonts w:hint="eastAsia" w:ascii="Times New Roman" w:hAnsi="Times New Roman" w:eastAsia="宋体"/>
                      <w:sz w:val="21"/>
                      <w:szCs w:val="21"/>
                      <w:highlight w:val="none"/>
                    </w:rPr>
                    <w:t>＜470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75" w:type="dxa"/>
                  <w:noWrap w:val="0"/>
                  <w:vAlign w:val="top"/>
                </w:tcPr>
                <w:p>
                  <w:pPr>
                    <w:spacing w:line="360" w:lineRule="atLeast"/>
                    <w:jc w:val="center"/>
                    <w:rPr>
                      <w:rFonts w:hint="eastAsia" w:ascii="Times New Roman" w:hAnsi="Times New Roman" w:eastAsia="宋体"/>
                      <w:sz w:val="21"/>
                      <w:szCs w:val="21"/>
                      <w:highlight w:val="none"/>
                    </w:rPr>
                  </w:pPr>
                  <w:r>
                    <w:rPr>
                      <w:rFonts w:hint="eastAsia" w:ascii="Times New Roman" w:hAnsi="Times New Roman" w:eastAsia="宋体"/>
                      <w:sz w:val="21"/>
                      <w:szCs w:val="21"/>
                      <w:highlight w:val="none"/>
                    </w:rPr>
                    <w:t>引燃温度</w:t>
                  </w:r>
                  <w:r>
                    <w:rPr>
                      <w:rFonts w:ascii="Times New Roman" w:hAnsi="Times New Roman" w:eastAsia="宋体"/>
                      <w:sz w:val="21"/>
                      <w:szCs w:val="21"/>
                      <w:highlight w:val="none"/>
                    </w:rPr>
                    <w:t>（</w:t>
                  </w:r>
                  <w:r>
                    <w:rPr>
                      <w:rFonts w:hint="eastAsia" w:ascii="Times New Roman" w:hAnsi="Times New Roman" w:eastAsia="宋体"/>
                      <w:sz w:val="21"/>
                      <w:szCs w:val="21"/>
                      <w:highlight w:val="none"/>
                    </w:rPr>
                    <w:t>℃</w:t>
                  </w:r>
                  <w:r>
                    <w:rPr>
                      <w:rFonts w:ascii="Times New Roman" w:hAnsi="Times New Roman" w:eastAsia="宋体"/>
                      <w:sz w:val="21"/>
                      <w:szCs w:val="21"/>
                      <w:highlight w:val="none"/>
                    </w:rPr>
                    <w:t>）</w:t>
                  </w:r>
                </w:p>
              </w:tc>
              <w:tc>
                <w:tcPr>
                  <w:tcW w:w="4844" w:type="dxa"/>
                  <w:noWrap w:val="0"/>
                  <w:vAlign w:val="top"/>
                </w:tcPr>
                <w:p>
                  <w:pPr>
                    <w:spacing w:line="360" w:lineRule="atLeast"/>
                    <w:jc w:val="center"/>
                    <w:rPr>
                      <w:rFonts w:hint="eastAsia" w:ascii="Times New Roman" w:hAnsi="Times New Roman" w:eastAsia="宋体"/>
                      <w:sz w:val="21"/>
                      <w:szCs w:val="21"/>
                      <w:highlight w:val="none"/>
                    </w:rPr>
                  </w:pPr>
                  <w:r>
                    <w:rPr>
                      <w:rFonts w:hint="eastAsia" w:ascii="Times New Roman" w:hAnsi="Times New Roman" w:eastAsia="宋体"/>
                      <w:sz w:val="21"/>
                      <w:szCs w:val="21"/>
                      <w:highlight w:val="none"/>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2375" w:type="dxa"/>
                  <w:noWrap w:val="0"/>
                  <w:vAlign w:val="top"/>
                </w:tcPr>
                <w:p>
                  <w:pPr>
                    <w:spacing w:line="360" w:lineRule="atLeast"/>
                    <w:jc w:val="center"/>
                    <w:rPr>
                      <w:rFonts w:hint="eastAsia" w:ascii="Times New Roman" w:hAnsi="Times New Roman" w:eastAsia="宋体"/>
                      <w:sz w:val="21"/>
                      <w:szCs w:val="21"/>
                      <w:highlight w:val="none"/>
                    </w:rPr>
                  </w:pPr>
                  <w:r>
                    <w:rPr>
                      <w:rFonts w:hint="eastAsia" w:ascii="Times New Roman" w:hAnsi="Times New Roman" w:eastAsia="宋体"/>
                      <w:sz w:val="21"/>
                      <w:szCs w:val="21"/>
                      <w:highlight w:val="none"/>
                    </w:rPr>
                    <w:t>比热容kj/（kg·℃）</w:t>
                  </w:r>
                </w:p>
              </w:tc>
              <w:tc>
                <w:tcPr>
                  <w:tcW w:w="4844" w:type="dxa"/>
                  <w:noWrap w:val="0"/>
                  <w:vAlign w:val="top"/>
                </w:tcPr>
                <w:p>
                  <w:pPr>
                    <w:spacing w:line="360" w:lineRule="atLeast"/>
                    <w:jc w:val="center"/>
                    <w:rPr>
                      <w:rFonts w:hint="eastAsia" w:ascii="Times New Roman" w:hAnsi="Times New Roman" w:eastAsia="宋体"/>
                      <w:sz w:val="21"/>
                      <w:szCs w:val="21"/>
                      <w:highlight w:val="none"/>
                    </w:rPr>
                  </w:pPr>
                  <w:r>
                    <w:rPr>
                      <w:rFonts w:hint="eastAsia" w:ascii="Times New Roman" w:hAnsi="Times New Roman" w:eastAsia="宋体"/>
                      <w:sz w:val="21"/>
                      <w:szCs w:val="21"/>
                      <w:highlight w:val="none"/>
                    </w:rPr>
                    <w:t>固态1.67，</w:t>
                  </w:r>
                  <w:r>
                    <w:rPr>
                      <w:rFonts w:ascii="Times New Roman" w:hAnsi="Times New Roman" w:eastAsia="宋体"/>
                      <w:sz w:val="21"/>
                      <w:szCs w:val="21"/>
                      <w:highlight w:val="none"/>
                    </w:rPr>
                    <w:t>液态</w:t>
                  </w:r>
                  <w:r>
                    <w:rPr>
                      <w:rFonts w:hint="eastAsia" w:ascii="Times New Roman" w:hAnsi="Times New Roman" w:eastAsia="宋体"/>
                      <w:sz w:val="21"/>
                      <w:szCs w:val="21"/>
                      <w:highlight w:val="none"/>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jc w:val="center"/>
              </w:trPr>
              <w:tc>
                <w:tcPr>
                  <w:tcW w:w="2375" w:type="dxa"/>
                  <w:noWrap w:val="0"/>
                  <w:vAlign w:val="top"/>
                </w:tcPr>
                <w:p>
                  <w:pPr>
                    <w:spacing w:line="360" w:lineRule="atLeast"/>
                    <w:jc w:val="center"/>
                    <w:rPr>
                      <w:rFonts w:hint="eastAsia" w:ascii="Times New Roman" w:hAnsi="Times New Roman" w:eastAsia="宋体"/>
                      <w:sz w:val="21"/>
                      <w:szCs w:val="21"/>
                      <w:highlight w:val="none"/>
                    </w:rPr>
                  </w:pPr>
                  <w:r>
                    <w:rPr>
                      <w:rFonts w:hint="eastAsia" w:ascii="Times New Roman" w:hAnsi="Times New Roman" w:eastAsia="宋体"/>
                      <w:sz w:val="21"/>
                      <w:szCs w:val="21"/>
                      <w:highlight w:val="none"/>
                    </w:rPr>
                    <w:t>相对密度</w:t>
                  </w:r>
                  <w:r>
                    <w:rPr>
                      <w:rFonts w:ascii="Times New Roman" w:hAnsi="Times New Roman" w:eastAsia="宋体"/>
                      <w:sz w:val="21"/>
                      <w:szCs w:val="21"/>
                      <w:highlight w:val="none"/>
                    </w:rPr>
                    <w:t>（</w:t>
                  </w:r>
                  <w:r>
                    <w:rPr>
                      <w:rFonts w:hint="eastAsia" w:ascii="Times New Roman" w:hAnsi="Times New Roman" w:eastAsia="宋体"/>
                      <w:sz w:val="21"/>
                      <w:szCs w:val="21"/>
                      <w:highlight w:val="none"/>
                    </w:rPr>
                    <w:t>水</w:t>
                  </w:r>
                  <w:r>
                    <w:rPr>
                      <w:rFonts w:ascii="Times New Roman" w:hAnsi="Times New Roman" w:eastAsia="宋体"/>
                      <w:sz w:val="21"/>
                      <w:szCs w:val="21"/>
                      <w:highlight w:val="none"/>
                    </w:rPr>
                    <w:t>=1）</w:t>
                  </w:r>
                </w:p>
              </w:tc>
              <w:tc>
                <w:tcPr>
                  <w:tcW w:w="4844" w:type="dxa"/>
                  <w:noWrap w:val="0"/>
                  <w:vAlign w:val="top"/>
                </w:tcPr>
                <w:p>
                  <w:pPr>
                    <w:spacing w:line="360" w:lineRule="atLeast"/>
                    <w:jc w:val="center"/>
                    <w:rPr>
                      <w:rFonts w:hint="eastAsia" w:ascii="Times New Roman" w:hAnsi="Times New Roman" w:eastAsia="宋体"/>
                      <w:sz w:val="21"/>
                      <w:szCs w:val="21"/>
                      <w:highlight w:val="none"/>
                    </w:rPr>
                  </w:pPr>
                  <w:r>
                    <w:rPr>
                      <w:rFonts w:hint="eastAsia" w:ascii="Times New Roman" w:hAnsi="Times New Roman" w:eastAsia="宋体"/>
                      <w:sz w:val="21"/>
                      <w:szCs w:val="21"/>
                      <w:highlight w:val="none"/>
                    </w:rPr>
                    <w:t>1.15～1.25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jc w:val="center"/>
              </w:trPr>
              <w:tc>
                <w:tcPr>
                  <w:tcW w:w="2375" w:type="dxa"/>
                  <w:noWrap w:val="0"/>
                  <w:vAlign w:val="top"/>
                </w:tcPr>
                <w:p>
                  <w:pPr>
                    <w:spacing w:line="360" w:lineRule="atLeast"/>
                    <w:jc w:val="center"/>
                    <w:rPr>
                      <w:rFonts w:hint="eastAsia" w:ascii="Times New Roman" w:hAnsi="Times New Roman" w:eastAsia="宋体"/>
                      <w:sz w:val="21"/>
                      <w:szCs w:val="21"/>
                      <w:highlight w:val="none"/>
                    </w:rPr>
                  </w:pPr>
                  <w:r>
                    <w:rPr>
                      <w:rFonts w:hint="eastAsia" w:ascii="Times New Roman" w:hAnsi="Times New Roman" w:eastAsia="宋体"/>
                      <w:sz w:val="21"/>
                      <w:szCs w:val="21"/>
                      <w:highlight w:val="none"/>
                    </w:rPr>
                    <w:t>爆炸下限</w:t>
                  </w:r>
                  <w:r>
                    <w:rPr>
                      <w:rFonts w:ascii="Times New Roman" w:hAnsi="Times New Roman" w:eastAsia="宋体"/>
                      <w:sz w:val="21"/>
                      <w:szCs w:val="21"/>
                      <w:highlight w:val="none"/>
                    </w:rPr>
                    <w:t>%（</w:t>
                  </w:r>
                  <w:r>
                    <w:rPr>
                      <w:rFonts w:hint="eastAsia" w:ascii="Times New Roman" w:hAnsi="Times New Roman" w:eastAsia="宋体"/>
                      <w:sz w:val="21"/>
                      <w:szCs w:val="21"/>
                      <w:highlight w:val="none"/>
                    </w:rPr>
                    <w:t>V/V</w:t>
                  </w:r>
                  <w:r>
                    <w:rPr>
                      <w:rFonts w:ascii="Times New Roman" w:hAnsi="Times New Roman" w:eastAsia="宋体"/>
                      <w:sz w:val="21"/>
                      <w:szCs w:val="21"/>
                      <w:highlight w:val="none"/>
                    </w:rPr>
                    <w:t>）</w:t>
                  </w:r>
                </w:p>
              </w:tc>
              <w:tc>
                <w:tcPr>
                  <w:tcW w:w="4844" w:type="dxa"/>
                  <w:noWrap w:val="0"/>
                  <w:vAlign w:val="top"/>
                </w:tcPr>
                <w:p>
                  <w:pPr>
                    <w:spacing w:line="360" w:lineRule="atLeast"/>
                    <w:jc w:val="center"/>
                    <w:rPr>
                      <w:rFonts w:hint="eastAsia" w:ascii="Times New Roman" w:hAnsi="Times New Roman" w:eastAsia="宋体"/>
                      <w:sz w:val="21"/>
                      <w:szCs w:val="21"/>
                      <w:highlight w:val="none"/>
                    </w:rPr>
                  </w:pPr>
                  <w:r>
                    <w:rPr>
                      <w:rFonts w:hint="eastAsia" w:ascii="Times New Roman" w:hAnsi="Times New Roman" w:eastAsia="宋体"/>
                      <w:sz w:val="21"/>
                      <w:szCs w:val="21"/>
                      <w:highlight w:val="none"/>
                    </w:rPr>
                    <w:t>3g/m</w:t>
                  </w:r>
                  <w:r>
                    <w:rPr>
                      <w:rFonts w:hint="eastAsia" w:ascii="Times New Roman" w:hAnsi="Times New Roman" w:eastAsia="宋体"/>
                      <w:sz w:val="21"/>
                      <w:szCs w:val="21"/>
                      <w:highlight w:val="non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2375" w:type="dxa"/>
                  <w:noWrap w:val="0"/>
                  <w:vAlign w:val="top"/>
                </w:tcPr>
                <w:p>
                  <w:pPr>
                    <w:spacing w:line="360" w:lineRule="atLeast"/>
                    <w:jc w:val="center"/>
                    <w:rPr>
                      <w:rFonts w:hint="eastAsia" w:ascii="Times New Roman" w:hAnsi="Times New Roman" w:eastAsia="宋体"/>
                      <w:sz w:val="21"/>
                      <w:szCs w:val="21"/>
                      <w:highlight w:val="none"/>
                    </w:rPr>
                  </w:pPr>
                  <w:r>
                    <w:rPr>
                      <w:rFonts w:hint="eastAsia" w:ascii="Times New Roman" w:hAnsi="Times New Roman" w:eastAsia="宋体"/>
                      <w:sz w:val="21"/>
                      <w:szCs w:val="21"/>
                      <w:highlight w:val="none"/>
                    </w:rPr>
                    <w:t>溶解性</w:t>
                  </w:r>
                </w:p>
              </w:tc>
              <w:tc>
                <w:tcPr>
                  <w:tcW w:w="4844" w:type="dxa"/>
                  <w:noWrap w:val="0"/>
                  <w:vAlign w:val="top"/>
                </w:tcPr>
                <w:p>
                  <w:pPr>
                    <w:spacing w:line="360" w:lineRule="atLeast"/>
                    <w:jc w:val="left"/>
                    <w:rPr>
                      <w:rFonts w:hint="eastAsia" w:ascii="Times New Roman" w:hAnsi="Times New Roman" w:eastAsia="宋体"/>
                      <w:sz w:val="21"/>
                      <w:szCs w:val="21"/>
                      <w:highlight w:val="none"/>
                    </w:rPr>
                  </w:pPr>
                  <w:r>
                    <w:rPr>
                      <w:rFonts w:hint="eastAsia" w:ascii="Times New Roman" w:hAnsi="Times New Roman" w:eastAsia="宋体"/>
                      <w:sz w:val="21"/>
                      <w:szCs w:val="21"/>
                      <w:highlight w:val="none"/>
                    </w:rPr>
                    <w:t>不溶于水，不溶于丙酮、乙醚、稀乙醇，溶于二硫化碳、四氯化碳等。</w:t>
                  </w:r>
                </w:p>
              </w:tc>
            </w:tr>
          </w:tbl>
          <w:p>
            <w:pPr>
              <w:pStyle w:val="3"/>
              <w:spacing w:before="156" w:beforeLines="50"/>
              <w:ind w:firstLine="480"/>
              <w:rPr>
                <w:highlight w:val="none"/>
                <w:lang w:val="zh-TW"/>
              </w:rPr>
            </w:pPr>
            <w:r>
              <w:rPr>
                <w:rFonts w:hint="eastAsia"/>
                <w:highlight w:val="none"/>
                <w:lang w:val="zh-TW"/>
              </w:rPr>
              <w:t>健康危害</w:t>
            </w:r>
            <w:r>
              <w:rPr>
                <w:highlight w:val="none"/>
                <w:lang w:val="zh-TW"/>
              </w:rPr>
              <w:t>：中等毒性。沥青</w:t>
            </w:r>
            <w:r>
              <w:rPr>
                <w:rFonts w:hint="eastAsia"/>
                <w:highlight w:val="none"/>
                <w:lang w:val="zh-TW"/>
              </w:rPr>
              <w:t>及其烟气</w:t>
            </w:r>
            <w:r>
              <w:rPr>
                <w:highlight w:val="none"/>
                <w:lang w:val="zh-TW"/>
              </w:rPr>
              <w:t>对皮肤黏膜具有刺激性，有光毒作用和致癌作用。</w:t>
            </w:r>
            <w:r>
              <w:rPr>
                <w:rFonts w:hint="eastAsia"/>
                <w:highlight w:val="none"/>
                <w:lang w:val="zh-TW"/>
              </w:rPr>
              <w:t>我国三种主要沥青的毒性：煤焦沥青&gt;页岩沥青&gt;石油沥青，前二者有致癌性。接触沥青的主要皮肤损害有：光毒性皮炎，皮损限于面、颈部等暴露部分；黑变病，皮损常对称分布于暴露部位；呈片状，呈褐-深褐-褐黑色；职业性痤疮；疣状赘生物及事故引起的热烧伤。此外，尚有头昏、头胀，头痛、胸闷、乏力、恶、食欲不振等全身养病和眼、鼻、咽部的刺激症状。</w:t>
            </w:r>
          </w:p>
          <w:p>
            <w:pPr>
              <w:pStyle w:val="3"/>
              <w:ind w:firstLine="480"/>
              <w:rPr>
                <w:highlight w:val="none"/>
                <w:lang w:val="zh-TW"/>
              </w:rPr>
            </w:pPr>
            <w:r>
              <w:rPr>
                <w:rFonts w:hint="eastAsia"/>
                <w:highlight w:val="none"/>
                <w:lang w:val="zh-TW"/>
              </w:rPr>
              <w:t>毒理学</w:t>
            </w:r>
            <w:r>
              <w:rPr>
                <w:highlight w:val="none"/>
                <w:lang w:val="zh-TW"/>
              </w:rPr>
              <w:t>资料及环境行为：</w:t>
            </w:r>
            <w:r>
              <w:rPr>
                <w:rFonts w:hint="eastAsia"/>
                <w:highlight w:val="none"/>
                <w:lang w:val="zh-TW"/>
              </w:rPr>
              <w:t>毒性：具有刺激性，致癌性；危险特性：遇高热、明火能燃烧。燃烧分解时放出腐蚀性、刺激性的黑色烟雾；燃烧(分解)产物：一氧化碳、二氧化碳、成分未知的黑色烟雾。</w:t>
            </w:r>
          </w:p>
          <w:p>
            <w:pPr>
              <w:pStyle w:val="3"/>
              <w:ind w:firstLine="480"/>
              <w:rPr>
                <w:highlight w:val="none"/>
                <w:lang w:val="zh-TW"/>
              </w:rPr>
            </w:pPr>
            <w:r>
              <w:rPr>
                <w:rFonts w:hint="eastAsia"/>
                <w:highlight w:val="none"/>
                <w:lang w:val="zh-TW"/>
              </w:rPr>
              <w:t>应用</w:t>
            </w:r>
            <w:r>
              <w:rPr>
                <w:highlight w:val="none"/>
                <w:lang w:val="zh-TW"/>
              </w:rPr>
              <w:t>：在土木工程中，沥青是应用广泛的防水材料和防腐材料，主要应用于屋面、地面、地下结构的防水，木材、钢材的防腐</w:t>
            </w:r>
            <w:r>
              <w:rPr>
                <w:rFonts w:hint="eastAsia"/>
                <w:highlight w:val="none"/>
                <w:lang w:val="zh-TW"/>
              </w:rPr>
              <w:t>。</w:t>
            </w:r>
            <w:r>
              <w:rPr>
                <w:highlight w:val="none"/>
                <w:lang w:val="zh-TW"/>
              </w:rPr>
              <w:t>沥青</w:t>
            </w:r>
            <w:r>
              <w:rPr>
                <w:rFonts w:hint="eastAsia"/>
                <w:highlight w:val="none"/>
                <w:lang w:val="zh-TW"/>
              </w:rPr>
              <w:t>还是</w:t>
            </w:r>
            <w:r>
              <w:rPr>
                <w:highlight w:val="none"/>
                <w:lang w:val="zh-TW"/>
              </w:rPr>
              <w:t>道路工程中应用广泛的路面结构胶结材料，与不同组成的矿质材料比例配合后可以</w:t>
            </w:r>
            <w:r>
              <w:rPr>
                <w:rFonts w:hint="eastAsia"/>
                <w:highlight w:val="none"/>
                <w:lang w:val="zh-TW"/>
              </w:rPr>
              <w:t>建成</w:t>
            </w:r>
            <w:r>
              <w:rPr>
                <w:highlight w:val="none"/>
                <w:lang w:val="zh-TW"/>
              </w:rPr>
              <w:t>不同</w:t>
            </w:r>
            <w:r>
              <w:rPr>
                <w:rFonts w:hint="eastAsia"/>
                <w:highlight w:val="none"/>
                <w:lang w:val="zh-TW"/>
              </w:rPr>
              <w:t>结构</w:t>
            </w:r>
            <w:r>
              <w:rPr>
                <w:highlight w:val="none"/>
                <w:lang w:val="zh-TW"/>
              </w:rPr>
              <w:t>的沥青路面。</w:t>
            </w:r>
          </w:p>
          <w:p>
            <w:pPr>
              <w:snapToGrid w:val="0"/>
              <w:spacing w:line="360" w:lineRule="auto"/>
              <w:ind w:firstLine="465"/>
              <w:rPr>
                <w:rFonts w:hint="eastAsia"/>
                <w:b/>
                <w:bCs/>
                <w:kern w:val="0"/>
                <w:sz w:val="24"/>
                <w:lang w:val="zh-TW"/>
              </w:rPr>
            </w:pPr>
            <w:r>
              <w:rPr>
                <w:rFonts w:hint="eastAsia"/>
                <w:b/>
                <w:bCs/>
                <w:kern w:val="0"/>
                <w:sz w:val="24"/>
                <w:lang w:val="zh-TW"/>
              </w:rPr>
              <w:t>（</w:t>
            </w:r>
            <w:r>
              <w:rPr>
                <w:rFonts w:eastAsia="PMingLiU"/>
                <w:b/>
                <w:bCs/>
                <w:kern w:val="0"/>
                <w:sz w:val="24"/>
                <w:lang w:val="zh-TW" w:eastAsia="zh-TW"/>
              </w:rPr>
              <w:t>2</w:t>
            </w:r>
            <w:r>
              <w:rPr>
                <w:rFonts w:hint="eastAsia"/>
                <w:b/>
                <w:bCs/>
                <w:kern w:val="0"/>
                <w:sz w:val="24"/>
                <w:lang w:val="zh-TW"/>
              </w:rPr>
              <w:t>）矿粉</w:t>
            </w:r>
          </w:p>
          <w:p>
            <w:pPr>
              <w:pStyle w:val="3"/>
              <w:ind w:firstLine="480"/>
              <w:rPr>
                <w:lang w:val="zh-TW"/>
              </w:rPr>
            </w:pPr>
            <w:r>
              <w:rPr>
                <w:rFonts w:hint="eastAsia"/>
                <w:lang w:val="zh-TW"/>
              </w:rPr>
              <w:t>矿粉</w:t>
            </w:r>
            <w:r>
              <w:rPr>
                <w:lang w:val="zh-TW"/>
              </w:rPr>
              <w:t>为石灰石矿粉，主要成分为</w:t>
            </w:r>
            <w:r>
              <w:rPr>
                <w:rFonts w:hint="eastAsia"/>
                <w:lang w:val="zh-TW"/>
              </w:rPr>
              <w:t>C</w:t>
            </w:r>
            <w:r>
              <w:rPr>
                <w:rFonts w:eastAsia="PMingLiU"/>
                <w:lang w:val="zh-TW" w:eastAsia="zh-TW"/>
              </w:rPr>
              <w:t>aCO</w:t>
            </w:r>
            <w:r>
              <w:rPr>
                <w:rFonts w:eastAsia="PMingLiU"/>
                <w:vertAlign w:val="subscript"/>
                <w:lang w:val="zh-TW" w:eastAsia="zh-TW"/>
              </w:rPr>
              <w:t>3</w:t>
            </w:r>
            <w:r>
              <w:rPr>
                <w:rFonts w:hint="eastAsia"/>
                <w:lang w:val="zh-TW"/>
              </w:rPr>
              <w:t>，</w:t>
            </w:r>
            <w:r>
              <w:rPr>
                <w:lang w:val="zh-TW"/>
              </w:rPr>
              <w:t>粉末状，无臭无味。矿粉设有</w:t>
            </w:r>
            <w:r>
              <w:rPr>
                <w:rFonts w:hint="eastAsia"/>
                <w:lang w:val="zh-TW"/>
              </w:rPr>
              <w:t>独立密封圆柱形</w:t>
            </w:r>
            <w:r>
              <w:rPr>
                <w:lang w:val="zh-TW"/>
              </w:rPr>
              <w:t>储罐，由散装车输送至矿粉仓。</w:t>
            </w:r>
          </w:p>
          <w:p>
            <w:pPr>
              <w:snapToGrid w:val="0"/>
              <w:spacing w:line="360" w:lineRule="auto"/>
              <w:ind w:firstLine="465"/>
              <w:rPr>
                <w:rFonts w:hint="eastAsia"/>
                <w:b/>
                <w:bCs/>
                <w:kern w:val="0"/>
                <w:sz w:val="24"/>
                <w:lang w:val="zh-TW"/>
              </w:rPr>
            </w:pPr>
            <w:r>
              <w:rPr>
                <w:rFonts w:hint="eastAsia"/>
                <w:b/>
                <w:bCs/>
                <w:kern w:val="0"/>
                <w:sz w:val="24"/>
                <w:lang w:val="zh-TW"/>
              </w:rPr>
              <w:t>（</w:t>
            </w:r>
            <w:r>
              <w:rPr>
                <w:rFonts w:hint="eastAsia" w:eastAsia="宋体"/>
                <w:b/>
                <w:bCs/>
                <w:kern w:val="0"/>
                <w:sz w:val="24"/>
                <w:lang w:val="en-US" w:eastAsia="zh-CN"/>
              </w:rPr>
              <w:t>3</w:t>
            </w:r>
            <w:r>
              <w:rPr>
                <w:rFonts w:hint="eastAsia"/>
                <w:b/>
                <w:bCs/>
                <w:kern w:val="0"/>
                <w:sz w:val="24"/>
                <w:lang w:val="zh-TW"/>
              </w:rPr>
              <w:t>）柴油</w:t>
            </w:r>
          </w:p>
          <w:p>
            <w:pPr>
              <w:pStyle w:val="3"/>
              <w:ind w:firstLine="480"/>
            </w:pPr>
            <w:r>
              <w:rPr>
                <w:rFonts w:hint="eastAsia"/>
              </w:rPr>
              <w:t>轻质石油产品，复杂烃类(碳原子数约10～22)混合物。为柴油机燃料，主要由原油蒸馏、催化裂化、热裂化、加氢裂化、石油焦化等过程生产的柴油馏分调配，也可由页岩油加工和煤液化制取。分为轻柴油(沸点范围约180～370℃)和重柴油(沸点范围约350～410℃)两大类。广泛用于大型车辆、铁路机车、船舰。</w:t>
            </w:r>
          </w:p>
          <w:p>
            <w:pPr>
              <w:snapToGrid w:val="0"/>
              <w:spacing w:line="360" w:lineRule="auto"/>
              <w:jc w:val="center"/>
              <w:rPr>
                <w:rFonts w:hint="eastAsia" w:ascii="宋体" w:hAnsi="宋体" w:eastAsia="宋体" w:cs="宋体"/>
                <w:b/>
                <w:bCs/>
                <w:color w:val="auto"/>
                <w:sz w:val="21"/>
                <w:szCs w:val="21"/>
                <w:highlight w:val="none"/>
              </w:rPr>
            </w:pPr>
            <w:r>
              <w:rPr>
                <w:rFonts w:hint="eastAsia"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2-5</w:t>
            </w:r>
            <w:r>
              <w:rPr>
                <w:rFonts w:hint="eastAsia" w:ascii="Times New Roman" w:hAnsi="Times New Roman" w:eastAsia="宋体" w:cs="Times New Roman"/>
                <w:b/>
                <w:bCs/>
                <w:color w:val="auto"/>
                <w:sz w:val="21"/>
                <w:szCs w:val="21"/>
                <w:highlight w:val="none"/>
              </w:rPr>
              <w:t xml:space="preserve"> 柴</w:t>
            </w:r>
            <w:r>
              <w:rPr>
                <w:rFonts w:hint="eastAsia" w:ascii="宋体" w:hAnsi="宋体" w:eastAsia="宋体" w:cs="宋体"/>
                <w:b/>
                <w:bCs/>
                <w:color w:val="auto"/>
                <w:sz w:val="21"/>
                <w:szCs w:val="21"/>
                <w:highlight w:val="none"/>
              </w:rPr>
              <w:t>油理化特性</w:t>
            </w:r>
          </w:p>
          <w:tbl>
            <w:tblPr>
              <w:tblStyle w:val="11"/>
              <w:tblW w:w="0" w:type="auto"/>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894"/>
              <w:gridCol w:w="1895"/>
              <w:gridCol w:w="1498"/>
              <w:gridCol w:w="9"/>
              <w:gridCol w:w="228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1894" w:type="dxa"/>
                  <w:noWrap w:val="0"/>
                  <w:vAlign w:val="center"/>
                </w:tcPr>
                <w:p>
                  <w:pPr>
                    <w:adjustRightInd w:val="0"/>
                    <w:snapToGrid w:val="0"/>
                    <w:jc w:val="center"/>
                    <w:rPr>
                      <w:rFonts w:ascii="Times New Roman" w:hAnsi="Times New Roman" w:eastAsia="宋体"/>
                      <w:b/>
                      <w:snapToGrid w:val="0"/>
                      <w:kern w:val="0"/>
                      <w:sz w:val="21"/>
                      <w:szCs w:val="21"/>
                    </w:rPr>
                  </w:pPr>
                  <w:r>
                    <w:rPr>
                      <w:rFonts w:hint="eastAsia" w:ascii="Times New Roman" w:hAnsi="Times New Roman" w:eastAsia="宋体"/>
                      <w:snapToGrid w:val="0"/>
                      <w:kern w:val="0"/>
                      <w:sz w:val="21"/>
                      <w:szCs w:val="21"/>
                    </w:rPr>
                    <w:t>主要成分</w:t>
                  </w:r>
                </w:p>
              </w:tc>
              <w:tc>
                <w:tcPr>
                  <w:tcW w:w="1895" w:type="dxa"/>
                  <w:noWrap w:val="0"/>
                  <w:vAlign w:val="center"/>
                </w:tcPr>
                <w:p>
                  <w:pPr>
                    <w:adjustRightInd w:val="0"/>
                    <w:snapToGrid w:val="0"/>
                    <w:jc w:val="center"/>
                    <w:rPr>
                      <w:rFonts w:ascii="Times New Roman" w:hAnsi="Times New Roman" w:eastAsia="宋体"/>
                      <w:bCs/>
                      <w:snapToGrid w:val="0"/>
                      <w:kern w:val="0"/>
                      <w:sz w:val="21"/>
                      <w:szCs w:val="21"/>
                    </w:rPr>
                  </w:pPr>
                  <w:r>
                    <w:rPr>
                      <w:rFonts w:ascii="Times New Roman" w:hAnsi="Times New Roman" w:eastAsia="宋体"/>
                      <w:bCs/>
                      <w:snapToGrid w:val="0"/>
                      <w:kern w:val="0"/>
                      <w:sz w:val="21"/>
                      <w:szCs w:val="21"/>
                    </w:rPr>
                    <w:t>复杂烃类(碳原子数约10～22)混合物</w:t>
                  </w:r>
                </w:p>
              </w:tc>
              <w:tc>
                <w:tcPr>
                  <w:tcW w:w="1498" w:type="dxa"/>
                  <w:noWrap w:val="0"/>
                  <w:vAlign w:val="center"/>
                </w:tcPr>
                <w:p>
                  <w:pPr>
                    <w:adjustRightInd w:val="0"/>
                    <w:snapToGrid w:val="0"/>
                    <w:jc w:val="center"/>
                    <w:rPr>
                      <w:rFonts w:hint="eastAsia" w:ascii="Times New Roman" w:hAnsi="Times New Roman" w:eastAsia="宋体"/>
                      <w:b/>
                      <w:snapToGrid w:val="0"/>
                      <w:kern w:val="0"/>
                      <w:sz w:val="21"/>
                      <w:szCs w:val="21"/>
                    </w:rPr>
                  </w:pPr>
                  <w:r>
                    <w:rPr>
                      <w:rFonts w:ascii="Times New Roman" w:hAnsi="Times New Roman" w:eastAsia="宋体"/>
                      <w:snapToGrid w:val="0"/>
                      <w:kern w:val="0"/>
                      <w:sz w:val="21"/>
                      <w:szCs w:val="21"/>
                    </w:rPr>
                    <w:t>外观与性状：</w:t>
                  </w:r>
                </w:p>
              </w:tc>
              <w:tc>
                <w:tcPr>
                  <w:tcW w:w="2291" w:type="dxa"/>
                  <w:gridSpan w:val="2"/>
                  <w:noWrap w:val="0"/>
                  <w:vAlign w:val="center"/>
                </w:tcPr>
                <w:p>
                  <w:pPr>
                    <w:adjustRightInd w:val="0"/>
                    <w:snapToGrid w:val="0"/>
                    <w:jc w:val="center"/>
                    <w:rPr>
                      <w:rFonts w:hint="eastAsia" w:ascii="Times New Roman" w:hAnsi="Times New Roman" w:eastAsia="宋体"/>
                      <w:b/>
                      <w:snapToGrid w:val="0"/>
                      <w:kern w:val="0"/>
                      <w:sz w:val="21"/>
                      <w:szCs w:val="21"/>
                    </w:rPr>
                  </w:pPr>
                  <w:r>
                    <w:rPr>
                      <w:rFonts w:hint="eastAsia" w:ascii="Times New Roman" w:hAnsi="Times New Roman" w:eastAsia="宋体"/>
                      <w:snapToGrid w:val="0"/>
                      <w:kern w:val="0"/>
                      <w:sz w:val="21"/>
                      <w:szCs w:val="21"/>
                    </w:rPr>
                    <w:t>稍有粘性的棕色液体</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894" w:type="dxa"/>
                  <w:noWrap w:val="0"/>
                  <w:vAlign w:val="center"/>
                </w:tcPr>
                <w:p>
                  <w:pPr>
                    <w:adjustRightInd w:val="0"/>
                    <w:snapToGrid w:val="0"/>
                    <w:jc w:val="center"/>
                    <w:rPr>
                      <w:rFonts w:ascii="Times New Roman" w:hAnsi="Times New Roman" w:eastAsia="宋体"/>
                      <w:b/>
                      <w:snapToGrid w:val="0"/>
                      <w:kern w:val="0"/>
                      <w:sz w:val="21"/>
                      <w:szCs w:val="21"/>
                    </w:rPr>
                  </w:pPr>
                  <w:r>
                    <w:rPr>
                      <w:rFonts w:ascii="Times New Roman" w:hAnsi="Times New Roman" w:eastAsia="宋体"/>
                      <w:snapToGrid w:val="0"/>
                      <w:kern w:val="0"/>
                      <w:sz w:val="21"/>
                      <w:szCs w:val="21"/>
                    </w:rPr>
                    <w:t>pH：</w:t>
                  </w:r>
                </w:p>
              </w:tc>
              <w:tc>
                <w:tcPr>
                  <w:tcW w:w="1895" w:type="dxa"/>
                  <w:noWrap w:val="0"/>
                  <w:vAlign w:val="center"/>
                </w:tcPr>
                <w:p>
                  <w:pPr>
                    <w:adjustRightInd w:val="0"/>
                    <w:snapToGrid w:val="0"/>
                    <w:jc w:val="center"/>
                    <w:rPr>
                      <w:rFonts w:ascii="Times New Roman" w:hAnsi="Times New Roman" w:eastAsia="宋体"/>
                      <w:b/>
                      <w:snapToGrid w:val="0"/>
                      <w:kern w:val="0"/>
                      <w:sz w:val="21"/>
                      <w:szCs w:val="21"/>
                    </w:rPr>
                  </w:pPr>
                  <w:r>
                    <w:rPr>
                      <w:rFonts w:ascii="Times New Roman" w:hAnsi="Times New Roman" w:eastAsia="宋体"/>
                      <w:snapToGrid w:val="0"/>
                      <w:kern w:val="0"/>
                      <w:sz w:val="21"/>
                      <w:szCs w:val="21"/>
                    </w:rPr>
                    <w:t>/</w:t>
                  </w:r>
                </w:p>
              </w:tc>
              <w:tc>
                <w:tcPr>
                  <w:tcW w:w="1498" w:type="dxa"/>
                  <w:noWrap w:val="0"/>
                  <w:vAlign w:val="center"/>
                </w:tcPr>
                <w:p>
                  <w:pPr>
                    <w:adjustRightInd w:val="0"/>
                    <w:snapToGrid w:val="0"/>
                    <w:jc w:val="center"/>
                    <w:rPr>
                      <w:rFonts w:ascii="Times New Roman" w:hAnsi="Times New Roman" w:eastAsia="宋体"/>
                      <w:b/>
                      <w:snapToGrid w:val="0"/>
                      <w:kern w:val="0"/>
                      <w:sz w:val="21"/>
                      <w:szCs w:val="21"/>
                    </w:rPr>
                  </w:pPr>
                  <w:r>
                    <w:rPr>
                      <w:rFonts w:ascii="Times New Roman" w:hAnsi="Times New Roman" w:eastAsia="宋体"/>
                      <w:snapToGrid w:val="0"/>
                      <w:kern w:val="0"/>
                      <w:sz w:val="21"/>
                      <w:szCs w:val="21"/>
                    </w:rPr>
                    <w:t>闪点(</w:t>
                  </w:r>
                  <w:r>
                    <w:rPr>
                      <w:rFonts w:hint="eastAsia" w:ascii="Times New Roman" w:hAnsi="Times New Roman" w:eastAsia="宋体" w:cs="宋体"/>
                      <w:snapToGrid w:val="0"/>
                      <w:kern w:val="0"/>
                      <w:sz w:val="21"/>
                      <w:szCs w:val="21"/>
                    </w:rPr>
                    <w:t>℃</w:t>
                  </w:r>
                  <w:r>
                    <w:rPr>
                      <w:rFonts w:ascii="Times New Roman" w:hAnsi="Times New Roman" w:eastAsia="宋体"/>
                      <w:snapToGrid w:val="0"/>
                      <w:kern w:val="0"/>
                      <w:sz w:val="21"/>
                      <w:szCs w:val="21"/>
                    </w:rPr>
                    <w:t>)：</w:t>
                  </w:r>
                </w:p>
              </w:tc>
              <w:tc>
                <w:tcPr>
                  <w:tcW w:w="2291" w:type="dxa"/>
                  <w:gridSpan w:val="2"/>
                  <w:noWrap w:val="0"/>
                  <w:vAlign w:val="center"/>
                </w:tcPr>
                <w:p>
                  <w:pPr>
                    <w:adjustRightInd w:val="0"/>
                    <w:snapToGrid w:val="0"/>
                    <w:jc w:val="center"/>
                    <w:rPr>
                      <w:rFonts w:ascii="Times New Roman" w:hAnsi="Times New Roman" w:eastAsia="宋体"/>
                      <w:b/>
                      <w:snapToGrid w:val="0"/>
                      <w:kern w:val="0"/>
                      <w:sz w:val="21"/>
                      <w:szCs w:val="21"/>
                    </w:rPr>
                  </w:pPr>
                  <w:r>
                    <w:rPr>
                      <w:rFonts w:ascii="Times New Roman" w:hAnsi="Times New Roman" w:eastAsia="宋体"/>
                      <w:snapToGrid w:val="0"/>
                      <w:kern w:val="0"/>
                      <w:sz w:val="21"/>
                      <w:szCs w:val="21"/>
                    </w:rPr>
                    <w:t>38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894" w:type="dxa"/>
                  <w:noWrap w:val="0"/>
                  <w:vAlign w:val="center"/>
                </w:tcPr>
                <w:p>
                  <w:pPr>
                    <w:adjustRightInd w:val="0"/>
                    <w:snapToGrid w:val="0"/>
                    <w:jc w:val="center"/>
                    <w:rPr>
                      <w:rFonts w:ascii="Times New Roman" w:hAnsi="Times New Roman" w:eastAsia="宋体"/>
                      <w:b/>
                      <w:snapToGrid w:val="0"/>
                      <w:kern w:val="0"/>
                      <w:sz w:val="21"/>
                      <w:szCs w:val="21"/>
                    </w:rPr>
                  </w:pPr>
                  <w:r>
                    <w:rPr>
                      <w:rFonts w:ascii="Times New Roman" w:hAnsi="Times New Roman" w:eastAsia="宋体"/>
                      <w:snapToGrid w:val="0"/>
                      <w:kern w:val="0"/>
                      <w:sz w:val="21"/>
                      <w:szCs w:val="21"/>
                    </w:rPr>
                    <w:t>沸点(</w:t>
                  </w:r>
                  <w:r>
                    <w:rPr>
                      <w:rFonts w:hint="eastAsia" w:ascii="Times New Roman" w:hAnsi="Times New Roman" w:eastAsia="宋体" w:cs="宋体"/>
                      <w:snapToGrid w:val="0"/>
                      <w:kern w:val="0"/>
                      <w:sz w:val="21"/>
                      <w:szCs w:val="21"/>
                    </w:rPr>
                    <w:t>℃</w:t>
                  </w:r>
                  <w:r>
                    <w:rPr>
                      <w:rFonts w:ascii="Times New Roman" w:hAnsi="Times New Roman" w:eastAsia="宋体"/>
                      <w:snapToGrid w:val="0"/>
                      <w:kern w:val="0"/>
                      <w:sz w:val="21"/>
                      <w:szCs w:val="21"/>
                    </w:rPr>
                    <w:t>)：</w:t>
                  </w:r>
                </w:p>
              </w:tc>
              <w:tc>
                <w:tcPr>
                  <w:tcW w:w="1895" w:type="dxa"/>
                  <w:noWrap w:val="0"/>
                  <w:vAlign w:val="center"/>
                </w:tcPr>
                <w:p>
                  <w:pPr>
                    <w:adjustRightInd w:val="0"/>
                    <w:snapToGrid w:val="0"/>
                    <w:jc w:val="center"/>
                    <w:rPr>
                      <w:rFonts w:ascii="Times New Roman" w:hAnsi="Times New Roman" w:eastAsia="宋体"/>
                      <w:b/>
                      <w:snapToGrid w:val="0"/>
                      <w:kern w:val="0"/>
                      <w:sz w:val="21"/>
                      <w:szCs w:val="21"/>
                    </w:rPr>
                  </w:pPr>
                  <w:r>
                    <w:rPr>
                      <w:rFonts w:ascii="Times New Roman" w:hAnsi="Times New Roman" w:eastAsia="宋体"/>
                      <w:snapToGrid w:val="0"/>
                      <w:kern w:val="0"/>
                      <w:sz w:val="21"/>
                      <w:szCs w:val="21"/>
                    </w:rPr>
                    <w:t>282</w:t>
                  </w:r>
                  <w:r>
                    <w:rPr>
                      <w:rFonts w:hint="eastAsia" w:ascii="Times New Roman" w:hAnsi="Times New Roman" w:eastAsia="宋体"/>
                      <w:snapToGrid w:val="0"/>
                      <w:kern w:val="0"/>
                      <w:sz w:val="21"/>
                      <w:szCs w:val="21"/>
                    </w:rPr>
                    <w:t>-</w:t>
                  </w:r>
                  <w:r>
                    <w:rPr>
                      <w:rFonts w:ascii="Times New Roman" w:hAnsi="Times New Roman" w:eastAsia="宋体"/>
                      <w:snapToGrid w:val="0"/>
                      <w:kern w:val="0"/>
                      <w:sz w:val="21"/>
                      <w:szCs w:val="21"/>
                    </w:rPr>
                    <w:t>338</w:t>
                  </w:r>
                </w:p>
              </w:tc>
              <w:tc>
                <w:tcPr>
                  <w:tcW w:w="1498" w:type="dxa"/>
                  <w:noWrap w:val="0"/>
                  <w:vAlign w:val="center"/>
                </w:tcPr>
                <w:p>
                  <w:pPr>
                    <w:adjustRightInd w:val="0"/>
                    <w:snapToGrid w:val="0"/>
                    <w:jc w:val="center"/>
                    <w:rPr>
                      <w:rFonts w:ascii="Times New Roman" w:hAnsi="Times New Roman" w:eastAsia="宋体"/>
                      <w:snapToGrid w:val="0"/>
                      <w:kern w:val="0"/>
                      <w:sz w:val="21"/>
                      <w:szCs w:val="21"/>
                    </w:rPr>
                  </w:pPr>
                  <w:r>
                    <w:rPr>
                      <w:rFonts w:hint="eastAsia" w:ascii="Times New Roman" w:hAnsi="Times New Roman" w:eastAsia="宋体"/>
                      <w:snapToGrid w:val="0"/>
                      <w:kern w:val="0"/>
                      <w:sz w:val="21"/>
                      <w:szCs w:val="21"/>
                    </w:rPr>
                    <w:t>熔点</w:t>
                  </w:r>
                  <w:r>
                    <w:rPr>
                      <w:rFonts w:ascii="Times New Roman" w:hAnsi="Times New Roman" w:eastAsia="宋体"/>
                      <w:snapToGrid w:val="0"/>
                      <w:kern w:val="0"/>
                      <w:sz w:val="21"/>
                      <w:szCs w:val="21"/>
                    </w:rPr>
                    <w:t>(</w:t>
                  </w:r>
                  <w:r>
                    <w:rPr>
                      <w:rFonts w:hint="eastAsia" w:ascii="Times New Roman" w:hAnsi="Times New Roman" w:eastAsia="宋体"/>
                      <w:snapToGrid w:val="0"/>
                      <w:kern w:val="0"/>
                      <w:sz w:val="21"/>
                      <w:szCs w:val="21"/>
                    </w:rPr>
                    <w:t>℃</w:t>
                  </w:r>
                  <w:r>
                    <w:rPr>
                      <w:rFonts w:ascii="Times New Roman" w:hAnsi="Times New Roman" w:eastAsia="宋体"/>
                      <w:snapToGrid w:val="0"/>
                      <w:kern w:val="0"/>
                      <w:sz w:val="21"/>
                      <w:szCs w:val="21"/>
                    </w:rPr>
                    <w:t>)：</w:t>
                  </w:r>
                </w:p>
              </w:tc>
              <w:tc>
                <w:tcPr>
                  <w:tcW w:w="2291" w:type="dxa"/>
                  <w:gridSpan w:val="2"/>
                  <w:noWrap w:val="0"/>
                  <w:vAlign w:val="center"/>
                </w:tcPr>
                <w:p>
                  <w:pPr>
                    <w:adjustRightInd w:val="0"/>
                    <w:snapToGrid w:val="0"/>
                    <w:jc w:val="center"/>
                    <w:rPr>
                      <w:rFonts w:ascii="Times New Roman" w:hAnsi="Times New Roman" w:eastAsia="宋体"/>
                      <w:b/>
                      <w:snapToGrid w:val="0"/>
                      <w:kern w:val="0"/>
                      <w:sz w:val="21"/>
                      <w:szCs w:val="21"/>
                    </w:rPr>
                  </w:pPr>
                  <w:r>
                    <w:rPr>
                      <w:rFonts w:hint="eastAsia" w:ascii="Times New Roman" w:hAnsi="Times New Roman" w:eastAsia="宋体"/>
                      <w:snapToGrid w:val="0"/>
                      <w:kern w:val="0"/>
                      <w:sz w:val="21"/>
                      <w:szCs w:val="21"/>
                    </w:rPr>
                    <w:t>-</w:t>
                  </w:r>
                  <w:r>
                    <w:rPr>
                      <w:rFonts w:ascii="Times New Roman" w:hAnsi="Times New Roman" w:eastAsia="宋体"/>
                      <w:snapToGrid w:val="0"/>
                      <w:kern w:val="0"/>
                      <w:sz w:val="21"/>
                      <w:szCs w:val="21"/>
                    </w:rPr>
                    <w:t>18</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894" w:type="dxa"/>
                  <w:noWrap w:val="0"/>
                  <w:vAlign w:val="center"/>
                </w:tcPr>
                <w:p>
                  <w:pPr>
                    <w:adjustRightInd w:val="0"/>
                    <w:snapToGrid w:val="0"/>
                    <w:jc w:val="center"/>
                    <w:rPr>
                      <w:rFonts w:ascii="Times New Roman" w:hAnsi="Times New Roman" w:eastAsia="宋体"/>
                      <w:b/>
                      <w:snapToGrid w:val="0"/>
                      <w:kern w:val="0"/>
                      <w:sz w:val="21"/>
                      <w:szCs w:val="21"/>
                    </w:rPr>
                  </w:pPr>
                  <w:r>
                    <w:rPr>
                      <w:rFonts w:ascii="Times New Roman" w:hAnsi="Times New Roman" w:eastAsia="宋体"/>
                      <w:snapToGrid w:val="0"/>
                      <w:kern w:val="0"/>
                      <w:sz w:val="21"/>
                      <w:szCs w:val="21"/>
                    </w:rPr>
                    <w:t>相对密度(水=1)：</w:t>
                  </w:r>
                </w:p>
              </w:tc>
              <w:tc>
                <w:tcPr>
                  <w:tcW w:w="1895" w:type="dxa"/>
                  <w:noWrap w:val="0"/>
                  <w:vAlign w:val="center"/>
                </w:tcPr>
                <w:p>
                  <w:pPr>
                    <w:adjustRightInd w:val="0"/>
                    <w:snapToGrid w:val="0"/>
                    <w:jc w:val="center"/>
                    <w:rPr>
                      <w:rFonts w:ascii="Times New Roman" w:hAnsi="Times New Roman" w:eastAsia="宋体"/>
                      <w:b/>
                      <w:snapToGrid w:val="0"/>
                      <w:kern w:val="0"/>
                      <w:sz w:val="21"/>
                      <w:szCs w:val="21"/>
                    </w:rPr>
                  </w:pPr>
                  <w:r>
                    <w:rPr>
                      <w:rFonts w:ascii="Times New Roman" w:hAnsi="Times New Roman" w:eastAsia="宋体"/>
                      <w:snapToGrid w:val="0"/>
                      <w:kern w:val="0"/>
                      <w:sz w:val="21"/>
                      <w:szCs w:val="21"/>
                    </w:rPr>
                    <w:t>0.87-0.9</w:t>
                  </w:r>
                </w:p>
              </w:tc>
              <w:tc>
                <w:tcPr>
                  <w:tcW w:w="1498" w:type="dxa"/>
                  <w:noWrap w:val="0"/>
                  <w:vAlign w:val="center"/>
                </w:tcPr>
                <w:p>
                  <w:pPr>
                    <w:adjustRightInd w:val="0"/>
                    <w:snapToGrid w:val="0"/>
                    <w:jc w:val="center"/>
                    <w:rPr>
                      <w:rFonts w:ascii="Times New Roman" w:hAnsi="Times New Roman" w:eastAsia="宋体"/>
                      <w:b/>
                      <w:snapToGrid w:val="0"/>
                      <w:kern w:val="0"/>
                      <w:sz w:val="21"/>
                      <w:szCs w:val="21"/>
                    </w:rPr>
                  </w:pPr>
                  <w:r>
                    <w:rPr>
                      <w:rFonts w:ascii="Times New Roman" w:hAnsi="Times New Roman" w:eastAsia="宋体"/>
                      <w:snapToGrid w:val="0"/>
                      <w:kern w:val="0"/>
                      <w:sz w:val="21"/>
                      <w:szCs w:val="21"/>
                    </w:rPr>
                    <w:t>引燃温度(</w:t>
                  </w:r>
                  <w:r>
                    <w:rPr>
                      <w:rFonts w:hint="eastAsia" w:ascii="Times New Roman" w:hAnsi="Times New Roman" w:eastAsia="宋体" w:cs="宋体"/>
                      <w:snapToGrid w:val="0"/>
                      <w:kern w:val="0"/>
                      <w:sz w:val="21"/>
                      <w:szCs w:val="21"/>
                    </w:rPr>
                    <w:t>℃</w:t>
                  </w:r>
                  <w:r>
                    <w:rPr>
                      <w:rFonts w:ascii="Times New Roman" w:hAnsi="Times New Roman" w:eastAsia="宋体"/>
                      <w:snapToGrid w:val="0"/>
                      <w:kern w:val="0"/>
                      <w:sz w:val="21"/>
                      <w:szCs w:val="21"/>
                    </w:rPr>
                    <w:t>)：</w:t>
                  </w:r>
                </w:p>
              </w:tc>
              <w:tc>
                <w:tcPr>
                  <w:tcW w:w="2291" w:type="dxa"/>
                  <w:gridSpan w:val="2"/>
                  <w:noWrap w:val="0"/>
                  <w:vAlign w:val="center"/>
                </w:tcPr>
                <w:p>
                  <w:pPr>
                    <w:adjustRightInd w:val="0"/>
                    <w:snapToGrid w:val="0"/>
                    <w:jc w:val="center"/>
                    <w:rPr>
                      <w:rFonts w:ascii="Times New Roman" w:hAnsi="Times New Roman" w:eastAsia="宋体"/>
                      <w:b/>
                      <w:snapToGrid w:val="0"/>
                      <w:kern w:val="0"/>
                      <w:sz w:val="21"/>
                      <w:szCs w:val="21"/>
                    </w:rPr>
                  </w:pPr>
                  <w:r>
                    <w:rPr>
                      <w:rFonts w:ascii="Times New Roman" w:hAnsi="Times New Roman" w:eastAsia="宋体"/>
                      <w:snapToGrid w:val="0"/>
                      <w:kern w:val="0"/>
                      <w:sz w:val="21"/>
                      <w:szCs w:val="21"/>
                    </w:rPr>
                    <w:t>257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894" w:type="dxa"/>
                  <w:noWrap w:val="0"/>
                  <w:vAlign w:val="top"/>
                </w:tcPr>
                <w:p>
                  <w:pPr>
                    <w:adjustRightInd w:val="0"/>
                    <w:snapToGrid w:val="0"/>
                    <w:jc w:val="center"/>
                    <w:rPr>
                      <w:rFonts w:ascii="Times New Roman" w:hAnsi="Times New Roman" w:eastAsia="宋体"/>
                      <w:bCs/>
                      <w:snapToGrid w:val="0"/>
                      <w:kern w:val="0"/>
                      <w:sz w:val="21"/>
                      <w:szCs w:val="21"/>
                    </w:rPr>
                  </w:pPr>
                  <w:r>
                    <w:rPr>
                      <w:rFonts w:hint="eastAsia" w:ascii="Times New Roman" w:hAnsi="Times New Roman" w:eastAsia="宋体"/>
                      <w:bCs/>
                      <w:snapToGrid w:val="0"/>
                      <w:kern w:val="0"/>
                      <w:sz w:val="21"/>
                      <w:szCs w:val="21"/>
                    </w:rPr>
                    <w:t>含硫量</w:t>
                  </w:r>
                </w:p>
              </w:tc>
              <w:tc>
                <w:tcPr>
                  <w:tcW w:w="1895" w:type="dxa"/>
                  <w:noWrap w:val="0"/>
                  <w:vAlign w:val="top"/>
                </w:tcPr>
                <w:p>
                  <w:pPr>
                    <w:adjustRightInd w:val="0"/>
                    <w:snapToGrid w:val="0"/>
                    <w:jc w:val="center"/>
                    <w:rPr>
                      <w:rFonts w:ascii="Times New Roman" w:hAnsi="Times New Roman" w:eastAsia="宋体"/>
                      <w:bCs/>
                      <w:snapToGrid w:val="0"/>
                      <w:kern w:val="0"/>
                      <w:sz w:val="21"/>
                      <w:szCs w:val="21"/>
                    </w:rPr>
                  </w:pPr>
                  <w:r>
                    <w:rPr>
                      <w:rFonts w:hint="eastAsia" w:ascii="Times New Roman" w:hAnsi="Times New Roman" w:eastAsia="宋体"/>
                      <w:bCs/>
                      <w:snapToGrid w:val="0"/>
                      <w:kern w:val="0"/>
                      <w:sz w:val="21"/>
                      <w:szCs w:val="21"/>
                    </w:rPr>
                    <w:t>≦0</w:t>
                  </w:r>
                  <w:r>
                    <w:rPr>
                      <w:rFonts w:ascii="Times New Roman" w:hAnsi="Times New Roman" w:eastAsia="宋体"/>
                      <w:bCs/>
                      <w:snapToGrid w:val="0"/>
                      <w:kern w:val="0"/>
                      <w:sz w:val="21"/>
                      <w:szCs w:val="21"/>
                    </w:rPr>
                    <w:t>.2</w:t>
                  </w:r>
                  <w:r>
                    <w:rPr>
                      <w:rFonts w:hint="eastAsia" w:ascii="Times New Roman" w:hAnsi="Times New Roman" w:eastAsia="宋体"/>
                      <w:bCs/>
                      <w:snapToGrid w:val="0"/>
                      <w:kern w:val="0"/>
                      <w:sz w:val="21"/>
                      <w:szCs w:val="21"/>
                    </w:rPr>
                    <w:t>%</w:t>
                  </w:r>
                </w:p>
              </w:tc>
              <w:tc>
                <w:tcPr>
                  <w:tcW w:w="1507" w:type="dxa"/>
                  <w:gridSpan w:val="2"/>
                  <w:noWrap w:val="0"/>
                  <w:vAlign w:val="top"/>
                </w:tcPr>
                <w:p>
                  <w:pPr>
                    <w:adjustRightInd w:val="0"/>
                    <w:snapToGrid w:val="0"/>
                    <w:jc w:val="center"/>
                    <w:rPr>
                      <w:rFonts w:ascii="Times New Roman" w:hAnsi="Times New Roman" w:eastAsia="宋体"/>
                      <w:b/>
                      <w:snapToGrid w:val="0"/>
                      <w:kern w:val="0"/>
                      <w:sz w:val="21"/>
                      <w:szCs w:val="21"/>
                    </w:rPr>
                  </w:pPr>
                  <w:r>
                    <w:rPr>
                      <w:rFonts w:ascii="Times New Roman" w:hAnsi="Times New Roman" w:eastAsia="宋体"/>
                      <w:snapToGrid w:val="0"/>
                      <w:kern w:val="0"/>
                      <w:sz w:val="21"/>
                      <w:szCs w:val="21"/>
                    </w:rPr>
                    <w:t>主要用途：</w:t>
                  </w:r>
                </w:p>
              </w:tc>
              <w:tc>
                <w:tcPr>
                  <w:tcW w:w="2282" w:type="dxa"/>
                  <w:noWrap w:val="0"/>
                  <w:vAlign w:val="top"/>
                </w:tcPr>
                <w:p>
                  <w:pPr>
                    <w:adjustRightInd w:val="0"/>
                    <w:snapToGrid w:val="0"/>
                    <w:jc w:val="center"/>
                    <w:rPr>
                      <w:rFonts w:ascii="Times New Roman" w:hAnsi="Times New Roman" w:eastAsia="宋体"/>
                      <w:b/>
                      <w:snapToGrid w:val="0"/>
                      <w:kern w:val="0"/>
                      <w:sz w:val="21"/>
                      <w:szCs w:val="21"/>
                    </w:rPr>
                  </w:pPr>
                  <w:r>
                    <w:rPr>
                      <w:rFonts w:ascii="Times New Roman" w:hAnsi="Times New Roman" w:eastAsia="宋体"/>
                      <w:snapToGrid w:val="0"/>
                      <w:kern w:val="0"/>
                      <w:sz w:val="21"/>
                      <w:szCs w:val="21"/>
                    </w:rPr>
                    <w:t>用</w:t>
                  </w:r>
                  <w:r>
                    <w:rPr>
                      <w:rFonts w:hint="eastAsia" w:ascii="Times New Roman" w:hAnsi="Times New Roman" w:eastAsia="宋体"/>
                      <w:snapToGrid w:val="0"/>
                      <w:kern w:val="0"/>
                      <w:sz w:val="21"/>
                      <w:szCs w:val="21"/>
                    </w:rPr>
                    <w:t>作柴油机燃料</w:t>
                  </w:r>
                  <w:r>
                    <w:rPr>
                      <w:rFonts w:ascii="Times New Roman" w:hAnsi="Times New Roman" w:eastAsia="宋体"/>
                      <w:snapToGrid w:val="0"/>
                      <w:kern w:val="0"/>
                      <w:sz w:val="21"/>
                      <w:szCs w:val="21"/>
                    </w:rPr>
                    <w:t>。</w:t>
                  </w:r>
                </w:p>
              </w:tc>
            </w:tr>
          </w:tbl>
          <w:p>
            <w:pPr>
              <w:snapToGrid w:val="0"/>
              <w:spacing w:line="360" w:lineRule="auto"/>
              <w:ind w:firstLine="465"/>
              <w:rPr>
                <w:b/>
                <w:bCs/>
                <w:kern w:val="0"/>
                <w:sz w:val="24"/>
                <w:lang w:val="zh-TW"/>
              </w:rPr>
            </w:pPr>
            <w:r>
              <w:rPr>
                <w:rFonts w:hint="eastAsia"/>
                <w:b/>
                <w:bCs/>
                <w:kern w:val="0"/>
                <w:sz w:val="24"/>
                <w:lang w:val="zh-TW"/>
              </w:rPr>
              <w:t>（</w:t>
            </w:r>
            <w:r>
              <w:rPr>
                <w:rFonts w:hint="eastAsia"/>
                <w:b/>
                <w:bCs/>
                <w:kern w:val="0"/>
                <w:sz w:val="24"/>
                <w:lang w:val="en-US" w:eastAsia="zh-CN"/>
              </w:rPr>
              <w:t>4</w:t>
            </w:r>
            <w:r>
              <w:rPr>
                <w:rFonts w:hint="eastAsia"/>
                <w:b/>
                <w:bCs/>
                <w:kern w:val="0"/>
                <w:sz w:val="24"/>
                <w:lang w:val="zh-TW"/>
              </w:rPr>
              <w:t>）</w:t>
            </w:r>
            <w:r>
              <w:rPr>
                <w:b/>
                <w:bCs/>
                <w:kern w:val="0"/>
                <w:sz w:val="24"/>
                <w:lang w:val="zh-TW"/>
              </w:rPr>
              <w:t>导热油</w:t>
            </w:r>
          </w:p>
          <w:p>
            <w:pPr>
              <w:snapToGrid w:val="0"/>
              <w:spacing w:line="360" w:lineRule="auto"/>
              <w:ind w:firstLine="465"/>
              <w:rPr>
                <w:rFonts w:ascii="Times New Roman" w:hAnsi="Times New Roman"/>
                <w:bCs/>
                <w:kern w:val="0"/>
                <w:sz w:val="24"/>
              </w:rPr>
            </w:pPr>
            <w:r>
              <w:rPr>
                <w:rFonts w:ascii="Times New Roman" w:hAnsi="Times New Roman"/>
                <w:bCs/>
                <w:kern w:val="0"/>
                <w:sz w:val="24"/>
                <w:lang w:val="zh-TW" w:eastAsia="zh-TW"/>
              </w:rPr>
              <w:t>导热油是一种优良的传热介质，它具有热稳定性好、热效率高、传热均匀、温度控制准确等优点。按生产原料划可划分为矿油型、合成型二大类</w:t>
            </w:r>
            <w:r>
              <w:rPr>
                <w:rFonts w:ascii="Times New Roman" w:hAnsi="Times New Roman"/>
                <w:bCs/>
                <w:kern w:val="0"/>
                <w:sz w:val="24"/>
              </w:rPr>
              <w:t>，</w:t>
            </w:r>
            <w:r>
              <w:rPr>
                <w:rFonts w:ascii="Times New Roman" w:hAnsi="Times New Roman"/>
                <w:bCs/>
                <w:kern w:val="0"/>
                <w:sz w:val="24"/>
                <w:lang w:val="zh-TW" w:eastAsia="zh-TW"/>
              </w:rPr>
              <w:t>两者均为烷烃类、环烷烃类、芳烃类及其衍生物组成的混合物。本项目采用导热油为矿油型</w:t>
            </w:r>
            <w:r>
              <w:rPr>
                <w:rFonts w:ascii="Times New Roman" w:hAnsi="Times New Roman"/>
                <w:bCs/>
                <w:kern w:val="0"/>
                <w:sz w:val="24"/>
              </w:rPr>
              <w:t>，</w:t>
            </w:r>
            <w:r>
              <w:rPr>
                <w:rFonts w:ascii="Times New Roman" w:hAnsi="Times New Roman"/>
                <w:bCs/>
                <w:kern w:val="0"/>
                <w:sz w:val="24"/>
                <w:lang w:val="zh-TW" w:eastAsia="zh-TW"/>
              </w:rPr>
              <w:t>是以精制矿物油加入抗氧剂、防焦剂等添加剂制成的热传导液，具有无毒、无味，在常温下不易氧化</w:t>
            </w:r>
            <w:r>
              <w:rPr>
                <w:rFonts w:hint="eastAsia" w:ascii="Times New Roman" w:hAnsi="Times New Roman"/>
                <w:bCs/>
                <w:kern w:val="0"/>
                <w:sz w:val="24"/>
                <w:lang w:val="zh-TW"/>
              </w:rPr>
              <w:t>，</w:t>
            </w:r>
            <w:r>
              <w:rPr>
                <w:rFonts w:ascii="Times New Roman" w:hAnsi="Times New Roman"/>
                <w:bCs/>
                <w:kern w:val="0"/>
                <w:sz w:val="24"/>
                <w:lang w:val="zh-TW" w:eastAsia="zh-TW"/>
              </w:rPr>
              <w:t>无需氮封等特点。通过加入添加剂，消除了导热油的热氧化反应和热聚合反应</w:t>
            </w:r>
            <w:r>
              <w:rPr>
                <w:rFonts w:ascii="Times New Roman" w:hAnsi="Times New Roman"/>
                <w:bCs/>
                <w:kern w:val="0"/>
                <w:sz w:val="24"/>
              </w:rPr>
              <w:t>，</w:t>
            </w:r>
            <w:r>
              <w:rPr>
                <w:rFonts w:ascii="Times New Roman" w:hAnsi="Times New Roman"/>
                <w:bCs/>
                <w:kern w:val="0"/>
                <w:sz w:val="24"/>
                <w:lang w:val="zh-TW" w:eastAsia="zh-TW"/>
              </w:rPr>
              <w:t>提高了导热油的稳定性，防止因产生结焦现象而引发的风险事故发生。导热油闭口闪点不得低于</w:t>
            </w:r>
            <w:r>
              <w:rPr>
                <w:rFonts w:ascii="Times New Roman" w:hAnsi="Times New Roman"/>
                <w:bCs/>
                <w:kern w:val="0"/>
                <w:sz w:val="24"/>
              </w:rPr>
              <w:t>100°C</w:t>
            </w:r>
            <w:r>
              <w:rPr>
                <w:rFonts w:hint="eastAsia" w:ascii="Times New Roman" w:hAnsi="Times New Roman"/>
                <w:bCs/>
                <w:kern w:val="0"/>
                <w:sz w:val="24"/>
              </w:rPr>
              <w:t>，</w:t>
            </w:r>
            <w:r>
              <w:rPr>
                <w:rFonts w:ascii="Times New Roman" w:hAnsi="Times New Roman"/>
                <w:bCs/>
                <w:kern w:val="0"/>
                <w:sz w:val="24"/>
                <w:lang w:val="zh-TW" w:eastAsia="zh-TW"/>
              </w:rPr>
              <w:t>开口闪点不低于160</w:t>
            </w:r>
            <w:r>
              <w:rPr>
                <w:rFonts w:ascii="Times New Roman" w:hAnsi="Times New Roman"/>
                <w:bCs/>
                <w:kern w:val="0"/>
                <w:sz w:val="24"/>
              </w:rPr>
              <w:t>°C。</w:t>
            </w:r>
          </w:p>
          <w:p>
            <w:pPr>
              <w:snapToGrid w:val="0"/>
              <w:spacing w:line="360" w:lineRule="auto"/>
              <w:rPr>
                <w:b/>
                <w:bCs/>
                <w:snapToGrid w:val="0"/>
                <w:kern w:val="0"/>
                <w:sz w:val="24"/>
              </w:rPr>
            </w:pPr>
            <w:r>
              <w:rPr>
                <w:rFonts w:hint="eastAsia"/>
                <w:b/>
                <w:bCs/>
                <w:snapToGrid w:val="0"/>
                <w:kern w:val="0"/>
                <w:sz w:val="24"/>
                <w:lang w:val="en-US" w:eastAsia="zh-CN"/>
              </w:rPr>
              <w:t>7、</w:t>
            </w:r>
            <w:r>
              <w:rPr>
                <w:rFonts w:hint="eastAsia"/>
                <w:b/>
                <w:bCs/>
                <w:snapToGrid w:val="0"/>
                <w:kern w:val="0"/>
                <w:sz w:val="24"/>
              </w:rPr>
              <w:t>公用工程</w:t>
            </w:r>
          </w:p>
          <w:p>
            <w:pPr>
              <w:spacing w:line="360" w:lineRule="auto"/>
              <w:ind w:firstLine="470" w:firstLineChars="196"/>
              <w:rPr>
                <w:rFonts w:hint="eastAsia"/>
                <w:bCs/>
                <w:snapToGrid w:val="0"/>
                <w:kern w:val="0"/>
                <w:sz w:val="24"/>
              </w:rPr>
            </w:pPr>
            <w:r>
              <w:rPr>
                <w:rFonts w:hint="eastAsia"/>
                <w:bCs/>
                <w:snapToGrid w:val="0"/>
                <w:kern w:val="0"/>
                <w:sz w:val="24"/>
                <w:lang w:eastAsia="zh-CN"/>
              </w:rPr>
              <w:t>（</w:t>
            </w:r>
            <w:r>
              <w:rPr>
                <w:rFonts w:hint="eastAsia"/>
                <w:bCs/>
                <w:snapToGrid w:val="0"/>
                <w:kern w:val="0"/>
                <w:sz w:val="24"/>
                <w:lang w:val="en-US" w:eastAsia="zh-CN"/>
              </w:rPr>
              <w:t>1</w:t>
            </w:r>
            <w:r>
              <w:rPr>
                <w:rFonts w:hint="eastAsia"/>
                <w:bCs/>
                <w:snapToGrid w:val="0"/>
                <w:kern w:val="0"/>
                <w:sz w:val="24"/>
                <w:lang w:eastAsia="zh-CN"/>
              </w:rPr>
              <w:t>）</w:t>
            </w:r>
            <w:r>
              <w:rPr>
                <w:bCs/>
                <w:snapToGrid w:val="0"/>
                <w:kern w:val="0"/>
                <w:sz w:val="24"/>
              </w:rPr>
              <w:t>供水</w:t>
            </w:r>
          </w:p>
          <w:p>
            <w:pPr>
              <w:spacing w:line="360" w:lineRule="auto"/>
              <w:ind w:firstLine="470" w:firstLineChars="196"/>
              <w:rPr>
                <w:rFonts w:hint="eastAsia"/>
                <w:lang w:eastAsia="zh-CN"/>
              </w:rPr>
            </w:pPr>
            <w:r>
              <w:rPr>
                <w:rFonts w:hint="eastAsia"/>
                <w:bCs/>
                <w:snapToGrid w:val="0"/>
                <w:kern w:val="0"/>
                <w:sz w:val="24"/>
              </w:rPr>
              <w:t>项目</w:t>
            </w:r>
            <w:r>
              <w:rPr>
                <w:bCs/>
                <w:snapToGrid w:val="0"/>
                <w:kern w:val="0"/>
                <w:sz w:val="24"/>
              </w:rPr>
              <w:t>用水</w:t>
            </w:r>
            <w:r>
              <w:rPr>
                <w:rFonts w:hint="eastAsia"/>
                <w:bCs/>
                <w:snapToGrid w:val="0"/>
                <w:kern w:val="0"/>
                <w:sz w:val="24"/>
              </w:rPr>
              <w:t>分为</w:t>
            </w:r>
            <w:r>
              <w:rPr>
                <w:bCs/>
                <w:snapToGrid w:val="0"/>
                <w:kern w:val="0"/>
                <w:sz w:val="24"/>
              </w:rPr>
              <w:t>生产用水和生活用水</w:t>
            </w:r>
            <w:r>
              <w:rPr>
                <w:rFonts w:hint="eastAsia"/>
                <w:bCs/>
                <w:snapToGrid w:val="0"/>
                <w:kern w:val="0"/>
                <w:sz w:val="24"/>
              </w:rPr>
              <w:t>，</w:t>
            </w:r>
            <w:r>
              <w:rPr>
                <w:bCs/>
                <w:snapToGrid w:val="0"/>
                <w:kern w:val="0"/>
                <w:sz w:val="24"/>
              </w:rPr>
              <w:t>生产用水</w:t>
            </w:r>
            <w:r>
              <w:rPr>
                <w:rFonts w:hint="eastAsia"/>
                <w:bCs/>
                <w:snapToGrid w:val="0"/>
                <w:kern w:val="0"/>
                <w:sz w:val="24"/>
                <w:highlight w:val="none"/>
              </w:rPr>
              <w:t>取自</w:t>
            </w:r>
            <w:r>
              <w:rPr>
                <w:rFonts w:hint="eastAsia"/>
                <w:bCs/>
                <w:snapToGrid w:val="0"/>
                <w:kern w:val="0"/>
                <w:sz w:val="24"/>
                <w:highlight w:val="none"/>
                <w:lang w:val="en-US" w:eastAsia="zh-CN"/>
              </w:rPr>
              <w:t>九龙</w:t>
            </w:r>
            <w:r>
              <w:rPr>
                <w:bCs/>
                <w:snapToGrid w:val="0"/>
                <w:kern w:val="0"/>
                <w:sz w:val="24"/>
                <w:highlight w:val="none"/>
              </w:rPr>
              <w:t>河，</w:t>
            </w:r>
            <w:r>
              <w:rPr>
                <w:bCs/>
                <w:snapToGrid w:val="0"/>
                <w:kern w:val="0"/>
                <w:sz w:val="24"/>
              </w:rPr>
              <w:t>生活用水</w:t>
            </w:r>
            <w:r>
              <w:rPr>
                <w:rFonts w:hint="eastAsia"/>
                <w:bCs/>
                <w:snapToGrid w:val="0"/>
                <w:kern w:val="0"/>
                <w:sz w:val="24"/>
              </w:rPr>
              <w:t>来自</w:t>
            </w:r>
            <w:r>
              <w:rPr>
                <w:rFonts w:hint="eastAsia"/>
                <w:bCs/>
                <w:snapToGrid w:val="0"/>
                <w:kern w:val="0"/>
                <w:sz w:val="24"/>
                <w:lang w:val="en-US" w:eastAsia="zh-CN"/>
              </w:rPr>
              <w:t>居民用水</w:t>
            </w:r>
            <w:r>
              <w:rPr>
                <w:bCs/>
                <w:snapToGrid w:val="0"/>
                <w:kern w:val="0"/>
                <w:sz w:val="24"/>
              </w:rPr>
              <w:t>。</w:t>
            </w:r>
            <w:r>
              <w:rPr>
                <w:rFonts w:hint="eastAsia"/>
                <w:bCs/>
                <w:snapToGrid w:val="0"/>
                <w:kern w:val="0"/>
                <w:sz w:val="24"/>
              </w:rPr>
              <w:t>本项目</w:t>
            </w:r>
            <w:r>
              <w:rPr>
                <w:bCs/>
                <w:snapToGrid w:val="0"/>
                <w:kern w:val="0"/>
                <w:sz w:val="24"/>
              </w:rPr>
              <w:t>主要生产沥青混凝土，沥青混凝土</w:t>
            </w:r>
            <w:r>
              <w:rPr>
                <w:rFonts w:hint="eastAsia"/>
                <w:bCs/>
                <w:snapToGrid w:val="0"/>
                <w:kern w:val="0"/>
                <w:sz w:val="24"/>
              </w:rPr>
              <w:t>由</w:t>
            </w:r>
            <w:r>
              <w:rPr>
                <w:bCs/>
                <w:snapToGrid w:val="0"/>
                <w:kern w:val="0"/>
                <w:sz w:val="24"/>
              </w:rPr>
              <w:t>骨料、沥青和矿粉等物理搅拌而成，沥青混凝土搅拌过程中要求绝对干燥，搅拌前需对骨料进行充分烘干，因此</w:t>
            </w:r>
            <w:r>
              <w:rPr>
                <w:rFonts w:hint="eastAsia"/>
                <w:bCs/>
                <w:snapToGrid w:val="0"/>
                <w:kern w:val="0"/>
                <w:sz w:val="24"/>
              </w:rPr>
              <w:t>沥青混凝土</w:t>
            </w:r>
            <w:r>
              <w:rPr>
                <w:bCs/>
                <w:snapToGrid w:val="0"/>
                <w:kern w:val="0"/>
                <w:sz w:val="24"/>
              </w:rPr>
              <w:t>生产过程中不使用水，</w:t>
            </w:r>
            <w:r>
              <w:rPr>
                <w:rFonts w:hint="eastAsia"/>
                <w:bCs/>
                <w:snapToGrid w:val="0"/>
                <w:kern w:val="0"/>
                <w:sz w:val="24"/>
              </w:rPr>
              <w:t>但</w:t>
            </w:r>
            <w:r>
              <w:rPr>
                <w:bCs/>
                <w:snapToGrid w:val="0"/>
                <w:kern w:val="0"/>
                <w:sz w:val="24"/>
              </w:rPr>
              <w:t>厂区需要</w:t>
            </w:r>
            <w:r>
              <w:rPr>
                <w:rFonts w:hint="eastAsia"/>
                <w:bCs/>
                <w:snapToGrid w:val="0"/>
                <w:kern w:val="0"/>
                <w:sz w:val="24"/>
              </w:rPr>
              <w:t>定期采用</w:t>
            </w:r>
            <w:r>
              <w:rPr>
                <w:bCs/>
                <w:snapToGrid w:val="0"/>
                <w:kern w:val="0"/>
                <w:sz w:val="24"/>
              </w:rPr>
              <w:t>洒水车</w:t>
            </w:r>
            <w:r>
              <w:rPr>
                <w:rFonts w:hint="eastAsia"/>
                <w:bCs/>
                <w:snapToGrid w:val="0"/>
                <w:kern w:val="0"/>
                <w:sz w:val="24"/>
              </w:rPr>
              <w:t>方式</w:t>
            </w:r>
            <w:r>
              <w:rPr>
                <w:bCs/>
                <w:snapToGrid w:val="0"/>
                <w:kern w:val="0"/>
                <w:sz w:val="24"/>
              </w:rPr>
              <w:t>对厂区进行洒水降尘，</w:t>
            </w:r>
            <w:r>
              <w:rPr>
                <w:bCs/>
                <w:snapToGrid w:val="0"/>
                <w:kern w:val="0"/>
                <w:sz w:val="24"/>
                <w:highlight w:val="none"/>
              </w:rPr>
              <w:t>洒水降尘</w:t>
            </w:r>
            <w:r>
              <w:rPr>
                <w:rFonts w:hint="eastAsia"/>
                <w:bCs/>
                <w:snapToGrid w:val="0"/>
                <w:kern w:val="0"/>
                <w:sz w:val="24"/>
                <w:highlight w:val="none"/>
              </w:rPr>
              <w:t>用水量</w:t>
            </w:r>
            <w:r>
              <w:rPr>
                <w:bCs/>
                <w:snapToGrid w:val="0"/>
                <w:kern w:val="0"/>
                <w:sz w:val="24"/>
                <w:highlight w:val="none"/>
              </w:rPr>
              <w:t>约为</w:t>
            </w:r>
            <w:r>
              <w:rPr>
                <w:rFonts w:hint="eastAsia" w:ascii="Times New Roman" w:hAnsi="Times New Roman" w:eastAsia="宋体" w:cs="宋体"/>
                <w:sz w:val="24"/>
                <w:szCs w:val="24"/>
                <w:highlight w:val="none"/>
                <w:lang w:val="zh-CN" w:eastAsia="zh-CN" w:bidi="zh-CN"/>
              </w:rPr>
              <w:t>5m</w:t>
            </w:r>
            <w:r>
              <w:rPr>
                <w:rFonts w:hint="eastAsia" w:ascii="Times New Roman" w:hAnsi="Times New Roman" w:eastAsia="宋体" w:cs="宋体"/>
                <w:sz w:val="24"/>
                <w:szCs w:val="24"/>
                <w:highlight w:val="none"/>
                <w:vertAlign w:val="superscript"/>
                <w:lang w:val="zh-CN" w:eastAsia="zh-CN" w:bidi="zh-CN"/>
              </w:rPr>
              <w:t>3</w:t>
            </w:r>
            <w:r>
              <w:rPr>
                <w:rFonts w:hint="eastAsia" w:ascii="Times New Roman" w:hAnsi="Times New Roman" w:eastAsia="宋体" w:cs="宋体"/>
                <w:sz w:val="24"/>
                <w:szCs w:val="24"/>
                <w:highlight w:val="none"/>
                <w:lang w:val="zh-CN" w:eastAsia="zh-CN" w:bidi="zh-CN"/>
              </w:rPr>
              <w:t>/d</w:t>
            </w:r>
            <w:r>
              <w:rPr>
                <w:rFonts w:hint="eastAsia" w:ascii="Times New Roman" w:hAnsi="Times New Roman" w:cs="宋体"/>
                <w:sz w:val="24"/>
                <w:szCs w:val="24"/>
                <w:highlight w:val="none"/>
                <w:lang w:val="zh-CN" w:eastAsia="zh-CN" w:bidi="zh-CN"/>
              </w:rPr>
              <w:t>（</w:t>
            </w:r>
            <w:r>
              <w:rPr>
                <w:rFonts w:hint="eastAsia" w:ascii="Times New Roman" w:hAnsi="Times New Roman" w:cs="宋体"/>
                <w:sz w:val="24"/>
                <w:szCs w:val="24"/>
                <w:highlight w:val="none"/>
                <w:lang w:val="en-US" w:eastAsia="zh-CN" w:bidi="zh-CN"/>
              </w:rPr>
              <w:t>540</w:t>
            </w:r>
            <w:r>
              <w:rPr>
                <w:rFonts w:hint="default" w:ascii="Times New Roman" w:hAnsi="Times New Roman" w:cs="Times New Roman"/>
                <w:bCs/>
                <w:snapToGrid w:val="0"/>
                <w:kern w:val="0"/>
                <w:sz w:val="24"/>
              </w:rPr>
              <w:t>m</w:t>
            </w:r>
            <w:r>
              <w:rPr>
                <w:rFonts w:hint="default" w:ascii="Times New Roman" w:hAnsi="Times New Roman" w:cs="Times New Roman"/>
                <w:bCs/>
                <w:snapToGrid w:val="0"/>
                <w:kern w:val="0"/>
                <w:sz w:val="24"/>
                <w:vertAlign w:val="superscript"/>
              </w:rPr>
              <w:t>3</w:t>
            </w:r>
            <w:r>
              <w:rPr>
                <w:rFonts w:hint="eastAsia" w:ascii="Times New Roman" w:hAnsi="Times New Roman" w:cs="宋体"/>
                <w:sz w:val="24"/>
                <w:szCs w:val="24"/>
                <w:highlight w:val="none"/>
                <w:lang w:val="zh-CN" w:eastAsia="zh-CN" w:bidi="zh-CN"/>
              </w:rPr>
              <w:t>）</w:t>
            </w:r>
            <w:r>
              <w:rPr>
                <w:rFonts w:hint="eastAsia"/>
                <w:bCs/>
                <w:snapToGrid w:val="0"/>
                <w:kern w:val="0"/>
                <w:sz w:val="24"/>
                <w:highlight w:val="none"/>
              </w:rPr>
              <w:t>；</w:t>
            </w:r>
            <w:r>
              <w:rPr>
                <w:bCs/>
                <w:snapToGrid w:val="0"/>
                <w:kern w:val="0"/>
                <w:sz w:val="24"/>
                <w:highlight w:val="none"/>
              </w:rPr>
              <w:t>此外项目</w:t>
            </w:r>
            <w:r>
              <w:rPr>
                <w:rFonts w:hint="eastAsia"/>
                <w:bCs/>
                <w:snapToGrid w:val="0"/>
                <w:kern w:val="0"/>
                <w:sz w:val="24"/>
                <w:highlight w:val="none"/>
              </w:rPr>
              <w:t>设有</w:t>
            </w:r>
            <w:r>
              <w:rPr>
                <w:bCs/>
                <w:snapToGrid w:val="0"/>
                <w:kern w:val="0"/>
                <w:sz w:val="24"/>
                <w:highlight w:val="none"/>
              </w:rPr>
              <w:t>废粉仓，收集布袋除尘器粉尘，经</w:t>
            </w:r>
            <w:r>
              <w:rPr>
                <w:rFonts w:hint="eastAsia"/>
                <w:bCs/>
                <w:snapToGrid w:val="0"/>
                <w:kern w:val="0"/>
                <w:sz w:val="24"/>
                <w:highlight w:val="none"/>
              </w:rPr>
              <w:t>适当</w:t>
            </w:r>
            <w:r>
              <w:rPr>
                <w:bCs/>
                <w:snapToGrid w:val="0"/>
                <w:kern w:val="0"/>
                <w:sz w:val="24"/>
                <w:highlight w:val="none"/>
              </w:rPr>
              <w:t>加湿避免扬尘的情况下</w:t>
            </w:r>
            <w:r>
              <w:rPr>
                <w:rFonts w:hint="eastAsia"/>
                <w:bCs/>
                <w:snapToGrid w:val="0"/>
                <w:kern w:val="0"/>
                <w:sz w:val="24"/>
                <w:highlight w:val="none"/>
              </w:rPr>
              <w:t>将除尘粉</w:t>
            </w:r>
            <w:r>
              <w:rPr>
                <w:bCs/>
                <w:snapToGrid w:val="0"/>
                <w:kern w:val="0"/>
                <w:sz w:val="24"/>
                <w:highlight w:val="none"/>
              </w:rPr>
              <w:t>外运，</w:t>
            </w:r>
            <w:r>
              <w:rPr>
                <w:rFonts w:hint="eastAsia"/>
                <w:bCs/>
                <w:snapToGrid w:val="0"/>
                <w:kern w:val="0"/>
                <w:sz w:val="24"/>
                <w:highlight w:val="none"/>
              </w:rPr>
              <w:t>加湿器</w:t>
            </w:r>
            <w:r>
              <w:rPr>
                <w:bCs/>
                <w:snapToGrid w:val="0"/>
                <w:kern w:val="0"/>
                <w:sz w:val="24"/>
                <w:highlight w:val="none"/>
              </w:rPr>
              <w:t>用水量为</w:t>
            </w:r>
            <w:r>
              <w:rPr>
                <w:rFonts w:hint="eastAsia" w:ascii="Times New Roman" w:hAnsi="Times New Roman" w:eastAsia="宋体" w:cs="宋体"/>
                <w:sz w:val="24"/>
                <w:szCs w:val="24"/>
                <w:highlight w:val="none"/>
                <w:lang w:val="zh-CN" w:eastAsia="zh-CN" w:bidi="zh-CN"/>
              </w:rPr>
              <w:t>0.5m</w:t>
            </w:r>
            <w:r>
              <w:rPr>
                <w:rFonts w:hint="eastAsia" w:ascii="Times New Roman" w:hAnsi="Times New Roman" w:eastAsia="宋体" w:cs="宋体"/>
                <w:sz w:val="24"/>
                <w:szCs w:val="24"/>
                <w:highlight w:val="none"/>
                <w:vertAlign w:val="superscript"/>
                <w:lang w:val="zh-CN" w:eastAsia="zh-CN" w:bidi="zh-CN"/>
              </w:rPr>
              <w:t>3</w:t>
            </w:r>
            <w:r>
              <w:rPr>
                <w:rFonts w:hint="eastAsia" w:ascii="Times New Roman" w:hAnsi="Times New Roman" w:eastAsia="宋体" w:cs="宋体"/>
                <w:sz w:val="24"/>
                <w:szCs w:val="24"/>
                <w:highlight w:val="none"/>
                <w:lang w:val="zh-CN" w:eastAsia="zh-CN" w:bidi="zh-CN"/>
              </w:rPr>
              <w:t>/d</w:t>
            </w:r>
            <w:r>
              <w:rPr>
                <w:rFonts w:hint="eastAsia" w:ascii="Times New Roman" w:hAnsi="Times New Roman" w:cs="宋体"/>
                <w:sz w:val="24"/>
                <w:szCs w:val="24"/>
                <w:highlight w:val="none"/>
                <w:lang w:val="zh-CN" w:eastAsia="zh-CN" w:bidi="zh-CN"/>
              </w:rPr>
              <w:t>（</w:t>
            </w:r>
            <w:r>
              <w:rPr>
                <w:rFonts w:hint="eastAsia" w:ascii="Times New Roman" w:hAnsi="Times New Roman" w:cs="宋体"/>
                <w:sz w:val="24"/>
                <w:szCs w:val="24"/>
                <w:highlight w:val="none"/>
                <w:lang w:val="en-US" w:eastAsia="zh-CN" w:bidi="zh-CN"/>
              </w:rPr>
              <w:t>5</w:t>
            </w:r>
            <w:r>
              <w:rPr>
                <w:rFonts w:hint="default" w:ascii="Times New Roman" w:hAnsi="Times New Roman" w:cs="Times New Roman"/>
                <w:sz w:val="24"/>
                <w:szCs w:val="24"/>
                <w:highlight w:val="none"/>
                <w:lang w:val="en-US" w:eastAsia="zh-CN" w:bidi="zh-CN"/>
              </w:rPr>
              <w:t>4</w:t>
            </w:r>
            <w:r>
              <w:rPr>
                <w:rFonts w:hint="default" w:ascii="Times New Roman" w:hAnsi="Times New Roman" w:cs="Times New Roman"/>
                <w:bCs/>
                <w:snapToGrid w:val="0"/>
                <w:kern w:val="0"/>
                <w:sz w:val="24"/>
              </w:rPr>
              <w:t>m</w:t>
            </w:r>
            <w:r>
              <w:rPr>
                <w:rFonts w:hint="default" w:ascii="Times New Roman" w:hAnsi="Times New Roman" w:cs="Times New Roman"/>
                <w:bCs/>
                <w:snapToGrid w:val="0"/>
                <w:kern w:val="0"/>
                <w:sz w:val="24"/>
                <w:vertAlign w:val="superscript"/>
              </w:rPr>
              <w:t>3</w:t>
            </w:r>
            <w:r>
              <w:rPr>
                <w:rFonts w:hint="eastAsia" w:ascii="Times New Roman" w:hAnsi="Times New Roman" w:cs="宋体"/>
                <w:sz w:val="24"/>
                <w:szCs w:val="24"/>
                <w:highlight w:val="none"/>
                <w:lang w:val="zh-CN" w:eastAsia="zh-CN" w:bidi="zh-CN"/>
              </w:rPr>
              <w:t>）</w:t>
            </w:r>
            <w:r>
              <w:rPr>
                <w:rFonts w:hint="eastAsia"/>
                <w:bCs/>
                <w:snapToGrid w:val="0"/>
                <w:kern w:val="0"/>
                <w:sz w:val="24"/>
                <w:highlight w:val="none"/>
              </w:rPr>
              <w:t>，该用水</w:t>
            </w:r>
            <w:r>
              <w:rPr>
                <w:bCs/>
                <w:snapToGrid w:val="0"/>
                <w:kern w:val="0"/>
                <w:sz w:val="24"/>
                <w:highlight w:val="none"/>
              </w:rPr>
              <w:t>一部分</w:t>
            </w:r>
            <w:r>
              <w:rPr>
                <w:rFonts w:hint="eastAsia"/>
                <w:bCs/>
                <w:snapToGrid w:val="0"/>
                <w:kern w:val="0"/>
                <w:sz w:val="24"/>
                <w:highlight w:val="none"/>
              </w:rPr>
              <w:t>蒸发</w:t>
            </w:r>
            <w:r>
              <w:rPr>
                <w:bCs/>
                <w:snapToGrid w:val="0"/>
                <w:kern w:val="0"/>
                <w:sz w:val="24"/>
                <w:highlight w:val="none"/>
              </w:rPr>
              <w:t>，一部分随除尘灰外运</w:t>
            </w:r>
            <w:r>
              <w:rPr>
                <w:rFonts w:hint="eastAsia"/>
                <w:bCs/>
                <w:snapToGrid w:val="0"/>
                <w:kern w:val="0"/>
                <w:sz w:val="24"/>
                <w:highlight w:val="none"/>
                <w:lang w:eastAsia="zh-CN"/>
              </w:rPr>
              <w:t>；</w:t>
            </w:r>
            <w:r>
              <w:rPr>
                <w:rFonts w:hint="eastAsia"/>
                <w:color w:val="auto"/>
                <w:highlight w:val="none"/>
                <w:u w:val="single"/>
                <w:lang w:val="en-US" w:eastAsia="zh-CN"/>
              </w:rPr>
              <w:t>根</w:t>
            </w:r>
            <w:r>
              <w:rPr>
                <w:rFonts w:hint="eastAsia"/>
                <w:bCs/>
                <w:snapToGrid w:val="0"/>
                <w:kern w:val="0"/>
                <w:sz w:val="24"/>
                <w:highlight w:val="none"/>
                <w:lang w:val="en-US" w:eastAsia="zh-CN"/>
              </w:rPr>
              <w:t>据业主提供资料，</w:t>
            </w:r>
            <w:r>
              <w:rPr>
                <w:rFonts w:hint="eastAsia"/>
                <w:bCs/>
                <w:snapToGrid w:val="0"/>
                <w:kern w:val="0"/>
                <w:sz w:val="24"/>
                <w:highlight w:val="none"/>
                <w:lang w:val="zh-CN" w:eastAsia="zh-CN"/>
              </w:rPr>
              <w:t>废气</w:t>
            </w:r>
            <w:r>
              <w:rPr>
                <w:rFonts w:hint="eastAsia"/>
                <w:bCs/>
                <w:snapToGrid w:val="0"/>
                <w:kern w:val="0"/>
                <w:sz w:val="24"/>
                <w:highlight w:val="none"/>
                <w:lang w:val="en-US" w:eastAsia="zh-CN"/>
              </w:rPr>
              <w:t>处理设施有喷淋洗涤塔：正常生产情况下喷淋洗涤塔内部用水量为100</w:t>
            </w:r>
            <w:r>
              <w:rPr>
                <w:rFonts w:hint="default" w:ascii="Times New Roman" w:hAnsi="Times New Roman" w:cs="Times New Roman"/>
                <w:bCs/>
                <w:snapToGrid w:val="0"/>
                <w:kern w:val="0"/>
                <w:sz w:val="24"/>
              </w:rPr>
              <w:t>m</w:t>
            </w:r>
            <w:r>
              <w:rPr>
                <w:rFonts w:hint="default" w:ascii="Times New Roman" w:hAnsi="Times New Roman" w:cs="Times New Roman"/>
                <w:bCs/>
                <w:snapToGrid w:val="0"/>
                <w:kern w:val="0"/>
                <w:sz w:val="24"/>
                <w:vertAlign w:val="superscript"/>
              </w:rPr>
              <w:t>3</w:t>
            </w:r>
            <w:r>
              <w:rPr>
                <w:rFonts w:hint="eastAsia"/>
                <w:bCs/>
                <w:snapToGrid w:val="0"/>
                <w:kern w:val="0"/>
                <w:sz w:val="24"/>
                <w:highlight w:val="none"/>
                <w:lang w:val="en-US" w:eastAsia="zh-CN"/>
              </w:rPr>
              <w:t>，每日损耗量约为0.6%，每日补充水量为0.6</w:t>
            </w:r>
            <w:r>
              <w:rPr>
                <w:rFonts w:hint="default" w:ascii="Times New Roman" w:hAnsi="Times New Roman" w:cs="Times New Roman"/>
                <w:bCs/>
                <w:snapToGrid w:val="0"/>
                <w:kern w:val="0"/>
                <w:sz w:val="24"/>
              </w:rPr>
              <w:t>m</w:t>
            </w:r>
            <w:r>
              <w:rPr>
                <w:rFonts w:hint="default" w:ascii="Times New Roman" w:hAnsi="Times New Roman" w:cs="Times New Roman"/>
                <w:bCs/>
                <w:snapToGrid w:val="0"/>
                <w:kern w:val="0"/>
                <w:sz w:val="24"/>
                <w:vertAlign w:val="superscript"/>
              </w:rPr>
              <w:t>3</w:t>
            </w:r>
            <w:r>
              <w:rPr>
                <w:rFonts w:hint="eastAsia"/>
                <w:bCs/>
                <w:snapToGrid w:val="0"/>
                <w:kern w:val="0"/>
                <w:sz w:val="24"/>
                <w:highlight w:val="none"/>
                <w:lang w:val="en-US" w:eastAsia="zh-CN"/>
              </w:rPr>
              <w:t>/d（208</w:t>
            </w:r>
            <w:r>
              <w:rPr>
                <w:rFonts w:hint="default" w:ascii="Times New Roman" w:hAnsi="Times New Roman" w:cs="Times New Roman"/>
                <w:bCs/>
                <w:snapToGrid w:val="0"/>
                <w:kern w:val="0"/>
                <w:sz w:val="24"/>
              </w:rPr>
              <w:t>m</w:t>
            </w:r>
            <w:r>
              <w:rPr>
                <w:rFonts w:hint="default" w:ascii="Times New Roman" w:hAnsi="Times New Roman" w:cs="Times New Roman"/>
                <w:bCs/>
                <w:snapToGrid w:val="0"/>
                <w:kern w:val="0"/>
                <w:sz w:val="24"/>
                <w:vertAlign w:val="superscript"/>
              </w:rPr>
              <w:t>3</w:t>
            </w:r>
            <w:r>
              <w:rPr>
                <w:rFonts w:hint="eastAsia"/>
                <w:bCs/>
                <w:snapToGrid w:val="0"/>
                <w:kern w:val="0"/>
                <w:sz w:val="24"/>
                <w:highlight w:val="none"/>
                <w:lang w:val="en-US" w:eastAsia="zh-CN"/>
              </w:rPr>
              <w:t>）。</w:t>
            </w:r>
          </w:p>
          <w:p>
            <w:pPr>
              <w:pStyle w:val="17"/>
              <w:ind w:firstLine="480"/>
              <w:rPr>
                <w:rFonts w:hint="default" w:ascii="Times New Roman" w:hAnsi="Times New Roman" w:cs="Times New Roman"/>
                <w:highlight w:val="none"/>
              </w:rPr>
            </w:pPr>
            <w:r>
              <w:rPr>
                <w:rFonts w:hint="default" w:ascii="Times New Roman" w:hAnsi="Times New Roman" w:cs="Times New Roman"/>
                <w:highlight w:val="none"/>
              </w:rPr>
              <w:t>生活用水主要为工作人员生活用水，鉴于项目服务时间短，项目建成后依托</w:t>
            </w:r>
            <w:r>
              <w:rPr>
                <w:rFonts w:hint="default" w:ascii="Times New Roman" w:hAnsi="Times New Roman" w:cs="Times New Roman"/>
                <w:szCs w:val="21"/>
                <w:highlight w:val="none"/>
              </w:rPr>
              <w:t>原</w:t>
            </w:r>
            <w:r>
              <w:rPr>
                <w:rFonts w:hint="default" w:ascii="Times New Roman" w:hAnsi="Times New Roman" w:cs="Times New Roman"/>
                <w:szCs w:val="21"/>
                <w:highlight w:val="none"/>
                <w:lang w:val="en-US" w:eastAsia="zh-CN"/>
              </w:rPr>
              <w:t>原砂厂生活</w:t>
            </w:r>
            <w:r>
              <w:rPr>
                <w:rFonts w:hint="default" w:ascii="Times New Roman" w:hAnsi="Times New Roman" w:cs="Times New Roman"/>
                <w:highlight w:val="none"/>
              </w:rPr>
              <w:t>营地作为本项目工作人员生活营地。生活污水主要来自宿舍及卫生设施废水等。参照《四川省地方标准用水定额》（DB51/T2138-2016）并结合实际情况，员工生活用水定额按100L/人·d计，劳动定额为10人，则员工生活用水量为1.0m</w:t>
            </w:r>
            <w:r>
              <w:rPr>
                <w:rFonts w:hint="default" w:ascii="Times New Roman" w:hAnsi="Times New Roman" w:cs="Times New Roman"/>
                <w:highlight w:val="none"/>
                <w:vertAlign w:val="superscript"/>
              </w:rPr>
              <w:t>3</w:t>
            </w:r>
            <w:r>
              <w:rPr>
                <w:rFonts w:hint="default" w:ascii="Times New Roman" w:hAnsi="Times New Roman" w:cs="Times New Roman"/>
                <w:highlight w:val="none"/>
              </w:rPr>
              <w:t>/d（</w:t>
            </w:r>
            <w:r>
              <w:rPr>
                <w:rFonts w:hint="default" w:ascii="Times New Roman" w:hAnsi="Times New Roman" w:cs="Times New Roman"/>
                <w:highlight w:val="none"/>
                <w:lang w:val="en-US" w:eastAsia="zh-CN"/>
              </w:rPr>
              <w:t>180</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rPr>
              <w:t>）。</w:t>
            </w:r>
          </w:p>
          <w:p>
            <w:pPr>
              <w:pStyle w:val="3"/>
              <w:ind w:firstLine="480"/>
              <w:rPr>
                <w:rFonts w:hint="eastAsia"/>
              </w:rPr>
            </w:pPr>
            <w:r>
              <w:rPr>
                <w:rFonts w:hint="eastAsia"/>
                <w:lang w:eastAsia="zh-CN"/>
              </w:rPr>
              <w:t>（</w:t>
            </w:r>
            <w:r>
              <w:rPr>
                <w:rFonts w:hint="eastAsia"/>
                <w:lang w:val="en-US" w:eastAsia="zh-CN"/>
              </w:rPr>
              <w:t>2</w:t>
            </w:r>
            <w:r>
              <w:rPr>
                <w:rFonts w:hint="eastAsia"/>
                <w:lang w:eastAsia="zh-CN"/>
              </w:rPr>
              <w:t>）</w:t>
            </w:r>
            <w:r>
              <w:t>排水</w:t>
            </w:r>
          </w:p>
          <w:p>
            <w:pPr>
              <w:pStyle w:val="17"/>
              <w:ind w:firstLine="480"/>
            </w:pPr>
            <w:r>
              <w:rPr>
                <w:rFonts w:hint="eastAsia"/>
              </w:rPr>
              <w:t>本项目采用雨污分流制排水系统。项目产生的生活污水通过</w:t>
            </w:r>
            <w:r>
              <w:rPr>
                <w:rFonts w:hint="eastAsia"/>
                <w:lang w:val="en-US" w:eastAsia="zh-CN"/>
              </w:rPr>
              <w:t>旱厕</w:t>
            </w:r>
            <w:r>
              <w:rPr>
                <w:rFonts w:hint="eastAsia"/>
              </w:rPr>
              <w:t>处理后定期清掏用于周围林草地林灌；雨水沿沟槽进入</w:t>
            </w:r>
            <w:r>
              <w:rPr>
                <w:rFonts w:hint="eastAsia"/>
                <w:lang w:val="en-US" w:eastAsia="zh-CN"/>
              </w:rPr>
              <w:t>九龙河</w:t>
            </w:r>
            <w:r>
              <w:rPr>
                <w:rFonts w:hint="eastAsia"/>
              </w:rPr>
              <w:t>。</w:t>
            </w:r>
          </w:p>
          <w:p>
            <w:pPr>
              <w:pStyle w:val="3"/>
              <w:ind w:firstLine="480"/>
              <w:rPr>
                <w:highlight w:val="none"/>
              </w:rPr>
            </w:pPr>
            <w:r>
              <w:rPr>
                <w:rFonts w:hint="eastAsia"/>
              </w:rPr>
              <w:t>本项目</w:t>
            </w:r>
            <w:r>
              <w:rPr>
                <w:rFonts w:hint="eastAsia"/>
                <w:highlight w:val="none"/>
              </w:rPr>
              <w:t>职工生活用水量为</w:t>
            </w:r>
            <w:r>
              <w:rPr>
                <w:highlight w:val="none"/>
              </w:rPr>
              <w:t>1.0</w:t>
            </w:r>
            <w:r>
              <w:rPr>
                <w:rFonts w:hint="eastAsia"/>
                <w:highlight w:val="none"/>
              </w:rPr>
              <w:t>m</w:t>
            </w:r>
            <w:r>
              <w:rPr>
                <w:rFonts w:hint="eastAsia"/>
                <w:highlight w:val="none"/>
                <w:vertAlign w:val="superscript"/>
              </w:rPr>
              <w:t>3</w:t>
            </w:r>
            <w:r>
              <w:rPr>
                <w:rFonts w:hint="eastAsia"/>
                <w:highlight w:val="none"/>
              </w:rPr>
              <w:t>/d。生活污水排放系数取0.85，则污水总排放量为</w:t>
            </w:r>
            <w:r>
              <w:rPr>
                <w:highlight w:val="none"/>
              </w:rPr>
              <w:t>0.85</w:t>
            </w:r>
            <w:r>
              <w:rPr>
                <w:rFonts w:hint="eastAsia"/>
                <w:highlight w:val="none"/>
              </w:rPr>
              <w:t>m</w:t>
            </w:r>
            <w:r>
              <w:rPr>
                <w:rFonts w:hint="eastAsia"/>
                <w:highlight w:val="none"/>
                <w:vertAlign w:val="superscript"/>
              </w:rPr>
              <w:t>3</w:t>
            </w:r>
            <w:r>
              <w:rPr>
                <w:rFonts w:hint="eastAsia"/>
                <w:highlight w:val="none"/>
              </w:rPr>
              <w:t>/d。</w:t>
            </w:r>
          </w:p>
          <w:p>
            <w:pPr>
              <w:pStyle w:val="3"/>
              <w:ind w:firstLine="480"/>
              <w:rPr>
                <w:rFonts w:hint="eastAsia"/>
              </w:rPr>
            </w:pPr>
            <w:r>
              <w:rPr>
                <w:rFonts w:hint="eastAsia"/>
                <w:lang w:eastAsia="zh-CN"/>
              </w:rPr>
              <w:t>（</w:t>
            </w:r>
            <w:r>
              <w:rPr>
                <w:rFonts w:hint="eastAsia"/>
                <w:lang w:val="en-US" w:eastAsia="zh-CN"/>
              </w:rPr>
              <w:t>3</w:t>
            </w:r>
            <w:r>
              <w:rPr>
                <w:rFonts w:hint="eastAsia"/>
                <w:lang w:eastAsia="zh-CN"/>
              </w:rPr>
              <w:t>）</w:t>
            </w:r>
            <w:r>
              <w:rPr>
                <w:rFonts w:hint="eastAsia"/>
              </w:rPr>
              <w:t>供电</w:t>
            </w:r>
          </w:p>
          <w:p>
            <w:pPr>
              <w:pStyle w:val="3"/>
              <w:ind w:firstLine="480"/>
              <w:rPr>
                <w:rFonts w:hint="eastAsia"/>
              </w:rPr>
            </w:pPr>
            <w:r>
              <w:rPr>
                <w:rFonts w:hint="eastAsia"/>
              </w:rPr>
              <w:t>本项目与当地市政电网连接。</w:t>
            </w:r>
          </w:p>
          <w:p>
            <w:pPr>
              <w:pStyle w:val="3"/>
              <w:ind w:firstLine="480"/>
              <w:rPr>
                <w:rFonts w:ascii="Times New Roman" w:hAnsi="Times New Roman"/>
                <w:color w:val="auto"/>
                <w:highlight w:val="none"/>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ascii="Times New Roman" w:hAnsi="Times New Roman"/>
                <w:color w:val="auto"/>
                <w:highlight w:val="none"/>
              </w:rPr>
              <w:t>交通运输</w:t>
            </w:r>
          </w:p>
          <w:p>
            <w:pPr>
              <w:pStyle w:val="3"/>
              <w:ind w:firstLine="480"/>
              <w:rPr>
                <w:sz w:val="21"/>
              </w:rPr>
            </w:pPr>
            <w:r>
              <w:rPr>
                <w:color w:val="auto"/>
                <w:highlight w:val="none"/>
              </w:rPr>
              <w:t>项目位于</w:t>
            </w:r>
            <w:r>
              <w:rPr>
                <w:rFonts w:hint="eastAsia"/>
                <w:color w:val="auto"/>
                <w:highlight w:val="none"/>
                <w:lang w:val="en-US" w:eastAsia="zh-CN"/>
              </w:rPr>
              <w:t>九龙县崩崩冲村</w:t>
            </w:r>
            <w:r>
              <w:rPr>
                <w:color w:val="auto"/>
                <w:highlight w:val="none"/>
              </w:rPr>
              <w:t>，距</w:t>
            </w:r>
            <w:r>
              <w:rPr>
                <w:rFonts w:hint="eastAsia"/>
                <w:color w:val="auto"/>
                <w:highlight w:val="none"/>
                <w:lang w:val="en-US" w:eastAsia="zh-CN"/>
              </w:rPr>
              <w:t>九龙县</w:t>
            </w:r>
            <w:r>
              <w:rPr>
                <w:color w:val="auto"/>
                <w:highlight w:val="none"/>
              </w:rPr>
              <w:t>县城距离</w:t>
            </w:r>
            <w:r>
              <w:rPr>
                <w:rFonts w:hint="eastAsia"/>
                <w:color w:val="auto"/>
                <w:highlight w:val="none"/>
                <w:lang w:val="en-US" w:eastAsia="zh-CN"/>
              </w:rPr>
              <w:t>约8</w:t>
            </w:r>
            <w:r>
              <w:rPr>
                <w:color w:val="auto"/>
                <w:highlight w:val="none"/>
              </w:rPr>
              <w:t>公里，项目东侧临近现有</w:t>
            </w:r>
            <w:r>
              <w:rPr>
                <w:rFonts w:hint="eastAsia"/>
                <w:color w:val="auto"/>
                <w:highlight w:val="none"/>
                <w:lang w:val="en-US" w:eastAsia="zh-CN"/>
              </w:rPr>
              <w:t>G248国道，</w:t>
            </w:r>
            <w:r>
              <w:rPr>
                <w:color w:val="auto"/>
                <w:highlight w:val="none"/>
              </w:rPr>
              <w:t>交通便利。</w:t>
            </w:r>
          </w:p>
          <w:p>
            <w:pPr>
              <w:pStyle w:val="3"/>
              <w:ind w:firstLine="480"/>
              <w:rPr>
                <w:rFonts w:ascii="Times New Roman" w:hAnsi="Times New Roman"/>
                <w:color w:val="auto"/>
                <w:highlight w:val="none"/>
              </w:rPr>
            </w:pPr>
            <w:r>
              <w:rPr>
                <w:rFonts w:hint="eastAsia"/>
                <w:color w:val="auto"/>
                <w:highlight w:val="none"/>
                <w:lang w:val="en-US" w:eastAsia="zh-CN"/>
              </w:rPr>
              <w:t>（5）</w:t>
            </w:r>
            <w:r>
              <w:rPr>
                <w:rFonts w:ascii="Times New Roman" w:hAnsi="Times New Roman"/>
                <w:color w:val="auto"/>
                <w:highlight w:val="none"/>
              </w:rPr>
              <w:t>劳动定员和工作制度</w:t>
            </w:r>
          </w:p>
          <w:p>
            <w:pPr>
              <w:pStyle w:val="3"/>
              <w:ind w:firstLine="480"/>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项目建成后，安排职工人数为</w:t>
            </w:r>
            <w:r>
              <w:rPr>
                <w:rFonts w:hint="eastAsia" w:cs="宋体"/>
                <w:color w:val="auto"/>
                <w:highlight w:val="none"/>
                <w:lang w:val="en-US" w:eastAsia="zh-CN"/>
              </w:rPr>
              <w:t>1</w:t>
            </w:r>
            <w:r>
              <w:rPr>
                <w:rFonts w:hint="eastAsia" w:ascii="Times New Roman" w:hAnsi="Times New Roman" w:eastAsia="宋体" w:cs="宋体"/>
                <w:color w:val="auto"/>
                <w:highlight w:val="none"/>
                <w:lang w:val="en-US" w:eastAsia="zh-CN"/>
              </w:rPr>
              <w:t>0人，员工生产班制为一班制，每班8小时，月工作天数30天</w:t>
            </w:r>
            <w:r>
              <w:rPr>
                <w:rFonts w:hint="eastAsia" w:cs="宋体"/>
                <w:color w:val="auto"/>
                <w:highlight w:val="none"/>
                <w:lang w:val="en-US" w:eastAsia="zh-CN"/>
              </w:rPr>
              <w:t>，施工6个月，共180天，1440小时。</w:t>
            </w:r>
          </w:p>
          <w:p>
            <w:pPr>
              <w:pStyle w:val="3"/>
              <w:ind w:firstLine="480"/>
              <w:rPr>
                <w:rFonts w:hint="eastAsia" w:ascii="Times New Roman" w:hAnsi="Times New Roman" w:eastAsia="宋体" w:cs="宋体"/>
                <w:color w:val="auto"/>
                <w:highlight w:val="yellow"/>
                <w:lang w:val="en-US" w:eastAsia="zh-CN"/>
              </w:rPr>
            </w:pPr>
          </w:p>
          <w:p>
            <w:pPr>
              <w:pStyle w:val="15"/>
              <w:spacing w:before="3"/>
              <w:jc w:val="both"/>
              <w:rPr>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78" w:hRule="atLeast"/>
        </w:trPr>
        <w:tc>
          <w:tcPr>
            <w:tcW w:w="596" w:type="dxa"/>
            <w:tcBorders>
              <w:top w:val="single" w:color="000000" w:sz="4" w:space="0"/>
              <w:bottom w:val="single" w:color="000000" w:sz="4" w:space="0"/>
              <w:right w:val="single" w:color="000000" w:sz="4" w:space="0"/>
            </w:tcBorders>
            <w:vAlign w:val="center"/>
          </w:tcPr>
          <w:p>
            <w:pPr>
              <w:pStyle w:val="15"/>
              <w:jc w:val="center"/>
              <w:rPr>
                <w:rFonts w:ascii="黑体"/>
                <w:sz w:val="20"/>
              </w:rPr>
            </w:pPr>
          </w:p>
          <w:p>
            <w:pPr>
              <w:pStyle w:val="15"/>
              <w:jc w:val="center"/>
              <w:rPr>
                <w:rFonts w:ascii="黑体"/>
                <w:sz w:val="20"/>
              </w:rPr>
            </w:pPr>
          </w:p>
          <w:p>
            <w:pPr>
              <w:pStyle w:val="15"/>
              <w:jc w:val="center"/>
              <w:rPr>
                <w:rFonts w:ascii="黑体"/>
                <w:sz w:val="20"/>
              </w:rPr>
            </w:pPr>
          </w:p>
          <w:p>
            <w:pPr>
              <w:pStyle w:val="15"/>
              <w:jc w:val="center"/>
              <w:rPr>
                <w:rFonts w:ascii="黑体"/>
                <w:sz w:val="20"/>
              </w:rPr>
            </w:pPr>
          </w:p>
          <w:p>
            <w:pPr>
              <w:pStyle w:val="15"/>
              <w:spacing w:before="131" w:line="242" w:lineRule="auto"/>
              <w:ind w:left="201" w:right="79"/>
              <w:jc w:val="center"/>
              <w:rPr>
                <w:sz w:val="21"/>
              </w:rPr>
            </w:pPr>
            <w:r>
              <w:rPr>
                <w:sz w:val="24"/>
                <w:szCs w:val="24"/>
              </w:rPr>
              <w:t>工艺流程和产排污环节</w:t>
            </w:r>
          </w:p>
        </w:tc>
        <w:tc>
          <w:tcPr>
            <w:tcW w:w="8388" w:type="dxa"/>
            <w:tcBorders>
              <w:top w:val="single" w:color="000000" w:sz="4" w:space="0"/>
              <w:left w:val="single" w:color="000000" w:sz="4" w:space="0"/>
              <w:bottom w:val="single" w:color="000000" w:sz="4" w:space="0"/>
            </w:tcBorders>
          </w:tcPr>
          <w:p>
            <w:pPr>
              <w:spacing w:line="360" w:lineRule="auto"/>
              <w:rPr>
                <w:b/>
                <w:color w:val="auto"/>
                <w:sz w:val="28"/>
                <w:highlight w:val="none"/>
              </w:rPr>
            </w:pPr>
            <w:r>
              <w:rPr>
                <w:b/>
                <w:color w:val="auto"/>
                <w:sz w:val="28"/>
                <w:highlight w:val="none"/>
              </w:rPr>
              <w:t>一、施工期产污流程分析</w:t>
            </w:r>
          </w:p>
          <w:p>
            <w:pPr>
              <w:spacing w:line="360" w:lineRule="auto"/>
              <w:ind w:firstLine="482" w:firstLineChars="200"/>
              <w:rPr>
                <w:b/>
                <w:color w:val="auto"/>
                <w:sz w:val="24"/>
                <w:szCs w:val="22"/>
                <w:highlight w:val="none"/>
              </w:rPr>
            </w:pPr>
            <w:r>
              <w:rPr>
                <w:b/>
                <w:color w:val="auto"/>
                <w:sz w:val="24"/>
                <w:szCs w:val="22"/>
                <w:highlight w:val="none"/>
              </w:rPr>
              <w:t>1、施工期工艺流程</w:t>
            </w:r>
          </w:p>
          <w:p>
            <w:pPr>
              <w:spacing w:line="360" w:lineRule="auto"/>
              <w:ind w:firstLine="480" w:firstLineChars="200"/>
              <w:rPr>
                <w:rFonts w:hint="eastAsia"/>
                <w:sz w:val="24"/>
                <w:szCs w:val="22"/>
              </w:rPr>
            </w:pPr>
            <w:r>
              <w:rPr>
                <w:rFonts w:hint="eastAsia"/>
                <w:sz w:val="24"/>
                <w:szCs w:val="22"/>
              </w:rPr>
              <w:t>本项目</w:t>
            </w:r>
            <w:r>
              <w:rPr>
                <w:sz w:val="24"/>
                <w:szCs w:val="22"/>
              </w:rPr>
              <w:t>实施仅进行部分场地平整、</w:t>
            </w:r>
            <w:r>
              <w:rPr>
                <w:rFonts w:hint="eastAsia"/>
                <w:sz w:val="24"/>
                <w:szCs w:val="22"/>
              </w:rPr>
              <w:t>基础硬化</w:t>
            </w:r>
            <w:r>
              <w:rPr>
                <w:sz w:val="24"/>
                <w:szCs w:val="22"/>
              </w:rPr>
              <w:t>、</w:t>
            </w:r>
            <w:r>
              <w:rPr>
                <w:rFonts w:hint="eastAsia"/>
                <w:sz w:val="24"/>
                <w:szCs w:val="22"/>
              </w:rPr>
              <w:t>部分构筑建设（固废暂存间</w:t>
            </w:r>
            <w:r>
              <w:rPr>
                <w:sz w:val="24"/>
                <w:szCs w:val="22"/>
              </w:rPr>
              <w:t>、危废暂存间</w:t>
            </w:r>
            <w:r>
              <w:rPr>
                <w:rFonts w:hint="eastAsia"/>
                <w:sz w:val="24"/>
                <w:szCs w:val="22"/>
              </w:rPr>
              <w:t>利用原</w:t>
            </w:r>
            <w:r>
              <w:rPr>
                <w:sz w:val="24"/>
                <w:szCs w:val="22"/>
              </w:rPr>
              <w:t>闲置板房</w:t>
            </w:r>
            <w:r>
              <w:rPr>
                <w:rFonts w:hint="eastAsia"/>
                <w:sz w:val="24"/>
                <w:szCs w:val="22"/>
              </w:rPr>
              <w:t>）防渗</w:t>
            </w:r>
            <w:r>
              <w:rPr>
                <w:sz w:val="24"/>
                <w:szCs w:val="22"/>
              </w:rPr>
              <w:t>、设备安装、工程验收等</w:t>
            </w:r>
            <w:r>
              <w:rPr>
                <w:rFonts w:hint="eastAsia"/>
                <w:sz w:val="24"/>
                <w:szCs w:val="22"/>
              </w:rPr>
              <w:t>工序，将产生噪声、扬尘、固体废物、施工废水等污染物。施工期工艺流程及产污环节见下图：</w:t>
            </w:r>
          </w:p>
          <w:p>
            <w:pPr>
              <w:adjustRightInd w:val="0"/>
              <w:snapToGrid w:val="0"/>
              <w:ind w:firstLine="440" w:firstLineChars="200"/>
              <w:rPr>
                <w:color w:val="auto"/>
                <w:szCs w:val="21"/>
                <w:highlight w:val="none"/>
              </w:rPr>
            </w:pPr>
            <w:r>
              <w:rPr>
                <w:color w:val="auto"/>
                <w:szCs w:val="21"/>
                <w:highlight w:val="none"/>
              </w:rPr>
              <mc:AlternateContent>
                <mc:Choice Requires="wpg">
                  <w:drawing>
                    <wp:inline distT="0" distB="0" distL="114300" distR="114300">
                      <wp:extent cx="4634230" cy="2639060"/>
                      <wp:effectExtent l="0" t="0" r="13970" b="0"/>
                      <wp:docPr id="24" name="组合 7"/>
                      <wp:cNvGraphicFramePr/>
                      <a:graphic xmlns:a="http://schemas.openxmlformats.org/drawingml/2006/main">
                        <a:graphicData uri="http://schemas.microsoft.com/office/word/2010/wordprocessingGroup">
                          <wpg:wgp>
                            <wpg:cNvGrpSpPr/>
                            <wpg:grpSpPr>
                              <a:xfrm>
                                <a:off x="0" y="0"/>
                                <a:ext cx="4634230" cy="2639060"/>
                                <a:chOff x="0" y="0"/>
                                <a:chExt cx="8498" cy="2720"/>
                              </a:xfrm>
                            </wpg:grpSpPr>
                            <wps:wsp>
                              <wps:cNvPr id="4" name="矩形 8"/>
                              <wps:cNvSpPr/>
                              <wps:spPr>
                                <a:xfrm>
                                  <a:off x="0" y="0"/>
                                  <a:ext cx="8498" cy="2720"/>
                                </a:xfrm>
                                <a:prstGeom prst="rect">
                                  <a:avLst/>
                                </a:prstGeom>
                                <a:noFill/>
                                <a:ln>
                                  <a:noFill/>
                                </a:ln>
                              </wps:spPr>
                              <wps:bodyPr upright="1"/>
                            </wps:wsp>
                            <wps:wsp>
                              <wps:cNvPr id="5" name="矩形 9"/>
                              <wps:cNvSpPr/>
                              <wps:spPr>
                                <a:xfrm>
                                  <a:off x="211" y="1122"/>
                                  <a:ext cx="1186" cy="4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 xml:space="preserve">平整场地 </w:t>
                                    </w:r>
                                  </w:p>
                                </w:txbxContent>
                              </wps:txbx>
                              <wps:bodyPr upright="1"/>
                            </wps:wsp>
                            <wps:wsp>
                              <wps:cNvPr id="6" name="自选图形 10"/>
                              <wps:cNvCnPr/>
                              <wps:spPr>
                                <a:xfrm>
                                  <a:off x="1397" y="1363"/>
                                  <a:ext cx="576" cy="7"/>
                                </a:xfrm>
                                <a:prstGeom prst="straightConnector1">
                                  <a:avLst/>
                                </a:prstGeom>
                                <a:ln w="9525" cap="flat" cmpd="sng">
                                  <a:solidFill>
                                    <a:srgbClr val="000000"/>
                                  </a:solidFill>
                                  <a:prstDash val="solid"/>
                                  <a:headEnd type="none" w="med" len="med"/>
                                  <a:tailEnd type="triangle" w="med" len="med"/>
                                </a:ln>
                              </wps:spPr>
                              <wps:bodyPr upright="0"/>
                            </wps:wsp>
                            <wps:wsp>
                              <wps:cNvPr id="7" name="矩形 11"/>
                              <wps:cNvSpPr/>
                              <wps:spPr>
                                <a:xfrm>
                                  <a:off x="1973" y="1123"/>
                                  <a:ext cx="1186"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场地硬化</w:t>
                                    </w:r>
                                  </w:p>
                                </w:txbxContent>
                              </wps:txbx>
                              <wps:bodyPr upright="1"/>
                            </wps:wsp>
                            <wps:wsp>
                              <wps:cNvPr id="8" name="矩形 12"/>
                              <wps:cNvSpPr/>
                              <wps:spPr>
                                <a:xfrm>
                                  <a:off x="3776" y="1123"/>
                                  <a:ext cx="1258" cy="4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设备安装</w:t>
                                    </w:r>
                                  </w:p>
                                </w:txbxContent>
                              </wps:txbx>
                              <wps:bodyPr upright="1"/>
                            </wps:wsp>
                            <wps:wsp>
                              <wps:cNvPr id="9" name="矩形 13"/>
                              <wps:cNvSpPr/>
                              <wps:spPr>
                                <a:xfrm>
                                  <a:off x="5568" y="1095"/>
                                  <a:ext cx="1186" cy="4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工程竣工</w:t>
                                    </w:r>
                                  </w:p>
                                </w:txbxContent>
                              </wps:txbx>
                              <wps:bodyPr upright="1"/>
                            </wps:wsp>
                            <wps:wsp>
                              <wps:cNvPr id="10" name="矩形 14"/>
                              <wps:cNvSpPr/>
                              <wps:spPr>
                                <a:xfrm>
                                  <a:off x="1878" y="2167"/>
                                  <a:ext cx="1322" cy="312"/>
                                </a:xfrm>
                                <a:prstGeom prst="rect">
                                  <a:avLst/>
                                </a:prstGeom>
                                <a:solidFill>
                                  <a:srgbClr val="FFFFFF"/>
                                </a:solidFill>
                                <a:ln>
                                  <a:noFill/>
                                </a:ln>
                              </wps:spPr>
                              <wps:txbx>
                                <w:txbxContent>
                                  <w:p>
                                    <w:pPr>
                                      <w:jc w:val="center"/>
                                    </w:pPr>
                                    <w:r>
                                      <w:rPr>
                                        <w:rFonts w:hint="eastAsia"/>
                                      </w:rPr>
                                      <w:t>废水 固废</w:t>
                                    </w:r>
                                  </w:p>
                                </w:txbxContent>
                              </wps:txbx>
                              <wps:bodyPr lIns="0" tIns="0" rIns="0" bIns="0" upright="1"/>
                            </wps:wsp>
                            <wps:wsp>
                              <wps:cNvPr id="11" name="自选图形 15"/>
                              <wps:cNvCnPr/>
                              <wps:spPr>
                                <a:xfrm>
                                  <a:off x="3200" y="1363"/>
                                  <a:ext cx="576" cy="7"/>
                                </a:xfrm>
                                <a:prstGeom prst="straightConnector1">
                                  <a:avLst/>
                                </a:prstGeom>
                                <a:ln w="9525" cap="flat" cmpd="sng">
                                  <a:solidFill>
                                    <a:srgbClr val="000000"/>
                                  </a:solidFill>
                                  <a:prstDash val="solid"/>
                                  <a:headEnd type="none" w="med" len="med"/>
                                  <a:tailEnd type="triangle" w="med" len="med"/>
                                </a:ln>
                              </wps:spPr>
                              <wps:bodyPr upright="0"/>
                            </wps:wsp>
                            <wps:wsp>
                              <wps:cNvPr id="12" name="自选图形 16"/>
                              <wps:cNvCnPr/>
                              <wps:spPr>
                                <a:xfrm>
                                  <a:off x="5034" y="1356"/>
                                  <a:ext cx="576" cy="7"/>
                                </a:xfrm>
                                <a:prstGeom prst="straightConnector1">
                                  <a:avLst/>
                                </a:prstGeom>
                                <a:ln w="9525" cap="flat" cmpd="sng">
                                  <a:solidFill>
                                    <a:srgbClr val="000000"/>
                                  </a:solidFill>
                                  <a:prstDash val="solid"/>
                                  <a:headEnd type="none" w="med" len="med"/>
                                  <a:tailEnd type="triangle" w="med" len="med"/>
                                </a:ln>
                              </wps:spPr>
                              <wps:bodyPr upright="0"/>
                            </wps:wsp>
                            <wps:wsp>
                              <wps:cNvPr id="13" name="自选图形 17"/>
                              <wps:cNvCnPr/>
                              <wps:spPr>
                                <a:xfrm>
                                  <a:off x="6754" y="1349"/>
                                  <a:ext cx="576" cy="7"/>
                                </a:xfrm>
                                <a:prstGeom prst="straightConnector1">
                                  <a:avLst/>
                                </a:prstGeom>
                                <a:ln w="9525" cap="flat" cmpd="sng">
                                  <a:solidFill>
                                    <a:srgbClr val="000000"/>
                                  </a:solidFill>
                                  <a:prstDash val="solid"/>
                                  <a:headEnd type="none" w="med" len="med"/>
                                  <a:tailEnd type="triangle" w="med" len="med"/>
                                </a:ln>
                              </wps:spPr>
                              <wps:bodyPr upright="0"/>
                            </wps:wsp>
                            <wps:wsp>
                              <wps:cNvPr id="14" name="矩形 18"/>
                              <wps:cNvSpPr/>
                              <wps:spPr>
                                <a:xfrm>
                                  <a:off x="7312" y="1123"/>
                                  <a:ext cx="1186" cy="4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交付使用</w:t>
                                    </w:r>
                                  </w:p>
                                </w:txbxContent>
                              </wps:txbx>
                              <wps:bodyPr upright="1"/>
                            </wps:wsp>
                            <wps:wsp>
                              <wps:cNvPr id="15" name="自选图形 19"/>
                              <wps:cNvCnPr/>
                              <wps:spPr>
                                <a:xfrm>
                                  <a:off x="2566" y="1605"/>
                                  <a:ext cx="1" cy="562"/>
                                </a:xfrm>
                                <a:prstGeom prst="straightConnector1">
                                  <a:avLst/>
                                </a:prstGeom>
                                <a:ln w="9525" cap="flat" cmpd="sng">
                                  <a:solidFill>
                                    <a:srgbClr val="000000"/>
                                  </a:solidFill>
                                  <a:prstDash val="dash"/>
                                  <a:headEnd type="none" w="med" len="med"/>
                                  <a:tailEnd type="triangle" w="med" len="med"/>
                                </a:ln>
                              </wps:spPr>
                              <wps:bodyPr upright="0"/>
                            </wps:wsp>
                            <wps:wsp>
                              <wps:cNvPr id="16" name="自选图形 20"/>
                              <wps:cNvCnPr/>
                              <wps:spPr>
                                <a:xfrm flipV="1">
                                  <a:off x="818" y="564"/>
                                  <a:ext cx="1" cy="531"/>
                                </a:xfrm>
                                <a:prstGeom prst="straightConnector1">
                                  <a:avLst/>
                                </a:prstGeom>
                                <a:ln w="9525" cap="flat" cmpd="sng">
                                  <a:solidFill>
                                    <a:srgbClr val="000000"/>
                                  </a:solidFill>
                                  <a:prstDash val="dash"/>
                                  <a:headEnd type="none" w="med" len="med"/>
                                  <a:tailEnd type="triangle" w="med" len="med"/>
                                </a:ln>
                              </wps:spPr>
                              <wps:bodyPr upright="0"/>
                            </wps:wsp>
                            <wps:wsp>
                              <wps:cNvPr id="17" name="自选图形 21"/>
                              <wps:cNvCnPr/>
                              <wps:spPr>
                                <a:xfrm flipV="1">
                                  <a:off x="2565" y="564"/>
                                  <a:ext cx="1" cy="531"/>
                                </a:xfrm>
                                <a:prstGeom prst="straightConnector1">
                                  <a:avLst/>
                                </a:prstGeom>
                                <a:ln w="9525" cap="flat" cmpd="sng">
                                  <a:solidFill>
                                    <a:srgbClr val="000000"/>
                                  </a:solidFill>
                                  <a:prstDash val="dash"/>
                                  <a:headEnd type="none" w="med" len="med"/>
                                  <a:tailEnd type="triangle" w="med" len="med"/>
                                </a:ln>
                              </wps:spPr>
                              <wps:bodyPr upright="0"/>
                            </wps:wsp>
                            <wps:wsp>
                              <wps:cNvPr id="18" name="矩形 22"/>
                              <wps:cNvSpPr/>
                              <wps:spPr>
                                <a:xfrm>
                                  <a:off x="1844" y="252"/>
                                  <a:ext cx="1667" cy="312"/>
                                </a:xfrm>
                                <a:prstGeom prst="rect">
                                  <a:avLst/>
                                </a:prstGeom>
                                <a:solidFill>
                                  <a:srgbClr val="FFFFFF"/>
                                </a:solidFill>
                                <a:ln>
                                  <a:noFill/>
                                </a:ln>
                              </wps:spPr>
                              <wps:txbx>
                                <w:txbxContent>
                                  <w:p>
                                    <w:pPr>
                                      <w:jc w:val="center"/>
                                    </w:pPr>
                                    <w:r>
                                      <w:rPr>
                                        <w:rFonts w:hint="eastAsia"/>
                                      </w:rPr>
                                      <w:t>噪声 扬尘</w:t>
                                    </w:r>
                                  </w:p>
                                </w:txbxContent>
                              </wps:txbx>
                              <wps:bodyPr lIns="0" tIns="0" rIns="0" bIns="0" upright="1"/>
                            </wps:wsp>
                            <wps:wsp>
                              <wps:cNvPr id="19" name="矩形 23"/>
                              <wps:cNvSpPr/>
                              <wps:spPr>
                                <a:xfrm>
                                  <a:off x="211" y="187"/>
                                  <a:ext cx="1174" cy="377"/>
                                </a:xfrm>
                                <a:prstGeom prst="rect">
                                  <a:avLst/>
                                </a:prstGeom>
                                <a:solidFill>
                                  <a:srgbClr val="FFFFFF"/>
                                </a:solidFill>
                                <a:ln>
                                  <a:noFill/>
                                </a:ln>
                              </wps:spPr>
                              <wps:txbx>
                                <w:txbxContent>
                                  <w:p>
                                    <w:pPr>
                                      <w:jc w:val="center"/>
                                    </w:pPr>
                                    <w:r>
                                      <w:rPr>
                                        <w:rFonts w:hint="eastAsia"/>
                                      </w:rPr>
                                      <w:t>噪声 扬尘</w:t>
                                    </w:r>
                                  </w:p>
                                </w:txbxContent>
                              </wps:txbx>
                              <wps:bodyPr lIns="0" tIns="0" rIns="0" bIns="0" upright="1"/>
                            </wps:wsp>
                            <wps:wsp>
                              <wps:cNvPr id="20" name="自选图形 24"/>
                              <wps:cNvCnPr/>
                              <wps:spPr>
                                <a:xfrm flipV="1">
                                  <a:off x="4408" y="642"/>
                                  <a:ext cx="1" cy="480"/>
                                </a:xfrm>
                                <a:prstGeom prst="straightConnector1">
                                  <a:avLst/>
                                </a:prstGeom>
                                <a:ln w="9525" cap="flat" cmpd="sng">
                                  <a:solidFill>
                                    <a:srgbClr val="000000"/>
                                  </a:solidFill>
                                  <a:prstDash val="dash"/>
                                  <a:headEnd type="none" w="med" len="med"/>
                                  <a:tailEnd type="triangle" w="med" len="med"/>
                                </a:ln>
                              </wps:spPr>
                              <wps:bodyPr upright="0"/>
                            </wps:wsp>
                            <wps:wsp>
                              <wps:cNvPr id="21" name="矩形 25"/>
                              <wps:cNvSpPr/>
                              <wps:spPr>
                                <a:xfrm>
                                  <a:off x="3860" y="252"/>
                                  <a:ext cx="1174" cy="390"/>
                                </a:xfrm>
                                <a:prstGeom prst="rect">
                                  <a:avLst/>
                                </a:prstGeom>
                                <a:solidFill>
                                  <a:srgbClr val="FFFFFF"/>
                                </a:solidFill>
                                <a:ln>
                                  <a:noFill/>
                                </a:ln>
                              </wps:spPr>
                              <wps:txbx>
                                <w:txbxContent>
                                  <w:p>
                                    <w:pPr>
                                      <w:jc w:val="center"/>
                                    </w:pPr>
                                    <w:r>
                                      <w:rPr>
                                        <w:rFonts w:hint="eastAsia"/>
                                      </w:rPr>
                                      <w:t xml:space="preserve">噪声 </w:t>
                                    </w:r>
                                  </w:p>
                                </w:txbxContent>
                              </wps:txbx>
                              <wps:bodyPr lIns="0" tIns="0" rIns="0" bIns="0" upright="1"/>
                            </wps:wsp>
                            <wps:wsp>
                              <wps:cNvPr id="22" name="矩形 26"/>
                              <wps:cNvSpPr/>
                              <wps:spPr>
                                <a:xfrm>
                                  <a:off x="211" y="2167"/>
                                  <a:ext cx="1186" cy="312"/>
                                </a:xfrm>
                                <a:prstGeom prst="rect">
                                  <a:avLst/>
                                </a:prstGeom>
                                <a:solidFill>
                                  <a:srgbClr val="FFFFFF"/>
                                </a:solidFill>
                                <a:ln>
                                  <a:noFill/>
                                </a:ln>
                              </wps:spPr>
                              <wps:txbx>
                                <w:txbxContent>
                                  <w:p>
                                    <w:pPr>
                                      <w:jc w:val="center"/>
                                    </w:pPr>
                                    <w:r>
                                      <w:rPr>
                                        <w:rFonts w:hint="eastAsia"/>
                                      </w:rPr>
                                      <w:t>固废</w:t>
                                    </w:r>
                                  </w:p>
                                </w:txbxContent>
                              </wps:txbx>
                              <wps:bodyPr lIns="0" tIns="0" rIns="0" bIns="0" upright="1"/>
                            </wps:wsp>
                            <wps:wsp>
                              <wps:cNvPr id="23" name="自选图形 27"/>
                              <wps:cNvCnPr/>
                              <wps:spPr>
                                <a:xfrm>
                                  <a:off x="817" y="1605"/>
                                  <a:ext cx="1" cy="562"/>
                                </a:xfrm>
                                <a:prstGeom prst="straightConnector1">
                                  <a:avLst/>
                                </a:prstGeom>
                                <a:ln w="9525" cap="flat" cmpd="sng">
                                  <a:solidFill>
                                    <a:srgbClr val="000000"/>
                                  </a:solidFill>
                                  <a:prstDash val="dash"/>
                                  <a:headEnd type="none" w="med" len="med"/>
                                  <a:tailEnd type="triangle" w="med" len="med"/>
                                </a:ln>
                              </wps:spPr>
                              <wps:bodyPr upright="0"/>
                            </wps:wsp>
                          </wpg:wgp>
                        </a:graphicData>
                      </a:graphic>
                    </wp:inline>
                  </w:drawing>
                </mc:Choice>
                <mc:Fallback>
                  <w:pict>
                    <v:group id="组合 7" o:spid="_x0000_s1026" o:spt="203" style="height:207.8pt;width:364.9pt;" coordsize="8498,2720" o:gfxdata="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">
                      <o:lock v:ext="edit" aspectratio="f"/>
                      <v:rect id="矩形 8" o:spid="_x0000_s1026" o:spt="1" style="position:absolute;left:0;top:0;height:2720;width:8498;" filled="f" stroked="f" coordsize="21600,21600" o:gfxdata="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T4rVvQAA&#10;ANoAAAAPAAAAAAAAAAEAIAAAACIAAABkcnMvZG93bnJldi54bWxQSwECFAAUAAAACACHTuJAMy8F&#10;njsAAAA5AAAAEAAAAAAAAAABACAAAAAMAQAAZHJzL3NoYXBleG1sLnhtbFBLBQYAAAAABgAGAFsB&#10;AAC2AwAAAAA=&#10;">
                        <v:fill on="f" focussize="0,0"/>
                        <v:stroke on="f"/>
                        <v:imagedata o:title=""/>
                        <o:lock v:ext="edit" aspectratio="f"/>
                      </v:rect>
                      <v:rect id="矩形 9" o:spid="_x0000_s1026" o:spt="1" style="position:absolute;left:211;top:1122;height:481;width:1186;" fillcolor="#FFFFFF" filled="t" stroked="t" coordsize="21600,21600" o:gfxdata="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5pK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rPr>
                              </w:pPr>
                              <w:r>
                                <w:rPr>
                                  <w:rFonts w:hint="eastAsia"/>
                                </w:rPr>
                                <w:t xml:space="preserve">平整场地 </w:t>
                              </w:r>
                            </w:p>
                          </w:txbxContent>
                        </v:textbox>
                      </v:rect>
                      <v:shape id="自选图形 10" o:spid="_x0000_s1026" o:spt="32" type="#_x0000_t32" style="position:absolute;left:1397;top:1363;height:7;width:576;" filled="f" stroked="t" coordsize="21600,21600" o:gfxdata="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nRaG8AAAA&#10;2g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11" o:spid="_x0000_s1026" o:spt="1" style="position:absolute;left:1973;top:1123;height:482;width:1186;" fillcolor="#FFFFFF" filled="t" stroked="t" coordsize="21600,21600" o:gfxdata="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xaGm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场地硬化</w:t>
                              </w:r>
                            </w:p>
                          </w:txbxContent>
                        </v:textbox>
                      </v:rect>
                      <v:rect id="矩形 12" o:spid="_x0000_s1026" o:spt="1" style="position:absolute;left:3776;top:1123;height:481;width:1258;" fillcolor="#FFFFFF" filled="t" stroked="t" coordsize="21600,21600" o:gfxdata="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laNdS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pPr>
                              <w:r>
                                <w:rPr>
                                  <w:rFonts w:hint="eastAsia"/>
                                </w:rPr>
                                <w:t>设备安装</w:t>
                              </w:r>
                            </w:p>
                          </w:txbxContent>
                        </v:textbox>
                      </v:rect>
                      <v:rect id="矩形 13" o:spid="_x0000_s1026" o:spt="1" style="position:absolute;left:5568;top:1095;height:481;width:1186;" fillcolor="#FFFFFF" filled="t" stroked="t" coordsize="21600,21600" o:gfxdata="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k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工程竣工</w:t>
                              </w:r>
                            </w:p>
                          </w:txbxContent>
                        </v:textbox>
                      </v:rect>
                      <v:rect id="矩形 14" o:spid="_x0000_s1026" o:spt="1" style="position:absolute;left:1878;top:2167;height:312;width:1322;" fillcolor="#FFFFFF" filled="t" stroked="f" coordsize="21600,21600" o:gfxdata="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SFeL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jc w:val="center"/>
                              </w:pPr>
                              <w:r>
                                <w:rPr>
                                  <w:rFonts w:hint="eastAsia"/>
                                </w:rPr>
                                <w:t>废水 固废</w:t>
                              </w:r>
                            </w:p>
                          </w:txbxContent>
                        </v:textbox>
                      </v:rect>
                      <v:shape id="自选图形 15" o:spid="_x0000_s1026" o:spt="32" type="#_x0000_t32" style="position:absolute;left:3200;top:1363;height:7;width:576;" filled="f" stroked="t" coordsize="21600,21600" o:gfxdata="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MBMY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6" o:spid="_x0000_s1026" o:spt="32" type="#_x0000_t32" style="position:absolute;left:5034;top:1356;height:7;width:576;" filled="f" stroked="t" coordsize="21600,21600" o:gfxdata="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LSF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17" o:spid="_x0000_s1026" o:spt="32" type="#_x0000_t32" style="position:absolute;left:6754;top:1349;height:7;width:576;" filled="f" stroked="t" coordsize="21600,21600" o:gfxdata="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153j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矩形 18" o:spid="_x0000_s1026" o:spt="1" style="position:absolute;left:7312;top:1123;height:481;width:1186;" fillcolor="#FFFFFF" filled="t" stroked="t" coordsize="21600,21600" o:gfxdata="UEsDBAoAAAAAAIdO4kAAAAAAAAAAAAAAAAAEAAAAZHJzL1BLAwQUAAAACACHTuJA+qcYkroAAADb&#10;AAAADwAAAGRycy9kb3ducmV2LnhtbEVPPW/CMBDdK/EfrENiKza0Qh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xi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交付使用</w:t>
                              </w:r>
                            </w:p>
                          </w:txbxContent>
                        </v:textbox>
                      </v:rect>
                      <v:shape id="自选图形 19" o:spid="_x0000_s1026" o:spt="32" type="#_x0000_t32" style="position:absolute;left:2566;top:1605;height:562;width:1;" filled="f" stroked="t" coordsize="21600,21600" o:gfxdata="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qemVugAAANs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shape>
                      <v:shape id="自选图形 20" o:spid="_x0000_s1026" o:spt="32" type="#_x0000_t32" style="position:absolute;left:818;top:564;flip:y;height:531;width:1;" filled="f" stroked="t" coordsize="21600,21600" o:gfxdata="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gF0hUtwAAANsAAAAP&#10;AAAAAAAAAAEAIAAAACIAAABkcnMvZG93bnJldi54bWxQSwECFAAUAAAACACHTuJAMy8FnjsAAAA5&#10;AAAAEAAAAAAAAAABACAAAAAGAQAAZHJzL3NoYXBleG1sLnhtbFBLBQYAAAAABgAGAFsBAACwAwAA&#10;AAA=&#10;">
                        <v:fill on="f" focussize="0,0"/>
                        <v:stroke color="#000000" joinstyle="round" dashstyle="dash" endarrow="block"/>
                        <v:imagedata o:title=""/>
                        <o:lock v:ext="edit" aspectratio="f"/>
                      </v:shape>
                      <v:shape id="自选图形 21" o:spid="_x0000_s1026" o:spt="32" type="#_x0000_t32" style="position:absolute;left:2565;top:564;flip:y;height:531;width:1;" filled="f" stroked="t" coordsize="21600,21600" o:gfxdata="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W+3PtwAAANsAAAAP&#10;AAAAAAAAAAEAIAAAACIAAABkcnMvZG93bnJldi54bWxQSwECFAAUAAAACACHTuJAMy8FnjsAAAA5&#10;AAAAEAAAAAAAAAABACAAAAAGAQAAZHJzL3NoYXBleG1sLnhtbFBLBQYAAAAABgAGAFsBAACwAwAA&#10;AAA=&#10;">
                        <v:fill on="f" focussize="0,0"/>
                        <v:stroke color="#000000" joinstyle="round" dashstyle="dash" endarrow="block"/>
                        <v:imagedata o:title=""/>
                        <o:lock v:ext="edit" aspectratio="f"/>
                      </v:shape>
                      <v:rect id="矩形 22" o:spid="_x0000_s1026" o:spt="1" style="position:absolute;left:1844;top:252;height:312;width:1667;" fillcolor="#FFFFFF" filled="t" stroked="f" coordsize="21600,21600" o:gfxdata="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3KJfrsAAADb&#10;AAAADwAAAAAAAAABACAAAAAiAAAAZHJzL2Rvd25yZXYueG1sUEsBAhQAFAAAAAgAh07iQDMvBZ47&#10;AAAAOQAAABAAAAAAAAAAAQAgAAAACgEAAGRycy9zaGFwZXhtbC54bWxQSwUGAAAAAAYABgBbAQAA&#10;tAMAAAAA&#10;">
                        <v:fill on="t" focussize="0,0"/>
                        <v:stroke on="f"/>
                        <v:imagedata o:title=""/>
                        <o:lock v:ext="edit" aspectratio="f"/>
                        <v:textbox inset="0mm,0mm,0mm,0mm">
                          <w:txbxContent>
                            <w:p>
                              <w:pPr>
                                <w:jc w:val="center"/>
                              </w:pPr>
                              <w:r>
                                <w:rPr>
                                  <w:rFonts w:hint="eastAsia"/>
                                </w:rPr>
                                <w:t>噪声 扬尘</w:t>
                              </w:r>
                            </w:p>
                          </w:txbxContent>
                        </v:textbox>
                      </v:rect>
                      <v:rect id="矩形 23" o:spid="_x0000_s1026" o:spt="1" style="position:absolute;left:211;top:187;height:377;width:1174;" fillcolor="#FFFFFF" filled="t" stroked="f" coordsize="21600,21600" o:gfxdata="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D4s5bgAAADbAAAA&#10;DwAAAAAAAAABACAAAAAiAAAAZHJzL2Rvd25yZXYueG1sUEsBAhQAFAAAAAgAh07iQDMvBZ47AAAA&#10;OQAAABAAAAAAAAAAAQAgAAAABwEAAGRycy9zaGFwZXhtbC54bWxQSwUGAAAAAAYABgBbAQAAsQMA&#10;AAAA&#10;">
                        <v:fill on="t" focussize="0,0"/>
                        <v:stroke on="f"/>
                        <v:imagedata o:title=""/>
                        <o:lock v:ext="edit" aspectratio="f"/>
                        <v:textbox inset="0mm,0mm,0mm,0mm">
                          <w:txbxContent>
                            <w:p>
                              <w:pPr>
                                <w:jc w:val="center"/>
                              </w:pPr>
                              <w:r>
                                <w:rPr>
                                  <w:rFonts w:hint="eastAsia"/>
                                </w:rPr>
                                <w:t>噪声 扬尘</w:t>
                              </w:r>
                            </w:p>
                          </w:txbxContent>
                        </v:textbox>
                      </v:rect>
                      <v:shape id="自选图形 24" o:spid="_x0000_s1026" o:spt="32" type="#_x0000_t32" style="position:absolute;left:4408;top:642;flip:y;height:480;width:1;" filled="f" stroked="t" coordsize="21600,21600" o:gfxdata="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7evwa2AAAA2wAAAA8A&#10;AAAAAAAAAQAgAAAAIgAAAGRycy9kb3ducmV2LnhtbFBLAQIUABQAAAAIAIdO4kAzLwWeOwAAADkA&#10;AAAQAAAAAAAAAAEAIAAAAAUBAABkcnMvc2hhcGV4bWwueG1sUEsFBgAAAAAGAAYAWwEAAK8DAAAA&#10;AA==&#10;">
                        <v:fill on="f" focussize="0,0"/>
                        <v:stroke color="#000000" joinstyle="round" dashstyle="dash" endarrow="block"/>
                        <v:imagedata o:title=""/>
                        <o:lock v:ext="edit" aspectratio="f"/>
                      </v:shape>
                      <v:rect id="矩形 25" o:spid="_x0000_s1026" o:spt="1" style="position:absolute;left:3860;top:252;height:390;width:1174;" fillcolor="#FFFFFF" filled="t" stroked="f" coordsize="21600,21600" o:gfxdata="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JOpeugAAANs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jc w:val="center"/>
                              </w:pPr>
                              <w:r>
                                <w:rPr>
                                  <w:rFonts w:hint="eastAsia"/>
                                </w:rPr>
                                <w:t xml:space="preserve">噪声 </w:t>
                              </w:r>
                            </w:p>
                          </w:txbxContent>
                        </v:textbox>
                      </v:rect>
                      <v:rect id="矩形 26" o:spid="_x0000_s1026" o:spt="1" style="position:absolute;left:211;top:2167;height:312;width:1186;" fillcolor="#FFFFFF" filled="t" stroked="f" coordsize="21600,21600" o:gfxdata="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9nQpugAAANs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jc w:val="center"/>
                              </w:pPr>
                              <w:r>
                                <w:rPr>
                                  <w:rFonts w:hint="eastAsia"/>
                                </w:rPr>
                                <w:t>固废</w:t>
                              </w:r>
                            </w:p>
                          </w:txbxContent>
                        </v:textbox>
                      </v:rect>
                      <v:shape id="自选图形 27" o:spid="_x0000_s1026" o:spt="32" type="#_x0000_t32" style="position:absolute;left:817;top:1605;height:562;width:1;" filled="f" stroked="t" coordsize="21600,21600" o:gfxdata="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YB7HvQAA&#10;ANs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w10:wrap type="none"/>
                      <w10:anchorlock/>
                    </v:group>
                  </w:pict>
                </mc:Fallback>
              </mc:AlternateContent>
            </w:r>
          </w:p>
          <w:p>
            <w:pPr>
              <w:spacing w:line="360" w:lineRule="auto"/>
              <w:jc w:val="center"/>
              <w:rPr>
                <w:rFonts w:eastAsia="黑体"/>
                <w:bCs/>
                <w:color w:val="auto"/>
                <w:sz w:val="24"/>
                <w:highlight w:val="none"/>
              </w:rPr>
            </w:pPr>
            <w:r>
              <w:rPr>
                <w:rFonts w:hint="eastAsia" w:ascii="Times New Roman" w:hAnsi="Times New Roman" w:eastAsia="宋体" w:cs="Times New Roman"/>
                <w:b/>
                <w:bCs/>
                <w:color w:val="auto"/>
                <w:sz w:val="21"/>
                <w:szCs w:val="21"/>
                <w:highlight w:val="none"/>
              </w:rPr>
              <w:t>图</w:t>
            </w:r>
            <w:r>
              <w:rPr>
                <w:rFonts w:hint="eastAsia" w:ascii="Times New Roman" w:hAnsi="Times New Roman" w:eastAsia="宋体"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rPr>
              <w:t>-1  施工期工</w:t>
            </w:r>
            <w:r>
              <w:rPr>
                <w:rFonts w:hint="eastAsia" w:ascii="宋体" w:hAnsi="宋体" w:eastAsia="宋体" w:cs="宋体"/>
                <w:b/>
                <w:bCs/>
                <w:color w:val="auto"/>
                <w:sz w:val="21"/>
                <w:szCs w:val="21"/>
                <w:highlight w:val="none"/>
              </w:rPr>
              <w:t>艺流程及产污环节</w:t>
            </w:r>
          </w:p>
          <w:p>
            <w:pPr>
              <w:pStyle w:val="15"/>
              <w:spacing w:before="1"/>
              <w:ind w:left="112"/>
              <w:rPr>
                <w:w w:val="100"/>
                <w:sz w:val="21"/>
              </w:rPr>
            </w:pPr>
          </w:p>
          <w:p>
            <w:pPr>
              <w:spacing w:line="360" w:lineRule="auto"/>
              <w:ind w:firstLine="482" w:firstLineChars="200"/>
              <w:rPr>
                <w:rFonts w:hint="eastAsia"/>
                <w:b/>
                <w:sz w:val="24"/>
                <w:szCs w:val="22"/>
              </w:rPr>
            </w:pPr>
            <w:r>
              <w:rPr>
                <w:b/>
                <w:sz w:val="24"/>
                <w:szCs w:val="22"/>
              </w:rPr>
              <w:t>2</w:t>
            </w:r>
            <w:r>
              <w:rPr>
                <w:rFonts w:hint="eastAsia"/>
                <w:b/>
                <w:sz w:val="24"/>
                <w:szCs w:val="22"/>
              </w:rPr>
              <w:t>、施工期主要污染工序</w:t>
            </w:r>
          </w:p>
          <w:p>
            <w:pPr>
              <w:pStyle w:val="17"/>
              <w:ind w:firstLine="480"/>
            </w:pPr>
            <w:r>
              <w:rPr>
                <w:rFonts w:hint="eastAsia"/>
              </w:rPr>
              <w:t>本项目</w:t>
            </w:r>
            <w:r>
              <w:t>在施工期间</w:t>
            </w:r>
            <w:r>
              <w:rPr>
                <w:rFonts w:hint="eastAsia"/>
              </w:rPr>
              <w:t>由于</w:t>
            </w:r>
            <w:r>
              <w:t>场地平整、基础硬化、</w:t>
            </w:r>
            <w:r>
              <w:rPr>
                <w:rFonts w:hint="eastAsia"/>
              </w:rPr>
              <w:t>设备安装</w:t>
            </w:r>
            <w:r>
              <w:t>，不可避免</w:t>
            </w:r>
            <w:r>
              <w:rPr>
                <w:rFonts w:hint="eastAsia"/>
              </w:rPr>
              <w:t>地</w:t>
            </w:r>
            <w:r>
              <w:t>将对周围环境产生影响。建筑施工期</w:t>
            </w:r>
            <w:r>
              <w:rPr>
                <w:rFonts w:hint="eastAsia"/>
              </w:rPr>
              <w:t>主要污染因子</w:t>
            </w:r>
            <w:r>
              <w:t>有：施工废水和生活污水、施工扬尘、噪声、建筑固废和生活垃圾等。</w:t>
            </w:r>
          </w:p>
          <w:p>
            <w:pPr>
              <w:pStyle w:val="3"/>
              <w:ind w:firstLine="480"/>
              <w:rPr>
                <w:rFonts w:hint="default" w:ascii="Times New Roman" w:hAnsi="Times New Roman" w:cs="Times New Roman"/>
              </w:rPr>
            </w:pPr>
            <w:r>
              <w:rPr>
                <w:rFonts w:hint="default" w:ascii="Times New Roman" w:hAnsi="Times New Roman" w:cs="Times New Roman"/>
              </w:rPr>
              <w:t>（1）大气污染源</w:t>
            </w:r>
          </w:p>
          <w:p>
            <w:pPr>
              <w:pStyle w:val="3"/>
              <w:ind w:firstLine="480"/>
              <w:rPr>
                <w:rFonts w:hint="default" w:ascii="Times New Roman" w:hAnsi="Times New Roman" w:cs="Times New Roman"/>
                <w:szCs w:val="24"/>
              </w:rPr>
            </w:pPr>
            <w:r>
              <w:rPr>
                <w:rFonts w:hint="default" w:ascii="Times New Roman" w:hAnsi="Times New Roman" w:cs="Times New Roman"/>
                <w:szCs w:val="24"/>
              </w:rPr>
              <w:t>①施工扬尘、汽车运输扬尘；</w:t>
            </w:r>
          </w:p>
          <w:p>
            <w:pPr>
              <w:pStyle w:val="3"/>
              <w:ind w:firstLine="480"/>
              <w:rPr>
                <w:rFonts w:hint="default" w:ascii="Times New Roman" w:hAnsi="Times New Roman" w:cs="Times New Roman"/>
                <w:szCs w:val="24"/>
              </w:rPr>
            </w:pPr>
            <w:r>
              <w:rPr>
                <w:rFonts w:hint="default" w:ascii="Times New Roman" w:hAnsi="Times New Roman" w:cs="Times New Roman"/>
                <w:szCs w:val="24"/>
              </w:rPr>
              <w:t>②汽车及动力设备排放的尾气。</w:t>
            </w:r>
          </w:p>
          <w:p>
            <w:pPr>
              <w:pStyle w:val="3"/>
              <w:ind w:firstLine="480"/>
              <w:rPr>
                <w:rFonts w:hint="default" w:ascii="Times New Roman" w:hAnsi="Times New Roman" w:cs="Times New Roman"/>
              </w:rPr>
            </w:pPr>
            <w:r>
              <w:rPr>
                <w:rFonts w:hint="default" w:ascii="Times New Roman" w:hAnsi="Times New Roman" w:cs="Times New Roman"/>
              </w:rPr>
              <w:t>（2）水污染源</w:t>
            </w:r>
          </w:p>
          <w:p>
            <w:pPr>
              <w:pStyle w:val="3"/>
              <w:ind w:firstLine="480"/>
              <w:rPr>
                <w:rFonts w:hint="default" w:ascii="Times New Roman" w:hAnsi="Times New Roman" w:cs="Times New Roman"/>
              </w:rPr>
            </w:pPr>
            <w:r>
              <w:rPr>
                <w:rFonts w:hint="default" w:ascii="Times New Roman" w:hAnsi="Times New Roman" w:cs="Times New Roman"/>
              </w:rPr>
              <w:t>①施工人员生活污水；</w:t>
            </w:r>
          </w:p>
          <w:p>
            <w:pPr>
              <w:pStyle w:val="3"/>
              <w:ind w:firstLine="480"/>
              <w:rPr>
                <w:rFonts w:hint="default" w:ascii="Times New Roman" w:hAnsi="Times New Roman" w:cs="Times New Roman"/>
              </w:rPr>
            </w:pPr>
            <w:r>
              <w:rPr>
                <w:rFonts w:hint="default" w:ascii="Times New Roman" w:hAnsi="Times New Roman" w:cs="Times New Roman"/>
              </w:rPr>
              <w:t>②下雨时地表径流冲刷废水。</w:t>
            </w:r>
          </w:p>
          <w:p>
            <w:pPr>
              <w:pStyle w:val="3"/>
              <w:ind w:firstLine="480"/>
              <w:rPr>
                <w:rFonts w:hint="default" w:ascii="Times New Roman" w:hAnsi="Times New Roman" w:cs="Times New Roman"/>
              </w:rPr>
            </w:pPr>
            <w:r>
              <w:rPr>
                <w:rFonts w:hint="default" w:ascii="Times New Roman" w:hAnsi="Times New Roman" w:cs="Times New Roman"/>
              </w:rPr>
              <w:t>（3）噪声污染源</w:t>
            </w:r>
          </w:p>
          <w:p>
            <w:pPr>
              <w:pStyle w:val="3"/>
              <w:ind w:firstLine="480"/>
              <w:rPr>
                <w:rFonts w:hint="default" w:ascii="Times New Roman" w:hAnsi="Times New Roman" w:cs="Times New Roman"/>
              </w:rPr>
            </w:pPr>
            <w:r>
              <w:rPr>
                <w:rFonts w:hint="default" w:ascii="Times New Roman" w:hAnsi="Times New Roman" w:cs="Times New Roman"/>
              </w:rPr>
              <w:t>施工期间由于电锯、电钻、吊车等机械，会产生一定的噪声污染，源强约为70～100dB（A），其特点是突发性和间歇性。</w:t>
            </w:r>
          </w:p>
          <w:p>
            <w:pPr>
              <w:pStyle w:val="3"/>
              <w:ind w:firstLine="480"/>
              <w:rPr>
                <w:rFonts w:hint="default" w:ascii="Times New Roman" w:hAnsi="Times New Roman" w:cs="Times New Roman"/>
              </w:rPr>
            </w:pPr>
            <w:r>
              <w:rPr>
                <w:rFonts w:hint="default" w:ascii="Times New Roman" w:hAnsi="Times New Roman" w:cs="Times New Roman"/>
              </w:rPr>
              <w:t>（4）固体废弃物</w:t>
            </w:r>
          </w:p>
          <w:p>
            <w:pPr>
              <w:pStyle w:val="3"/>
              <w:ind w:firstLine="480"/>
              <w:rPr>
                <w:rFonts w:hint="default" w:ascii="Times New Roman" w:hAnsi="Times New Roman" w:cs="Times New Roman"/>
              </w:rPr>
            </w:pPr>
            <w:r>
              <w:rPr>
                <w:rFonts w:hint="default" w:ascii="Times New Roman" w:hAnsi="Times New Roman" w:cs="Times New Roman"/>
              </w:rPr>
              <w:t>①施工人员生活垃圾；</w:t>
            </w:r>
          </w:p>
          <w:p>
            <w:pPr>
              <w:pStyle w:val="3"/>
              <w:ind w:firstLine="480"/>
              <w:rPr>
                <w:rFonts w:hint="default" w:ascii="Times New Roman" w:hAnsi="Times New Roman" w:cs="Times New Roman"/>
                <w:w w:val="100"/>
                <w:sz w:val="21"/>
              </w:rPr>
            </w:pPr>
            <w:r>
              <w:rPr>
                <w:rFonts w:hint="default" w:ascii="Times New Roman" w:hAnsi="Times New Roman" w:cs="Times New Roman"/>
              </w:rPr>
              <w:t>②施工建筑垃圾。</w:t>
            </w:r>
          </w:p>
          <w:p>
            <w:pPr>
              <w:spacing w:line="360" w:lineRule="auto"/>
              <w:rPr>
                <w:rFonts w:hint="eastAsia"/>
                <w:b/>
                <w:sz w:val="28"/>
              </w:rPr>
            </w:pPr>
            <w:r>
              <w:rPr>
                <w:rFonts w:hint="eastAsia"/>
                <w:b/>
                <w:sz w:val="28"/>
              </w:rPr>
              <w:t>二</w:t>
            </w:r>
            <w:r>
              <w:rPr>
                <w:b/>
                <w:sz w:val="28"/>
              </w:rPr>
              <w:t>、</w:t>
            </w:r>
            <w:r>
              <w:rPr>
                <w:rFonts w:hint="eastAsia"/>
                <w:b/>
                <w:sz w:val="28"/>
              </w:rPr>
              <w:t>运营期产污流程分析</w:t>
            </w:r>
          </w:p>
          <w:p>
            <w:pPr>
              <w:spacing w:line="360" w:lineRule="auto"/>
              <w:ind w:firstLine="482" w:firstLineChars="200"/>
              <w:rPr>
                <w:b/>
                <w:sz w:val="24"/>
                <w:szCs w:val="22"/>
              </w:rPr>
            </w:pPr>
            <w:r>
              <w:rPr>
                <w:rFonts w:hint="eastAsia"/>
                <w:b/>
                <w:sz w:val="24"/>
                <w:szCs w:val="22"/>
              </w:rPr>
              <w:t>1、运营期</w:t>
            </w:r>
            <w:r>
              <w:rPr>
                <w:b/>
                <w:sz w:val="24"/>
                <w:szCs w:val="22"/>
              </w:rPr>
              <w:t>工艺流程</w:t>
            </w:r>
          </w:p>
          <w:p>
            <w:pPr>
              <w:pStyle w:val="17"/>
              <w:ind w:firstLine="480"/>
            </w:pPr>
            <w:r>
              <w:rPr>
                <w:rFonts w:hint="eastAsia"/>
              </w:rPr>
              <w:t>本项目运营期生产</w:t>
            </w:r>
            <w:r>
              <w:t>沥青混凝土</w:t>
            </w:r>
            <w:r>
              <w:rPr>
                <w:rFonts w:hint="eastAsia"/>
              </w:rPr>
              <w:t>，</w:t>
            </w:r>
            <w:r>
              <w:t>其主要工艺流程及</w:t>
            </w:r>
            <w:r>
              <w:rPr>
                <w:rFonts w:hint="eastAsia"/>
              </w:rPr>
              <w:t>产污</w:t>
            </w:r>
            <w:r>
              <w:t>分析如下图。</w:t>
            </w:r>
          </w:p>
          <w:p>
            <w:pPr>
              <w:pStyle w:val="3"/>
              <w:ind w:firstLine="0" w:firstLineChars="0"/>
              <w:jc w:val="center"/>
              <w:rPr>
                <w:rFonts w:hint="eastAsia" w:eastAsia="宋体"/>
                <w:lang w:eastAsia="zh-CN"/>
              </w:rPr>
            </w:pPr>
          </w:p>
          <w:p>
            <w:pPr>
              <w:snapToGrid w:val="0"/>
              <w:spacing w:line="360" w:lineRule="auto"/>
              <w:jc w:val="center"/>
              <w:rPr>
                <w:rFonts w:hint="eastAsia" w:ascii="宋体" w:hAnsi="宋体" w:eastAsia="宋体" w:cs="宋体"/>
                <w:b/>
                <w:bCs/>
                <w:color w:val="auto"/>
                <w:sz w:val="21"/>
                <w:szCs w:val="21"/>
                <w:highlight w:val="none"/>
              </w:rPr>
            </w:pPr>
            <w:r>
              <w:drawing>
                <wp:inline distT="0" distB="0" distL="114300" distR="114300">
                  <wp:extent cx="5310505" cy="5684520"/>
                  <wp:effectExtent l="0" t="0" r="4445" b="1143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22"/>
                          <a:stretch>
                            <a:fillRect/>
                          </a:stretch>
                        </pic:blipFill>
                        <pic:spPr>
                          <a:xfrm>
                            <a:off x="0" y="0"/>
                            <a:ext cx="5310505" cy="5684520"/>
                          </a:xfrm>
                          <a:prstGeom prst="rect">
                            <a:avLst/>
                          </a:prstGeom>
                          <a:noFill/>
                          <a:ln>
                            <a:noFill/>
                          </a:ln>
                        </pic:spPr>
                      </pic:pic>
                    </a:graphicData>
                  </a:graphic>
                </wp:inline>
              </w:drawing>
            </w:r>
          </w:p>
          <w:p>
            <w:pPr>
              <w:snapToGrid w:val="0"/>
              <w:spacing w:line="360" w:lineRule="auto"/>
              <w:jc w:val="center"/>
              <w:rPr>
                <w:rFonts w:hint="eastAsia" w:ascii="宋体" w:hAnsi="宋体" w:eastAsia="宋体" w:cs="宋体"/>
                <w:b/>
                <w:bCs/>
                <w:color w:val="auto"/>
                <w:sz w:val="21"/>
                <w:szCs w:val="21"/>
                <w:highlight w:val="none"/>
              </w:rPr>
            </w:pPr>
          </w:p>
          <w:p>
            <w:pPr>
              <w:snapToGrid w:val="0"/>
              <w:spacing w:line="360" w:lineRule="auto"/>
              <w:jc w:val="center"/>
              <w:rPr>
                <w:rFonts w:hint="eastAsia" w:ascii="宋体" w:hAnsi="宋体" w:eastAsia="宋体" w:cs="宋体"/>
                <w:b/>
                <w:bCs/>
                <w:color w:val="auto"/>
                <w:sz w:val="21"/>
                <w:szCs w:val="21"/>
                <w:highlight w:val="none"/>
              </w:rPr>
            </w:pPr>
            <w:r>
              <w:rPr>
                <w:rFonts w:hint="eastAsia" w:ascii="Times New Roman" w:hAnsi="Times New Roman" w:eastAsia="宋体" w:cs="Times New Roman"/>
                <w:b/>
                <w:bCs/>
                <w:color w:val="auto"/>
                <w:sz w:val="21"/>
                <w:szCs w:val="21"/>
                <w:highlight w:val="none"/>
              </w:rPr>
              <w:t>图</w:t>
            </w:r>
            <w:r>
              <w:rPr>
                <w:rFonts w:hint="eastAsia" w:ascii="Times New Roman" w:hAnsi="Times New Roman" w:eastAsia="宋体"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rPr>
              <w:t>-2  运营期</w:t>
            </w:r>
            <w:r>
              <w:rPr>
                <w:rFonts w:hint="eastAsia" w:ascii="宋体" w:hAnsi="宋体" w:eastAsia="宋体" w:cs="宋体"/>
                <w:b/>
                <w:bCs/>
                <w:color w:val="auto"/>
                <w:sz w:val="21"/>
                <w:szCs w:val="21"/>
                <w:highlight w:val="none"/>
              </w:rPr>
              <w:t>工艺流程及产污环节</w:t>
            </w:r>
          </w:p>
          <w:p>
            <w:pPr>
              <w:pStyle w:val="3"/>
              <w:ind w:firstLine="480"/>
            </w:pPr>
            <w:r>
              <w:t>沥青混凝土生产工艺简介：</w:t>
            </w:r>
          </w:p>
          <w:p>
            <w:pPr>
              <w:pStyle w:val="3"/>
              <w:ind w:firstLine="480"/>
              <w:jc w:val="both"/>
            </w:pPr>
            <w:r>
              <w:rPr>
                <w:rFonts w:hint="eastAsia"/>
                <w:lang w:val="en-US" w:eastAsia="zh-CN"/>
              </w:rPr>
              <w:t>沥青混凝土由石油沥青和骨料</w:t>
            </w:r>
            <w:r>
              <w:rPr>
                <w:rFonts w:hint="default"/>
                <w:lang w:val="en-US" w:eastAsia="zh-CN"/>
              </w:rPr>
              <w:t>(</w:t>
            </w:r>
            <w:r>
              <w:rPr>
                <w:rFonts w:hint="eastAsia"/>
                <w:lang w:val="en-US" w:eastAsia="zh-CN"/>
              </w:rPr>
              <w:t>碎石</w:t>
            </w:r>
            <w:r>
              <w:rPr>
                <w:rFonts w:hint="default"/>
                <w:lang w:val="en-US" w:eastAsia="zh-CN"/>
              </w:rPr>
              <w:t>)</w:t>
            </w:r>
            <w:r>
              <w:rPr>
                <w:rFonts w:hint="eastAsia"/>
                <w:lang w:val="en-US" w:eastAsia="zh-CN"/>
              </w:rPr>
              <w:t xml:space="preserve">、矿粉混合拌制而成。项目采用 </w:t>
            </w:r>
            <w:r>
              <w:rPr>
                <w:rFonts w:hint="default"/>
                <w:lang w:val="en-US" w:eastAsia="zh-CN"/>
              </w:rPr>
              <w:t xml:space="preserve">LB3000 </w:t>
            </w:r>
            <w:r>
              <w:rPr>
                <w:rFonts w:hint="eastAsia"/>
                <w:lang w:val="en-US" w:eastAsia="zh-CN"/>
              </w:rPr>
              <w:t>型沥青搅拌站成套设备进行生产，沥青混凝土成品经卸货斗装入运输车直接送往施工现场，不在厂内储存，生产出料过程为间歇式。其一般流程如下。</w:t>
            </w:r>
          </w:p>
          <w:p>
            <w:pPr>
              <w:pStyle w:val="3"/>
              <w:ind w:firstLine="480"/>
            </w:pPr>
            <w:r>
              <w:rPr>
                <w:rFonts w:hint="eastAsia" w:ascii="宋体" w:hAnsi="宋体" w:cs="宋体"/>
              </w:rPr>
              <w:t>①</w:t>
            </w:r>
            <w:r>
              <w:t>冷料系统</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Times New Roman" w:hAnsi="Times New Roman" w:eastAsia="宋体" w:cs="宋体"/>
                <w:sz w:val="24"/>
                <w:szCs w:val="28"/>
                <w:lang w:val="en-US" w:eastAsia="zh-CN" w:bidi="zh-CN"/>
              </w:rPr>
            </w:pPr>
            <w:r>
              <w:rPr>
                <w:rFonts w:hint="eastAsia" w:ascii="Times New Roman" w:hAnsi="Times New Roman" w:eastAsia="宋体" w:cs="宋体"/>
                <w:sz w:val="24"/>
                <w:szCs w:val="28"/>
                <w:lang w:val="en-US" w:eastAsia="zh-CN" w:bidi="zh-CN"/>
              </w:rPr>
              <w:t>冷料系统是沥青混凝土搅拌设备生产流程的开始，沥青混凝土生产线所需的骨料通过车辆运输直接倾倒入堆场内。生产过程中，通过铲车将一定量的骨料送入上料仓</w:t>
            </w:r>
            <w:r>
              <w:rPr>
                <w:rFonts w:hint="default" w:ascii="Times New Roman" w:hAnsi="Times New Roman" w:eastAsia="宋体" w:cs="宋体"/>
                <w:sz w:val="24"/>
                <w:szCs w:val="28"/>
                <w:lang w:val="en-US" w:eastAsia="zh-CN" w:bidi="zh-CN"/>
              </w:rPr>
              <w:t>,</w:t>
            </w:r>
            <w:r>
              <w:rPr>
                <w:rFonts w:hint="eastAsia" w:ascii="Times New Roman" w:hAnsi="Times New Roman" w:eastAsia="宋体" w:cs="宋体"/>
                <w:sz w:val="24"/>
                <w:szCs w:val="28"/>
                <w:lang w:val="en-US" w:eastAsia="zh-CN" w:bidi="zh-CN"/>
              </w:rPr>
              <w:t>然后通过给料机和密闭的皮带运输机将骨料运至干燥滚筒内，此过程中，卸料和铲车铲料均在三面封闭并加盖顶棚，并设置高压喷雾装置的原料堆场内进行；铲车进料过程中，在上料口上方安装高压喷雾装置和集气罩，将产生的粉尘全部</w:t>
            </w:r>
            <w:r>
              <w:rPr>
                <w:rFonts w:hint="eastAsia" w:ascii="宋体" w:hAnsi="宋体" w:eastAsia="宋体" w:cs="宋体"/>
                <w:sz w:val="24"/>
                <w:szCs w:val="28"/>
                <w:lang w:val="en-US" w:eastAsia="zh-CN" w:bidi="zh-CN"/>
              </w:rPr>
              <w:t>引至“布袋除尘”中进</w:t>
            </w:r>
            <w:r>
              <w:rPr>
                <w:rFonts w:hint="eastAsia" w:ascii="Times New Roman" w:hAnsi="Times New Roman" w:eastAsia="宋体" w:cs="宋体"/>
                <w:sz w:val="24"/>
                <w:szCs w:val="28"/>
                <w:lang w:val="en-US" w:eastAsia="zh-CN" w:bidi="zh-CN"/>
              </w:rPr>
              <w:t>行处理</w:t>
            </w:r>
            <w:r>
              <w:rPr>
                <w:rFonts w:hint="eastAsia" w:ascii="Times New Roman" w:hAnsi="Times New Roman" w:cs="宋体"/>
                <w:sz w:val="24"/>
                <w:szCs w:val="28"/>
                <w:lang w:val="en-US" w:eastAsia="zh-CN" w:bidi="zh-CN"/>
              </w:rPr>
              <w:t>。</w:t>
            </w:r>
          </w:p>
          <w:p>
            <w:pPr>
              <w:pStyle w:val="3"/>
              <w:ind w:firstLine="480"/>
              <w:jc w:val="left"/>
            </w:pPr>
            <w:r>
              <w:rPr>
                <w:rFonts w:hint="eastAsia" w:ascii="宋体" w:hAnsi="宋体" w:cs="宋体"/>
              </w:rPr>
              <w:t>②</w:t>
            </w:r>
            <w:r>
              <w:t>烘干系统</w:t>
            </w:r>
          </w:p>
          <w:p>
            <w:pPr>
              <w:pStyle w:val="3"/>
              <w:ind w:firstLine="480"/>
            </w:pPr>
            <w:r>
              <w:t>为使沥青混凝土产品不至于因过快冷却而带来运输上的不便，骨料在与沥青混合前需要经过加热处理。骨料经皮带输送机送至烘干滚筒内，烘干滚筒采用逆料流加热方式，</w:t>
            </w:r>
            <w:r>
              <w:rPr>
                <w:rFonts w:hint="eastAsia"/>
                <w:lang w:val="en-US" w:eastAsia="zh-CN"/>
              </w:rPr>
              <w:t>柴</w:t>
            </w:r>
            <w:r>
              <w:t>油燃烧器火焰自烘干滚筒出料口一端持续喷入，热气流逆着料流方向穿过滚筒时被吸走热量。为使骨料受热均匀，烘干滚筒不停转动，滚筒内的提升叶片将冷骨料不断的提升和抛下。骨料烘干以</w:t>
            </w:r>
            <w:r>
              <w:rPr>
                <w:rFonts w:hint="eastAsia"/>
                <w:lang w:val="en-US" w:eastAsia="zh-CN"/>
              </w:rPr>
              <w:t>柴</w:t>
            </w:r>
            <w:r>
              <w:t>油作为燃料，</w:t>
            </w:r>
            <w:r>
              <w:rPr>
                <w:rFonts w:hint="eastAsia"/>
                <w:lang w:val="en-US" w:eastAsia="zh-CN"/>
              </w:rPr>
              <w:t>柴</w:t>
            </w:r>
            <w:r>
              <w:t>油燃烧会产生颗粒物、NOx及SO</w:t>
            </w:r>
            <w:r>
              <w:rPr>
                <w:vertAlign w:val="subscript"/>
              </w:rPr>
              <w:t>2</w:t>
            </w:r>
            <w:r>
              <w:t>，烘干过程会产生噪声和粉尘。该部分废气经风管收集后进入除尘系统处理，然后经过排气筒排放，属于有组织形式的排放废气。</w:t>
            </w:r>
          </w:p>
          <w:p>
            <w:pPr>
              <w:pStyle w:val="3"/>
              <w:ind w:firstLine="480"/>
            </w:pPr>
            <w:r>
              <w:rPr>
                <w:rFonts w:hint="eastAsia"/>
              </w:rPr>
              <w:t>③</w:t>
            </w:r>
            <w:r>
              <w:t>热骨料提升系统</w:t>
            </w:r>
          </w:p>
          <w:p>
            <w:pPr>
              <w:pStyle w:val="3"/>
              <w:ind w:firstLine="480"/>
            </w:pPr>
            <w:r>
              <w:t>热骨料提升机把从干燥滚筒里出来的烘干热骨料提升输送到位于搅拌主楼最上部的振动筛里。热骨料提升系统在工作时产生一定的噪声。</w:t>
            </w:r>
          </w:p>
          <w:p>
            <w:pPr>
              <w:pStyle w:val="3"/>
              <w:ind w:firstLine="480"/>
              <w:rPr>
                <w:lang w:eastAsia="ja-JP"/>
              </w:rPr>
            </w:pPr>
            <w:r>
              <w:rPr>
                <w:rFonts w:hint="eastAsia"/>
                <w:lang w:eastAsia="ja-JP"/>
              </w:rPr>
              <w:t>④筛分</w:t>
            </w:r>
          </w:p>
          <w:p>
            <w:pPr>
              <w:pStyle w:val="3"/>
              <w:ind w:firstLine="480"/>
            </w:pPr>
            <w:r>
              <w:t>将加热过的骨料通过热料提升机送至粒度检控系统内进行振动筛分，让符合粒径要求的骨料通过，经石料计量装置计量后送入搅拌缸；少数不符合要求的骨料被分离后经专门出口送至废料仓。烘干滚筒、振动筛都在密闭的设备内工作。振动筛分过程会产生噪声和粉尘。</w:t>
            </w:r>
          </w:p>
          <w:p>
            <w:pPr>
              <w:pStyle w:val="3"/>
              <w:ind w:firstLine="480"/>
            </w:pPr>
            <w:r>
              <w:rPr>
                <w:rFonts w:hint="eastAsia" w:ascii="宋体" w:hAnsi="宋体" w:cs="宋体"/>
              </w:rPr>
              <w:t>⑤</w:t>
            </w:r>
            <w:r>
              <w:t>粉料系统</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粉料不需要进行预处理，矿粉通过罐车用至厂区内，由车辆自动的气动设施将矿粉送至筒仓内，仓顶设有呼吸口和脉冲袋式除尘器。矿粉在使用过程中经给料机给料并由计量装置计量后送至搅拌缸内。矿粉在生产过程中采用螺旋输送机送至给料机、计量装置和搅拌缸内，螺旋输送机与各给料机、筒仓和计量装置等设备采用密闭连接，并电脑控制送料，在输送过程中无粉尘溢出。粉料通过运输车辆直接泵入粉仓中，在输送过程中，粉仓顶部会产生粉尘，通过仓顶呼吸口排放。</w:t>
            </w:r>
          </w:p>
          <w:p>
            <w:pPr>
              <w:pStyle w:val="3"/>
              <w:ind w:firstLine="480"/>
            </w:pPr>
            <w:r>
              <w:rPr>
                <w:rFonts w:hint="eastAsia" w:ascii="宋体" w:hAnsi="宋体" w:cs="宋体"/>
              </w:rPr>
              <w:t>⑥</w:t>
            </w:r>
            <w:r>
              <w:t>计量</w:t>
            </w:r>
          </w:p>
          <w:p>
            <w:pPr>
              <w:pStyle w:val="3"/>
              <w:ind w:firstLine="480"/>
            </w:pPr>
            <w:r>
              <w:t>计量系统是根据沥青混凝土的配比，对骨料、矿粉和沥青进行比例计量，并从卸料口进入搅拌缸的装置。计量系统包括热料计量装置、沥青计量装置和粉料计量装置。</w:t>
            </w:r>
          </w:p>
          <w:p>
            <w:pPr>
              <w:pStyle w:val="3"/>
              <w:ind w:firstLine="480"/>
            </w:pPr>
            <w:r>
              <w:rPr>
                <w:rFonts w:hint="eastAsia" w:ascii="宋体" w:hAnsi="宋体" w:cs="宋体"/>
              </w:rPr>
              <w:t>⑦</w:t>
            </w:r>
            <w:r>
              <w:t>沥青预处理系统</w:t>
            </w:r>
          </w:p>
          <w:p>
            <w:pPr>
              <w:pStyle w:val="3"/>
              <w:ind w:firstLine="480"/>
            </w:pPr>
            <w:r>
              <w:t>沥青是石油气工厂热解石油气时得到的副产品，由专用沥青运输车将沥青运至厂内，通过密闭沥青管道输送至沥青储罐储存，沥青储罐加热介质为导热油，项目以</w:t>
            </w:r>
            <w:r>
              <w:rPr>
                <w:rFonts w:hint="eastAsia"/>
                <w:highlight w:val="none"/>
                <w:lang w:val="en-US" w:eastAsia="zh-CN"/>
              </w:rPr>
              <w:t>轻</w:t>
            </w:r>
            <w:r>
              <w:rPr>
                <w:highlight w:val="none"/>
              </w:rPr>
              <w:t>油作为燃料加热导热油</w:t>
            </w:r>
            <w:r>
              <w:t>），然后导热油以间接加热的方式将沥青加热至150~180</w:t>
            </w:r>
            <w:r>
              <w:rPr>
                <w:rFonts w:hint="eastAsia" w:ascii="宋体" w:hAnsi="宋体" w:cs="宋体"/>
              </w:rPr>
              <w:t>℃</w:t>
            </w:r>
            <w:r>
              <w:t>（沥青加热时会产生沥青烟和苯并(a)芘），由沥青泵将加热的沥青输送至沥青计量装置。</w:t>
            </w:r>
          </w:p>
          <w:p>
            <w:pPr>
              <w:pStyle w:val="3"/>
              <w:ind w:firstLine="480"/>
            </w:pPr>
            <w:r>
              <w:t>沥青导热油锅炉燃烧废气经</w:t>
            </w:r>
            <w:r>
              <w:rPr>
                <w:rFonts w:hint="eastAsia"/>
                <w:lang w:val="en-US" w:eastAsia="zh-CN"/>
              </w:rPr>
              <w:t>15</w:t>
            </w:r>
            <w:r>
              <w:t>m高烟囱排放；沥青在间接加热过程中产生的沥青烟经过沥青呼吸口随沥青进入搅拌缸中。</w:t>
            </w:r>
          </w:p>
          <w:p>
            <w:pPr>
              <w:pStyle w:val="3"/>
              <w:ind w:firstLine="480"/>
            </w:pPr>
            <w:r>
              <w:rPr>
                <w:rFonts w:hint="eastAsia" w:ascii="宋体" w:hAnsi="宋体" w:cs="宋体"/>
              </w:rPr>
              <w:t>⑧</w:t>
            </w:r>
            <w:r>
              <w:t>搅拌系统</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沥青砼生产使用前，通过导热油炉对沥青罐中的沥青进行间接加热</w:t>
            </w:r>
            <w:r>
              <w:rPr>
                <w:rFonts w:hint="default" w:ascii="Times New Roman" w:hAnsi="Times New Roman" w:eastAsia="宋体" w:cs="Times New Roman"/>
                <w:color w:val="000000"/>
                <w:kern w:val="0"/>
                <w:sz w:val="24"/>
                <w:szCs w:val="24"/>
                <w:lang w:val="en-US" w:eastAsia="zh-CN" w:bidi="ar"/>
              </w:rPr>
              <w:t>180</w:t>
            </w:r>
            <w:r>
              <w:rPr>
                <w:rFonts w:hint="eastAsia" w:ascii="宋体" w:hAnsi="宋体" w:eastAsia="宋体" w:cs="宋体"/>
                <w:color w:val="000000"/>
                <w:kern w:val="0"/>
                <w:sz w:val="24"/>
                <w:szCs w:val="24"/>
                <w:lang w:val="en-US" w:eastAsia="zh-CN" w:bidi="ar"/>
              </w:rPr>
              <w:t>℃，再由沥青专用泵经管道送入搅拌缸（全封闭状态）中，搅拌好的沥青砼从搅拌楼出料口落入沥青运输车辆内，再运输出厂。</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搅拌器是将按生产配合比计量完毕后依设定顺序分别投入的骨料、粉料及沥青混合搅拌均匀并排出的装置。搅拌器结构为双卧轴式，两根搅拌轴凭借一对相互啮合的相同的齿轮构成强制同步与成品料仓通过密闭管道连接。系统中产生的沥青烟和加热产生的沥青烟全部经搅拌系统中的风管将废气引至沥青烟净化装置中</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最后通过</w:t>
            </w:r>
            <w:r>
              <w:rPr>
                <w:rFonts w:hint="default" w:ascii="Times New Roman" w:hAnsi="Times New Roman" w:eastAsia="宋体" w:cs="Times New Roman"/>
                <w:color w:val="000000"/>
                <w:kern w:val="0"/>
                <w:sz w:val="24"/>
                <w:szCs w:val="24"/>
                <w:lang w:val="en-US" w:eastAsia="zh-CN" w:bidi="ar"/>
              </w:rPr>
              <w:t>15m</w:t>
            </w:r>
            <w:r>
              <w:rPr>
                <w:rFonts w:hint="eastAsia" w:ascii="宋体" w:hAnsi="宋体" w:eastAsia="宋体" w:cs="宋体"/>
                <w:color w:val="000000"/>
                <w:kern w:val="0"/>
                <w:sz w:val="24"/>
                <w:szCs w:val="24"/>
                <w:lang w:val="en-US" w:eastAsia="zh-CN" w:bidi="ar"/>
              </w:rPr>
              <w:t>的排气筒高空排放。</w:t>
            </w:r>
          </w:p>
          <w:p>
            <w:pPr>
              <w:spacing w:line="360" w:lineRule="auto"/>
              <w:ind w:firstLine="482" w:firstLineChars="200"/>
              <w:rPr>
                <w:rFonts w:hint="eastAsia"/>
                <w:b/>
                <w:sz w:val="24"/>
                <w:szCs w:val="22"/>
              </w:rPr>
            </w:pPr>
            <w:r>
              <w:rPr>
                <w:b/>
                <w:sz w:val="24"/>
                <w:szCs w:val="22"/>
              </w:rPr>
              <w:t>2</w:t>
            </w:r>
            <w:r>
              <w:rPr>
                <w:rFonts w:hint="eastAsia"/>
                <w:b/>
                <w:sz w:val="24"/>
                <w:szCs w:val="22"/>
              </w:rPr>
              <w:t>、主要产污情况</w:t>
            </w:r>
            <w:r>
              <w:rPr>
                <w:b/>
                <w:sz w:val="24"/>
                <w:szCs w:val="22"/>
              </w:rPr>
              <w:t>分析</w:t>
            </w:r>
          </w:p>
          <w:p>
            <w:pPr>
              <w:pStyle w:val="3"/>
              <w:ind w:firstLine="480"/>
            </w:pPr>
            <w:r>
              <w:rPr>
                <w:rFonts w:hint="eastAsia"/>
              </w:rPr>
              <w:t>项目营运期在生产过程中会产生废水、废气、固体废物、噪声等污染物。经分析，本项目主要污染工序及污染因子见表</w:t>
            </w:r>
            <w:r>
              <w:rPr>
                <w:rFonts w:hint="eastAsia"/>
                <w:lang w:val="en-US" w:eastAsia="zh-CN"/>
              </w:rPr>
              <w:t>2-6</w:t>
            </w:r>
            <w:r>
              <w:rPr>
                <w:rFonts w:hint="eastAsia"/>
              </w:rPr>
              <w:t>。</w:t>
            </w:r>
          </w:p>
          <w:p>
            <w:pPr>
              <w:snapToGrid w:val="0"/>
              <w:spacing w:line="360" w:lineRule="auto"/>
              <w:jc w:val="center"/>
              <w:rPr>
                <w:rFonts w:hint="eastAsia" w:ascii="宋体" w:hAnsi="宋体" w:eastAsia="宋体" w:cs="宋体"/>
                <w:b/>
                <w:bCs/>
                <w:color w:val="auto"/>
                <w:sz w:val="21"/>
                <w:szCs w:val="21"/>
                <w:highlight w:val="none"/>
              </w:rPr>
            </w:pPr>
          </w:p>
          <w:p>
            <w:pPr>
              <w:spacing w:line="360" w:lineRule="auto"/>
              <w:jc w:val="center"/>
              <w:rPr>
                <w:rFonts w:hint="eastAsia" w:ascii="Times New Roman" w:hAnsi="Times New Roman" w:eastAsia="宋体" w:cs="Times New Roman"/>
                <w:b/>
                <w:bCs/>
                <w:color w:val="auto"/>
                <w:sz w:val="21"/>
                <w:szCs w:val="21"/>
                <w:highlight w:val="none"/>
              </w:rPr>
            </w:pPr>
          </w:p>
          <w:p>
            <w:pPr>
              <w:spacing w:line="360" w:lineRule="auto"/>
              <w:jc w:val="center"/>
              <w:rPr>
                <w:rFonts w:hint="eastAsia" w:ascii="Times New Roman" w:hAnsi="Times New Roman" w:eastAsia="宋体" w:cs="Times New Roman"/>
                <w:b/>
                <w:bCs/>
                <w:color w:val="auto"/>
                <w:sz w:val="21"/>
                <w:szCs w:val="21"/>
                <w:highlight w:val="none"/>
              </w:rPr>
            </w:pPr>
          </w:p>
          <w:p>
            <w:pPr>
              <w:spacing w:line="360" w:lineRule="auto"/>
              <w:jc w:val="center"/>
              <w:rPr>
                <w:rFonts w:hint="eastAsia" w:ascii="Times New Roman" w:hAnsi="Times New Roman" w:eastAsia="宋体" w:cs="Times New Roman"/>
                <w:b/>
                <w:bCs/>
                <w:color w:val="auto"/>
                <w:sz w:val="21"/>
                <w:szCs w:val="21"/>
                <w:highlight w:val="none"/>
              </w:rPr>
            </w:pPr>
          </w:p>
          <w:p>
            <w:pPr>
              <w:spacing w:line="360" w:lineRule="auto"/>
              <w:jc w:val="center"/>
              <w:rPr>
                <w:rFonts w:hint="eastAsia" w:ascii="Times New Roman" w:hAnsi="Times New Roman" w:eastAsia="宋体" w:cs="Times New Roman"/>
                <w:b/>
                <w:bCs/>
                <w:color w:val="auto"/>
                <w:sz w:val="21"/>
                <w:szCs w:val="21"/>
                <w:highlight w:val="none"/>
              </w:rPr>
            </w:pPr>
          </w:p>
          <w:p>
            <w:pPr>
              <w:spacing w:line="360" w:lineRule="auto"/>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2-6</w:t>
            </w:r>
            <w:r>
              <w:rPr>
                <w:rFonts w:hint="eastAsia" w:ascii="Times New Roman" w:hAnsi="Times New Roman" w:eastAsia="宋体" w:cs="Times New Roman"/>
                <w:b/>
                <w:bCs/>
                <w:color w:val="auto"/>
                <w:sz w:val="21"/>
                <w:szCs w:val="21"/>
                <w:highlight w:val="none"/>
              </w:rPr>
              <w:t xml:space="preserve">  运营期产排污节点一览表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478"/>
              <w:gridCol w:w="2278"/>
              <w:gridCol w:w="1678"/>
              <w:gridCol w:w="2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546" w:type="dxa"/>
                  <w:noWrap w:val="0"/>
                  <w:vAlign w:val="center"/>
                </w:tcPr>
                <w:p>
                  <w:pPr>
                    <w:pStyle w:val="20"/>
                    <w:widowControl w:val="0"/>
                    <w:adjustRightInd w:val="0"/>
                    <w:snapToGrid w:val="0"/>
                    <w:textAlignment w:val="center"/>
                    <w:rPr>
                      <w:color w:val="000000"/>
                      <w:szCs w:val="21"/>
                    </w:rPr>
                  </w:pPr>
                  <w:r>
                    <w:rPr>
                      <w:color w:val="000000"/>
                      <w:szCs w:val="21"/>
                    </w:rPr>
                    <w:t>类别</w:t>
                  </w:r>
                </w:p>
              </w:tc>
              <w:tc>
                <w:tcPr>
                  <w:tcW w:w="2756" w:type="dxa"/>
                  <w:gridSpan w:val="2"/>
                  <w:noWrap w:val="0"/>
                  <w:vAlign w:val="center"/>
                </w:tcPr>
                <w:p>
                  <w:pPr>
                    <w:pStyle w:val="20"/>
                    <w:widowControl w:val="0"/>
                    <w:adjustRightInd w:val="0"/>
                    <w:snapToGrid w:val="0"/>
                    <w:textAlignment w:val="center"/>
                    <w:rPr>
                      <w:color w:val="000000"/>
                      <w:szCs w:val="21"/>
                    </w:rPr>
                  </w:pPr>
                  <w:r>
                    <w:rPr>
                      <w:rFonts w:hint="eastAsia"/>
                      <w:color w:val="000000"/>
                      <w:szCs w:val="21"/>
                    </w:rPr>
                    <w:t>污染工序</w:t>
                  </w:r>
                </w:p>
              </w:tc>
              <w:tc>
                <w:tcPr>
                  <w:tcW w:w="1678" w:type="dxa"/>
                  <w:noWrap w:val="0"/>
                  <w:vAlign w:val="center"/>
                </w:tcPr>
                <w:p>
                  <w:pPr>
                    <w:pStyle w:val="20"/>
                    <w:widowControl w:val="0"/>
                    <w:adjustRightInd w:val="0"/>
                    <w:snapToGrid w:val="0"/>
                    <w:textAlignment w:val="center"/>
                    <w:rPr>
                      <w:color w:val="000000"/>
                      <w:szCs w:val="21"/>
                    </w:rPr>
                  </w:pPr>
                  <w:r>
                    <w:rPr>
                      <w:color w:val="000000"/>
                      <w:szCs w:val="21"/>
                    </w:rPr>
                    <w:t>污染源</w:t>
                  </w:r>
                </w:p>
              </w:tc>
              <w:tc>
                <w:tcPr>
                  <w:tcW w:w="2678" w:type="dxa"/>
                  <w:noWrap w:val="0"/>
                  <w:vAlign w:val="center"/>
                </w:tcPr>
                <w:p>
                  <w:pPr>
                    <w:pStyle w:val="20"/>
                    <w:widowControl w:val="0"/>
                    <w:adjustRightInd w:val="0"/>
                    <w:snapToGrid w:val="0"/>
                    <w:textAlignment w:val="center"/>
                    <w:rPr>
                      <w:color w:val="000000"/>
                      <w:szCs w:val="21"/>
                    </w:rPr>
                  </w:pPr>
                  <w:r>
                    <w:rPr>
                      <w:color w:val="000000"/>
                      <w:szCs w:val="21"/>
                    </w:rPr>
                    <w:t>主要污染</w:t>
                  </w:r>
                  <w:r>
                    <w:rPr>
                      <w:rFonts w:hint="eastAsia"/>
                      <w:color w:val="000000"/>
                      <w:szCs w:val="21"/>
                    </w:rPr>
                    <w:t>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546"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废水</w:t>
                  </w:r>
                </w:p>
              </w:tc>
              <w:tc>
                <w:tcPr>
                  <w:tcW w:w="2756" w:type="dxa"/>
                  <w:gridSpan w:val="2"/>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职工生活</w:t>
                  </w:r>
                </w:p>
              </w:tc>
              <w:tc>
                <w:tcPr>
                  <w:tcW w:w="16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生活污水</w:t>
                  </w:r>
                </w:p>
              </w:tc>
              <w:tc>
                <w:tcPr>
                  <w:tcW w:w="26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COD</w:t>
                  </w:r>
                  <w:r>
                    <w:rPr>
                      <w:rFonts w:hint="eastAsia"/>
                      <w:color w:val="000000"/>
                      <w:szCs w:val="21"/>
                      <w:vertAlign w:val="subscript"/>
                    </w:rPr>
                    <w:t>Cr</w:t>
                  </w:r>
                  <w:r>
                    <w:rPr>
                      <w:rFonts w:hint="eastAsia"/>
                      <w:color w:val="000000"/>
                      <w:szCs w:val="21"/>
                    </w:rPr>
                    <w:t>、SS、氨氮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46" w:type="dxa"/>
                  <w:vMerge w:val="restart"/>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废气</w:t>
                  </w:r>
                </w:p>
              </w:tc>
              <w:tc>
                <w:tcPr>
                  <w:tcW w:w="478" w:type="dxa"/>
                  <w:vMerge w:val="restart"/>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无组织</w:t>
                  </w:r>
                </w:p>
              </w:tc>
              <w:tc>
                <w:tcPr>
                  <w:tcW w:w="22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车辆运输</w:t>
                  </w:r>
                </w:p>
              </w:tc>
              <w:tc>
                <w:tcPr>
                  <w:tcW w:w="16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扬尘</w:t>
                  </w:r>
                </w:p>
              </w:tc>
              <w:tc>
                <w:tcPr>
                  <w:tcW w:w="26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546" w:type="dxa"/>
                  <w:vMerge w:val="continue"/>
                  <w:noWrap w:val="0"/>
                  <w:vAlign w:val="center"/>
                </w:tcPr>
                <w:p>
                  <w:pPr>
                    <w:pStyle w:val="20"/>
                    <w:widowControl w:val="0"/>
                    <w:adjustRightInd w:val="0"/>
                    <w:snapToGrid w:val="0"/>
                    <w:textAlignment w:val="center"/>
                    <w:rPr>
                      <w:rFonts w:hint="eastAsia"/>
                      <w:color w:val="000000"/>
                      <w:szCs w:val="21"/>
                    </w:rPr>
                  </w:pPr>
                </w:p>
              </w:tc>
              <w:tc>
                <w:tcPr>
                  <w:tcW w:w="478" w:type="dxa"/>
                  <w:vMerge w:val="continue"/>
                  <w:noWrap w:val="0"/>
                  <w:vAlign w:val="center"/>
                </w:tcPr>
                <w:p>
                  <w:pPr>
                    <w:pStyle w:val="20"/>
                    <w:widowControl w:val="0"/>
                    <w:adjustRightInd w:val="0"/>
                    <w:snapToGrid w:val="0"/>
                    <w:textAlignment w:val="center"/>
                    <w:rPr>
                      <w:rFonts w:hint="eastAsia"/>
                      <w:color w:val="000000"/>
                      <w:szCs w:val="21"/>
                    </w:rPr>
                  </w:pPr>
                </w:p>
              </w:tc>
              <w:tc>
                <w:tcPr>
                  <w:tcW w:w="22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骨料堆场</w:t>
                  </w:r>
                  <w:r>
                    <w:rPr>
                      <w:color w:val="000000"/>
                      <w:szCs w:val="21"/>
                    </w:rPr>
                    <w:t>、</w:t>
                  </w:r>
                  <w:r>
                    <w:rPr>
                      <w:rFonts w:hint="eastAsia"/>
                      <w:color w:val="000000"/>
                      <w:szCs w:val="21"/>
                    </w:rPr>
                    <w:t>冷料仓</w:t>
                  </w:r>
                  <w:r>
                    <w:rPr>
                      <w:color w:val="000000"/>
                      <w:szCs w:val="21"/>
                    </w:rPr>
                    <w:t>上料</w:t>
                  </w:r>
                </w:p>
              </w:tc>
              <w:tc>
                <w:tcPr>
                  <w:tcW w:w="16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粉尘</w:t>
                  </w:r>
                </w:p>
              </w:tc>
              <w:tc>
                <w:tcPr>
                  <w:tcW w:w="26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46" w:type="dxa"/>
                  <w:vMerge w:val="continue"/>
                  <w:noWrap w:val="0"/>
                  <w:vAlign w:val="center"/>
                </w:tcPr>
                <w:p>
                  <w:pPr>
                    <w:pStyle w:val="20"/>
                    <w:widowControl w:val="0"/>
                    <w:adjustRightInd w:val="0"/>
                    <w:snapToGrid w:val="0"/>
                    <w:textAlignment w:val="center"/>
                    <w:rPr>
                      <w:rFonts w:hint="eastAsia"/>
                      <w:color w:val="000000"/>
                      <w:szCs w:val="21"/>
                    </w:rPr>
                  </w:pPr>
                </w:p>
              </w:tc>
              <w:tc>
                <w:tcPr>
                  <w:tcW w:w="478" w:type="dxa"/>
                  <w:vMerge w:val="continue"/>
                  <w:noWrap w:val="0"/>
                  <w:vAlign w:val="center"/>
                </w:tcPr>
                <w:p>
                  <w:pPr>
                    <w:pStyle w:val="20"/>
                    <w:widowControl w:val="0"/>
                    <w:adjustRightInd w:val="0"/>
                    <w:snapToGrid w:val="0"/>
                    <w:textAlignment w:val="center"/>
                    <w:rPr>
                      <w:rFonts w:hint="eastAsia"/>
                      <w:color w:val="000000"/>
                      <w:szCs w:val="21"/>
                    </w:rPr>
                  </w:pPr>
                </w:p>
              </w:tc>
              <w:tc>
                <w:tcPr>
                  <w:tcW w:w="22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矿粉仓</w:t>
                  </w:r>
                </w:p>
              </w:tc>
              <w:tc>
                <w:tcPr>
                  <w:tcW w:w="16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筒仓粉尘</w:t>
                  </w:r>
                </w:p>
              </w:tc>
              <w:tc>
                <w:tcPr>
                  <w:tcW w:w="26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46" w:type="dxa"/>
                  <w:vMerge w:val="continue"/>
                  <w:noWrap w:val="0"/>
                  <w:vAlign w:val="center"/>
                </w:tcPr>
                <w:p>
                  <w:pPr>
                    <w:pStyle w:val="20"/>
                    <w:widowControl w:val="0"/>
                    <w:adjustRightInd w:val="0"/>
                    <w:snapToGrid w:val="0"/>
                    <w:textAlignment w:val="center"/>
                    <w:rPr>
                      <w:rFonts w:hint="eastAsia"/>
                      <w:color w:val="000000"/>
                      <w:szCs w:val="21"/>
                    </w:rPr>
                  </w:pPr>
                </w:p>
              </w:tc>
              <w:tc>
                <w:tcPr>
                  <w:tcW w:w="478" w:type="dxa"/>
                  <w:vMerge w:val="restart"/>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有组织</w:t>
                  </w:r>
                </w:p>
              </w:tc>
              <w:tc>
                <w:tcPr>
                  <w:tcW w:w="22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烘干滚筒</w:t>
                  </w:r>
                  <w:r>
                    <w:rPr>
                      <w:color w:val="000000"/>
                      <w:szCs w:val="21"/>
                    </w:rPr>
                    <w:t>、振动筛</w:t>
                  </w:r>
                </w:p>
              </w:tc>
              <w:tc>
                <w:tcPr>
                  <w:tcW w:w="16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粉尘</w:t>
                  </w:r>
                </w:p>
              </w:tc>
              <w:tc>
                <w:tcPr>
                  <w:tcW w:w="26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46" w:type="dxa"/>
                  <w:vMerge w:val="continue"/>
                  <w:noWrap w:val="0"/>
                  <w:vAlign w:val="center"/>
                </w:tcPr>
                <w:p>
                  <w:pPr>
                    <w:pStyle w:val="20"/>
                    <w:widowControl w:val="0"/>
                    <w:adjustRightInd w:val="0"/>
                    <w:snapToGrid w:val="0"/>
                    <w:textAlignment w:val="center"/>
                    <w:rPr>
                      <w:rFonts w:hint="eastAsia"/>
                      <w:color w:val="000000"/>
                      <w:szCs w:val="21"/>
                    </w:rPr>
                  </w:pPr>
                </w:p>
              </w:tc>
              <w:tc>
                <w:tcPr>
                  <w:tcW w:w="478" w:type="dxa"/>
                  <w:vMerge w:val="continue"/>
                  <w:noWrap w:val="0"/>
                  <w:vAlign w:val="center"/>
                </w:tcPr>
                <w:p>
                  <w:pPr>
                    <w:pStyle w:val="20"/>
                    <w:widowControl w:val="0"/>
                    <w:adjustRightInd w:val="0"/>
                    <w:snapToGrid w:val="0"/>
                    <w:textAlignment w:val="center"/>
                    <w:rPr>
                      <w:rFonts w:hint="eastAsia"/>
                      <w:color w:val="000000"/>
                      <w:szCs w:val="21"/>
                    </w:rPr>
                  </w:pPr>
                </w:p>
              </w:tc>
              <w:tc>
                <w:tcPr>
                  <w:tcW w:w="22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烘干滚筒</w:t>
                  </w:r>
                  <w:r>
                    <w:rPr>
                      <w:color w:val="000000"/>
                      <w:szCs w:val="21"/>
                    </w:rPr>
                    <w:t>燃烧器</w:t>
                  </w:r>
                </w:p>
              </w:tc>
              <w:tc>
                <w:tcPr>
                  <w:tcW w:w="16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柴油燃烧</w:t>
                  </w:r>
                  <w:r>
                    <w:rPr>
                      <w:color w:val="000000"/>
                      <w:szCs w:val="21"/>
                    </w:rPr>
                    <w:t>废气</w:t>
                  </w:r>
                </w:p>
              </w:tc>
              <w:tc>
                <w:tcPr>
                  <w:tcW w:w="26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颗粒物</w:t>
                  </w:r>
                  <w:r>
                    <w:rPr>
                      <w:color w:val="000000"/>
                      <w:szCs w:val="21"/>
                    </w:rPr>
                    <w:t>、</w:t>
                  </w:r>
                  <w:r>
                    <w:rPr>
                      <w:rFonts w:hint="eastAsia"/>
                      <w:color w:val="000000"/>
                      <w:szCs w:val="21"/>
                    </w:rPr>
                    <w:t>SO</w:t>
                  </w:r>
                  <w:r>
                    <w:rPr>
                      <w:rFonts w:hint="eastAsia"/>
                      <w:color w:val="000000"/>
                      <w:szCs w:val="21"/>
                      <w:vertAlign w:val="subscript"/>
                    </w:rPr>
                    <w:t>2</w:t>
                  </w:r>
                  <w:r>
                    <w:rPr>
                      <w:rFonts w:hint="eastAsia"/>
                      <w:color w:val="000000"/>
                      <w:szCs w:val="21"/>
                    </w:rPr>
                    <w:t>、NOx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46" w:type="dxa"/>
                  <w:vMerge w:val="continue"/>
                  <w:noWrap w:val="0"/>
                  <w:vAlign w:val="center"/>
                </w:tcPr>
                <w:p>
                  <w:pPr>
                    <w:pStyle w:val="20"/>
                    <w:widowControl w:val="0"/>
                    <w:adjustRightInd w:val="0"/>
                    <w:snapToGrid w:val="0"/>
                    <w:textAlignment w:val="center"/>
                    <w:rPr>
                      <w:rFonts w:hint="eastAsia"/>
                      <w:color w:val="000000"/>
                      <w:szCs w:val="21"/>
                    </w:rPr>
                  </w:pPr>
                </w:p>
              </w:tc>
              <w:tc>
                <w:tcPr>
                  <w:tcW w:w="478" w:type="dxa"/>
                  <w:vMerge w:val="continue"/>
                  <w:noWrap w:val="0"/>
                  <w:vAlign w:val="center"/>
                </w:tcPr>
                <w:p>
                  <w:pPr>
                    <w:pStyle w:val="20"/>
                    <w:widowControl w:val="0"/>
                    <w:adjustRightInd w:val="0"/>
                    <w:snapToGrid w:val="0"/>
                    <w:textAlignment w:val="center"/>
                    <w:rPr>
                      <w:rFonts w:hint="eastAsia"/>
                      <w:color w:val="000000"/>
                      <w:szCs w:val="21"/>
                    </w:rPr>
                  </w:pPr>
                </w:p>
              </w:tc>
              <w:tc>
                <w:tcPr>
                  <w:tcW w:w="22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导热油锅炉燃烧器</w:t>
                  </w:r>
                </w:p>
              </w:tc>
              <w:tc>
                <w:tcPr>
                  <w:tcW w:w="16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柴油燃烧</w:t>
                  </w:r>
                  <w:r>
                    <w:rPr>
                      <w:color w:val="000000"/>
                      <w:szCs w:val="21"/>
                    </w:rPr>
                    <w:t>废气</w:t>
                  </w:r>
                </w:p>
              </w:tc>
              <w:tc>
                <w:tcPr>
                  <w:tcW w:w="26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颗粒物</w:t>
                  </w:r>
                  <w:r>
                    <w:rPr>
                      <w:color w:val="000000"/>
                      <w:szCs w:val="21"/>
                    </w:rPr>
                    <w:t>、</w:t>
                  </w:r>
                  <w:r>
                    <w:rPr>
                      <w:rFonts w:hint="eastAsia"/>
                      <w:color w:val="000000"/>
                      <w:szCs w:val="21"/>
                    </w:rPr>
                    <w:t>SO</w:t>
                  </w:r>
                  <w:r>
                    <w:rPr>
                      <w:rFonts w:hint="eastAsia"/>
                      <w:color w:val="000000"/>
                      <w:szCs w:val="21"/>
                      <w:vertAlign w:val="subscript"/>
                    </w:rPr>
                    <w:t>2</w:t>
                  </w:r>
                  <w:r>
                    <w:rPr>
                      <w:rFonts w:hint="eastAsia"/>
                      <w:color w:val="000000"/>
                      <w:szCs w:val="21"/>
                    </w:rPr>
                    <w:t>、NOx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46" w:type="dxa"/>
                  <w:vMerge w:val="continue"/>
                  <w:noWrap w:val="0"/>
                  <w:vAlign w:val="center"/>
                </w:tcPr>
                <w:p>
                  <w:pPr>
                    <w:pStyle w:val="20"/>
                    <w:widowControl w:val="0"/>
                    <w:adjustRightInd w:val="0"/>
                    <w:snapToGrid w:val="0"/>
                    <w:textAlignment w:val="center"/>
                    <w:rPr>
                      <w:rFonts w:hint="eastAsia"/>
                      <w:color w:val="000000"/>
                      <w:szCs w:val="21"/>
                    </w:rPr>
                  </w:pPr>
                </w:p>
              </w:tc>
              <w:tc>
                <w:tcPr>
                  <w:tcW w:w="478" w:type="dxa"/>
                  <w:vMerge w:val="continue"/>
                  <w:noWrap w:val="0"/>
                  <w:vAlign w:val="center"/>
                </w:tcPr>
                <w:p>
                  <w:pPr>
                    <w:pStyle w:val="20"/>
                    <w:widowControl w:val="0"/>
                    <w:adjustRightInd w:val="0"/>
                    <w:snapToGrid w:val="0"/>
                    <w:textAlignment w:val="center"/>
                    <w:rPr>
                      <w:rFonts w:hint="eastAsia"/>
                      <w:color w:val="000000"/>
                      <w:szCs w:val="21"/>
                    </w:rPr>
                  </w:pPr>
                </w:p>
              </w:tc>
              <w:tc>
                <w:tcPr>
                  <w:tcW w:w="22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沥青储罐</w:t>
                  </w:r>
                  <w:r>
                    <w:rPr>
                      <w:color w:val="000000"/>
                      <w:szCs w:val="21"/>
                    </w:rPr>
                    <w:t>、搅拌缸</w:t>
                  </w:r>
                </w:p>
              </w:tc>
              <w:tc>
                <w:tcPr>
                  <w:tcW w:w="16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沥青烟气</w:t>
                  </w:r>
                </w:p>
              </w:tc>
              <w:tc>
                <w:tcPr>
                  <w:tcW w:w="2678" w:type="dxa"/>
                  <w:noWrap w:val="0"/>
                  <w:vAlign w:val="center"/>
                </w:tcPr>
                <w:p>
                  <w:pPr>
                    <w:pStyle w:val="20"/>
                    <w:widowControl w:val="0"/>
                    <w:adjustRightInd w:val="0"/>
                    <w:snapToGrid w:val="0"/>
                    <w:textAlignment w:val="center"/>
                    <w:rPr>
                      <w:rFonts w:hint="default" w:eastAsia="宋体"/>
                      <w:color w:val="000000"/>
                      <w:szCs w:val="21"/>
                      <w:lang w:val="en-US" w:eastAsia="zh-CN"/>
                    </w:rPr>
                  </w:pPr>
                  <w:r>
                    <w:rPr>
                      <w:rFonts w:hint="eastAsia"/>
                      <w:color w:val="000000"/>
                      <w:szCs w:val="21"/>
                    </w:rPr>
                    <w:t>沥青烟</w:t>
                  </w:r>
                  <w:r>
                    <w:rPr>
                      <w:color w:val="000000"/>
                      <w:szCs w:val="21"/>
                    </w:rPr>
                    <w:t>、</w:t>
                  </w:r>
                  <w:r>
                    <w:rPr>
                      <w:rFonts w:hint="eastAsia"/>
                      <w:color w:val="000000"/>
                      <w:szCs w:val="21"/>
                    </w:rPr>
                    <w:t>苯并</w:t>
                  </w:r>
                  <w:r>
                    <w:rPr>
                      <w:rFonts w:hint="eastAsia"/>
                      <w:color w:val="000000"/>
                      <w:szCs w:val="21"/>
                      <w:lang w:eastAsia="zh-CN"/>
                    </w:rPr>
                    <w:t>（</w:t>
                  </w:r>
                  <w:r>
                    <w:rPr>
                      <w:rFonts w:hint="eastAsia"/>
                      <w:color w:val="000000"/>
                      <w:szCs w:val="21"/>
                      <w:lang w:val="en-US" w:eastAsia="zh-CN"/>
                    </w:rPr>
                    <w:t>a</w:t>
                  </w:r>
                  <w:r>
                    <w:rPr>
                      <w:rFonts w:hint="eastAsia"/>
                      <w:color w:val="000000"/>
                      <w:szCs w:val="21"/>
                      <w:lang w:eastAsia="zh-CN"/>
                    </w:rPr>
                    <w:t>）</w:t>
                  </w:r>
                  <w:r>
                    <w:rPr>
                      <w:rFonts w:hint="eastAsia"/>
                      <w:color w:val="000000"/>
                      <w:szCs w:val="21"/>
                    </w:rPr>
                    <w:t>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546" w:type="dxa"/>
                  <w:noWrap w:val="0"/>
                  <w:vAlign w:val="center"/>
                </w:tcPr>
                <w:p>
                  <w:pPr>
                    <w:pStyle w:val="20"/>
                    <w:widowControl w:val="0"/>
                    <w:adjustRightInd w:val="0"/>
                    <w:snapToGrid w:val="0"/>
                    <w:textAlignment w:val="center"/>
                    <w:rPr>
                      <w:color w:val="000000"/>
                      <w:szCs w:val="21"/>
                    </w:rPr>
                  </w:pPr>
                  <w:r>
                    <w:rPr>
                      <w:color w:val="000000"/>
                      <w:szCs w:val="21"/>
                    </w:rPr>
                    <w:t>噪声</w:t>
                  </w:r>
                </w:p>
              </w:tc>
              <w:tc>
                <w:tcPr>
                  <w:tcW w:w="2756" w:type="dxa"/>
                  <w:gridSpan w:val="2"/>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生产设备（风机系统、搅拌、筛分、砂石烘干提升工序）</w:t>
                  </w:r>
                </w:p>
              </w:tc>
              <w:tc>
                <w:tcPr>
                  <w:tcW w:w="16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机械噪声</w:t>
                  </w:r>
                </w:p>
              </w:tc>
              <w:tc>
                <w:tcPr>
                  <w:tcW w:w="2678" w:type="dxa"/>
                  <w:noWrap w:val="0"/>
                  <w:vAlign w:val="center"/>
                </w:tcPr>
                <w:p>
                  <w:pPr>
                    <w:pStyle w:val="20"/>
                    <w:widowControl w:val="0"/>
                    <w:adjustRightInd w:val="0"/>
                    <w:snapToGrid w:val="0"/>
                    <w:textAlignment w:val="center"/>
                    <w:rPr>
                      <w:color w:val="000000"/>
                      <w:szCs w:val="21"/>
                    </w:rPr>
                  </w:pPr>
                  <w:r>
                    <w:rPr>
                      <w:rFonts w:hint="eastAsia"/>
                      <w:color w:val="000000"/>
                      <w:szCs w:val="21"/>
                    </w:rPr>
                    <w:t>L</w:t>
                  </w:r>
                  <w:r>
                    <w:rPr>
                      <w:color w:val="000000"/>
                      <w:szCs w:val="21"/>
                    </w:rPr>
                    <w:t>Aeq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6" w:type="dxa"/>
                  <w:vMerge w:val="restart"/>
                  <w:noWrap w:val="0"/>
                  <w:vAlign w:val="center"/>
                </w:tcPr>
                <w:p>
                  <w:pPr>
                    <w:pStyle w:val="20"/>
                    <w:widowControl w:val="0"/>
                    <w:adjustRightInd w:val="0"/>
                    <w:snapToGrid w:val="0"/>
                    <w:textAlignment w:val="center"/>
                    <w:rPr>
                      <w:color w:val="000000"/>
                      <w:szCs w:val="21"/>
                    </w:rPr>
                  </w:pPr>
                  <w:r>
                    <w:rPr>
                      <w:rFonts w:hint="eastAsia"/>
                      <w:color w:val="000000"/>
                      <w:szCs w:val="21"/>
                    </w:rPr>
                    <w:t>固废</w:t>
                  </w:r>
                </w:p>
              </w:tc>
              <w:tc>
                <w:tcPr>
                  <w:tcW w:w="2756" w:type="dxa"/>
                  <w:gridSpan w:val="2"/>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生活区</w:t>
                  </w:r>
                </w:p>
              </w:tc>
              <w:tc>
                <w:tcPr>
                  <w:tcW w:w="16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生活固废</w:t>
                  </w:r>
                </w:p>
              </w:tc>
              <w:tc>
                <w:tcPr>
                  <w:tcW w:w="26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46" w:type="dxa"/>
                  <w:vMerge w:val="continue"/>
                  <w:noWrap w:val="0"/>
                  <w:vAlign w:val="center"/>
                </w:tcPr>
                <w:p>
                  <w:pPr>
                    <w:pStyle w:val="20"/>
                    <w:widowControl w:val="0"/>
                    <w:adjustRightInd w:val="0"/>
                    <w:snapToGrid w:val="0"/>
                    <w:textAlignment w:val="center"/>
                    <w:rPr>
                      <w:rFonts w:hint="eastAsia"/>
                      <w:color w:val="000000"/>
                      <w:szCs w:val="21"/>
                    </w:rPr>
                  </w:pPr>
                </w:p>
              </w:tc>
              <w:tc>
                <w:tcPr>
                  <w:tcW w:w="2756" w:type="dxa"/>
                  <w:gridSpan w:val="2"/>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布袋除尘器</w:t>
                  </w:r>
                </w:p>
              </w:tc>
              <w:tc>
                <w:tcPr>
                  <w:tcW w:w="16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生产</w:t>
                  </w:r>
                  <w:r>
                    <w:rPr>
                      <w:color w:val="000000"/>
                      <w:szCs w:val="21"/>
                    </w:rPr>
                    <w:t>固废</w:t>
                  </w:r>
                </w:p>
              </w:tc>
              <w:tc>
                <w:tcPr>
                  <w:tcW w:w="26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收集</w:t>
                  </w:r>
                  <w:r>
                    <w:rPr>
                      <w:color w:val="000000"/>
                      <w:szCs w:val="21"/>
                    </w:rPr>
                    <w:t>的</w:t>
                  </w:r>
                  <w:r>
                    <w:rPr>
                      <w:rFonts w:hint="eastAsia"/>
                      <w:color w:val="000000"/>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546" w:type="dxa"/>
                  <w:vMerge w:val="continue"/>
                  <w:noWrap w:val="0"/>
                  <w:vAlign w:val="center"/>
                </w:tcPr>
                <w:p>
                  <w:pPr>
                    <w:pStyle w:val="20"/>
                    <w:widowControl w:val="0"/>
                    <w:adjustRightInd w:val="0"/>
                    <w:snapToGrid w:val="0"/>
                    <w:textAlignment w:val="center"/>
                    <w:rPr>
                      <w:rFonts w:hint="eastAsia"/>
                      <w:color w:val="000000"/>
                      <w:szCs w:val="21"/>
                    </w:rPr>
                  </w:pPr>
                </w:p>
              </w:tc>
              <w:tc>
                <w:tcPr>
                  <w:tcW w:w="2756" w:type="dxa"/>
                  <w:gridSpan w:val="2"/>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干式</w:t>
                  </w:r>
                  <w:r>
                    <w:rPr>
                      <w:color w:val="000000"/>
                      <w:szCs w:val="21"/>
                    </w:rPr>
                    <w:t>环保处理箱</w:t>
                  </w:r>
                </w:p>
              </w:tc>
              <w:tc>
                <w:tcPr>
                  <w:tcW w:w="16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生产</w:t>
                  </w:r>
                  <w:r>
                    <w:rPr>
                      <w:color w:val="000000"/>
                      <w:szCs w:val="21"/>
                    </w:rPr>
                    <w:t>固废</w:t>
                  </w:r>
                </w:p>
              </w:tc>
              <w:tc>
                <w:tcPr>
                  <w:tcW w:w="26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废活性炭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546" w:type="dxa"/>
                  <w:vMerge w:val="continue"/>
                  <w:noWrap w:val="0"/>
                  <w:vAlign w:val="center"/>
                </w:tcPr>
                <w:p>
                  <w:pPr>
                    <w:pStyle w:val="20"/>
                    <w:widowControl w:val="0"/>
                    <w:adjustRightInd w:val="0"/>
                    <w:snapToGrid w:val="0"/>
                    <w:textAlignment w:val="center"/>
                    <w:rPr>
                      <w:rFonts w:hint="eastAsia"/>
                      <w:color w:val="000000"/>
                      <w:szCs w:val="21"/>
                    </w:rPr>
                  </w:pPr>
                </w:p>
              </w:tc>
              <w:tc>
                <w:tcPr>
                  <w:tcW w:w="2756" w:type="dxa"/>
                  <w:gridSpan w:val="2"/>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设备维修</w:t>
                  </w:r>
                </w:p>
              </w:tc>
              <w:tc>
                <w:tcPr>
                  <w:tcW w:w="16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生产</w:t>
                  </w:r>
                  <w:r>
                    <w:rPr>
                      <w:color w:val="000000"/>
                      <w:szCs w:val="21"/>
                    </w:rPr>
                    <w:t>固废</w:t>
                  </w:r>
                </w:p>
              </w:tc>
              <w:tc>
                <w:tcPr>
                  <w:tcW w:w="2678" w:type="dxa"/>
                  <w:noWrap w:val="0"/>
                  <w:vAlign w:val="center"/>
                </w:tcPr>
                <w:p>
                  <w:pPr>
                    <w:pStyle w:val="20"/>
                    <w:widowControl w:val="0"/>
                    <w:adjustRightInd w:val="0"/>
                    <w:snapToGrid w:val="0"/>
                    <w:textAlignment w:val="center"/>
                    <w:rPr>
                      <w:rFonts w:hint="eastAsia"/>
                      <w:color w:val="000000"/>
                      <w:szCs w:val="21"/>
                    </w:rPr>
                  </w:pPr>
                  <w:r>
                    <w:rPr>
                      <w:rFonts w:hint="eastAsia"/>
                      <w:color w:val="000000"/>
                      <w:szCs w:val="21"/>
                    </w:rPr>
                    <w:t>废</w:t>
                  </w:r>
                  <w:r>
                    <w:rPr>
                      <w:color w:val="000000"/>
                      <w:szCs w:val="21"/>
                    </w:rPr>
                    <w:t>润滑油、废抹布、</w:t>
                  </w:r>
                  <w:r>
                    <w:rPr>
                      <w:rFonts w:hint="eastAsia"/>
                      <w:color w:val="000000"/>
                      <w:szCs w:val="21"/>
                    </w:rPr>
                    <w:t>废</w:t>
                  </w:r>
                  <w:r>
                    <w:rPr>
                      <w:color w:val="000000"/>
                      <w:szCs w:val="21"/>
                    </w:rPr>
                    <w:t>含油手套、润滑油桶</w:t>
                  </w:r>
                </w:p>
              </w:tc>
            </w:tr>
          </w:tbl>
          <w:p>
            <w:pPr>
              <w:spacing w:line="360" w:lineRule="auto"/>
              <w:ind w:firstLine="482" w:firstLineChars="200"/>
              <w:rPr>
                <w:rFonts w:hint="eastAsia"/>
                <w:b/>
                <w:sz w:val="24"/>
                <w:szCs w:val="22"/>
              </w:rPr>
            </w:pPr>
            <w:r>
              <w:rPr>
                <w:b/>
                <w:sz w:val="24"/>
                <w:szCs w:val="22"/>
              </w:rPr>
              <w:t>3</w:t>
            </w:r>
            <w:r>
              <w:rPr>
                <w:rFonts w:hint="eastAsia"/>
                <w:b/>
                <w:sz w:val="24"/>
                <w:szCs w:val="22"/>
              </w:rPr>
              <w:t>、物料平衡</w:t>
            </w:r>
          </w:p>
          <w:p>
            <w:pPr>
              <w:pStyle w:val="3"/>
              <w:ind w:firstLine="480"/>
            </w:pPr>
            <w:r>
              <w:rPr>
                <w:rFonts w:hint="eastAsia"/>
              </w:rPr>
              <w:t>项目沥青混凝土生产线物料平衡见表</w:t>
            </w:r>
            <w:r>
              <w:rPr>
                <w:rFonts w:hint="eastAsia"/>
                <w:lang w:val="en-US" w:eastAsia="zh-CN"/>
              </w:rPr>
              <w:t>2-7</w:t>
            </w:r>
            <w:r>
              <w:rPr>
                <w:rFonts w:hint="eastAsia"/>
              </w:rPr>
              <w:t>。</w:t>
            </w:r>
          </w:p>
          <w:p>
            <w:pPr>
              <w:spacing w:line="360" w:lineRule="auto"/>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2-7</w:t>
            </w:r>
            <w:r>
              <w:rPr>
                <w:rFonts w:hint="eastAsia" w:ascii="Times New Roman" w:hAnsi="Times New Roman" w:eastAsia="宋体" w:cs="Times New Roman"/>
                <w:b/>
                <w:bCs/>
                <w:color w:val="auto"/>
                <w:sz w:val="21"/>
                <w:szCs w:val="21"/>
                <w:highlight w:val="none"/>
              </w:rPr>
              <w:t xml:space="preserve">   沥青混凝土生产物料平衡表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
              <w:gridCol w:w="1327"/>
              <w:gridCol w:w="2631"/>
              <w:gridCol w:w="981"/>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272" w:type="dxa"/>
                  <w:gridSpan w:val="2"/>
                  <w:noWrap w:val="0"/>
                  <w:vAlign w:val="center"/>
                </w:tcPr>
                <w:p>
                  <w:pPr>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来料</w:t>
                  </w:r>
                </w:p>
              </w:tc>
              <w:tc>
                <w:tcPr>
                  <w:tcW w:w="5247" w:type="dxa"/>
                  <w:gridSpan w:val="3"/>
                  <w:noWrap w:val="0"/>
                  <w:vAlign w:val="center"/>
                </w:tcPr>
                <w:p>
                  <w:pPr>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产出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945" w:type="dxa"/>
                  <w:noWrap w:val="0"/>
                  <w:vAlign w:val="center"/>
                </w:tcPr>
                <w:p>
                  <w:pPr>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名称</w:t>
                  </w:r>
                </w:p>
              </w:tc>
              <w:tc>
                <w:tcPr>
                  <w:tcW w:w="1327" w:type="dxa"/>
                  <w:noWrap w:val="0"/>
                  <w:vAlign w:val="center"/>
                </w:tcPr>
                <w:p>
                  <w:pPr>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消耗量</w:t>
                  </w:r>
                  <w:r>
                    <w:rPr>
                      <w:rFonts w:ascii="Times New Roman" w:hAnsi="Times New Roman" w:eastAsia="宋体"/>
                      <w:bCs/>
                      <w:color w:val="auto"/>
                      <w:sz w:val="21"/>
                      <w:szCs w:val="21"/>
                      <w:highlight w:val="none"/>
                      <w:shd w:val="clear" w:color="auto" w:fill="auto"/>
                    </w:rPr>
                    <w:t>（</w:t>
                  </w:r>
                  <w:r>
                    <w:rPr>
                      <w:rFonts w:hint="eastAsia" w:ascii="Times New Roman" w:hAnsi="Times New Roman" w:eastAsia="宋体"/>
                      <w:bCs/>
                      <w:color w:val="auto"/>
                      <w:sz w:val="21"/>
                      <w:szCs w:val="21"/>
                      <w:highlight w:val="none"/>
                      <w:shd w:val="clear" w:color="auto" w:fill="auto"/>
                    </w:rPr>
                    <w:t>t</w:t>
                  </w:r>
                  <w:r>
                    <w:rPr>
                      <w:rFonts w:ascii="Times New Roman" w:hAnsi="Times New Roman" w:eastAsia="宋体"/>
                      <w:bCs/>
                      <w:color w:val="auto"/>
                      <w:sz w:val="21"/>
                      <w:szCs w:val="21"/>
                      <w:highlight w:val="none"/>
                      <w:shd w:val="clear" w:color="auto" w:fill="auto"/>
                    </w:rPr>
                    <w:t>）</w:t>
                  </w:r>
                </w:p>
              </w:tc>
              <w:tc>
                <w:tcPr>
                  <w:tcW w:w="2631" w:type="dxa"/>
                  <w:noWrap w:val="0"/>
                  <w:vAlign w:val="center"/>
                </w:tcPr>
                <w:p>
                  <w:pPr>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名称</w:t>
                  </w:r>
                </w:p>
              </w:tc>
              <w:tc>
                <w:tcPr>
                  <w:tcW w:w="981" w:type="dxa"/>
                  <w:noWrap w:val="0"/>
                  <w:vAlign w:val="center"/>
                </w:tcPr>
                <w:p>
                  <w:pPr>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产出量</w:t>
                  </w:r>
                  <w:r>
                    <w:rPr>
                      <w:rFonts w:ascii="Times New Roman" w:hAnsi="Times New Roman" w:eastAsia="宋体"/>
                      <w:bCs/>
                      <w:color w:val="auto"/>
                      <w:sz w:val="21"/>
                      <w:szCs w:val="21"/>
                      <w:highlight w:val="none"/>
                      <w:shd w:val="clear" w:color="auto" w:fill="auto"/>
                    </w:rPr>
                    <w:t>（</w:t>
                  </w:r>
                  <w:r>
                    <w:rPr>
                      <w:rFonts w:hint="eastAsia" w:ascii="Times New Roman" w:hAnsi="Times New Roman" w:eastAsia="宋体"/>
                      <w:bCs/>
                      <w:color w:val="auto"/>
                      <w:sz w:val="21"/>
                      <w:szCs w:val="21"/>
                      <w:highlight w:val="none"/>
                      <w:shd w:val="clear" w:color="auto" w:fill="auto"/>
                    </w:rPr>
                    <w:t>t</w:t>
                  </w:r>
                  <w:r>
                    <w:rPr>
                      <w:rFonts w:ascii="Times New Roman" w:hAnsi="Times New Roman" w:eastAsia="宋体"/>
                      <w:bCs/>
                      <w:color w:val="auto"/>
                      <w:sz w:val="21"/>
                      <w:szCs w:val="21"/>
                      <w:highlight w:val="none"/>
                      <w:shd w:val="clear" w:color="auto" w:fill="auto"/>
                    </w:rPr>
                    <w:t>）</w:t>
                  </w:r>
                </w:p>
              </w:tc>
              <w:tc>
                <w:tcPr>
                  <w:tcW w:w="1635" w:type="dxa"/>
                  <w:noWrap w:val="0"/>
                  <w:vAlign w:val="center"/>
                </w:tcPr>
                <w:p>
                  <w:pPr>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45" w:type="dxa"/>
                  <w:noWrap w:val="0"/>
                  <w:vAlign w:val="center"/>
                </w:tcPr>
                <w:p>
                  <w:pPr>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碎石</w:t>
                  </w:r>
                </w:p>
              </w:tc>
              <w:tc>
                <w:tcPr>
                  <w:tcW w:w="1327" w:type="dxa"/>
                  <w:noWrap w:val="0"/>
                  <w:vAlign w:val="center"/>
                </w:tcPr>
                <w:p>
                  <w:pPr>
                    <w:jc w:val="center"/>
                    <w:rPr>
                      <w:rFonts w:hint="default" w:ascii="Times New Roman" w:hAnsi="Times New Roman" w:eastAsia="宋体"/>
                      <w:bCs/>
                      <w:color w:val="auto"/>
                      <w:sz w:val="21"/>
                      <w:szCs w:val="21"/>
                      <w:highlight w:val="none"/>
                      <w:shd w:val="clear" w:color="FFFFFF" w:fill="D9D9D9"/>
                      <w:lang w:val="en-US" w:eastAsia="zh-CN"/>
                    </w:rPr>
                  </w:pPr>
                  <w:r>
                    <w:rPr>
                      <w:rFonts w:hint="eastAsia" w:ascii="Times New Roman" w:hAnsi="Times New Roman"/>
                      <w:bCs/>
                      <w:color w:val="auto"/>
                      <w:sz w:val="21"/>
                      <w:szCs w:val="21"/>
                      <w:highlight w:val="none"/>
                      <w:shd w:val="clear" w:color="auto" w:fill="auto"/>
                      <w:lang w:val="en-US" w:eastAsia="zh-CN"/>
                    </w:rPr>
                    <w:t>109897.14</w:t>
                  </w:r>
                </w:p>
              </w:tc>
              <w:tc>
                <w:tcPr>
                  <w:tcW w:w="2631" w:type="dxa"/>
                  <w:noWrap w:val="0"/>
                  <w:vAlign w:val="center"/>
                </w:tcPr>
                <w:p>
                  <w:pPr>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沥青混凝土</w:t>
                  </w:r>
                </w:p>
              </w:tc>
              <w:tc>
                <w:tcPr>
                  <w:tcW w:w="981" w:type="dxa"/>
                  <w:noWrap w:val="0"/>
                  <w:vAlign w:val="center"/>
                </w:tcPr>
                <w:p>
                  <w:pPr>
                    <w:jc w:val="center"/>
                    <w:rPr>
                      <w:rFonts w:hint="default" w:ascii="Times New Roman" w:hAnsi="Times New Roman" w:eastAsia="宋体"/>
                      <w:bCs/>
                      <w:color w:val="auto"/>
                      <w:sz w:val="21"/>
                      <w:szCs w:val="21"/>
                      <w:highlight w:val="none"/>
                      <w:shd w:val="clear" w:color="FFFFFF" w:fill="D9D9D9"/>
                      <w:lang w:val="en-US" w:eastAsia="zh-CN"/>
                    </w:rPr>
                  </w:pPr>
                  <w:r>
                    <w:rPr>
                      <w:rFonts w:hint="eastAsia" w:ascii="Times New Roman" w:hAnsi="Times New Roman"/>
                      <w:bCs/>
                      <w:color w:val="auto"/>
                      <w:sz w:val="21"/>
                      <w:szCs w:val="21"/>
                      <w:highlight w:val="none"/>
                      <w:shd w:val="clear" w:color="auto" w:fill="auto"/>
                      <w:lang w:val="en-US" w:eastAsia="zh-CN"/>
                    </w:rPr>
                    <w:t>144000</w:t>
                  </w:r>
                </w:p>
              </w:tc>
              <w:tc>
                <w:tcPr>
                  <w:tcW w:w="1635" w:type="dxa"/>
                  <w:noWrap w:val="0"/>
                  <w:vAlign w:val="center"/>
                </w:tcPr>
                <w:p>
                  <w:pPr>
                    <w:jc w:val="center"/>
                    <w:rPr>
                      <w:rFonts w:hint="eastAsia" w:ascii="Times New Roman" w:hAnsi="Times New Roman" w:eastAsia="宋体"/>
                      <w:bCs/>
                      <w:color w:val="auto"/>
                      <w:sz w:val="21"/>
                      <w:szCs w:val="21"/>
                      <w:highlight w:val="none"/>
                      <w:shd w:val="clear" w:color="FFFFFF" w:fill="D9D9D9"/>
                      <w:lang w:eastAsia="zh-CN"/>
                    </w:rPr>
                  </w:pPr>
                  <w:r>
                    <w:rPr>
                      <w:rFonts w:hint="eastAsia" w:ascii="Times New Roman" w:hAnsi="Times New Roman" w:eastAsia="宋体"/>
                      <w:bCs/>
                      <w:color w:val="auto"/>
                      <w:sz w:val="21"/>
                      <w:szCs w:val="21"/>
                      <w:highlight w:val="none"/>
                      <w:shd w:val="clear" w:color="auto" w:fill="auto"/>
                      <w:lang w:val="en-US" w:eastAsia="zh-CN"/>
                    </w:rPr>
                    <w:t>铺路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945" w:type="dxa"/>
                  <w:noWrap w:val="0"/>
                  <w:vAlign w:val="center"/>
                </w:tcPr>
                <w:p>
                  <w:pPr>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砂</w:t>
                  </w:r>
                </w:p>
              </w:tc>
              <w:tc>
                <w:tcPr>
                  <w:tcW w:w="1327" w:type="dxa"/>
                  <w:noWrap w:val="0"/>
                  <w:vAlign w:val="center"/>
                </w:tcPr>
                <w:p>
                  <w:pPr>
                    <w:jc w:val="center"/>
                    <w:rPr>
                      <w:rFonts w:hint="default" w:ascii="Times New Roman" w:hAnsi="Times New Roman" w:eastAsia="宋体"/>
                      <w:bCs/>
                      <w:color w:val="auto"/>
                      <w:sz w:val="21"/>
                      <w:szCs w:val="21"/>
                      <w:highlight w:val="none"/>
                      <w:shd w:val="clear" w:color="auto" w:fill="auto"/>
                      <w:lang w:val="en-US" w:eastAsia="zh-CN"/>
                    </w:rPr>
                  </w:pPr>
                  <w:r>
                    <w:rPr>
                      <w:rFonts w:hint="eastAsia" w:ascii="Times New Roman" w:hAnsi="Times New Roman"/>
                      <w:bCs/>
                      <w:color w:val="auto"/>
                      <w:sz w:val="21"/>
                      <w:szCs w:val="21"/>
                      <w:highlight w:val="none"/>
                      <w:shd w:val="clear" w:color="auto" w:fill="auto"/>
                      <w:lang w:val="en-US" w:eastAsia="zh-CN"/>
                    </w:rPr>
                    <w:t>19342.58</w:t>
                  </w:r>
                </w:p>
              </w:tc>
              <w:tc>
                <w:tcPr>
                  <w:tcW w:w="2631" w:type="dxa"/>
                  <w:noWrap w:val="0"/>
                  <w:vAlign w:val="center"/>
                </w:tcPr>
                <w:p>
                  <w:pPr>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除尘灰</w:t>
                  </w:r>
                </w:p>
              </w:tc>
              <w:tc>
                <w:tcPr>
                  <w:tcW w:w="981" w:type="dxa"/>
                  <w:noWrap w:val="0"/>
                  <w:vAlign w:val="center"/>
                </w:tcPr>
                <w:p>
                  <w:pPr>
                    <w:jc w:val="center"/>
                    <w:rPr>
                      <w:rFonts w:hint="default" w:ascii="Times New Roman" w:hAnsi="Times New Roman" w:eastAsia="宋体"/>
                      <w:bCs/>
                      <w:color w:val="auto"/>
                      <w:sz w:val="21"/>
                      <w:szCs w:val="21"/>
                      <w:highlight w:val="none"/>
                      <w:shd w:val="clear" w:color="auto" w:fill="auto"/>
                      <w:lang w:val="en-US" w:eastAsia="zh-CN"/>
                    </w:rPr>
                  </w:pPr>
                  <w:r>
                    <w:rPr>
                      <w:rFonts w:hint="eastAsia" w:ascii="Times New Roman" w:hAnsi="Times New Roman"/>
                      <w:bCs/>
                      <w:color w:val="auto"/>
                      <w:sz w:val="21"/>
                      <w:szCs w:val="21"/>
                      <w:highlight w:val="none"/>
                      <w:shd w:val="clear" w:color="auto" w:fill="auto"/>
                      <w:lang w:val="en-US" w:eastAsia="zh-CN"/>
                    </w:rPr>
                    <w:t>192.89</w:t>
                  </w:r>
                </w:p>
              </w:tc>
              <w:tc>
                <w:tcPr>
                  <w:tcW w:w="1635" w:type="dxa"/>
                  <w:noWrap w:val="0"/>
                  <w:vAlign w:val="center"/>
                </w:tcPr>
                <w:p>
                  <w:pPr>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外运</w:t>
                  </w:r>
                  <w:r>
                    <w:rPr>
                      <w:rFonts w:ascii="Times New Roman" w:hAnsi="Times New Roman" w:eastAsia="宋体"/>
                      <w:bCs/>
                      <w:color w:val="auto"/>
                      <w:sz w:val="21"/>
                      <w:szCs w:val="21"/>
                      <w:highlight w:val="none"/>
                      <w:shd w:val="clear" w:color="auto" w:fill="auto"/>
                    </w:rPr>
                    <w:t>做建筑垃圾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45" w:type="dxa"/>
                  <w:noWrap w:val="0"/>
                  <w:vAlign w:val="center"/>
                </w:tcPr>
                <w:p>
                  <w:pPr>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矿粉</w:t>
                  </w:r>
                </w:p>
              </w:tc>
              <w:tc>
                <w:tcPr>
                  <w:tcW w:w="1327" w:type="dxa"/>
                  <w:noWrap w:val="0"/>
                  <w:vAlign w:val="center"/>
                </w:tcPr>
                <w:p>
                  <w:pPr>
                    <w:jc w:val="center"/>
                    <w:rPr>
                      <w:rFonts w:hint="default" w:ascii="Times New Roman" w:hAnsi="Times New Roman" w:eastAsia="宋体"/>
                      <w:bCs/>
                      <w:color w:val="auto"/>
                      <w:sz w:val="21"/>
                      <w:szCs w:val="21"/>
                      <w:highlight w:val="none"/>
                      <w:shd w:val="clear" w:color="auto" w:fill="auto"/>
                      <w:lang w:val="en-US" w:eastAsia="zh-CN"/>
                    </w:rPr>
                  </w:pPr>
                  <w:r>
                    <w:rPr>
                      <w:rFonts w:hint="eastAsia" w:ascii="Times New Roman" w:hAnsi="Times New Roman"/>
                      <w:bCs/>
                      <w:color w:val="auto"/>
                      <w:sz w:val="21"/>
                      <w:szCs w:val="21"/>
                      <w:highlight w:val="none"/>
                      <w:shd w:val="clear" w:color="auto" w:fill="auto"/>
                      <w:lang w:val="en-US" w:eastAsia="zh-CN"/>
                    </w:rPr>
                    <w:t>7989.78</w:t>
                  </w:r>
                </w:p>
              </w:tc>
              <w:tc>
                <w:tcPr>
                  <w:tcW w:w="2631" w:type="dxa"/>
                  <w:noWrap w:val="0"/>
                  <w:vAlign w:val="center"/>
                </w:tcPr>
                <w:p>
                  <w:pPr>
                    <w:jc w:val="center"/>
                    <w:rPr>
                      <w:rFonts w:hint="eastAsia" w:ascii="Times New Roman" w:hAnsi="Times New Roman" w:eastAsia="宋体"/>
                      <w:bCs/>
                      <w:color w:val="auto"/>
                      <w:sz w:val="21"/>
                      <w:szCs w:val="21"/>
                      <w:highlight w:val="none"/>
                      <w:shd w:val="clear" w:color="auto" w:fill="auto"/>
                    </w:rPr>
                  </w:pPr>
                  <w:r>
                    <w:rPr>
                      <w:rFonts w:ascii="Times New Roman" w:hAnsi="Times New Roman" w:eastAsia="宋体"/>
                      <w:bCs/>
                      <w:color w:val="auto"/>
                      <w:sz w:val="21"/>
                      <w:szCs w:val="21"/>
                      <w:highlight w:val="none"/>
                      <w:shd w:val="clear" w:color="auto" w:fill="auto"/>
                    </w:rPr>
                    <w:t>粉尘</w:t>
                  </w:r>
                </w:p>
              </w:tc>
              <w:tc>
                <w:tcPr>
                  <w:tcW w:w="981" w:type="dxa"/>
                  <w:noWrap w:val="0"/>
                  <w:vAlign w:val="center"/>
                </w:tcPr>
                <w:p>
                  <w:pPr>
                    <w:jc w:val="center"/>
                    <w:rPr>
                      <w:rFonts w:hint="default" w:ascii="Times New Roman" w:hAnsi="Times New Roman" w:eastAsia="宋体"/>
                      <w:bCs/>
                      <w:color w:val="auto"/>
                      <w:sz w:val="21"/>
                      <w:szCs w:val="21"/>
                      <w:highlight w:val="none"/>
                      <w:shd w:val="clear" w:color="auto" w:fill="auto"/>
                      <w:lang w:val="en-US" w:eastAsia="zh-CN"/>
                    </w:rPr>
                  </w:pPr>
                  <w:r>
                    <w:rPr>
                      <w:rFonts w:hint="eastAsia" w:ascii="Times New Roman" w:hAnsi="Times New Roman"/>
                      <w:bCs/>
                      <w:color w:val="auto"/>
                      <w:sz w:val="21"/>
                      <w:szCs w:val="21"/>
                      <w:highlight w:val="none"/>
                      <w:shd w:val="clear" w:color="auto" w:fill="auto"/>
                      <w:lang w:val="en-US" w:eastAsia="zh-CN"/>
                    </w:rPr>
                    <w:t>2.31</w:t>
                  </w:r>
                </w:p>
              </w:tc>
              <w:tc>
                <w:tcPr>
                  <w:tcW w:w="1635" w:type="dxa"/>
                  <w:vMerge w:val="restart"/>
                  <w:noWrap w:val="0"/>
                  <w:vAlign w:val="center"/>
                </w:tcPr>
                <w:p>
                  <w:pPr>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外排大气环境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945" w:type="dxa"/>
                  <w:noWrap w:val="0"/>
                  <w:vAlign w:val="center"/>
                </w:tcPr>
                <w:p>
                  <w:pPr>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沥青</w:t>
                  </w:r>
                </w:p>
              </w:tc>
              <w:tc>
                <w:tcPr>
                  <w:tcW w:w="1327" w:type="dxa"/>
                  <w:noWrap w:val="0"/>
                  <w:vAlign w:val="center"/>
                </w:tcPr>
                <w:p>
                  <w:pPr>
                    <w:jc w:val="center"/>
                    <w:rPr>
                      <w:rFonts w:hint="default" w:ascii="Times New Roman" w:hAnsi="Times New Roman" w:eastAsia="宋体"/>
                      <w:bCs/>
                      <w:color w:val="auto"/>
                      <w:sz w:val="21"/>
                      <w:szCs w:val="21"/>
                      <w:highlight w:val="none"/>
                      <w:shd w:val="clear" w:color="auto" w:fill="auto"/>
                      <w:lang w:val="en-US" w:eastAsia="zh-CN"/>
                    </w:rPr>
                  </w:pPr>
                  <w:r>
                    <w:rPr>
                      <w:rFonts w:hint="eastAsia" w:ascii="Times New Roman" w:hAnsi="Times New Roman"/>
                      <w:bCs/>
                      <w:color w:val="auto"/>
                      <w:sz w:val="21"/>
                      <w:szCs w:val="21"/>
                      <w:highlight w:val="none"/>
                      <w:shd w:val="clear" w:color="auto" w:fill="auto"/>
                      <w:lang w:val="en-US" w:eastAsia="zh-CN"/>
                    </w:rPr>
                    <w:t>6768.84</w:t>
                  </w:r>
                </w:p>
              </w:tc>
              <w:tc>
                <w:tcPr>
                  <w:tcW w:w="2631" w:type="dxa"/>
                  <w:noWrap w:val="0"/>
                  <w:vAlign w:val="center"/>
                </w:tcPr>
                <w:p>
                  <w:pPr>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沥青烟</w:t>
                  </w:r>
                  <w:r>
                    <w:rPr>
                      <w:rFonts w:ascii="Times New Roman" w:hAnsi="Times New Roman" w:eastAsia="宋体"/>
                      <w:bCs/>
                      <w:color w:val="auto"/>
                      <w:sz w:val="21"/>
                      <w:szCs w:val="21"/>
                      <w:highlight w:val="none"/>
                      <w:shd w:val="clear" w:color="auto" w:fill="auto"/>
                    </w:rPr>
                    <w:t>及苯并</w:t>
                  </w:r>
                  <w:r>
                    <w:rPr>
                      <w:rFonts w:hint="eastAsia" w:ascii="Times New Roman" w:hAnsi="Times New Roman" w:eastAsia="宋体"/>
                      <w:bCs/>
                      <w:color w:val="auto"/>
                      <w:sz w:val="21"/>
                      <w:szCs w:val="21"/>
                      <w:highlight w:val="none"/>
                      <w:shd w:val="clear" w:color="auto" w:fill="auto"/>
                    </w:rPr>
                    <w:t>(a)芘</w:t>
                  </w:r>
                </w:p>
              </w:tc>
              <w:tc>
                <w:tcPr>
                  <w:tcW w:w="981" w:type="dxa"/>
                  <w:noWrap w:val="0"/>
                  <w:vAlign w:val="center"/>
                </w:tcPr>
                <w:p>
                  <w:pPr>
                    <w:jc w:val="center"/>
                    <w:rPr>
                      <w:rFonts w:hint="default" w:ascii="Times New Roman" w:hAnsi="Times New Roman" w:eastAsia="宋体"/>
                      <w:bCs/>
                      <w:color w:val="auto"/>
                      <w:sz w:val="21"/>
                      <w:szCs w:val="21"/>
                      <w:highlight w:val="none"/>
                      <w:shd w:val="clear" w:color="auto" w:fill="auto"/>
                      <w:lang w:val="en-US" w:eastAsia="zh-CN"/>
                    </w:rPr>
                  </w:pPr>
                  <w:r>
                    <w:rPr>
                      <w:rFonts w:hint="eastAsia" w:ascii="Times New Roman" w:hAnsi="Times New Roman"/>
                      <w:bCs/>
                      <w:color w:val="auto"/>
                      <w:sz w:val="21"/>
                      <w:szCs w:val="21"/>
                      <w:highlight w:val="none"/>
                      <w:shd w:val="clear" w:color="auto" w:fill="auto"/>
                      <w:lang w:val="en-US" w:eastAsia="zh-CN"/>
                    </w:rPr>
                    <w:t>0.047</w:t>
                  </w:r>
                </w:p>
              </w:tc>
              <w:tc>
                <w:tcPr>
                  <w:tcW w:w="1635" w:type="dxa"/>
                  <w:vMerge w:val="continue"/>
                  <w:noWrap w:val="0"/>
                  <w:vAlign w:val="center"/>
                </w:tcPr>
                <w:p>
                  <w:pPr>
                    <w:jc w:val="center"/>
                    <w:rPr>
                      <w:rFonts w:hint="eastAsia" w:ascii="Times New Roman" w:hAnsi="Times New Roman" w:eastAsia="宋体"/>
                      <w:bCs/>
                      <w:color w:val="auto"/>
                      <w:sz w:val="21"/>
                      <w:szCs w:val="21"/>
                      <w:highlight w:val="none"/>
                      <w:shd w:val="clear" w:color="auto" w:fil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945" w:type="dxa"/>
                  <w:noWrap w:val="0"/>
                  <w:vAlign w:val="center"/>
                </w:tcPr>
                <w:p>
                  <w:pPr>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w:t>
                  </w:r>
                </w:p>
              </w:tc>
              <w:tc>
                <w:tcPr>
                  <w:tcW w:w="1327" w:type="dxa"/>
                  <w:noWrap w:val="0"/>
                  <w:vAlign w:val="center"/>
                </w:tcPr>
                <w:p>
                  <w:pPr>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w:t>
                  </w:r>
                </w:p>
              </w:tc>
              <w:tc>
                <w:tcPr>
                  <w:tcW w:w="2631" w:type="dxa"/>
                  <w:noWrap w:val="0"/>
                  <w:vAlign w:val="center"/>
                </w:tcPr>
                <w:p>
                  <w:pPr>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沥青烟</w:t>
                  </w:r>
                  <w:r>
                    <w:rPr>
                      <w:rFonts w:ascii="Times New Roman" w:hAnsi="Times New Roman" w:eastAsia="宋体"/>
                      <w:bCs/>
                      <w:color w:val="auto"/>
                      <w:sz w:val="21"/>
                      <w:szCs w:val="21"/>
                      <w:highlight w:val="none"/>
                      <w:shd w:val="clear" w:color="auto" w:fill="auto"/>
                    </w:rPr>
                    <w:t>及苯并</w:t>
                  </w:r>
                  <w:r>
                    <w:rPr>
                      <w:rFonts w:hint="eastAsia" w:ascii="Times New Roman" w:hAnsi="Times New Roman" w:eastAsia="宋体"/>
                      <w:bCs/>
                      <w:color w:val="auto"/>
                      <w:sz w:val="21"/>
                      <w:szCs w:val="21"/>
                      <w:highlight w:val="none"/>
                      <w:shd w:val="clear" w:color="auto" w:fill="auto"/>
                    </w:rPr>
                    <w:t>(a)芘光解</w:t>
                  </w:r>
                  <w:r>
                    <w:rPr>
                      <w:rFonts w:ascii="Times New Roman" w:hAnsi="Times New Roman" w:eastAsia="宋体"/>
                      <w:bCs/>
                      <w:color w:val="auto"/>
                      <w:sz w:val="21"/>
                      <w:szCs w:val="21"/>
                      <w:highlight w:val="none"/>
                      <w:shd w:val="clear" w:color="auto" w:fill="auto"/>
                    </w:rPr>
                    <w:t>及吸附部分</w:t>
                  </w:r>
                </w:p>
              </w:tc>
              <w:tc>
                <w:tcPr>
                  <w:tcW w:w="981" w:type="dxa"/>
                  <w:noWrap w:val="0"/>
                  <w:vAlign w:val="center"/>
                </w:tcPr>
                <w:p>
                  <w:pPr>
                    <w:jc w:val="center"/>
                    <w:rPr>
                      <w:rFonts w:hint="default" w:ascii="Times New Roman" w:hAnsi="Times New Roman" w:eastAsia="宋体"/>
                      <w:bCs/>
                      <w:color w:val="auto"/>
                      <w:sz w:val="21"/>
                      <w:szCs w:val="21"/>
                      <w:highlight w:val="none"/>
                      <w:shd w:val="clear" w:color="auto" w:fill="auto"/>
                      <w:lang w:val="en-US" w:eastAsia="zh-CN"/>
                    </w:rPr>
                  </w:pPr>
                  <w:r>
                    <w:rPr>
                      <w:rFonts w:hint="eastAsia" w:ascii="Times New Roman" w:hAnsi="Times New Roman"/>
                      <w:bCs/>
                      <w:color w:val="auto"/>
                      <w:sz w:val="21"/>
                      <w:szCs w:val="21"/>
                      <w:highlight w:val="none"/>
                      <w:shd w:val="clear" w:color="auto" w:fill="auto"/>
                      <w:lang w:val="en-US" w:eastAsia="zh-CN"/>
                    </w:rPr>
                    <w:t>3.10</w:t>
                  </w:r>
                </w:p>
              </w:tc>
              <w:tc>
                <w:tcPr>
                  <w:tcW w:w="1635" w:type="dxa"/>
                  <w:noWrap w:val="0"/>
                  <w:vAlign w:val="center"/>
                </w:tcPr>
                <w:p>
                  <w:pPr>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光解</w:t>
                  </w:r>
                  <w:r>
                    <w:rPr>
                      <w:rFonts w:ascii="Times New Roman" w:hAnsi="Times New Roman" w:eastAsia="宋体"/>
                      <w:bCs/>
                      <w:color w:val="auto"/>
                      <w:sz w:val="21"/>
                      <w:szCs w:val="21"/>
                      <w:highlight w:val="none"/>
                      <w:shd w:val="clear" w:color="auto" w:fill="auto"/>
                    </w:rPr>
                    <w:t>及</w:t>
                  </w:r>
                  <w:r>
                    <w:rPr>
                      <w:rFonts w:hint="eastAsia" w:ascii="Times New Roman" w:hAnsi="Times New Roman" w:eastAsia="宋体"/>
                      <w:bCs/>
                      <w:color w:val="auto"/>
                      <w:sz w:val="21"/>
                      <w:szCs w:val="21"/>
                      <w:highlight w:val="none"/>
                      <w:shd w:val="clear" w:color="auto" w:fill="auto"/>
                    </w:rPr>
                    <w:t>活性炭</w:t>
                  </w:r>
                  <w:r>
                    <w:rPr>
                      <w:rFonts w:ascii="Times New Roman" w:hAnsi="Times New Roman" w:eastAsia="宋体"/>
                      <w:bCs/>
                      <w:color w:val="auto"/>
                      <w:sz w:val="21"/>
                      <w:szCs w:val="21"/>
                      <w:highlight w:val="none"/>
                      <w:shd w:val="clear" w:color="auto" w:fill="auto"/>
                    </w:rPr>
                    <w:t>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945" w:type="dxa"/>
                  <w:noWrap w:val="0"/>
                  <w:vAlign w:val="center"/>
                </w:tcPr>
                <w:p>
                  <w:pPr>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合计</w:t>
                  </w:r>
                </w:p>
              </w:tc>
              <w:tc>
                <w:tcPr>
                  <w:tcW w:w="1327" w:type="dxa"/>
                  <w:noWrap w:val="0"/>
                  <w:vAlign w:val="center"/>
                </w:tcPr>
                <w:p>
                  <w:pPr>
                    <w:jc w:val="center"/>
                    <w:rPr>
                      <w:rFonts w:hint="default" w:ascii="Times New Roman" w:hAnsi="Times New Roman" w:eastAsia="宋体"/>
                      <w:bCs/>
                      <w:color w:val="auto"/>
                      <w:sz w:val="21"/>
                      <w:szCs w:val="21"/>
                      <w:highlight w:val="none"/>
                      <w:shd w:val="clear" w:color="auto" w:fill="auto"/>
                      <w:lang w:val="en-US" w:eastAsia="zh-CN"/>
                    </w:rPr>
                  </w:pPr>
                  <w:r>
                    <w:rPr>
                      <w:rFonts w:hint="eastAsia" w:ascii="Times New Roman" w:hAnsi="Times New Roman"/>
                      <w:bCs/>
                      <w:color w:val="auto"/>
                      <w:sz w:val="21"/>
                      <w:szCs w:val="21"/>
                      <w:highlight w:val="none"/>
                      <w:shd w:val="clear" w:color="auto" w:fill="auto"/>
                      <w:lang w:val="en-US" w:eastAsia="zh-CN"/>
                    </w:rPr>
                    <w:t>144198.34</w:t>
                  </w:r>
                </w:p>
              </w:tc>
              <w:tc>
                <w:tcPr>
                  <w:tcW w:w="2631" w:type="dxa"/>
                  <w:noWrap w:val="0"/>
                  <w:vAlign w:val="center"/>
                </w:tcPr>
                <w:p>
                  <w:pPr>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合计</w:t>
                  </w:r>
                </w:p>
              </w:tc>
              <w:tc>
                <w:tcPr>
                  <w:tcW w:w="981" w:type="dxa"/>
                  <w:noWrap w:val="0"/>
                  <w:vAlign w:val="center"/>
                </w:tcPr>
                <w:p>
                  <w:pPr>
                    <w:jc w:val="center"/>
                    <w:rPr>
                      <w:rFonts w:hint="default" w:ascii="Times New Roman" w:hAnsi="Times New Roman" w:eastAsia="宋体"/>
                      <w:bCs/>
                      <w:color w:val="auto"/>
                      <w:sz w:val="21"/>
                      <w:szCs w:val="21"/>
                      <w:highlight w:val="none"/>
                      <w:shd w:val="clear" w:color="auto" w:fill="auto"/>
                      <w:lang w:val="en-US" w:eastAsia="zh-CN"/>
                    </w:rPr>
                  </w:pPr>
                  <w:r>
                    <w:rPr>
                      <w:rFonts w:hint="eastAsia" w:ascii="Times New Roman" w:hAnsi="Times New Roman"/>
                      <w:bCs/>
                      <w:color w:val="auto"/>
                      <w:sz w:val="21"/>
                      <w:szCs w:val="21"/>
                      <w:highlight w:val="none"/>
                      <w:shd w:val="clear" w:color="auto" w:fill="auto"/>
                      <w:lang w:val="en-US" w:eastAsia="zh-CN"/>
                    </w:rPr>
                    <w:t>198.348</w:t>
                  </w:r>
                </w:p>
              </w:tc>
              <w:tc>
                <w:tcPr>
                  <w:tcW w:w="1635" w:type="dxa"/>
                  <w:noWrap w:val="0"/>
                  <w:vAlign w:val="center"/>
                </w:tcPr>
                <w:p>
                  <w:pPr>
                    <w:jc w:val="center"/>
                    <w:rPr>
                      <w:rFonts w:hint="eastAsia" w:ascii="Times New Roman" w:hAnsi="Times New Roman" w:eastAsia="宋体"/>
                      <w:bCs/>
                      <w:color w:val="auto"/>
                      <w:sz w:val="21"/>
                      <w:szCs w:val="21"/>
                      <w:highlight w:val="none"/>
                      <w:shd w:val="clear" w:color="auto" w:fill="auto"/>
                    </w:rPr>
                  </w:pPr>
                  <w:r>
                    <w:rPr>
                      <w:rFonts w:hint="eastAsia" w:ascii="Times New Roman" w:hAnsi="Times New Roman" w:eastAsia="宋体"/>
                      <w:bCs/>
                      <w:color w:val="auto"/>
                      <w:sz w:val="21"/>
                      <w:szCs w:val="21"/>
                      <w:highlight w:val="none"/>
                      <w:shd w:val="clear" w:color="auto" w:fill="auto"/>
                    </w:rPr>
                    <w:t>/</w:t>
                  </w:r>
                </w:p>
              </w:tc>
            </w:tr>
          </w:tbl>
          <w:p>
            <w:pPr>
              <w:spacing w:line="360" w:lineRule="auto"/>
              <w:ind w:firstLine="482" w:firstLineChars="200"/>
              <w:rPr>
                <w:rFonts w:hint="eastAsia"/>
                <w:b/>
                <w:sz w:val="24"/>
                <w:szCs w:val="22"/>
              </w:rPr>
            </w:pPr>
            <w:r>
              <w:rPr>
                <w:b/>
                <w:sz w:val="24"/>
                <w:szCs w:val="22"/>
              </w:rPr>
              <w:t>4</w:t>
            </w:r>
            <w:r>
              <w:rPr>
                <w:rFonts w:hint="eastAsia"/>
                <w:b/>
                <w:sz w:val="24"/>
                <w:szCs w:val="22"/>
              </w:rPr>
              <w:t>、水平衡</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本项目运营过程设备均保持干燥状态，不需要对设备进行清洗，无设备清洗废水产生；运输车辆不在厂内清洗，要求运输车辆清洗干净后才能入场，故无运输车辆冲洗废水产生。</w:t>
            </w:r>
          </w:p>
          <w:p>
            <w:pPr>
              <w:spacing w:line="360" w:lineRule="auto"/>
              <w:ind w:firstLine="470" w:firstLineChars="196"/>
              <w:rPr>
                <w:rFonts w:hint="default" w:ascii="Times New Roman" w:hAnsi="Times New Roman" w:cs="Times New Roman"/>
                <w:bCs/>
                <w:snapToGrid w:val="0"/>
                <w:kern w:val="0"/>
                <w:sz w:val="24"/>
                <w:highlight w:val="none"/>
              </w:rPr>
            </w:pPr>
            <w:r>
              <w:rPr>
                <w:rFonts w:hint="default" w:ascii="Times New Roman" w:hAnsi="Times New Roman" w:cs="Times New Roman"/>
                <w:bCs/>
                <w:snapToGrid w:val="0"/>
                <w:kern w:val="0"/>
                <w:sz w:val="24"/>
                <w:highlight w:val="none"/>
              </w:rPr>
              <w:t>本项目用水分为</w:t>
            </w:r>
            <w:r>
              <w:rPr>
                <w:rFonts w:hint="eastAsia" w:ascii="Times New Roman" w:hAnsi="Times New Roman" w:cs="Times New Roman"/>
                <w:bCs/>
                <w:snapToGrid w:val="0"/>
                <w:kern w:val="0"/>
                <w:sz w:val="24"/>
                <w:highlight w:val="none"/>
                <w:lang w:val="en-US" w:eastAsia="zh-CN"/>
              </w:rPr>
              <w:t>4</w:t>
            </w:r>
            <w:r>
              <w:rPr>
                <w:rFonts w:hint="default" w:ascii="Times New Roman" w:hAnsi="Times New Roman" w:cs="Times New Roman"/>
                <w:bCs/>
                <w:snapToGrid w:val="0"/>
                <w:kern w:val="0"/>
                <w:sz w:val="24"/>
                <w:highlight w:val="none"/>
              </w:rPr>
              <w:t>部分，即洒水降尘用水、粉尘加湿器用水及生活用水。</w:t>
            </w:r>
          </w:p>
          <w:p>
            <w:pPr>
              <w:pStyle w:val="17"/>
              <w:ind w:firstLine="480"/>
              <w:rPr>
                <w:rFonts w:hint="default" w:ascii="Times New Roman" w:hAnsi="Times New Roman" w:cs="Times New Roman"/>
                <w:bCs/>
                <w:snapToGrid w:val="0"/>
                <w:kern w:val="0"/>
                <w:highlight w:val="none"/>
              </w:rPr>
            </w:pPr>
            <w:r>
              <w:rPr>
                <w:rFonts w:hint="default" w:ascii="Times New Roman" w:hAnsi="Times New Roman" w:cs="Times New Roman"/>
                <w:bCs/>
                <w:snapToGrid w:val="0"/>
                <w:kern w:val="0"/>
                <w:highlight w:val="none"/>
              </w:rPr>
              <w:t>洒水降尘用水量约为5m</w:t>
            </w:r>
            <w:r>
              <w:rPr>
                <w:rFonts w:hint="default" w:ascii="Times New Roman" w:hAnsi="Times New Roman" w:cs="Times New Roman"/>
                <w:bCs/>
                <w:snapToGrid w:val="0"/>
                <w:kern w:val="0"/>
                <w:highlight w:val="none"/>
                <w:vertAlign w:val="superscript"/>
              </w:rPr>
              <w:t>3</w:t>
            </w:r>
            <w:r>
              <w:rPr>
                <w:rFonts w:hint="default" w:ascii="Times New Roman" w:hAnsi="Times New Roman" w:cs="Times New Roman"/>
                <w:bCs/>
                <w:snapToGrid w:val="0"/>
                <w:kern w:val="0"/>
                <w:highlight w:val="none"/>
              </w:rPr>
              <w:t>/d（</w:t>
            </w:r>
            <w:r>
              <w:rPr>
                <w:rFonts w:hint="eastAsia" w:ascii="Times New Roman" w:hAnsi="Times New Roman" w:cs="Times New Roman"/>
                <w:bCs/>
                <w:snapToGrid w:val="0"/>
                <w:kern w:val="0"/>
                <w:highlight w:val="none"/>
                <w:lang w:val="en-US" w:eastAsia="zh-CN"/>
              </w:rPr>
              <w:t>540</w:t>
            </w:r>
            <w:r>
              <w:rPr>
                <w:rFonts w:hint="default" w:ascii="Times New Roman" w:hAnsi="Times New Roman" w:cs="Times New Roman"/>
                <w:bCs/>
                <w:snapToGrid w:val="0"/>
                <w:kern w:val="0"/>
                <w:highlight w:val="none"/>
              </w:rPr>
              <w:t>m</w:t>
            </w:r>
            <w:r>
              <w:rPr>
                <w:rFonts w:hint="default" w:ascii="Times New Roman" w:hAnsi="Times New Roman" w:cs="Times New Roman"/>
                <w:bCs/>
                <w:snapToGrid w:val="0"/>
                <w:kern w:val="0"/>
                <w:highlight w:val="none"/>
                <w:vertAlign w:val="superscript"/>
              </w:rPr>
              <w:t>3</w:t>
            </w:r>
            <w:r>
              <w:rPr>
                <w:rFonts w:hint="default" w:ascii="Times New Roman" w:hAnsi="Times New Roman" w:cs="Times New Roman"/>
                <w:bCs/>
                <w:snapToGrid w:val="0"/>
                <w:kern w:val="0"/>
                <w:highlight w:val="none"/>
              </w:rPr>
              <w:t>），该部分用水全部蒸发，无废水排放；</w:t>
            </w:r>
          </w:p>
          <w:p>
            <w:pPr>
              <w:pStyle w:val="3"/>
              <w:ind w:firstLine="480"/>
              <w:rPr>
                <w:rFonts w:hint="default" w:ascii="Times New Roman" w:hAnsi="Times New Roman" w:cs="Times New Roman"/>
                <w:bCs/>
                <w:snapToGrid w:val="0"/>
                <w:color w:val="auto"/>
                <w:kern w:val="0"/>
                <w:highlight w:val="none"/>
              </w:rPr>
            </w:pPr>
            <w:r>
              <w:rPr>
                <w:rFonts w:hint="default" w:ascii="Times New Roman" w:hAnsi="Times New Roman" w:cs="Times New Roman"/>
                <w:bCs/>
                <w:snapToGrid w:val="0"/>
                <w:color w:val="auto"/>
                <w:kern w:val="0"/>
                <w:highlight w:val="none"/>
              </w:rPr>
              <w:t>项目设有废粉仓，收集布袋除尘器粉尘，经适当加湿避免扬尘的情况下将除尘粉外运，加湿器用水量为0.5m</w:t>
            </w:r>
            <w:r>
              <w:rPr>
                <w:rFonts w:hint="default" w:ascii="Times New Roman" w:hAnsi="Times New Roman" w:cs="Times New Roman"/>
                <w:bCs/>
                <w:snapToGrid w:val="0"/>
                <w:color w:val="auto"/>
                <w:kern w:val="0"/>
                <w:highlight w:val="none"/>
                <w:vertAlign w:val="superscript"/>
              </w:rPr>
              <w:t>3</w:t>
            </w:r>
            <w:r>
              <w:rPr>
                <w:rFonts w:hint="default" w:ascii="Times New Roman" w:hAnsi="Times New Roman" w:cs="Times New Roman"/>
                <w:bCs/>
                <w:snapToGrid w:val="0"/>
                <w:color w:val="auto"/>
                <w:kern w:val="0"/>
                <w:highlight w:val="none"/>
              </w:rPr>
              <w:t>/d</w:t>
            </w:r>
            <w:r>
              <w:rPr>
                <w:rFonts w:hint="eastAsia" w:ascii="Times New Roman" w:hAnsi="Times New Roman" w:cs="Times New Roman"/>
                <w:bCs/>
                <w:snapToGrid w:val="0"/>
                <w:color w:val="auto"/>
                <w:kern w:val="0"/>
                <w:highlight w:val="none"/>
                <w:lang w:eastAsia="zh-CN"/>
              </w:rPr>
              <w:t>（</w:t>
            </w:r>
            <w:r>
              <w:rPr>
                <w:rFonts w:hint="eastAsia" w:ascii="Times New Roman" w:hAnsi="Times New Roman" w:cs="Times New Roman"/>
                <w:bCs/>
                <w:snapToGrid w:val="0"/>
                <w:color w:val="auto"/>
                <w:kern w:val="0"/>
                <w:highlight w:val="none"/>
                <w:lang w:val="en-US" w:eastAsia="zh-CN"/>
              </w:rPr>
              <w:t>54</w:t>
            </w:r>
            <w:r>
              <w:rPr>
                <w:rFonts w:hint="default" w:ascii="Times New Roman" w:hAnsi="Times New Roman" w:cs="Times New Roman"/>
                <w:bCs/>
                <w:snapToGrid w:val="0"/>
                <w:kern w:val="0"/>
                <w:highlight w:val="none"/>
              </w:rPr>
              <w:t>m</w:t>
            </w:r>
            <w:r>
              <w:rPr>
                <w:rFonts w:hint="default" w:ascii="Times New Roman" w:hAnsi="Times New Roman" w:cs="Times New Roman"/>
                <w:bCs/>
                <w:snapToGrid w:val="0"/>
                <w:kern w:val="0"/>
                <w:highlight w:val="none"/>
                <w:vertAlign w:val="superscript"/>
              </w:rPr>
              <w:t>3</w:t>
            </w:r>
            <w:r>
              <w:rPr>
                <w:rFonts w:hint="eastAsia" w:ascii="Times New Roman" w:hAnsi="Times New Roman" w:cs="Times New Roman"/>
                <w:bCs/>
                <w:snapToGrid w:val="0"/>
                <w:color w:val="auto"/>
                <w:kern w:val="0"/>
                <w:highlight w:val="none"/>
                <w:lang w:eastAsia="zh-CN"/>
              </w:rPr>
              <w:t>）</w:t>
            </w:r>
            <w:r>
              <w:rPr>
                <w:rFonts w:hint="default" w:ascii="Times New Roman" w:hAnsi="Times New Roman" w:cs="Times New Roman"/>
                <w:bCs/>
                <w:snapToGrid w:val="0"/>
                <w:color w:val="auto"/>
                <w:kern w:val="0"/>
                <w:highlight w:val="none"/>
              </w:rPr>
              <w:t>，该用水一部分蒸发，一部分随除尘灰外运，不外排；</w:t>
            </w:r>
          </w:p>
          <w:p>
            <w:pPr>
              <w:pStyle w:val="3"/>
              <w:ind w:firstLine="480"/>
              <w:rPr>
                <w:rFonts w:hint="default" w:ascii="Times New Roman" w:hAnsi="Times New Roman" w:cs="Times New Roman"/>
                <w:highlight w:val="none"/>
              </w:rPr>
            </w:pPr>
            <w:r>
              <w:rPr>
                <w:rFonts w:hint="default" w:ascii="Times New Roman" w:hAnsi="Times New Roman" w:cs="Times New Roman"/>
                <w:highlight w:val="none"/>
              </w:rPr>
              <w:t>参照《四川省地方标准用水定额》（DB51/T2138-2016）并结合实际情况，员工生活用水定额按10L/人·d计，劳动定额为10人，则员工生活用水量为1.0m</w:t>
            </w:r>
            <w:r>
              <w:rPr>
                <w:rFonts w:hint="default" w:ascii="Times New Roman" w:hAnsi="Times New Roman" w:cs="Times New Roman"/>
                <w:highlight w:val="none"/>
                <w:vertAlign w:val="superscript"/>
              </w:rPr>
              <w:t>3</w:t>
            </w:r>
            <w:r>
              <w:rPr>
                <w:rFonts w:hint="default" w:ascii="Times New Roman" w:hAnsi="Times New Roman" w:cs="Times New Roman"/>
                <w:highlight w:val="none"/>
              </w:rPr>
              <w:t>/d（</w:t>
            </w:r>
            <w:r>
              <w:rPr>
                <w:rFonts w:hint="default" w:ascii="Times New Roman" w:hAnsi="Times New Roman" w:cs="Times New Roman"/>
                <w:highlight w:val="none"/>
                <w:lang w:val="en-US" w:eastAsia="zh-CN"/>
              </w:rPr>
              <w:t>180</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rPr>
              <w:t>），生活污水排放系数取0.85，则污水总排放量为0.85m</w:t>
            </w:r>
            <w:r>
              <w:rPr>
                <w:rFonts w:hint="default" w:ascii="Times New Roman" w:hAnsi="Times New Roman" w:cs="Times New Roman"/>
                <w:highlight w:val="none"/>
                <w:vertAlign w:val="superscript"/>
              </w:rPr>
              <w:t>3</w:t>
            </w:r>
            <w:r>
              <w:rPr>
                <w:rFonts w:hint="default" w:ascii="Times New Roman" w:hAnsi="Times New Roman" w:cs="Times New Roman"/>
                <w:highlight w:val="none"/>
              </w:rPr>
              <w:t>/d，</w:t>
            </w:r>
            <w:r>
              <w:rPr>
                <w:rFonts w:hint="default" w:ascii="Times New Roman" w:hAnsi="Times New Roman" w:cs="Times New Roman"/>
                <w:highlight w:val="none"/>
                <w:lang w:val="en-US" w:eastAsia="zh-CN"/>
              </w:rPr>
              <w:t>153</w:t>
            </w:r>
            <w:r>
              <w:rPr>
                <w:rFonts w:hint="default" w:ascii="Times New Roman" w:hAnsi="Times New Roman" w:cs="Times New Roman"/>
                <w:highlight w:val="none"/>
              </w:rPr>
              <w:t>m</w:t>
            </w:r>
            <w:r>
              <w:rPr>
                <w:rFonts w:hint="default" w:ascii="Times New Roman" w:hAnsi="Times New Roman" w:cs="Times New Roman"/>
                <w:highlight w:val="none"/>
                <w:vertAlign w:val="superscript"/>
              </w:rPr>
              <w:t>3</w:t>
            </w:r>
            <w:r>
              <w:rPr>
                <w:rFonts w:hint="default" w:ascii="Times New Roman" w:hAnsi="Times New Roman" w:cs="Times New Roman"/>
                <w:highlight w:val="none"/>
              </w:rPr>
              <w:t>。</w:t>
            </w:r>
          </w:p>
          <w:p>
            <w:pPr>
              <w:keepNext w:val="0"/>
              <w:keepLines w:val="0"/>
              <w:widowControl/>
              <w:suppressLineNumbers w:val="0"/>
              <w:ind w:firstLine="720" w:firstLineChars="300"/>
              <w:jc w:val="left"/>
              <w:rPr>
                <w:rFonts w:hint="eastAsia" w:ascii="宋体" w:hAnsi="宋体" w:eastAsia="宋体" w:cs="宋体"/>
                <w:b/>
                <w:bCs/>
                <w:color w:val="000000"/>
                <w:kern w:val="0"/>
                <w:sz w:val="21"/>
                <w:szCs w:val="21"/>
                <w:lang w:val="en-US" w:eastAsia="zh-CN" w:bidi="ar"/>
              </w:rPr>
            </w:pPr>
            <w:r>
              <w:rPr>
                <w:rFonts w:hint="eastAsia" w:ascii="宋体" w:hAnsi="宋体" w:eastAsia="宋体" w:cs="宋体"/>
                <w:color w:val="000000"/>
                <w:kern w:val="0"/>
                <w:sz w:val="24"/>
                <w:szCs w:val="24"/>
                <w:lang w:val="en-US" w:eastAsia="zh-CN" w:bidi="ar"/>
              </w:rPr>
              <w:t xml:space="preserve">本项目用水量见表 </w:t>
            </w:r>
            <w:r>
              <w:rPr>
                <w:rFonts w:hint="eastAsia" w:ascii="Times New Roman" w:hAnsi="Times New Roman" w:cs="Times New Roman"/>
                <w:color w:val="000000"/>
                <w:kern w:val="0"/>
                <w:sz w:val="24"/>
                <w:szCs w:val="24"/>
                <w:lang w:val="en-US" w:eastAsia="zh-CN" w:bidi="ar"/>
              </w:rPr>
              <w:t>2-8</w:t>
            </w:r>
            <w:r>
              <w:rPr>
                <w:rFonts w:hint="eastAsia" w:ascii="宋体" w:hAnsi="宋体" w:eastAsia="宋体" w:cs="宋体"/>
                <w:color w:val="000000"/>
                <w:kern w:val="0"/>
                <w:sz w:val="24"/>
                <w:szCs w:val="24"/>
                <w:lang w:val="en-US" w:eastAsia="zh-CN" w:bidi="ar"/>
              </w:rPr>
              <w:t>。</w:t>
            </w:r>
          </w:p>
          <w:p>
            <w:pPr>
              <w:pStyle w:val="3"/>
              <w:ind w:firstLine="480"/>
              <w:jc w:val="center"/>
              <w:rPr>
                <w:rFonts w:hint="eastAsia" w:ascii="Times New Roman" w:hAnsi="Times New Roman" w:eastAsia="宋体" w:cs="Times New Roman"/>
                <w:b/>
                <w:bCs/>
                <w:color w:val="auto"/>
                <w:sz w:val="21"/>
                <w:szCs w:val="21"/>
                <w:highlight w:val="none"/>
                <w:lang w:val="zh-CN" w:eastAsia="zh-CN" w:bidi="zh-CN"/>
              </w:rPr>
            </w:pPr>
            <w:r>
              <w:rPr>
                <w:rFonts w:hint="eastAsia" w:ascii="Times New Roman" w:hAnsi="Times New Roman" w:eastAsia="宋体" w:cs="Times New Roman"/>
                <w:b/>
                <w:bCs/>
                <w:color w:val="auto"/>
                <w:sz w:val="21"/>
                <w:szCs w:val="21"/>
                <w:highlight w:val="none"/>
                <w:lang w:val="en-US" w:eastAsia="zh-CN" w:bidi="zh-CN"/>
              </w:rPr>
              <w:t>表2-8 本项目用水量</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6"/>
              <w:gridCol w:w="1404"/>
              <w:gridCol w:w="791"/>
              <w:gridCol w:w="1077"/>
              <w:gridCol w:w="1132"/>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2760" w:type="dxa"/>
                  <w:gridSpan w:val="2"/>
                </w:tcPr>
                <w:p>
                  <w:pPr>
                    <w:pStyle w:val="3"/>
                    <w:keepNext w:val="0"/>
                    <w:keepLines w:val="0"/>
                    <w:pageBreakBefore w:val="0"/>
                    <w:kinsoku/>
                    <w:wordWrap/>
                    <w:overflowPunct/>
                    <w:topLinePunct w:val="0"/>
                    <w:autoSpaceDE w:val="0"/>
                    <w:autoSpaceDN w:val="0"/>
                    <w:bidi w:val="0"/>
                    <w:adjustRightInd/>
                    <w:snapToGrid/>
                    <w:spacing w:line="240" w:lineRule="auto"/>
                    <w:textAlignment w:val="auto"/>
                    <w:rPr>
                      <w:rFonts w:hint="eastAsia"/>
                      <w:sz w:val="21"/>
                      <w:szCs w:val="21"/>
                      <w:vertAlign w:val="baseline"/>
                    </w:rPr>
                  </w:pPr>
                  <w:r>
                    <w:rPr>
                      <w:rFonts w:hint="eastAsia"/>
                      <w:sz w:val="21"/>
                      <w:szCs w:val="21"/>
                      <w:vertAlign w:val="baseline"/>
                      <w:lang w:val="en-US" w:eastAsia="zh-CN"/>
                    </w:rPr>
                    <w:t>用水类型</w:t>
                  </w:r>
                </w:p>
              </w:tc>
              <w:tc>
                <w:tcPr>
                  <w:tcW w:w="791" w:type="dxa"/>
                </w:tcPr>
                <w:p>
                  <w:pPr>
                    <w:pStyle w:val="3"/>
                    <w:keepNext w:val="0"/>
                    <w:keepLines w:val="0"/>
                    <w:pageBreakBefore w:val="0"/>
                    <w:kinsoku/>
                    <w:wordWrap/>
                    <w:overflowPunct/>
                    <w:topLinePunct w:val="0"/>
                    <w:autoSpaceDE w:val="0"/>
                    <w:autoSpaceDN w:val="0"/>
                    <w:bidi w:val="0"/>
                    <w:adjustRightInd/>
                    <w:snapToGrid/>
                    <w:spacing w:line="240" w:lineRule="auto"/>
                    <w:ind w:left="0" w:leftChars="0" w:firstLine="0" w:firstLineChars="0"/>
                    <w:textAlignment w:val="auto"/>
                    <w:rPr>
                      <w:rFonts w:hint="eastAsia" w:eastAsia="宋体"/>
                      <w:sz w:val="21"/>
                      <w:szCs w:val="21"/>
                      <w:vertAlign w:val="baseline"/>
                      <w:lang w:val="en-US" w:eastAsia="zh-CN"/>
                    </w:rPr>
                  </w:pPr>
                  <w:r>
                    <w:rPr>
                      <w:rFonts w:hint="eastAsia"/>
                      <w:sz w:val="21"/>
                      <w:szCs w:val="21"/>
                      <w:vertAlign w:val="baseline"/>
                      <w:lang w:val="en-US" w:eastAsia="zh-CN"/>
                    </w:rPr>
                    <w:t>规模</w:t>
                  </w:r>
                </w:p>
              </w:tc>
              <w:tc>
                <w:tcPr>
                  <w:tcW w:w="1077" w:type="dxa"/>
                </w:tcPr>
                <w:p>
                  <w:pPr>
                    <w:pStyle w:val="3"/>
                    <w:keepNext w:val="0"/>
                    <w:keepLines w:val="0"/>
                    <w:pageBreakBefore w:val="0"/>
                    <w:kinsoku/>
                    <w:wordWrap/>
                    <w:overflowPunct/>
                    <w:topLinePunct w:val="0"/>
                    <w:autoSpaceDE w:val="0"/>
                    <w:autoSpaceDN w:val="0"/>
                    <w:bidi w:val="0"/>
                    <w:adjustRightInd/>
                    <w:snapToGrid/>
                    <w:spacing w:line="240" w:lineRule="auto"/>
                    <w:ind w:left="0" w:leftChars="0" w:firstLine="0" w:firstLineChars="0"/>
                    <w:textAlignment w:val="auto"/>
                    <w:rPr>
                      <w:rFonts w:hint="default" w:eastAsia="宋体"/>
                      <w:sz w:val="21"/>
                      <w:szCs w:val="21"/>
                      <w:vertAlign w:val="baseline"/>
                      <w:lang w:val="en-US" w:eastAsia="zh-CN"/>
                    </w:rPr>
                  </w:pPr>
                  <w:r>
                    <w:rPr>
                      <w:rFonts w:hint="eastAsia"/>
                      <w:sz w:val="21"/>
                      <w:szCs w:val="21"/>
                      <w:vertAlign w:val="baseline"/>
                      <w:lang w:val="en-US" w:eastAsia="zh-CN"/>
                    </w:rPr>
                    <w:t>日用水量（m</w:t>
                  </w:r>
                  <w:r>
                    <w:rPr>
                      <w:rFonts w:hint="eastAsia"/>
                      <w:sz w:val="21"/>
                      <w:szCs w:val="21"/>
                      <w:vertAlign w:val="superscript"/>
                      <w:lang w:val="en-US" w:eastAsia="zh-CN"/>
                    </w:rPr>
                    <w:t>3</w:t>
                  </w:r>
                  <w:r>
                    <w:rPr>
                      <w:rFonts w:hint="eastAsia"/>
                      <w:sz w:val="21"/>
                      <w:szCs w:val="21"/>
                      <w:vertAlign w:val="baseline"/>
                      <w:lang w:val="en-US" w:eastAsia="zh-CN"/>
                    </w:rPr>
                    <w:t>）</w:t>
                  </w:r>
                </w:p>
              </w:tc>
              <w:tc>
                <w:tcPr>
                  <w:tcW w:w="1132" w:type="dxa"/>
                </w:tcPr>
                <w:p>
                  <w:pPr>
                    <w:pStyle w:val="3"/>
                    <w:keepNext w:val="0"/>
                    <w:keepLines w:val="0"/>
                    <w:pageBreakBefore w:val="0"/>
                    <w:kinsoku/>
                    <w:wordWrap/>
                    <w:overflowPunct/>
                    <w:topLinePunct w:val="0"/>
                    <w:autoSpaceDE w:val="0"/>
                    <w:autoSpaceDN w:val="0"/>
                    <w:bidi w:val="0"/>
                    <w:adjustRightInd/>
                    <w:snapToGrid/>
                    <w:spacing w:line="240" w:lineRule="auto"/>
                    <w:ind w:left="0" w:leftChars="0" w:firstLine="0" w:firstLineChars="0"/>
                    <w:textAlignment w:val="auto"/>
                    <w:rPr>
                      <w:rFonts w:hint="eastAsia" w:eastAsia="宋体"/>
                      <w:sz w:val="21"/>
                      <w:szCs w:val="21"/>
                      <w:vertAlign w:val="baseline"/>
                      <w:lang w:val="en-US" w:eastAsia="zh-CN"/>
                    </w:rPr>
                  </w:pPr>
                  <w:r>
                    <w:rPr>
                      <w:rFonts w:hint="eastAsia"/>
                      <w:sz w:val="21"/>
                      <w:szCs w:val="21"/>
                      <w:vertAlign w:val="baseline"/>
                      <w:lang w:val="en-US" w:eastAsia="zh-CN"/>
                    </w:rPr>
                    <w:t>日排水量（m</w:t>
                  </w:r>
                  <w:r>
                    <w:rPr>
                      <w:rFonts w:hint="eastAsia"/>
                      <w:sz w:val="21"/>
                      <w:szCs w:val="21"/>
                      <w:vertAlign w:val="superscript"/>
                      <w:lang w:val="en-US" w:eastAsia="zh-CN"/>
                    </w:rPr>
                    <w:t>3</w:t>
                  </w:r>
                  <w:r>
                    <w:rPr>
                      <w:rFonts w:hint="eastAsia"/>
                      <w:sz w:val="21"/>
                      <w:szCs w:val="21"/>
                      <w:vertAlign w:val="baseline"/>
                      <w:lang w:val="en-US" w:eastAsia="zh-CN"/>
                    </w:rPr>
                    <w:t>）</w:t>
                  </w:r>
                </w:p>
              </w:tc>
              <w:tc>
                <w:tcPr>
                  <w:tcW w:w="2318" w:type="dxa"/>
                </w:tcPr>
                <w:p>
                  <w:pPr>
                    <w:pStyle w:val="3"/>
                    <w:keepNext w:val="0"/>
                    <w:keepLines w:val="0"/>
                    <w:pageBreakBefore w:val="0"/>
                    <w:kinsoku/>
                    <w:wordWrap/>
                    <w:overflowPunct/>
                    <w:topLinePunct w:val="0"/>
                    <w:autoSpaceDE w:val="0"/>
                    <w:autoSpaceDN w:val="0"/>
                    <w:bidi w:val="0"/>
                    <w:adjustRightInd/>
                    <w:snapToGrid/>
                    <w:spacing w:line="240" w:lineRule="auto"/>
                    <w:ind w:left="0" w:leftChars="0" w:firstLine="0" w:firstLineChars="0"/>
                    <w:textAlignment w:val="auto"/>
                    <w:rPr>
                      <w:rFonts w:hint="eastAsia" w:eastAsia="宋体"/>
                      <w:sz w:val="21"/>
                      <w:szCs w:val="21"/>
                      <w:vertAlign w:val="baseline"/>
                      <w:lang w:val="en-US" w:eastAsia="zh-CN"/>
                    </w:rPr>
                  </w:pPr>
                  <w:r>
                    <w:rPr>
                      <w:rFonts w:hint="eastAsia"/>
                      <w:sz w:val="21"/>
                      <w:szCs w:val="21"/>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356" w:type="dxa"/>
                  <w:vMerge w:val="restart"/>
                </w:tcPr>
                <w:p>
                  <w:pPr>
                    <w:pStyle w:val="3"/>
                    <w:keepNext w:val="0"/>
                    <w:keepLines w:val="0"/>
                    <w:pageBreakBefore w:val="0"/>
                    <w:kinsoku/>
                    <w:wordWrap/>
                    <w:overflowPunct/>
                    <w:topLinePunct w:val="0"/>
                    <w:autoSpaceDE w:val="0"/>
                    <w:autoSpaceDN w:val="0"/>
                    <w:bidi w:val="0"/>
                    <w:adjustRightInd/>
                    <w:snapToGrid/>
                    <w:spacing w:line="240" w:lineRule="auto"/>
                    <w:ind w:left="0" w:leftChars="0" w:firstLine="0" w:firstLineChars="0"/>
                    <w:textAlignment w:val="auto"/>
                    <w:rPr>
                      <w:rFonts w:hint="eastAsia" w:eastAsia="宋体"/>
                      <w:sz w:val="21"/>
                      <w:szCs w:val="21"/>
                      <w:vertAlign w:val="baseline"/>
                      <w:lang w:val="en-US" w:eastAsia="zh-CN"/>
                    </w:rPr>
                  </w:pPr>
                  <w:r>
                    <w:rPr>
                      <w:rFonts w:hint="eastAsia"/>
                      <w:sz w:val="21"/>
                      <w:szCs w:val="21"/>
                      <w:vertAlign w:val="baseline"/>
                      <w:lang w:val="en-US" w:eastAsia="zh-CN"/>
                    </w:rPr>
                    <w:t>生产用水</w:t>
                  </w:r>
                </w:p>
              </w:tc>
              <w:tc>
                <w:tcPr>
                  <w:tcW w:w="1404" w:type="dxa"/>
                </w:tcPr>
                <w:p>
                  <w:pPr>
                    <w:pStyle w:val="3"/>
                    <w:keepNext w:val="0"/>
                    <w:keepLines w:val="0"/>
                    <w:pageBreakBefore w:val="0"/>
                    <w:kinsoku/>
                    <w:wordWrap/>
                    <w:overflowPunct/>
                    <w:topLinePunct w:val="0"/>
                    <w:autoSpaceDE w:val="0"/>
                    <w:autoSpaceDN w:val="0"/>
                    <w:bidi w:val="0"/>
                    <w:adjustRightInd/>
                    <w:snapToGrid/>
                    <w:spacing w:line="240" w:lineRule="auto"/>
                    <w:ind w:left="0" w:leftChars="0" w:firstLine="0" w:firstLineChars="0"/>
                    <w:textAlignment w:val="auto"/>
                    <w:rPr>
                      <w:rFonts w:hint="eastAsia"/>
                      <w:sz w:val="21"/>
                      <w:szCs w:val="21"/>
                      <w:vertAlign w:val="baseline"/>
                      <w:lang w:val="en-US" w:eastAsia="zh-CN"/>
                    </w:rPr>
                  </w:pPr>
                  <w:r>
                    <w:rPr>
                      <w:rFonts w:hint="default"/>
                      <w:sz w:val="21"/>
                      <w:szCs w:val="21"/>
                      <w:vertAlign w:val="baseline"/>
                      <w:lang w:val="en-US" w:eastAsia="zh-CN"/>
                    </w:rPr>
                    <w:t>洒水降尘用水</w:t>
                  </w:r>
                </w:p>
              </w:tc>
              <w:tc>
                <w:tcPr>
                  <w:tcW w:w="791" w:type="dxa"/>
                </w:tcPr>
                <w:p>
                  <w:pPr>
                    <w:pStyle w:val="3"/>
                    <w:keepNext w:val="0"/>
                    <w:keepLines w:val="0"/>
                    <w:pageBreakBefore w:val="0"/>
                    <w:kinsoku/>
                    <w:wordWrap/>
                    <w:overflowPunct/>
                    <w:topLinePunct w:val="0"/>
                    <w:autoSpaceDE w:val="0"/>
                    <w:autoSpaceDN w:val="0"/>
                    <w:bidi w:val="0"/>
                    <w:adjustRightInd/>
                    <w:snapToGrid/>
                    <w:spacing w:line="240" w:lineRule="auto"/>
                    <w:ind w:left="0" w:leftChars="0" w:firstLine="0" w:firstLineChars="0"/>
                    <w:textAlignment w:val="auto"/>
                    <w:rPr>
                      <w:rFonts w:hint="eastAsia"/>
                      <w:sz w:val="21"/>
                      <w:szCs w:val="21"/>
                      <w:vertAlign w:val="baseline"/>
                    </w:rPr>
                  </w:pPr>
                  <w:r>
                    <w:rPr>
                      <w:rFonts w:hint="eastAsia" w:ascii="Times New Roman" w:hAnsi="Times New Roman" w:cs="Times New Roman"/>
                      <w:bCs/>
                      <w:snapToGrid w:val="0"/>
                      <w:kern w:val="0"/>
                      <w:sz w:val="21"/>
                      <w:szCs w:val="21"/>
                      <w:highlight w:val="none"/>
                      <w:lang w:val="en-US" w:eastAsia="zh-CN"/>
                    </w:rPr>
                    <w:t>540</w:t>
                  </w:r>
                  <w:r>
                    <w:rPr>
                      <w:rFonts w:hint="default" w:ascii="Times New Roman" w:hAnsi="Times New Roman" w:cs="Times New Roman"/>
                      <w:bCs/>
                      <w:snapToGrid w:val="0"/>
                      <w:kern w:val="0"/>
                      <w:sz w:val="21"/>
                      <w:szCs w:val="21"/>
                      <w:highlight w:val="none"/>
                    </w:rPr>
                    <w:t>m</w:t>
                  </w:r>
                  <w:r>
                    <w:rPr>
                      <w:rFonts w:hint="default" w:ascii="Times New Roman" w:hAnsi="Times New Roman" w:cs="Times New Roman"/>
                      <w:bCs/>
                      <w:snapToGrid w:val="0"/>
                      <w:kern w:val="0"/>
                      <w:sz w:val="21"/>
                      <w:szCs w:val="21"/>
                      <w:highlight w:val="none"/>
                      <w:vertAlign w:val="superscript"/>
                    </w:rPr>
                    <w:t>3</w:t>
                  </w:r>
                </w:p>
              </w:tc>
              <w:tc>
                <w:tcPr>
                  <w:tcW w:w="1077" w:type="dxa"/>
                </w:tcPr>
                <w:p>
                  <w:pPr>
                    <w:pStyle w:val="3"/>
                    <w:keepNext w:val="0"/>
                    <w:keepLines w:val="0"/>
                    <w:pageBreakBefore w:val="0"/>
                    <w:kinsoku/>
                    <w:wordWrap/>
                    <w:overflowPunct/>
                    <w:topLinePunct w:val="0"/>
                    <w:autoSpaceDE w:val="0"/>
                    <w:autoSpaceDN w:val="0"/>
                    <w:bidi w:val="0"/>
                    <w:adjustRightInd/>
                    <w:snapToGrid/>
                    <w:spacing w:line="240" w:lineRule="auto"/>
                    <w:textAlignment w:val="auto"/>
                    <w:rPr>
                      <w:rFonts w:hint="eastAsia" w:eastAsia="宋体"/>
                      <w:sz w:val="21"/>
                      <w:szCs w:val="21"/>
                      <w:vertAlign w:val="baseline"/>
                      <w:lang w:val="en-US" w:eastAsia="zh-CN"/>
                    </w:rPr>
                  </w:pPr>
                  <w:r>
                    <w:rPr>
                      <w:rFonts w:hint="eastAsia"/>
                      <w:sz w:val="21"/>
                      <w:szCs w:val="21"/>
                      <w:vertAlign w:val="baseline"/>
                      <w:lang w:val="en-US" w:eastAsia="zh-CN"/>
                    </w:rPr>
                    <w:t>5</w:t>
                  </w:r>
                </w:p>
              </w:tc>
              <w:tc>
                <w:tcPr>
                  <w:tcW w:w="1132" w:type="dxa"/>
                </w:tcPr>
                <w:p>
                  <w:pPr>
                    <w:pStyle w:val="3"/>
                    <w:keepNext w:val="0"/>
                    <w:keepLines w:val="0"/>
                    <w:pageBreakBefore w:val="0"/>
                    <w:kinsoku/>
                    <w:wordWrap/>
                    <w:overflowPunct/>
                    <w:topLinePunct w:val="0"/>
                    <w:autoSpaceDE w:val="0"/>
                    <w:autoSpaceDN w:val="0"/>
                    <w:bidi w:val="0"/>
                    <w:adjustRightInd/>
                    <w:snapToGrid/>
                    <w:spacing w:line="240" w:lineRule="auto"/>
                    <w:ind w:left="0" w:leftChars="0" w:firstLine="0" w:firstLineChars="0"/>
                    <w:textAlignment w:val="auto"/>
                    <w:rPr>
                      <w:rFonts w:hint="eastAsia" w:eastAsia="宋体"/>
                      <w:sz w:val="21"/>
                      <w:szCs w:val="21"/>
                      <w:vertAlign w:val="baseline"/>
                      <w:lang w:val="en-US" w:eastAsia="zh-CN"/>
                    </w:rPr>
                  </w:pPr>
                  <w:r>
                    <w:rPr>
                      <w:rFonts w:hint="eastAsia"/>
                      <w:sz w:val="21"/>
                      <w:szCs w:val="21"/>
                      <w:vertAlign w:val="baseline"/>
                      <w:lang w:val="en-US" w:eastAsia="zh-CN"/>
                    </w:rPr>
                    <w:t>0</w:t>
                  </w:r>
                </w:p>
              </w:tc>
              <w:tc>
                <w:tcPr>
                  <w:tcW w:w="2318" w:type="dxa"/>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auto"/>
                  </w:pPr>
                  <w:r>
                    <w:rPr>
                      <w:rFonts w:hint="eastAsia" w:ascii="宋体" w:hAnsi="宋体" w:eastAsia="宋体" w:cs="宋体"/>
                      <w:color w:val="000000"/>
                      <w:kern w:val="0"/>
                      <w:sz w:val="20"/>
                      <w:szCs w:val="20"/>
                      <w:lang w:val="en-US" w:eastAsia="zh-CN" w:bidi="ar"/>
                    </w:rPr>
                    <w:t>全部蒸发、损耗</w:t>
                  </w:r>
                </w:p>
                <w:p>
                  <w:pPr>
                    <w:pStyle w:val="3"/>
                    <w:keepNext w:val="0"/>
                    <w:keepLines w:val="0"/>
                    <w:pageBreakBefore w:val="0"/>
                    <w:kinsoku/>
                    <w:wordWrap/>
                    <w:overflowPunct/>
                    <w:topLinePunct w:val="0"/>
                    <w:autoSpaceDE w:val="0"/>
                    <w:autoSpaceDN w:val="0"/>
                    <w:bidi w:val="0"/>
                    <w:adjustRightInd/>
                    <w:snapToGrid/>
                    <w:spacing w:line="240" w:lineRule="auto"/>
                    <w:textAlignment w:val="auto"/>
                    <w:rPr>
                      <w:rFonts w:hint="eastAsia"/>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356" w:type="dxa"/>
                  <w:vMerge w:val="continue"/>
                </w:tcPr>
                <w:p>
                  <w:pPr>
                    <w:pStyle w:val="3"/>
                    <w:keepNext w:val="0"/>
                    <w:keepLines w:val="0"/>
                    <w:pageBreakBefore w:val="0"/>
                    <w:kinsoku/>
                    <w:wordWrap/>
                    <w:overflowPunct/>
                    <w:topLinePunct w:val="0"/>
                    <w:autoSpaceDE w:val="0"/>
                    <w:autoSpaceDN w:val="0"/>
                    <w:bidi w:val="0"/>
                    <w:adjustRightInd/>
                    <w:snapToGrid/>
                    <w:spacing w:line="240" w:lineRule="auto"/>
                    <w:textAlignment w:val="auto"/>
                    <w:rPr>
                      <w:rFonts w:hint="eastAsia"/>
                      <w:sz w:val="21"/>
                      <w:szCs w:val="21"/>
                      <w:vertAlign w:val="baseline"/>
                    </w:rPr>
                  </w:pPr>
                </w:p>
              </w:tc>
              <w:tc>
                <w:tcPr>
                  <w:tcW w:w="1404" w:type="dxa"/>
                </w:tcPr>
                <w:p>
                  <w:pPr>
                    <w:pStyle w:val="3"/>
                    <w:keepNext w:val="0"/>
                    <w:keepLines w:val="0"/>
                    <w:pageBreakBefore w:val="0"/>
                    <w:kinsoku/>
                    <w:wordWrap/>
                    <w:overflowPunct/>
                    <w:topLinePunct w:val="0"/>
                    <w:autoSpaceDE w:val="0"/>
                    <w:autoSpaceDN w:val="0"/>
                    <w:bidi w:val="0"/>
                    <w:adjustRightInd/>
                    <w:snapToGrid/>
                    <w:spacing w:line="240" w:lineRule="auto"/>
                    <w:ind w:left="0" w:leftChars="0" w:firstLine="0" w:firstLineChars="0"/>
                    <w:textAlignment w:val="auto"/>
                    <w:rPr>
                      <w:rFonts w:hint="eastAsia"/>
                      <w:sz w:val="21"/>
                      <w:szCs w:val="21"/>
                      <w:vertAlign w:val="baseline"/>
                    </w:rPr>
                  </w:pPr>
                  <w:r>
                    <w:rPr>
                      <w:rFonts w:hint="default" w:eastAsia="宋体"/>
                      <w:sz w:val="21"/>
                      <w:szCs w:val="21"/>
                      <w:vertAlign w:val="baseline"/>
                      <w:lang w:val="en-US" w:eastAsia="zh-CN"/>
                    </w:rPr>
                    <w:t>加湿器</w:t>
                  </w:r>
                </w:p>
              </w:tc>
              <w:tc>
                <w:tcPr>
                  <w:tcW w:w="791" w:type="dxa"/>
                </w:tcPr>
                <w:p>
                  <w:pPr>
                    <w:pStyle w:val="3"/>
                    <w:keepNext w:val="0"/>
                    <w:keepLines w:val="0"/>
                    <w:pageBreakBefore w:val="0"/>
                    <w:kinsoku/>
                    <w:wordWrap/>
                    <w:overflowPunct/>
                    <w:topLinePunct w:val="0"/>
                    <w:autoSpaceDE w:val="0"/>
                    <w:autoSpaceDN w:val="0"/>
                    <w:bidi w:val="0"/>
                    <w:adjustRightInd/>
                    <w:snapToGrid/>
                    <w:spacing w:line="240" w:lineRule="auto"/>
                    <w:ind w:left="0" w:leftChars="0" w:firstLine="0" w:firstLineChars="0"/>
                    <w:textAlignment w:val="auto"/>
                    <w:rPr>
                      <w:rFonts w:hint="default" w:eastAsia="宋体"/>
                      <w:sz w:val="21"/>
                      <w:szCs w:val="21"/>
                      <w:vertAlign w:val="baseline"/>
                      <w:lang w:val="en-US" w:eastAsia="zh-CN"/>
                    </w:rPr>
                  </w:pPr>
                  <w:r>
                    <w:rPr>
                      <w:rFonts w:hint="eastAsia"/>
                      <w:sz w:val="21"/>
                      <w:szCs w:val="21"/>
                      <w:vertAlign w:val="baseline"/>
                      <w:lang w:val="en-US" w:eastAsia="zh-CN"/>
                    </w:rPr>
                    <w:t>54</w:t>
                  </w:r>
                  <w:r>
                    <w:rPr>
                      <w:rFonts w:hint="default" w:ascii="Times New Roman" w:hAnsi="Times New Roman" w:cs="Times New Roman"/>
                      <w:bCs/>
                      <w:snapToGrid w:val="0"/>
                      <w:kern w:val="0"/>
                      <w:sz w:val="21"/>
                      <w:szCs w:val="21"/>
                      <w:highlight w:val="none"/>
                    </w:rPr>
                    <w:t>m</w:t>
                  </w:r>
                  <w:r>
                    <w:rPr>
                      <w:rFonts w:hint="default" w:ascii="Times New Roman" w:hAnsi="Times New Roman" w:cs="Times New Roman"/>
                      <w:bCs/>
                      <w:snapToGrid w:val="0"/>
                      <w:kern w:val="0"/>
                      <w:sz w:val="21"/>
                      <w:szCs w:val="21"/>
                      <w:highlight w:val="none"/>
                      <w:vertAlign w:val="superscript"/>
                    </w:rPr>
                    <w:t>3</w:t>
                  </w:r>
                </w:p>
              </w:tc>
              <w:tc>
                <w:tcPr>
                  <w:tcW w:w="1077" w:type="dxa"/>
                </w:tcPr>
                <w:p>
                  <w:pPr>
                    <w:pStyle w:val="3"/>
                    <w:keepNext w:val="0"/>
                    <w:keepLines w:val="0"/>
                    <w:pageBreakBefore w:val="0"/>
                    <w:kinsoku/>
                    <w:wordWrap/>
                    <w:overflowPunct/>
                    <w:topLinePunct w:val="0"/>
                    <w:autoSpaceDE w:val="0"/>
                    <w:autoSpaceDN w:val="0"/>
                    <w:bidi w:val="0"/>
                    <w:adjustRightInd/>
                    <w:snapToGrid/>
                    <w:spacing w:line="240" w:lineRule="auto"/>
                    <w:textAlignment w:val="auto"/>
                    <w:rPr>
                      <w:rFonts w:hint="default" w:eastAsia="宋体"/>
                      <w:sz w:val="21"/>
                      <w:szCs w:val="21"/>
                      <w:vertAlign w:val="baseline"/>
                      <w:lang w:val="en-US" w:eastAsia="zh-CN"/>
                    </w:rPr>
                  </w:pPr>
                  <w:r>
                    <w:rPr>
                      <w:rFonts w:hint="eastAsia"/>
                      <w:sz w:val="21"/>
                      <w:szCs w:val="21"/>
                      <w:vertAlign w:val="baseline"/>
                      <w:lang w:val="en-US" w:eastAsia="zh-CN"/>
                    </w:rPr>
                    <w:t>0.5</w:t>
                  </w:r>
                </w:p>
              </w:tc>
              <w:tc>
                <w:tcPr>
                  <w:tcW w:w="1132" w:type="dxa"/>
                </w:tcPr>
                <w:p>
                  <w:pPr>
                    <w:pStyle w:val="3"/>
                    <w:keepNext w:val="0"/>
                    <w:keepLines w:val="0"/>
                    <w:pageBreakBefore w:val="0"/>
                    <w:kinsoku/>
                    <w:wordWrap/>
                    <w:overflowPunct/>
                    <w:topLinePunct w:val="0"/>
                    <w:autoSpaceDE w:val="0"/>
                    <w:autoSpaceDN w:val="0"/>
                    <w:bidi w:val="0"/>
                    <w:adjustRightInd/>
                    <w:snapToGrid/>
                    <w:spacing w:line="240" w:lineRule="auto"/>
                    <w:ind w:left="0" w:leftChars="0" w:firstLine="0" w:firstLineChars="0"/>
                    <w:textAlignment w:val="auto"/>
                    <w:rPr>
                      <w:rFonts w:hint="eastAsia" w:eastAsia="宋体"/>
                      <w:sz w:val="21"/>
                      <w:szCs w:val="21"/>
                      <w:vertAlign w:val="baseline"/>
                      <w:lang w:val="en-US" w:eastAsia="zh-CN"/>
                    </w:rPr>
                  </w:pPr>
                  <w:r>
                    <w:rPr>
                      <w:rFonts w:hint="eastAsia"/>
                      <w:sz w:val="21"/>
                      <w:szCs w:val="21"/>
                      <w:vertAlign w:val="baseline"/>
                      <w:lang w:val="en-US" w:eastAsia="zh-CN"/>
                    </w:rPr>
                    <w:t>0</w:t>
                  </w:r>
                </w:p>
              </w:tc>
              <w:tc>
                <w:tcPr>
                  <w:tcW w:w="2318" w:type="dxa"/>
                </w:tcPr>
                <w:p>
                  <w:pPr>
                    <w:pStyle w:val="3"/>
                    <w:keepNext w:val="0"/>
                    <w:keepLines w:val="0"/>
                    <w:pageBreakBefore w:val="0"/>
                    <w:kinsoku/>
                    <w:wordWrap/>
                    <w:overflowPunct/>
                    <w:topLinePunct w:val="0"/>
                    <w:autoSpaceDE w:val="0"/>
                    <w:autoSpaceDN w:val="0"/>
                    <w:bidi w:val="0"/>
                    <w:adjustRightInd/>
                    <w:snapToGrid/>
                    <w:spacing w:line="240" w:lineRule="auto"/>
                    <w:ind w:left="0" w:leftChars="0" w:firstLine="0" w:firstLineChars="0"/>
                    <w:textAlignment w:val="auto"/>
                    <w:rPr>
                      <w:rFonts w:hint="eastAsia"/>
                      <w:sz w:val="21"/>
                      <w:szCs w:val="21"/>
                      <w:vertAlign w:val="baseline"/>
                    </w:rPr>
                  </w:pPr>
                  <w:r>
                    <w:rPr>
                      <w:rFonts w:hint="default" w:ascii="宋体" w:hAnsi="宋体" w:eastAsia="宋体" w:cs="宋体"/>
                      <w:color w:val="000000"/>
                      <w:kern w:val="0"/>
                      <w:sz w:val="20"/>
                      <w:szCs w:val="20"/>
                      <w:lang w:val="en-US" w:eastAsia="zh-CN" w:bidi="ar"/>
                    </w:rPr>
                    <w:t>一部分蒸发，一部分随除尘灰外运，不外排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356" w:type="dxa"/>
                  <w:vMerge w:val="continue"/>
                </w:tcPr>
                <w:p>
                  <w:pPr>
                    <w:pStyle w:val="3"/>
                    <w:keepNext w:val="0"/>
                    <w:keepLines w:val="0"/>
                    <w:pageBreakBefore w:val="0"/>
                    <w:kinsoku/>
                    <w:wordWrap/>
                    <w:overflowPunct/>
                    <w:topLinePunct w:val="0"/>
                    <w:autoSpaceDE w:val="0"/>
                    <w:autoSpaceDN w:val="0"/>
                    <w:bidi w:val="0"/>
                    <w:adjustRightInd/>
                    <w:snapToGrid/>
                    <w:spacing w:line="240" w:lineRule="auto"/>
                    <w:textAlignment w:val="auto"/>
                    <w:rPr>
                      <w:rFonts w:hint="eastAsia"/>
                      <w:sz w:val="21"/>
                      <w:szCs w:val="21"/>
                      <w:vertAlign w:val="baseline"/>
                    </w:rPr>
                  </w:pPr>
                </w:p>
              </w:tc>
              <w:tc>
                <w:tcPr>
                  <w:tcW w:w="1404" w:type="dxa"/>
                </w:tcPr>
                <w:p>
                  <w:pPr>
                    <w:pStyle w:val="3"/>
                    <w:keepNext w:val="0"/>
                    <w:keepLines w:val="0"/>
                    <w:pageBreakBefore w:val="0"/>
                    <w:kinsoku/>
                    <w:wordWrap/>
                    <w:overflowPunct/>
                    <w:topLinePunct w:val="0"/>
                    <w:autoSpaceDE w:val="0"/>
                    <w:autoSpaceDN w:val="0"/>
                    <w:bidi w:val="0"/>
                    <w:adjustRightInd/>
                    <w:snapToGrid/>
                    <w:spacing w:line="240" w:lineRule="auto"/>
                    <w:ind w:left="0" w:leftChars="0" w:firstLine="0" w:firstLineChars="0"/>
                    <w:textAlignment w:val="auto"/>
                    <w:rPr>
                      <w:rFonts w:hint="default" w:eastAsia="宋体"/>
                      <w:sz w:val="21"/>
                      <w:szCs w:val="21"/>
                      <w:vertAlign w:val="baseline"/>
                      <w:lang w:val="en-US" w:eastAsia="zh-CN"/>
                    </w:rPr>
                  </w:pPr>
                  <w:r>
                    <w:rPr>
                      <w:rFonts w:hint="eastAsia"/>
                      <w:sz w:val="21"/>
                      <w:szCs w:val="21"/>
                      <w:vertAlign w:val="baseline"/>
                      <w:lang w:val="en-US" w:eastAsia="zh-CN"/>
                    </w:rPr>
                    <w:t>喷淋洗涤塔</w:t>
                  </w:r>
                </w:p>
              </w:tc>
              <w:tc>
                <w:tcPr>
                  <w:tcW w:w="791" w:type="dxa"/>
                </w:tcPr>
                <w:p>
                  <w:pPr>
                    <w:pStyle w:val="3"/>
                    <w:keepNext w:val="0"/>
                    <w:keepLines w:val="0"/>
                    <w:pageBreakBefore w:val="0"/>
                    <w:kinsoku/>
                    <w:wordWrap/>
                    <w:overflowPunct/>
                    <w:topLinePunct w:val="0"/>
                    <w:autoSpaceDE w:val="0"/>
                    <w:autoSpaceDN w:val="0"/>
                    <w:bidi w:val="0"/>
                    <w:adjustRightInd/>
                    <w:snapToGrid/>
                    <w:spacing w:line="240" w:lineRule="auto"/>
                    <w:ind w:left="0" w:leftChars="0" w:firstLine="0" w:firstLineChars="0"/>
                    <w:textAlignment w:val="auto"/>
                    <w:rPr>
                      <w:rFonts w:hint="default"/>
                      <w:sz w:val="21"/>
                      <w:szCs w:val="21"/>
                      <w:vertAlign w:val="baseline"/>
                      <w:lang w:val="en-US" w:eastAsia="zh-CN"/>
                    </w:rPr>
                  </w:pPr>
                  <w:r>
                    <w:rPr>
                      <w:rFonts w:hint="eastAsia"/>
                      <w:sz w:val="21"/>
                      <w:szCs w:val="21"/>
                      <w:vertAlign w:val="baseline"/>
                      <w:lang w:val="en-US" w:eastAsia="zh-CN"/>
                    </w:rPr>
                    <w:t>208</w:t>
                  </w:r>
                  <w:r>
                    <w:rPr>
                      <w:rFonts w:hint="default" w:ascii="Times New Roman" w:hAnsi="Times New Roman" w:cs="Times New Roman"/>
                      <w:bCs/>
                      <w:snapToGrid w:val="0"/>
                      <w:kern w:val="0"/>
                      <w:sz w:val="21"/>
                      <w:szCs w:val="21"/>
                      <w:highlight w:val="none"/>
                    </w:rPr>
                    <w:t>m</w:t>
                  </w:r>
                  <w:r>
                    <w:rPr>
                      <w:rFonts w:hint="default" w:ascii="Times New Roman" w:hAnsi="Times New Roman" w:cs="Times New Roman"/>
                      <w:bCs/>
                      <w:snapToGrid w:val="0"/>
                      <w:kern w:val="0"/>
                      <w:sz w:val="21"/>
                      <w:szCs w:val="21"/>
                      <w:highlight w:val="none"/>
                      <w:vertAlign w:val="superscript"/>
                    </w:rPr>
                    <w:t>3</w:t>
                  </w:r>
                </w:p>
              </w:tc>
              <w:tc>
                <w:tcPr>
                  <w:tcW w:w="1077" w:type="dxa"/>
                </w:tcPr>
                <w:p>
                  <w:pPr>
                    <w:pStyle w:val="3"/>
                    <w:keepNext w:val="0"/>
                    <w:keepLines w:val="0"/>
                    <w:pageBreakBefore w:val="0"/>
                    <w:kinsoku/>
                    <w:wordWrap/>
                    <w:overflowPunct/>
                    <w:topLinePunct w:val="0"/>
                    <w:autoSpaceDE w:val="0"/>
                    <w:autoSpaceDN w:val="0"/>
                    <w:bidi w:val="0"/>
                    <w:adjustRightInd/>
                    <w:snapToGrid/>
                    <w:spacing w:line="240" w:lineRule="auto"/>
                    <w:textAlignment w:val="auto"/>
                    <w:rPr>
                      <w:rFonts w:hint="default"/>
                      <w:sz w:val="21"/>
                      <w:szCs w:val="21"/>
                      <w:vertAlign w:val="baseline"/>
                      <w:lang w:val="en-US" w:eastAsia="zh-CN"/>
                    </w:rPr>
                  </w:pPr>
                  <w:r>
                    <w:rPr>
                      <w:rFonts w:hint="eastAsia"/>
                      <w:sz w:val="21"/>
                      <w:szCs w:val="21"/>
                      <w:vertAlign w:val="baseline"/>
                      <w:lang w:val="en-US" w:eastAsia="zh-CN"/>
                    </w:rPr>
                    <w:t>0.6</w:t>
                  </w:r>
                </w:p>
              </w:tc>
              <w:tc>
                <w:tcPr>
                  <w:tcW w:w="1132" w:type="dxa"/>
                </w:tcPr>
                <w:p>
                  <w:pPr>
                    <w:pStyle w:val="3"/>
                    <w:keepNext w:val="0"/>
                    <w:keepLines w:val="0"/>
                    <w:pageBreakBefore w:val="0"/>
                    <w:kinsoku/>
                    <w:wordWrap/>
                    <w:overflowPunct/>
                    <w:topLinePunct w:val="0"/>
                    <w:autoSpaceDE w:val="0"/>
                    <w:autoSpaceDN w:val="0"/>
                    <w:bidi w:val="0"/>
                    <w:adjustRightInd/>
                    <w:snapToGrid/>
                    <w:spacing w:line="240" w:lineRule="auto"/>
                    <w:ind w:left="0" w:leftChars="0" w:firstLine="0" w:firstLineChars="0"/>
                    <w:textAlignment w:val="auto"/>
                    <w:rPr>
                      <w:rFonts w:hint="default"/>
                      <w:sz w:val="21"/>
                      <w:szCs w:val="21"/>
                      <w:vertAlign w:val="baseline"/>
                      <w:lang w:val="en-US" w:eastAsia="zh-CN"/>
                    </w:rPr>
                  </w:pPr>
                  <w:r>
                    <w:rPr>
                      <w:rFonts w:hint="eastAsia"/>
                      <w:sz w:val="21"/>
                      <w:szCs w:val="21"/>
                      <w:vertAlign w:val="baseline"/>
                      <w:lang w:val="en-US" w:eastAsia="zh-CN"/>
                    </w:rPr>
                    <w:t>0.6</w:t>
                  </w:r>
                </w:p>
              </w:tc>
              <w:tc>
                <w:tcPr>
                  <w:tcW w:w="2318" w:type="dxa"/>
                </w:tcPr>
                <w:p>
                  <w:pPr>
                    <w:pStyle w:val="3"/>
                    <w:keepNext w:val="0"/>
                    <w:keepLines w:val="0"/>
                    <w:pageBreakBefore w:val="0"/>
                    <w:kinsoku/>
                    <w:wordWrap/>
                    <w:overflowPunct/>
                    <w:topLinePunct w:val="0"/>
                    <w:autoSpaceDE w:val="0"/>
                    <w:autoSpaceDN w:val="0"/>
                    <w:bidi w:val="0"/>
                    <w:adjustRightInd/>
                    <w:snapToGrid/>
                    <w:spacing w:line="240" w:lineRule="auto"/>
                    <w:ind w:left="0" w:leftChars="0" w:firstLine="0" w:firstLineChars="0"/>
                    <w:textAlignment w:val="auto"/>
                    <w:rPr>
                      <w:rFonts w:hint="default" w:ascii="宋体" w:hAnsi="宋体" w:eastAsia="宋体" w:cs="宋体"/>
                      <w:color w:val="000000"/>
                      <w:kern w:val="0"/>
                      <w:sz w:val="20"/>
                      <w:szCs w:val="20"/>
                      <w:lang w:val="en-US" w:eastAsia="zh-CN" w:bidi="ar"/>
                    </w:rPr>
                  </w:pPr>
                  <w:r>
                    <w:rPr>
                      <w:rFonts w:hint="default" w:ascii="宋体" w:hAnsi="宋体" w:eastAsia="宋体" w:cs="宋体"/>
                      <w:color w:val="000000"/>
                      <w:kern w:val="0"/>
                      <w:sz w:val="20"/>
                      <w:szCs w:val="20"/>
                      <w:lang w:val="en-US" w:eastAsia="zh-CN" w:bidi="ar"/>
                    </w:rPr>
                    <w:t>一部分蒸发，</w:t>
                  </w:r>
                  <w:r>
                    <w:rPr>
                      <w:rFonts w:hint="eastAsia" w:ascii="宋体" w:hAnsi="宋体" w:cs="宋体"/>
                      <w:color w:val="000000"/>
                      <w:kern w:val="0"/>
                      <w:sz w:val="20"/>
                      <w:szCs w:val="20"/>
                      <w:lang w:val="en-US" w:eastAsia="zh-CN" w:bidi="ar"/>
                    </w:rPr>
                    <w:t>一部分回用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1356" w:type="dxa"/>
                </w:tcPr>
                <w:p>
                  <w:pPr>
                    <w:pStyle w:val="3"/>
                    <w:keepNext w:val="0"/>
                    <w:keepLines w:val="0"/>
                    <w:pageBreakBefore w:val="0"/>
                    <w:kinsoku/>
                    <w:wordWrap/>
                    <w:overflowPunct/>
                    <w:topLinePunct w:val="0"/>
                    <w:autoSpaceDE w:val="0"/>
                    <w:autoSpaceDN w:val="0"/>
                    <w:bidi w:val="0"/>
                    <w:adjustRightInd/>
                    <w:snapToGrid/>
                    <w:spacing w:line="240" w:lineRule="auto"/>
                    <w:ind w:left="0" w:leftChars="0" w:firstLine="0" w:firstLineChars="0"/>
                    <w:textAlignment w:val="auto"/>
                    <w:rPr>
                      <w:rFonts w:hint="eastAsia"/>
                      <w:sz w:val="21"/>
                      <w:szCs w:val="21"/>
                      <w:vertAlign w:val="baseline"/>
                    </w:rPr>
                  </w:pPr>
                  <w:r>
                    <w:rPr>
                      <w:rFonts w:hint="eastAsia"/>
                      <w:sz w:val="21"/>
                      <w:szCs w:val="21"/>
                      <w:vertAlign w:val="baseline"/>
                      <w:lang w:val="en-US" w:eastAsia="zh-CN"/>
                    </w:rPr>
                    <w:t>生活用水</w:t>
                  </w:r>
                </w:p>
              </w:tc>
              <w:tc>
                <w:tcPr>
                  <w:tcW w:w="1404" w:type="dxa"/>
                </w:tcPr>
                <w:p>
                  <w:pPr>
                    <w:pStyle w:val="3"/>
                    <w:keepNext w:val="0"/>
                    <w:keepLines w:val="0"/>
                    <w:pageBreakBefore w:val="0"/>
                    <w:kinsoku/>
                    <w:wordWrap/>
                    <w:overflowPunct/>
                    <w:topLinePunct w:val="0"/>
                    <w:autoSpaceDE w:val="0"/>
                    <w:autoSpaceDN w:val="0"/>
                    <w:bidi w:val="0"/>
                    <w:adjustRightInd/>
                    <w:snapToGrid/>
                    <w:spacing w:line="240" w:lineRule="auto"/>
                    <w:ind w:left="0" w:leftChars="0" w:firstLine="0" w:firstLineChars="0"/>
                    <w:textAlignment w:val="auto"/>
                    <w:rPr>
                      <w:rFonts w:hint="default" w:eastAsia="宋体"/>
                      <w:sz w:val="21"/>
                      <w:szCs w:val="21"/>
                      <w:vertAlign w:val="baseline"/>
                      <w:lang w:val="en-US" w:eastAsia="zh-CN"/>
                    </w:rPr>
                  </w:pPr>
                  <w:r>
                    <w:rPr>
                      <w:rFonts w:hint="eastAsia"/>
                      <w:sz w:val="21"/>
                      <w:szCs w:val="21"/>
                      <w:vertAlign w:val="baseline"/>
                      <w:lang w:val="en-US" w:eastAsia="zh-CN"/>
                    </w:rPr>
                    <w:t>生活用水</w:t>
                  </w:r>
                </w:p>
              </w:tc>
              <w:tc>
                <w:tcPr>
                  <w:tcW w:w="791" w:type="dxa"/>
                </w:tcPr>
                <w:p>
                  <w:pPr>
                    <w:pStyle w:val="3"/>
                    <w:keepNext w:val="0"/>
                    <w:keepLines w:val="0"/>
                    <w:pageBreakBefore w:val="0"/>
                    <w:kinsoku/>
                    <w:wordWrap/>
                    <w:overflowPunct/>
                    <w:topLinePunct w:val="0"/>
                    <w:autoSpaceDE w:val="0"/>
                    <w:autoSpaceDN w:val="0"/>
                    <w:bidi w:val="0"/>
                    <w:adjustRightInd/>
                    <w:snapToGrid/>
                    <w:spacing w:line="240" w:lineRule="auto"/>
                    <w:ind w:left="0" w:leftChars="0" w:firstLine="0" w:firstLineChars="0"/>
                    <w:textAlignment w:val="auto"/>
                    <w:rPr>
                      <w:rFonts w:hint="default" w:eastAsia="宋体"/>
                      <w:sz w:val="21"/>
                      <w:szCs w:val="21"/>
                      <w:vertAlign w:val="baseline"/>
                      <w:lang w:val="en-US" w:eastAsia="zh-CN"/>
                    </w:rPr>
                  </w:pPr>
                  <w:r>
                    <w:rPr>
                      <w:rFonts w:hint="eastAsia"/>
                      <w:sz w:val="21"/>
                      <w:szCs w:val="21"/>
                      <w:vertAlign w:val="baseline"/>
                      <w:lang w:val="en-US" w:eastAsia="zh-CN"/>
                    </w:rPr>
                    <w:t>180</w:t>
                  </w:r>
                  <w:r>
                    <w:rPr>
                      <w:rFonts w:hint="default" w:ascii="Times New Roman" w:hAnsi="Times New Roman" w:cs="Times New Roman"/>
                      <w:bCs/>
                      <w:snapToGrid w:val="0"/>
                      <w:kern w:val="0"/>
                      <w:sz w:val="21"/>
                      <w:szCs w:val="21"/>
                      <w:highlight w:val="none"/>
                    </w:rPr>
                    <w:t>m</w:t>
                  </w:r>
                  <w:r>
                    <w:rPr>
                      <w:rFonts w:hint="default" w:ascii="Times New Roman" w:hAnsi="Times New Roman" w:cs="Times New Roman"/>
                      <w:bCs/>
                      <w:snapToGrid w:val="0"/>
                      <w:kern w:val="0"/>
                      <w:sz w:val="21"/>
                      <w:szCs w:val="21"/>
                      <w:highlight w:val="none"/>
                      <w:vertAlign w:val="superscript"/>
                    </w:rPr>
                    <w:t>3</w:t>
                  </w:r>
                </w:p>
              </w:tc>
              <w:tc>
                <w:tcPr>
                  <w:tcW w:w="1077" w:type="dxa"/>
                </w:tcPr>
                <w:p>
                  <w:pPr>
                    <w:pStyle w:val="3"/>
                    <w:keepNext w:val="0"/>
                    <w:keepLines w:val="0"/>
                    <w:pageBreakBefore w:val="0"/>
                    <w:kinsoku/>
                    <w:wordWrap/>
                    <w:overflowPunct/>
                    <w:topLinePunct w:val="0"/>
                    <w:autoSpaceDE w:val="0"/>
                    <w:autoSpaceDN w:val="0"/>
                    <w:bidi w:val="0"/>
                    <w:adjustRightInd/>
                    <w:snapToGrid/>
                    <w:spacing w:line="240" w:lineRule="auto"/>
                    <w:textAlignment w:val="auto"/>
                    <w:rPr>
                      <w:rFonts w:hint="eastAsia" w:eastAsia="宋体"/>
                      <w:sz w:val="21"/>
                      <w:szCs w:val="21"/>
                      <w:vertAlign w:val="baseline"/>
                      <w:lang w:val="en-US" w:eastAsia="zh-CN"/>
                    </w:rPr>
                  </w:pPr>
                  <w:r>
                    <w:rPr>
                      <w:rFonts w:hint="eastAsia"/>
                      <w:sz w:val="21"/>
                      <w:szCs w:val="21"/>
                      <w:vertAlign w:val="baseline"/>
                      <w:lang w:val="en-US" w:eastAsia="zh-CN"/>
                    </w:rPr>
                    <w:t>1</w:t>
                  </w:r>
                </w:p>
              </w:tc>
              <w:tc>
                <w:tcPr>
                  <w:tcW w:w="1132" w:type="dxa"/>
                </w:tcPr>
                <w:p>
                  <w:pPr>
                    <w:pStyle w:val="3"/>
                    <w:keepNext w:val="0"/>
                    <w:keepLines w:val="0"/>
                    <w:pageBreakBefore w:val="0"/>
                    <w:kinsoku/>
                    <w:wordWrap/>
                    <w:overflowPunct/>
                    <w:topLinePunct w:val="0"/>
                    <w:autoSpaceDE w:val="0"/>
                    <w:autoSpaceDN w:val="0"/>
                    <w:bidi w:val="0"/>
                    <w:adjustRightInd/>
                    <w:snapToGrid/>
                    <w:spacing w:line="240" w:lineRule="auto"/>
                    <w:ind w:left="0" w:leftChars="0" w:firstLine="0" w:firstLineChars="0"/>
                    <w:textAlignment w:val="auto"/>
                    <w:rPr>
                      <w:rFonts w:hint="default" w:eastAsia="宋体"/>
                      <w:sz w:val="21"/>
                      <w:szCs w:val="21"/>
                      <w:vertAlign w:val="baseline"/>
                      <w:lang w:val="en-US" w:eastAsia="zh-CN"/>
                    </w:rPr>
                  </w:pPr>
                  <w:r>
                    <w:rPr>
                      <w:rFonts w:hint="eastAsia"/>
                      <w:sz w:val="21"/>
                      <w:szCs w:val="21"/>
                      <w:vertAlign w:val="baseline"/>
                      <w:lang w:val="en-US" w:eastAsia="zh-CN"/>
                    </w:rPr>
                    <w:t>0.85</w:t>
                  </w:r>
                </w:p>
              </w:tc>
              <w:tc>
                <w:tcPr>
                  <w:tcW w:w="2318" w:type="dxa"/>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auto"/>
                  </w:pPr>
                  <w:r>
                    <w:rPr>
                      <w:rFonts w:hint="eastAsia" w:cs="宋体"/>
                      <w:color w:val="000000"/>
                      <w:kern w:val="0"/>
                      <w:sz w:val="20"/>
                      <w:szCs w:val="20"/>
                      <w:lang w:val="en-US" w:eastAsia="zh-CN" w:bidi="ar"/>
                    </w:rPr>
                    <w:t>旱厕</w:t>
                  </w:r>
                  <w:r>
                    <w:rPr>
                      <w:rFonts w:hint="eastAsia" w:ascii="宋体" w:hAnsi="宋体" w:eastAsia="宋体" w:cs="宋体"/>
                      <w:color w:val="000000"/>
                      <w:kern w:val="0"/>
                      <w:sz w:val="20"/>
                      <w:szCs w:val="20"/>
                      <w:lang w:val="en-US" w:eastAsia="zh-CN" w:bidi="ar"/>
                    </w:rPr>
                    <w:t>处理后，用于周</w:t>
                  </w:r>
                </w:p>
                <w:p>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auto"/>
                    <w:rPr>
                      <w:rFonts w:hint="eastAsia" w:eastAsia="宋体"/>
                      <w:sz w:val="21"/>
                      <w:szCs w:val="21"/>
                      <w:vertAlign w:val="baseline"/>
                      <w:lang w:val="en-US" w:eastAsia="zh-CN"/>
                    </w:rPr>
                  </w:pPr>
                  <w:r>
                    <w:rPr>
                      <w:rFonts w:hint="eastAsia" w:ascii="宋体" w:hAnsi="宋体" w:eastAsia="宋体" w:cs="宋体"/>
                      <w:color w:val="000000"/>
                      <w:kern w:val="0"/>
                      <w:sz w:val="20"/>
                      <w:szCs w:val="20"/>
                      <w:lang w:val="en-US" w:eastAsia="zh-CN" w:bidi="ar"/>
                    </w:rPr>
                    <w:t>边林灌</w:t>
                  </w:r>
                </w:p>
              </w:tc>
            </w:tr>
          </w:tbl>
          <w:p>
            <w:pPr>
              <w:pStyle w:val="3"/>
              <w:ind w:firstLine="480"/>
              <w:rPr>
                <w:rFonts w:hint="eastAsia"/>
              </w:rPr>
            </w:pPr>
            <w:r>
              <w:rPr>
                <w:rFonts w:hint="eastAsia"/>
              </w:rPr>
              <w:t>项目</w:t>
            </w:r>
            <w:r>
              <w:t>水平衡图见</w:t>
            </w:r>
            <w:r>
              <w:rPr>
                <w:color w:val="auto"/>
              </w:rPr>
              <w:t>图</w:t>
            </w:r>
            <w:r>
              <w:rPr>
                <w:rFonts w:hint="eastAsia"/>
                <w:color w:val="auto"/>
                <w:lang w:val="en-US" w:eastAsia="zh-CN"/>
              </w:rPr>
              <w:t>2-3</w:t>
            </w:r>
            <w:r>
              <w:rPr>
                <w:rFonts w:hint="eastAsia"/>
              </w:rPr>
              <w:t>。</w:t>
            </w:r>
          </w:p>
          <w:p>
            <w:pPr>
              <w:pStyle w:val="3"/>
              <w:ind w:firstLine="0" w:firstLineChars="0"/>
              <w:jc w:val="center"/>
              <w:rPr>
                <w:rFonts w:hint="eastAsia" w:eastAsia="宋体"/>
                <w:lang w:eastAsia="zh-CN"/>
              </w:rPr>
            </w:pPr>
            <w:r>
              <w:rPr>
                <w:rFonts w:hint="eastAsia" w:eastAsia="宋体"/>
                <w:lang w:eastAsia="zh-CN"/>
              </w:rPr>
              <w:drawing>
                <wp:inline distT="0" distB="0" distL="114300" distR="114300">
                  <wp:extent cx="3750310" cy="2715895"/>
                  <wp:effectExtent l="0" t="0" r="2540" b="8255"/>
                  <wp:docPr id="39" name="图片 39" descr="水平衡(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水平衡(1)"/>
                          <pic:cNvPicPr>
                            <a:picLocks noChangeAspect="1"/>
                          </pic:cNvPicPr>
                        </pic:nvPicPr>
                        <pic:blipFill>
                          <a:blip r:embed="rId23"/>
                          <a:srcRect t="2430" r="923" b="5591"/>
                          <a:stretch>
                            <a:fillRect/>
                          </a:stretch>
                        </pic:blipFill>
                        <pic:spPr>
                          <a:xfrm>
                            <a:off x="0" y="0"/>
                            <a:ext cx="3750310" cy="2715895"/>
                          </a:xfrm>
                          <a:prstGeom prst="rect">
                            <a:avLst/>
                          </a:prstGeom>
                        </pic:spPr>
                      </pic:pic>
                    </a:graphicData>
                  </a:graphic>
                </wp:inline>
              </w:drawing>
            </w:r>
          </w:p>
          <w:p>
            <w:pPr>
              <w:snapToGrid w:val="0"/>
              <w:spacing w:line="360" w:lineRule="auto"/>
              <w:jc w:val="center"/>
              <w:rPr>
                <w:w w:val="100"/>
                <w:sz w:val="21"/>
              </w:rPr>
            </w:pPr>
            <w:r>
              <w:rPr>
                <w:rFonts w:hint="eastAsia" w:ascii="Times New Roman" w:hAnsi="Times New Roman" w:eastAsia="宋体" w:cs="Times New Roman"/>
                <w:b/>
                <w:bCs/>
                <w:color w:val="auto"/>
                <w:sz w:val="21"/>
                <w:szCs w:val="21"/>
                <w:highlight w:val="none"/>
              </w:rPr>
              <w:t>图</w:t>
            </w:r>
            <w:r>
              <w:rPr>
                <w:rFonts w:hint="eastAsia" w:ascii="Times New Roman" w:hAnsi="Times New Roman" w:eastAsia="宋体" w:cs="Times New Roman"/>
                <w:b/>
                <w:bCs/>
                <w:color w:val="auto"/>
                <w:sz w:val="21"/>
                <w:szCs w:val="21"/>
                <w:highlight w:val="none"/>
                <w:lang w:val="en-US" w:eastAsia="zh-CN"/>
              </w:rPr>
              <w:t>2-3</w:t>
            </w:r>
            <w:r>
              <w:rPr>
                <w:rFonts w:hint="eastAsia" w:ascii="Times New Roman" w:hAnsi="Times New Roman" w:eastAsia="宋体" w:cs="Times New Roman"/>
                <w:b/>
                <w:bCs/>
                <w:color w:val="auto"/>
                <w:sz w:val="21"/>
                <w:szCs w:val="21"/>
                <w:highlight w:val="none"/>
              </w:rPr>
              <w:t xml:space="preserve">  项目水平衡图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19" w:hRule="atLeast"/>
        </w:trPr>
        <w:tc>
          <w:tcPr>
            <w:tcW w:w="596" w:type="dxa"/>
            <w:tcBorders>
              <w:top w:val="single" w:color="000000" w:sz="4" w:space="0"/>
              <w:right w:val="single" w:color="000000" w:sz="4" w:space="0"/>
            </w:tcBorders>
            <w:vAlign w:val="center"/>
          </w:tcPr>
          <w:p>
            <w:pPr>
              <w:pStyle w:val="15"/>
              <w:jc w:val="center"/>
              <w:rPr>
                <w:rFonts w:ascii="黑体"/>
                <w:sz w:val="20"/>
              </w:rPr>
            </w:pPr>
          </w:p>
          <w:p>
            <w:pPr>
              <w:pStyle w:val="15"/>
              <w:spacing w:before="8"/>
              <w:jc w:val="center"/>
              <w:rPr>
                <w:rFonts w:ascii="黑体"/>
                <w:sz w:val="15"/>
              </w:rPr>
            </w:pPr>
          </w:p>
          <w:p>
            <w:pPr>
              <w:pStyle w:val="15"/>
              <w:spacing w:line="242" w:lineRule="auto"/>
              <w:ind w:left="201" w:right="79"/>
              <w:jc w:val="center"/>
              <w:rPr>
                <w:sz w:val="21"/>
              </w:rPr>
            </w:pPr>
            <w:r>
              <w:rPr>
                <w:color w:val="auto"/>
                <w:sz w:val="24"/>
                <w:szCs w:val="24"/>
              </w:rPr>
              <w:t>与项目有关的原有环境污染问题</w:t>
            </w:r>
          </w:p>
        </w:tc>
        <w:tc>
          <w:tcPr>
            <w:tcW w:w="8388" w:type="dxa"/>
            <w:tcBorders>
              <w:top w:val="single" w:color="000000" w:sz="4" w:space="0"/>
              <w:left w:val="single" w:color="000000" w:sz="4" w:space="0"/>
            </w:tcBorders>
          </w:tcPr>
          <w:p>
            <w:pPr>
              <w:spacing w:line="360" w:lineRule="auto"/>
              <w:ind w:firstLine="480"/>
              <w:rPr>
                <w:color w:val="auto"/>
                <w:sz w:val="24"/>
              </w:rPr>
            </w:pPr>
            <w:r>
              <w:rPr>
                <w:rFonts w:hint="eastAsia"/>
                <w:color w:val="auto"/>
                <w:sz w:val="24"/>
              </w:rPr>
              <w:t>本项目</w:t>
            </w:r>
            <w:r>
              <w:rPr>
                <w:rFonts w:hint="eastAsia"/>
                <w:color w:val="auto"/>
                <w:sz w:val="24"/>
                <w:lang w:val="en-US" w:eastAsia="zh-CN"/>
              </w:rPr>
              <w:t>位于九龙县崩崩冲村原崩崩冲组砂石料厂</w:t>
            </w:r>
            <w:r>
              <w:rPr>
                <w:rFonts w:hint="eastAsia"/>
                <w:color w:val="auto"/>
                <w:sz w:val="24"/>
              </w:rPr>
              <w:t>。</w:t>
            </w:r>
            <w:r>
              <w:rPr>
                <w:rFonts w:hint="eastAsia"/>
                <w:color w:val="auto"/>
                <w:sz w:val="24"/>
                <w:lang w:val="en-US" w:eastAsia="zh-CN"/>
              </w:rPr>
              <w:t>于2021年初建成，但未投产，崩崩冲砂厂已撤离，土地已归还给崩崩冲村。</w:t>
            </w:r>
            <w:r>
              <w:rPr>
                <w:rFonts w:hint="eastAsia"/>
                <w:color w:val="auto"/>
                <w:sz w:val="24"/>
              </w:rPr>
              <w:t>本项目</w:t>
            </w:r>
            <w:r>
              <w:rPr>
                <w:color w:val="auto"/>
                <w:sz w:val="24"/>
              </w:rPr>
              <w:t>租用</w:t>
            </w:r>
            <w:r>
              <w:rPr>
                <w:rFonts w:hint="eastAsia"/>
                <w:color w:val="auto"/>
                <w:sz w:val="24"/>
                <w:lang w:val="en-US" w:eastAsia="zh-CN"/>
              </w:rPr>
              <w:t>崩崩冲村集体用地</w:t>
            </w:r>
            <w:r>
              <w:rPr>
                <w:rFonts w:hint="eastAsia"/>
                <w:color w:val="auto"/>
                <w:sz w:val="24"/>
                <w:highlight w:val="none"/>
                <w:lang w:val="en-US" w:eastAsia="zh-CN"/>
              </w:rPr>
              <w:t>(建设用地)</w:t>
            </w:r>
            <w:r>
              <w:rPr>
                <w:rFonts w:hint="eastAsia"/>
                <w:color w:val="auto"/>
                <w:sz w:val="24"/>
                <w:lang w:val="en-US" w:eastAsia="zh-CN"/>
              </w:rPr>
              <w:t>，厂</w:t>
            </w:r>
            <w:r>
              <w:rPr>
                <w:color w:val="auto"/>
                <w:sz w:val="24"/>
              </w:rPr>
              <w:t>内</w:t>
            </w:r>
            <w:r>
              <w:rPr>
                <w:rFonts w:hint="eastAsia"/>
                <w:color w:val="auto"/>
                <w:sz w:val="24"/>
              </w:rPr>
              <w:t>原生产</w:t>
            </w:r>
            <w:r>
              <w:rPr>
                <w:color w:val="auto"/>
                <w:sz w:val="24"/>
              </w:rPr>
              <w:t>设备</w:t>
            </w:r>
            <w:r>
              <w:rPr>
                <w:rFonts w:hint="eastAsia"/>
                <w:color w:val="auto"/>
                <w:sz w:val="24"/>
              </w:rPr>
              <w:t>已经</w:t>
            </w:r>
            <w:r>
              <w:rPr>
                <w:color w:val="auto"/>
                <w:sz w:val="24"/>
              </w:rPr>
              <w:t>拆除</w:t>
            </w:r>
            <w:r>
              <w:rPr>
                <w:rFonts w:hint="eastAsia"/>
                <w:color w:val="auto"/>
                <w:sz w:val="24"/>
              </w:rPr>
              <w:t>，仅保留物料堆场、旱厕及板房等设施，厂区内拆除</w:t>
            </w:r>
            <w:r>
              <w:rPr>
                <w:color w:val="auto"/>
                <w:sz w:val="24"/>
              </w:rPr>
              <w:t>垃圾</w:t>
            </w:r>
            <w:r>
              <w:rPr>
                <w:rFonts w:hint="eastAsia"/>
                <w:color w:val="auto"/>
                <w:sz w:val="24"/>
              </w:rPr>
              <w:t>已</w:t>
            </w:r>
            <w:r>
              <w:rPr>
                <w:color w:val="auto"/>
                <w:sz w:val="24"/>
              </w:rPr>
              <w:t>清除，</w:t>
            </w:r>
            <w:r>
              <w:rPr>
                <w:rFonts w:hint="eastAsia"/>
                <w:color w:val="auto"/>
                <w:sz w:val="24"/>
              </w:rPr>
              <w:t>无环境</w:t>
            </w:r>
            <w:r>
              <w:rPr>
                <w:color w:val="auto"/>
                <w:sz w:val="24"/>
              </w:rPr>
              <w:t>遗留问题。</w:t>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left"/>
              <w:textAlignment w:val="auto"/>
              <w:rPr>
                <w:rFonts w:hint="default" w:eastAsia="宋体"/>
                <w:sz w:val="21"/>
                <w:lang w:val="en-US" w:eastAsia="zh-CN"/>
              </w:rPr>
            </w:pPr>
          </w:p>
        </w:tc>
      </w:tr>
    </w:tbl>
    <w:p>
      <w:pPr>
        <w:spacing w:after="0"/>
        <w:rPr>
          <w:sz w:val="21"/>
        </w:rPr>
        <w:sectPr>
          <w:pgSz w:w="11910" w:h="16840"/>
          <w:pgMar w:top="1580" w:right="1320" w:bottom="1000" w:left="1340" w:header="0" w:footer="1043" w:gutter="0"/>
          <w:pgBorders>
            <w:top w:val="none" w:sz="0" w:space="0"/>
            <w:left w:val="none" w:sz="0" w:space="0"/>
            <w:bottom w:val="none" w:sz="0" w:space="0"/>
            <w:right w:val="none" w:sz="0" w:space="0"/>
          </w:pgBorders>
          <w:pgNumType w:fmt="decimal"/>
          <w:cols w:space="720" w:num="1"/>
        </w:sectPr>
      </w:pPr>
    </w:p>
    <w:p>
      <w:pPr>
        <w:pStyle w:val="7"/>
        <w:spacing w:before="58"/>
        <w:ind w:left="635" w:right="654"/>
        <w:jc w:val="center"/>
      </w:pPr>
      <w:r>
        <w:t>三、区域环境质量现状、环境保护目标及评价标准</w:t>
      </w:r>
    </w:p>
    <w:p>
      <w:pPr>
        <w:pStyle w:val="7"/>
        <w:spacing w:before="1"/>
        <w:rPr>
          <w:sz w:val="22"/>
        </w:rPr>
      </w:pPr>
    </w:p>
    <w:tbl>
      <w:tblPr>
        <w:tblStyle w:val="11"/>
        <w:tblW w:w="0" w:type="auto"/>
        <w:tblInd w:w="13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99"/>
        <w:gridCol w:w="819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06" w:hRule="atLeast"/>
        </w:trPr>
        <w:tc>
          <w:tcPr>
            <w:tcW w:w="799" w:type="dxa"/>
            <w:tcBorders>
              <w:bottom w:val="single" w:color="000000" w:sz="4" w:space="0"/>
              <w:right w:val="single" w:color="000000" w:sz="4" w:space="0"/>
            </w:tcBorders>
          </w:tcPr>
          <w:p>
            <w:pPr>
              <w:pStyle w:val="15"/>
              <w:rPr>
                <w:rFonts w:ascii="黑体"/>
                <w:sz w:val="20"/>
              </w:rPr>
            </w:pPr>
          </w:p>
          <w:p>
            <w:pPr>
              <w:pStyle w:val="15"/>
              <w:rPr>
                <w:rFonts w:ascii="黑体"/>
                <w:sz w:val="20"/>
              </w:rPr>
            </w:pPr>
          </w:p>
          <w:p>
            <w:pPr>
              <w:pStyle w:val="15"/>
              <w:rPr>
                <w:rFonts w:ascii="黑体"/>
                <w:sz w:val="20"/>
              </w:rPr>
            </w:pPr>
          </w:p>
          <w:p>
            <w:pPr>
              <w:pStyle w:val="15"/>
              <w:spacing w:before="139" w:line="242" w:lineRule="auto"/>
              <w:ind w:left="189" w:right="67"/>
              <w:jc w:val="both"/>
              <w:rPr>
                <w:sz w:val="21"/>
              </w:rPr>
            </w:pPr>
            <w:r>
              <w:rPr>
                <w:sz w:val="21"/>
              </w:rPr>
              <w:t xml:space="preserve">区域环境质量现状 </w:t>
            </w:r>
          </w:p>
        </w:tc>
        <w:tc>
          <w:tcPr>
            <w:tcW w:w="8190" w:type="dxa"/>
            <w:tcBorders>
              <w:left w:val="single" w:color="000000" w:sz="4" w:space="0"/>
              <w:bottom w:val="single" w:color="000000" w:sz="4" w:space="0"/>
            </w:tcBorders>
          </w:tcPr>
          <w:p>
            <w:pPr>
              <w:keepNext w:val="0"/>
              <w:keepLines w:val="0"/>
              <w:widowControl/>
              <w:suppressLineNumbers w:val="0"/>
              <w:jc w:val="left"/>
              <w:rPr>
                <w:rFonts w:hint="eastAsia" w:ascii="宋体" w:hAnsi="宋体" w:eastAsia="宋体" w:cs="宋体"/>
                <w:b/>
                <w:bCs/>
              </w:rPr>
            </w:pPr>
            <w:r>
              <w:rPr>
                <w:rFonts w:hint="eastAsia" w:ascii="宋体" w:hAnsi="宋体" w:eastAsia="宋体" w:cs="宋体"/>
                <w:b/>
                <w:bCs/>
                <w:color w:val="000000"/>
                <w:kern w:val="0"/>
                <w:sz w:val="24"/>
                <w:szCs w:val="24"/>
                <w:lang w:val="en-US" w:eastAsia="zh-CN" w:bidi="ar"/>
              </w:rPr>
              <w:t xml:space="preserve">一、大气环境质量现状 </w:t>
            </w:r>
          </w:p>
          <w:p>
            <w:pPr>
              <w:pStyle w:val="16"/>
              <w:keepNext w:val="0"/>
              <w:keepLines w:val="0"/>
              <w:pageBreakBefore w:val="0"/>
              <w:kinsoku/>
              <w:wordWrap/>
              <w:overflowPunct/>
              <w:topLinePunct w:val="0"/>
              <w:autoSpaceDE w:val="0"/>
              <w:autoSpaceDN w:val="0"/>
              <w:bidi w:val="0"/>
              <w:snapToGrid/>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highlight w:val="none"/>
              </w:rPr>
              <w:t>1、</w:t>
            </w:r>
            <w:r>
              <w:rPr>
                <w:rFonts w:ascii="Times New Roman" w:hAnsi="Times New Roman" w:eastAsia="宋体"/>
                <w:color w:val="auto"/>
                <w:sz w:val="24"/>
                <w:highlight w:val="none"/>
              </w:rPr>
              <w:t>项目所在区域环境质量达标判定</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根据《环境影响评价导则大气环境》（HJ2.2-2018）中有关基本污染物环境质量现状数据的规定，可优先采用国家或地方生态环境主管部门公布的评价基准年环境质量公告或环境质量报告中的数据或结论。</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color w:val="000000"/>
                <w:kern w:val="0"/>
                <w:sz w:val="24"/>
                <w:szCs w:val="24"/>
                <w:lang w:val="en-US" w:eastAsia="zh-CN" w:bidi="ar"/>
              </w:rPr>
              <w:t>项目位于甘孜藏族自治州九龙县</w:t>
            </w:r>
            <w:r>
              <w:rPr>
                <w:rFonts w:hint="eastAsia" w:ascii="Times New Roman" w:hAnsi="Times New Roman" w:cs="Times New Roman"/>
                <w:color w:val="000000"/>
                <w:kern w:val="0"/>
                <w:sz w:val="24"/>
                <w:szCs w:val="24"/>
                <w:lang w:val="en-US" w:eastAsia="zh-CN" w:bidi="ar"/>
              </w:rPr>
              <w:t>汤古镇</w:t>
            </w:r>
            <w:r>
              <w:rPr>
                <w:rFonts w:hint="default" w:ascii="Times New Roman" w:hAnsi="Times New Roman" w:eastAsia="宋体" w:cs="Times New Roman"/>
                <w:bCs/>
                <w:sz w:val="24"/>
                <w:szCs w:val="28"/>
                <w:lang w:val="en-US" w:eastAsia="zh-CN"/>
              </w:rPr>
              <w:t>崩崩冲村</w:t>
            </w:r>
            <w:r>
              <w:rPr>
                <w:rFonts w:hint="default" w:ascii="Times New Roman" w:hAnsi="Times New Roman" w:eastAsia="宋体" w:cs="Times New Roman"/>
                <w:color w:val="000000"/>
                <w:kern w:val="0"/>
                <w:sz w:val="24"/>
                <w:szCs w:val="24"/>
                <w:lang w:val="en-US" w:eastAsia="zh-CN" w:bidi="ar"/>
              </w:rPr>
              <w:t>，因此，本次评价选用甘孜州生态环境局公布的《关于2020年</w:t>
            </w:r>
            <w:r>
              <w:rPr>
                <w:rFonts w:hint="eastAsia" w:ascii="Times New Roman" w:hAnsi="Times New Roman" w:cs="Times New Roman"/>
                <w:color w:val="000000"/>
                <w:kern w:val="0"/>
                <w:sz w:val="24"/>
                <w:szCs w:val="24"/>
                <w:lang w:val="en-US" w:eastAsia="zh-CN" w:bidi="ar"/>
              </w:rPr>
              <w:t>第</w:t>
            </w:r>
            <w:r>
              <w:rPr>
                <w:rFonts w:hint="default" w:ascii="Times New Roman" w:hAnsi="Times New Roman" w:eastAsia="宋体" w:cs="Times New Roman"/>
                <w:color w:val="000000"/>
                <w:kern w:val="0"/>
                <w:sz w:val="24"/>
                <w:szCs w:val="24"/>
                <w:lang w:val="en-US" w:eastAsia="zh-CN" w:bidi="ar"/>
              </w:rPr>
              <w:t>一季度甘孜州各县（市）城市环境空气质量的通报》（甘环发</w:t>
            </w:r>
            <w:r>
              <w:rPr>
                <w:rFonts w:hint="eastAsia" w:ascii="Times New Roman" w:hAnsi="Times New Roman"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2020</w:t>
            </w:r>
            <w:r>
              <w:rPr>
                <w:rFonts w:hint="eastAsia" w:ascii="Times New Roman" w:hAnsi="Times New Roman"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113号）</w:t>
            </w:r>
            <w:r>
              <w:rPr>
                <w:rFonts w:hint="default" w:ascii="Times New Roman" w:hAnsi="Times New Roman" w:cs="Times New Roman"/>
                <w:color w:val="000000"/>
                <w:kern w:val="0"/>
                <w:sz w:val="24"/>
                <w:szCs w:val="24"/>
                <w:lang w:val="en-US" w:eastAsia="zh-CN" w:bidi="ar"/>
              </w:rPr>
              <w:t>、</w:t>
            </w:r>
            <w:r>
              <w:rPr>
                <w:rFonts w:hint="default" w:ascii="Times New Roman" w:hAnsi="Times New Roman" w:cs="Times New Roman"/>
                <w:color w:val="auto"/>
                <w:sz w:val="24"/>
                <w:highlight w:val="none"/>
              </w:rPr>
              <w:t>《甘孜州生态环境局关于2020年上半年甘孜州各县(市)城市环境空气质量的通报》（甘环发</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2020</w:t>
            </w:r>
            <w:r>
              <w:rPr>
                <w:rFonts w:hint="eastAsia"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169号）</w:t>
            </w:r>
            <w:r>
              <w:rPr>
                <w:rFonts w:hint="default" w:ascii="Times New Roman" w:hAnsi="Times New Roman" w:cs="Times New Roman"/>
                <w:color w:val="auto"/>
                <w:sz w:val="24"/>
                <w:highlight w:val="none"/>
                <w:lang w:eastAsia="zh-CN"/>
              </w:rPr>
              <w:t>、《甘孜州生态环境局关于2020年第三季度各县（市）城市环境空气质量的通报》、《甘孜州生态环境局关于2020年</w:t>
            </w:r>
            <w:r>
              <w:rPr>
                <w:rFonts w:hint="default" w:ascii="Times New Roman" w:hAnsi="Times New Roman" w:cs="Times New Roman"/>
                <w:color w:val="auto"/>
                <w:sz w:val="24"/>
                <w:highlight w:val="none"/>
                <w:lang w:val="en-US" w:eastAsia="zh-CN"/>
              </w:rPr>
              <w:t>度暨</w:t>
            </w:r>
            <w:r>
              <w:rPr>
                <w:rFonts w:hint="default" w:ascii="Times New Roman" w:hAnsi="Times New Roman" w:cs="Times New Roman"/>
                <w:color w:val="auto"/>
                <w:sz w:val="24"/>
                <w:highlight w:val="none"/>
                <w:lang w:eastAsia="zh-CN"/>
              </w:rPr>
              <w:t>第</w:t>
            </w:r>
            <w:r>
              <w:rPr>
                <w:rFonts w:hint="default" w:ascii="Times New Roman" w:hAnsi="Times New Roman" w:cs="Times New Roman"/>
                <w:color w:val="auto"/>
                <w:sz w:val="24"/>
                <w:highlight w:val="none"/>
                <w:lang w:val="en-US" w:eastAsia="zh-CN"/>
              </w:rPr>
              <w:t>四</w:t>
            </w:r>
            <w:r>
              <w:rPr>
                <w:rFonts w:hint="default" w:ascii="Times New Roman" w:hAnsi="Times New Roman" w:cs="Times New Roman"/>
                <w:color w:val="auto"/>
                <w:sz w:val="24"/>
                <w:highlight w:val="none"/>
                <w:lang w:eastAsia="zh-CN"/>
              </w:rPr>
              <w:t>季度</w:t>
            </w:r>
            <w:r>
              <w:rPr>
                <w:rFonts w:hint="default" w:ascii="Times New Roman" w:hAnsi="Times New Roman" w:cs="Times New Roman"/>
                <w:color w:val="auto"/>
                <w:sz w:val="24"/>
                <w:highlight w:val="none"/>
                <w:lang w:val="en-US" w:eastAsia="zh-CN"/>
              </w:rPr>
              <w:t>甘孜州</w:t>
            </w:r>
            <w:r>
              <w:rPr>
                <w:rFonts w:hint="default" w:ascii="Times New Roman" w:hAnsi="Times New Roman" w:cs="Times New Roman"/>
                <w:color w:val="auto"/>
                <w:sz w:val="24"/>
                <w:highlight w:val="none"/>
                <w:lang w:eastAsia="zh-CN"/>
              </w:rPr>
              <w:t>城市环境空气质量的通报》</w:t>
            </w:r>
            <w:r>
              <w:rPr>
                <w:rFonts w:hint="default" w:ascii="Times New Roman" w:hAnsi="Times New Roman" w:eastAsia="宋体" w:cs="Times New Roman"/>
                <w:color w:val="000000"/>
                <w:kern w:val="0"/>
                <w:sz w:val="24"/>
                <w:szCs w:val="24"/>
                <w:lang w:val="en-US" w:eastAsia="zh-CN" w:bidi="ar"/>
              </w:rPr>
              <w:t>通报中九龙县</w:t>
            </w:r>
            <w:r>
              <w:rPr>
                <w:rFonts w:hint="default" w:ascii="Times New Roman" w:hAnsi="Times New Roman" w:cs="Times New Roman"/>
                <w:color w:val="auto"/>
                <w:sz w:val="24"/>
                <w:highlight w:val="none"/>
              </w:rPr>
              <w:t>为达标区</w:t>
            </w:r>
            <w:r>
              <w:rPr>
                <w:rFonts w:hint="default" w:ascii="Times New Roman" w:hAnsi="Times New Roman" w:eastAsia="宋体" w:cs="Times New Roman"/>
                <w:color w:val="000000"/>
                <w:kern w:val="0"/>
                <w:sz w:val="24"/>
                <w:szCs w:val="24"/>
                <w:lang w:val="en-US" w:eastAsia="zh-CN" w:bidi="ar"/>
              </w:rPr>
              <w:t>。</w:t>
            </w:r>
          </w:p>
          <w:p>
            <w:pPr>
              <w:spacing w:line="36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w:t>
            </w:r>
            <w:r>
              <w:rPr>
                <w:rFonts w:hint="default" w:ascii="Times New Roman" w:hAnsi="Times New Roman" w:eastAsia="宋体" w:cs="Times New Roman"/>
                <w:b/>
                <w:bCs/>
                <w:color w:val="auto"/>
                <w:sz w:val="21"/>
                <w:szCs w:val="21"/>
                <w:highlight w:val="none"/>
                <w:lang w:val="en-US" w:eastAsia="zh-CN"/>
              </w:rPr>
              <w:t>1</w:t>
            </w:r>
            <w:r>
              <w:rPr>
                <w:rFonts w:hint="default" w:ascii="Times New Roman" w:hAnsi="Times New Roman" w:eastAsia="宋体" w:cs="Times New Roman"/>
                <w:b/>
                <w:bCs/>
                <w:color w:val="auto"/>
                <w:sz w:val="21"/>
                <w:szCs w:val="21"/>
                <w:highlight w:val="none"/>
              </w:rPr>
              <w:t xml:space="preserve">  </w:t>
            </w:r>
            <w:r>
              <w:rPr>
                <w:rFonts w:hint="eastAsia" w:ascii="Times New Roman" w:hAnsi="Times New Roman" w:eastAsia="宋体" w:cs="Times New Roman"/>
                <w:b/>
                <w:bCs/>
                <w:color w:val="auto"/>
                <w:sz w:val="21"/>
                <w:szCs w:val="21"/>
                <w:highlight w:val="none"/>
              </w:rPr>
              <w:t>环境空气质量现状结果统计表</w:t>
            </w:r>
            <w:r>
              <w:rPr>
                <w:rFonts w:hint="default" w:ascii="Times New Roman" w:hAnsi="Times New Roman" w:eastAsia="宋体" w:cs="Times New Roman"/>
                <w:b/>
                <w:bCs/>
                <w:color w:val="auto"/>
                <w:sz w:val="21"/>
                <w:szCs w:val="21"/>
                <w:highlight w:val="none"/>
              </w:rPr>
              <w:t>（</w:t>
            </w:r>
            <w:r>
              <w:rPr>
                <w:rFonts w:hint="eastAsia" w:ascii="Times New Roman" w:hAnsi="Times New Roman" w:eastAsia="宋体" w:cs="Times New Roman"/>
                <w:b/>
                <w:bCs/>
                <w:color w:val="auto"/>
                <w:sz w:val="21"/>
                <w:szCs w:val="21"/>
                <w:highlight w:val="none"/>
                <w:lang w:val="en-US" w:eastAsia="zh-CN"/>
              </w:rPr>
              <w:t>九龙</w:t>
            </w:r>
            <w:r>
              <w:rPr>
                <w:rFonts w:hint="default" w:ascii="Times New Roman" w:hAnsi="Times New Roman" w:eastAsia="宋体" w:cs="Times New Roman"/>
                <w:b/>
                <w:bCs/>
                <w:color w:val="auto"/>
                <w:sz w:val="21"/>
                <w:szCs w:val="21"/>
                <w:highlight w:val="none"/>
              </w:rPr>
              <w:t>县）</w:t>
            </w:r>
          </w:p>
          <w:tbl>
            <w:tblPr>
              <w:tblStyle w:val="11"/>
              <w:tblW w:w="44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757"/>
              <w:gridCol w:w="864"/>
              <w:gridCol w:w="865"/>
              <w:gridCol w:w="903"/>
              <w:gridCol w:w="865"/>
              <w:gridCol w:w="865"/>
              <w:gridCol w:w="865"/>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299"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18"/>
                      <w:szCs w:val="18"/>
                    </w:rPr>
                  </w:pPr>
                </w:p>
              </w:tc>
              <w:tc>
                <w:tcPr>
                  <w:tcW w:w="519"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时间</w:t>
                  </w:r>
                </w:p>
              </w:tc>
              <w:tc>
                <w:tcPr>
                  <w:tcW w:w="592"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二氧化硫（μg/m3）</w:t>
                  </w:r>
                </w:p>
              </w:tc>
              <w:tc>
                <w:tcPr>
                  <w:tcW w:w="593"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二氧化氮（μg/m3）</w:t>
                  </w:r>
                </w:p>
              </w:tc>
              <w:tc>
                <w:tcPr>
                  <w:tcW w:w="619"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一氧化碳（mg/m3）</w:t>
                  </w:r>
                </w:p>
              </w:tc>
              <w:tc>
                <w:tcPr>
                  <w:tcW w:w="593"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臭氧（μg/m3）</w:t>
                  </w:r>
                </w:p>
              </w:tc>
              <w:tc>
                <w:tcPr>
                  <w:tcW w:w="593"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PM2.5</w:t>
                  </w:r>
                </w:p>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（μg/m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w:t>
                  </w:r>
                </w:p>
              </w:tc>
              <w:tc>
                <w:tcPr>
                  <w:tcW w:w="593"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PM10</w:t>
                  </w:r>
                </w:p>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（μg/m</w:t>
                  </w:r>
                  <w:r>
                    <w:rPr>
                      <w:rFonts w:hint="default" w:ascii="Times New Roman" w:hAnsi="Times New Roman" w:cs="Times New Roman"/>
                      <w:color w:val="auto"/>
                      <w:sz w:val="18"/>
                      <w:szCs w:val="18"/>
                      <w:vertAlign w:val="superscript"/>
                    </w:rPr>
                    <w:t>3</w:t>
                  </w:r>
                  <w:r>
                    <w:rPr>
                      <w:rFonts w:hint="default" w:ascii="Times New Roman" w:hAnsi="Times New Roman" w:cs="Times New Roman"/>
                      <w:color w:val="auto"/>
                      <w:sz w:val="18"/>
                      <w:szCs w:val="18"/>
                    </w:rPr>
                    <w:t>）</w:t>
                  </w:r>
                </w:p>
              </w:tc>
              <w:tc>
                <w:tcPr>
                  <w:tcW w:w="593"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299"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标准值</w:t>
                  </w:r>
                </w:p>
              </w:tc>
              <w:tc>
                <w:tcPr>
                  <w:tcW w:w="519"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592"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60</w:t>
                  </w:r>
                </w:p>
              </w:tc>
              <w:tc>
                <w:tcPr>
                  <w:tcW w:w="593"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40</w:t>
                  </w:r>
                </w:p>
              </w:tc>
              <w:tc>
                <w:tcPr>
                  <w:tcW w:w="619"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4.0</w:t>
                  </w:r>
                </w:p>
              </w:tc>
              <w:tc>
                <w:tcPr>
                  <w:tcW w:w="593"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160</w:t>
                  </w:r>
                </w:p>
              </w:tc>
              <w:tc>
                <w:tcPr>
                  <w:tcW w:w="593"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70</w:t>
                  </w:r>
                </w:p>
              </w:tc>
              <w:tc>
                <w:tcPr>
                  <w:tcW w:w="593"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35</w:t>
                  </w:r>
                </w:p>
              </w:tc>
              <w:tc>
                <w:tcPr>
                  <w:tcW w:w="593"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99" w:type="pct"/>
                  <w:vMerge w:val="restar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九龙</w:t>
                  </w:r>
                  <w:r>
                    <w:rPr>
                      <w:rFonts w:hint="default" w:ascii="Times New Roman" w:hAnsi="Times New Roman" w:cs="Times New Roman"/>
                      <w:color w:val="auto"/>
                      <w:sz w:val="21"/>
                      <w:szCs w:val="21"/>
                    </w:rPr>
                    <w:t>县</w:t>
                  </w:r>
                </w:p>
              </w:tc>
              <w:tc>
                <w:tcPr>
                  <w:tcW w:w="519"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21"/>
                      <w:szCs w:val="21"/>
                    </w:rPr>
                  </w:pPr>
                  <w:r>
                    <w:rPr>
                      <w:rFonts w:hint="default" w:ascii="Times New Roman" w:hAnsi="Times New Roman" w:eastAsia="微软雅黑" w:cs="Times New Roman"/>
                      <w:color w:val="auto"/>
                      <w:sz w:val="21"/>
                      <w:szCs w:val="21"/>
                    </w:rPr>
                    <w:t>2020-0</w:t>
                  </w:r>
                  <w:r>
                    <w:rPr>
                      <w:rFonts w:hint="eastAsia" w:ascii="Times New Roman" w:hAnsi="Times New Roman" w:eastAsia="微软雅黑" w:cs="Times New Roman"/>
                      <w:color w:val="auto"/>
                      <w:sz w:val="21"/>
                      <w:szCs w:val="21"/>
                      <w:lang w:val="en-US" w:eastAsia="zh-CN"/>
                    </w:rPr>
                    <w:t>1</w:t>
                  </w:r>
                </w:p>
              </w:tc>
              <w:tc>
                <w:tcPr>
                  <w:tcW w:w="592"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kern w:val="0"/>
                      <w:sz w:val="24"/>
                      <w:szCs w:val="24"/>
                      <w:lang w:val="en-US" w:eastAsia="zh-CN" w:bidi="ar"/>
                    </w:rPr>
                    <w:t>4</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619"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31</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eastAsia" w:cs="Times New Roman"/>
                      <w:color w:val="auto"/>
                      <w:sz w:val="21"/>
                      <w:szCs w:val="21"/>
                      <w:lang w:val="en-US" w:eastAsia="zh-CN"/>
                    </w:rPr>
                  </w:pPr>
                  <w:r>
                    <w:rPr>
                      <w:rFonts w:hint="default" w:ascii="Times New Roman" w:hAnsi="Times New Roman" w:cs="Times New Roman"/>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99" w:type="pct"/>
                  <w:vMerge w:val="continue"/>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21"/>
                      <w:szCs w:val="21"/>
                    </w:rPr>
                  </w:pPr>
                </w:p>
              </w:tc>
              <w:tc>
                <w:tcPr>
                  <w:tcW w:w="519"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21"/>
                      <w:szCs w:val="21"/>
                    </w:rPr>
                  </w:pPr>
                  <w:r>
                    <w:rPr>
                      <w:rFonts w:hint="default" w:ascii="Times New Roman" w:hAnsi="Times New Roman" w:eastAsia="微软雅黑" w:cs="Times New Roman"/>
                      <w:color w:val="auto"/>
                      <w:sz w:val="21"/>
                      <w:szCs w:val="21"/>
                    </w:rPr>
                    <w:t>2020-</w:t>
                  </w:r>
                  <w:r>
                    <w:rPr>
                      <w:rFonts w:hint="eastAsia" w:ascii="Times New Roman" w:hAnsi="Times New Roman" w:eastAsia="微软雅黑" w:cs="Times New Roman"/>
                      <w:color w:val="auto"/>
                      <w:sz w:val="21"/>
                      <w:szCs w:val="21"/>
                      <w:lang w:val="en-US" w:eastAsia="zh-CN"/>
                    </w:rPr>
                    <w:t>02</w:t>
                  </w:r>
                </w:p>
              </w:tc>
              <w:tc>
                <w:tcPr>
                  <w:tcW w:w="592"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420" w:firstLineChars="200"/>
                    <w:jc w:val="both"/>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619"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78</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eastAsia" w:cs="Times New Roman"/>
                      <w:color w:val="auto"/>
                      <w:sz w:val="21"/>
                      <w:szCs w:val="21"/>
                      <w:lang w:val="en-US" w:eastAsia="zh-CN"/>
                    </w:rPr>
                  </w:pPr>
                  <w:r>
                    <w:rPr>
                      <w:rFonts w:hint="default" w:ascii="Times New Roman" w:hAnsi="Times New Roman" w:cs="Times New Roman"/>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99" w:type="pct"/>
                  <w:vMerge w:val="continue"/>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21"/>
                      <w:szCs w:val="21"/>
                    </w:rPr>
                  </w:pPr>
                </w:p>
              </w:tc>
              <w:tc>
                <w:tcPr>
                  <w:tcW w:w="519"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21"/>
                      <w:szCs w:val="21"/>
                    </w:rPr>
                  </w:pPr>
                  <w:r>
                    <w:rPr>
                      <w:rFonts w:hint="default" w:ascii="Times New Roman" w:hAnsi="Times New Roman" w:eastAsia="微软雅黑" w:cs="Times New Roman"/>
                      <w:color w:val="auto"/>
                      <w:sz w:val="21"/>
                      <w:szCs w:val="21"/>
                    </w:rPr>
                    <w:t>2020-</w:t>
                  </w:r>
                  <w:r>
                    <w:rPr>
                      <w:rFonts w:hint="eastAsia" w:ascii="Times New Roman" w:hAnsi="Times New Roman" w:eastAsia="微软雅黑" w:cs="Times New Roman"/>
                      <w:color w:val="auto"/>
                      <w:sz w:val="21"/>
                      <w:szCs w:val="21"/>
                      <w:lang w:val="en-US" w:eastAsia="zh-CN"/>
                    </w:rPr>
                    <w:t>03</w:t>
                  </w:r>
                </w:p>
              </w:tc>
              <w:tc>
                <w:tcPr>
                  <w:tcW w:w="592"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619"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113</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eastAsia" w:cs="Times New Roman"/>
                      <w:color w:val="auto"/>
                      <w:sz w:val="21"/>
                      <w:szCs w:val="21"/>
                      <w:lang w:val="en-US" w:eastAsia="zh-CN"/>
                    </w:rPr>
                  </w:pPr>
                  <w:r>
                    <w:rPr>
                      <w:rFonts w:hint="default" w:ascii="Times New Roman" w:hAnsi="Times New Roman" w:cs="Times New Roman"/>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99" w:type="pct"/>
                  <w:vMerge w:val="continue"/>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21"/>
                      <w:szCs w:val="21"/>
                    </w:rPr>
                  </w:pPr>
                </w:p>
              </w:tc>
              <w:tc>
                <w:tcPr>
                  <w:tcW w:w="519"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21"/>
                      <w:szCs w:val="21"/>
                      <w:lang w:val="en-US"/>
                    </w:rPr>
                  </w:pPr>
                  <w:r>
                    <w:rPr>
                      <w:rFonts w:hint="default" w:ascii="Times New Roman" w:hAnsi="Times New Roman" w:eastAsia="微软雅黑" w:cs="Times New Roman"/>
                      <w:color w:val="auto"/>
                      <w:sz w:val="21"/>
                      <w:szCs w:val="21"/>
                    </w:rPr>
                    <w:t>2020-</w:t>
                  </w:r>
                  <w:r>
                    <w:rPr>
                      <w:rFonts w:hint="eastAsia" w:ascii="Times New Roman" w:hAnsi="Times New Roman" w:eastAsia="微软雅黑" w:cs="Times New Roman"/>
                      <w:color w:val="auto"/>
                      <w:sz w:val="21"/>
                      <w:szCs w:val="21"/>
                      <w:lang w:val="en-US" w:eastAsia="zh-CN"/>
                    </w:rPr>
                    <w:t>01~</w:t>
                  </w:r>
                  <w:r>
                    <w:rPr>
                      <w:rFonts w:hint="default" w:ascii="Times New Roman" w:hAnsi="Times New Roman" w:eastAsia="微软雅黑" w:cs="Times New Roman"/>
                      <w:color w:val="auto"/>
                      <w:sz w:val="21"/>
                      <w:szCs w:val="21"/>
                    </w:rPr>
                    <w:t>2020-</w:t>
                  </w:r>
                  <w:r>
                    <w:rPr>
                      <w:rFonts w:hint="eastAsia" w:ascii="Times New Roman" w:hAnsi="Times New Roman" w:eastAsia="微软雅黑" w:cs="Times New Roman"/>
                      <w:color w:val="auto"/>
                      <w:sz w:val="21"/>
                      <w:szCs w:val="21"/>
                      <w:lang w:val="en-US" w:eastAsia="zh-CN"/>
                    </w:rPr>
                    <w:t>06</w:t>
                  </w:r>
                </w:p>
              </w:tc>
              <w:tc>
                <w:tcPr>
                  <w:tcW w:w="592"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619"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104</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eastAsia" w:cs="Times New Roman"/>
                      <w:color w:val="auto"/>
                      <w:sz w:val="21"/>
                      <w:szCs w:val="21"/>
                      <w:lang w:val="en-US" w:eastAsia="zh-CN"/>
                    </w:rPr>
                  </w:pPr>
                  <w:r>
                    <w:rPr>
                      <w:rFonts w:hint="default" w:ascii="Times New Roman" w:hAnsi="Times New Roman" w:cs="Times New Roman"/>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99" w:type="pct"/>
                  <w:vMerge w:val="continue"/>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21"/>
                      <w:szCs w:val="21"/>
                    </w:rPr>
                  </w:pPr>
                </w:p>
              </w:tc>
              <w:tc>
                <w:tcPr>
                  <w:tcW w:w="519"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eastAsia="微软雅黑" w:cs="Times New Roman"/>
                      <w:color w:val="auto"/>
                      <w:sz w:val="21"/>
                      <w:szCs w:val="21"/>
                    </w:rPr>
                  </w:pPr>
                  <w:r>
                    <w:rPr>
                      <w:rFonts w:hint="default" w:ascii="Times New Roman" w:hAnsi="Times New Roman" w:eastAsia="微软雅黑" w:cs="Times New Roman"/>
                      <w:color w:val="auto"/>
                      <w:sz w:val="21"/>
                      <w:szCs w:val="21"/>
                    </w:rPr>
                    <w:t>2020-</w:t>
                  </w:r>
                  <w:r>
                    <w:rPr>
                      <w:rFonts w:hint="eastAsia" w:ascii="Times New Roman" w:hAnsi="Times New Roman" w:eastAsia="微软雅黑" w:cs="Times New Roman"/>
                      <w:color w:val="auto"/>
                      <w:sz w:val="21"/>
                      <w:szCs w:val="21"/>
                      <w:lang w:val="en-US" w:eastAsia="zh-CN"/>
                    </w:rPr>
                    <w:t>07</w:t>
                  </w:r>
                </w:p>
              </w:tc>
              <w:tc>
                <w:tcPr>
                  <w:tcW w:w="592"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10.7</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619"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68</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6.4</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21.6</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99" w:type="pct"/>
                  <w:vMerge w:val="continue"/>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21"/>
                      <w:szCs w:val="21"/>
                    </w:rPr>
                  </w:pPr>
                </w:p>
              </w:tc>
              <w:tc>
                <w:tcPr>
                  <w:tcW w:w="519"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eastAsia="微软雅黑" w:cs="Times New Roman"/>
                      <w:color w:val="auto"/>
                      <w:sz w:val="21"/>
                      <w:szCs w:val="21"/>
                    </w:rPr>
                  </w:pPr>
                  <w:r>
                    <w:rPr>
                      <w:rFonts w:hint="default" w:ascii="Times New Roman" w:hAnsi="Times New Roman" w:eastAsia="微软雅黑" w:cs="Times New Roman"/>
                      <w:color w:val="auto"/>
                      <w:sz w:val="21"/>
                      <w:szCs w:val="21"/>
                    </w:rPr>
                    <w:t>2020-</w:t>
                  </w:r>
                  <w:r>
                    <w:rPr>
                      <w:rFonts w:hint="eastAsia" w:ascii="Times New Roman" w:hAnsi="Times New Roman" w:eastAsia="微软雅黑" w:cs="Times New Roman"/>
                      <w:color w:val="auto"/>
                      <w:sz w:val="21"/>
                      <w:szCs w:val="21"/>
                      <w:lang w:val="en-US" w:eastAsia="zh-CN"/>
                    </w:rPr>
                    <w:t>08</w:t>
                  </w:r>
                </w:p>
              </w:tc>
              <w:tc>
                <w:tcPr>
                  <w:tcW w:w="592"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10.7</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5.9</w:t>
                  </w:r>
                </w:p>
              </w:tc>
              <w:tc>
                <w:tcPr>
                  <w:tcW w:w="619"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79</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7.1</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18.7</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eastAsia" w:cs="Times New Roman"/>
                      <w:color w:val="auto"/>
                      <w:sz w:val="21"/>
                      <w:szCs w:val="21"/>
                      <w:lang w:val="en-US" w:eastAsia="zh-CN"/>
                    </w:rPr>
                  </w:pPr>
                  <w:r>
                    <w:rPr>
                      <w:rFonts w:hint="default" w:ascii="Times New Roman" w:hAnsi="Times New Roman" w:cs="Times New Roman"/>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99" w:type="pct"/>
                  <w:vMerge w:val="continue"/>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21"/>
                      <w:szCs w:val="21"/>
                    </w:rPr>
                  </w:pPr>
                </w:p>
              </w:tc>
              <w:tc>
                <w:tcPr>
                  <w:tcW w:w="519" w:type="pct"/>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eastAsia="微软雅黑" w:cs="Times New Roman"/>
                      <w:color w:val="auto"/>
                      <w:sz w:val="21"/>
                      <w:szCs w:val="21"/>
                    </w:rPr>
                  </w:pPr>
                  <w:r>
                    <w:rPr>
                      <w:rFonts w:hint="default" w:ascii="Times New Roman" w:hAnsi="Times New Roman" w:eastAsia="微软雅黑" w:cs="Times New Roman"/>
                      <w:color w:val="auto"/>
                      <w:sz w:val="21"/>
                      <w:szCs w:val="21"/>
                    </w:rPr>
                    <w:t>2020-</w:t>
                  </w:r>
                  <w:r>
                    <w:rPr>
                      <w:rFonts w:hint="eastAsia" w:ascii="Times New Roman" w:hAnsi="Times New Roman" w:eastAsia="微软雅黑" w:cs="Times New Roman"/>
                      <w:color w:val="auto"/>
                      <w:sz w:val="21"/>
                      <w:szCs w:val="21"/>
                      <w:lang w:val="en-US" w:eastAsia="zh-CN"/>
                    </w:rPr>
                    <w:t>09</w:t>
                  </w:r>
                </w:p>
              </w:tc>
              <w:tc>
                <w:tcPr>
                  <w:tcW w:w="592"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10.3</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7.1</w:t>
                  </w:r>
                </w:p>
              </w:tc>
              <w:tc>
                <w:tcPr>
                  <w:tcW w:w="619"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79.3</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6.7</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16.9</w:t>
                  </w:r>
                </w:p>
              </w:tc>
              <w:tc>
                <w:tcPr>
                  <w:tcW w:w="593" w:type="pct"/>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eastAsia" w:cs="Times New Roman"/>
                      <w:color w:val="auto"/>
                      <w:sz w:val="21"/>
                      <w:szCs w:val="21"/>
                      <w:lang w:val="en-US" w:eastAsia="zh-CN"/>
                    </w:rPr>
                  </w:pPr>
                  <w:r>
                    <w:rPr>
                      <w:rFonts w:hint="default" w:ascii="Times New Roman" w:hAnsi="Times New Roman" w:cs="Times New Roman"/>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99" w:type="pct"/>
                  <w:vMerge w:val="continue"/>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21"/>
                      <w:szCs w:val="21"/>
                    </w:rPr>
                  </w:pPr>
                </w:p>
              </w:tc>
              <w:tc>
                <w:tcPr>
                  <w:tcW w:w="519" w:type="pct"/>
                  <w:tcBorders>
                    <w:top w:val="single" w:color="auto" w:sz="4" w:space="0"/>
                    <w:left w:val="single" w:color="auto" w:sz="4" w:space="0"/>
                    <w:bottom w:val="single" w:color="auto" w:sz="4" w:space="0"/>
                    <w:right w:val="single" w:color="auto" w:sz="4" w:space="0"/>
                  </w:tcBorders>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eastAsia="微软雅黑" w:cs="Times New Roman"/>
                      <w:color w:val="auto"/>
                      <w:sz w:val="21"/>
                      <w:szCs w:val="21"/>
                      <w:lang w:val="en-US"/>
                    </w:rPr>
                  </w:pPr>
                  <w:r>
                    <w:rPr>
                      <w:rFonts w:hint="default" w:ascii="Times New Roman" w:hAnsi="Times New Roman" w:eastAsia="微软雅黑" w:cs="Times New Roman"/>
                      <w:color w:val="auto"/>
                      <w:sz w:val="21"/>
                      <w:szCs w:val="21"/>
                    </w:rPr>
                    <w:t>2020-</w:t>
                  </w:r>
                  <w:r>
                    <w:rPr>
                      <w:rFonts w:hint="eastAsia" w:ascii="Times New Roman" w:hAnsi="Times New Roman" w:eastAsia="微软雅黑" w:cs="Times New Roman"/>
                      <w:color w:val="auto"/>
                      <w:sz w:val="21"/>
                      <w:szCs w:val="21"/>
                      <w:lang w:val="en-US" w:eastAsia="zh-CN"/>
                    </w:rPr>
                    <w:t>10</w:t>
                  </w:r>
                </w:p>
              </w:tc>
              <w:tc>
                <w:tcPr>
                  <w:tcW w:w="5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10.1</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7.4</w:t>
                  </w:r>
                </w:p>
              </w:tc>
              <w:tc>
                <w:tcPr>
                  <w:tcW w:w="6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0.6</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76</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18.5</w:t>
                  </w:r>
                </w:p>
              </w:tc>
              <w:tc>
                <w:tcPr>
                  <w:tcW w:w="593"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99" w:type="pct"/>
                  <w:vMerge w:val="continue"/>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21"/>
                      <w:szCs w:val="21"/>
                    </w:rPr>
                  </w:pPr>
                </w:p>
              </w:tc>
              <w:tc>
                <w:tcPr>
                  <w:tcW w:w="519" w:type="pct"/>
                  <w:tcBorders>
                    <w:top w:val="single" w:color="auto" w:sz="4" w:space="0"/>
                    <w:left w:val="single" w:color="auto" w:sz="4" w:space="0"/>
                    <w:bottom w:val="single" w:color="auto" w:sz="4" w:space="0"/>
                    <w:right w:val="single" w:color="auto" w:sz="4" w:space="0"/>
                  </w:tcBorders>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eastAsia="微软雅黑" w:cs="Times New Roman"/>
                      <w:color w:val="auto"/>
                      <w:sz w:val="21"/>
                      <w:szCs w:val="21"/>
                      <w:lang w:val="en-US"/>
                    </w:rPr>
                  </w:pPr>
                  <w:r>
                    <w:rPr>
                      <w:rFonts w:hint="default" w:ascii="Times New Roman" w:hAnsi="Times New Roman" w:eastAsia="微软雅黑" w:cs="Times New Roman"/>
                      <w:color w:val="auto"/>
                      <w:sz w:val="21"/>
                      <w:szCs w:val="21"/>
                    </w:rPr>
                    <w:t>2020-</w:t>
                  </w:r>
                  <w:r>
                    <w:rPr>
                      <w:rFonts w:hint="eastAsia" w:ascii="Times New Roman" w:hAnsi="Times New Roman" w:eastAsia="微软雅黑" w:cs="Times New Roman"/>
                      <w:color w:val="auto"/>
                      <w:sz w:val="21"/>
                      <w:szCs w:val="21"/>
                      <w:lang w:val="en-US" w:eastAsia="zh-CN"/>
                    </w:rPr>
                    <w:t>11</w:t>
                  </w:r>
                </w:p>
              </w:tc>
              <w:tc>
                <w:tcPr>
                  <w:tcW w:w="5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8.1</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6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76.1</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9.4</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18.7</w:t>
                  </w:r>
                </w:p>
              </w:tc>
              <w:tc>
                <w:tcPr>
                  <w:tcW w:w="593"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18"/>
                      <w:szCs w:val="18"/>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299" w:type="pct"/>
                  <w:vMerge w:val="continue"/>
                  <w:tcBorders>
                    <w:bottom w:val="single" w:color="auto" w:sz="4" w:space="0"/>
                  </w:tcBorders>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cs="Times New Roman"/>
                      <w:color w:val="auto"/>
                      <w:sz w:val="21"/>
                      <w:szCs w:val="21"/>
                    </w:rPr>
                  </w:pPr>
                </w:p>
              </w:tc>
              <w:tc>
                <w:tcPr>
                  <w:tcW w:w="519" w:type="pct"/>
                  <w:tcBorders>
                    <w:top w:val="single" w:color="auto" w:sz="4" w:space="0"/>
                    <w:left w:val="single" w:color="auto" w:sz="4" w:space="0"/>
                    <w:bottom w:val="single" w:color="auto" w:sz="4" w:space="0"/>
                    <w:right w:val="single" w:color="auto" w:sz="4" w:space="0"/>
                  </w:tcBorders>
                  <w:noWrap w:val="0"/>
                  <w:vAlign w:val="center"/>
                </w:tcPr>
                <w:p>
                  <w:pPr>
                    <w:pStyle w:val="17"/>
                    <w:keepNext w:val="0"/>
                    <w:keepLines w:val="0"/>
                    <w:pageBreakBefore w:val="0"/>
                    <w:widowControl w:val="0"/>
                    <w:kinsoku/>
                    <w:wordWrap/>
                    <w:overflowPunct/>
                    <w:topLinePunct w:val="0"/>
                    <w:autoSpaceDE/>
                    <w:bidi w:val="0"/>
                    <w:adjustRightInd/>
                    <w:snapToGrid/>
                    <w:spacing w:before="0" w:beforeLines="0" w:after="0" w:afterLines="0" w:line="240" w:lineRule="auto"/>
                    <w:ind w:left="0" w:leftChars="0" w:right="0" w:rightChars="0" w:firstLine="0" w:firstLineChars="0"/>
                    <w:jc w:val="center"/>
                    <w:outlineLvl w:val="9"/>
                    <w:rPr>
                      <w:rFonts w:hint="default" w:ascii="Times New Roman" w:hAnsi="Times New Roman" w:eastAsia="微软雅黑" w:cs="Times New Roman"/>
                      <w:color w:val="auto"/>
                      <w:sz w:val="21"/>
                      <w:szCs w:val="21"/>
                    </w:rPr>
                  </w:pPr>
                  <w:r>
                    <w:rPr>
                      <w:rFonts w:hint="default" w:ascii="Times New Roman" w:hAnsi="Times New Roman" w:eastAsia="微软雅黑" w:cs="Times New Roman"/>
                      <w:color w:val="auto"/>
                      <w:sz w:val="21"/>
                      <w:szCs w:val="21"/>
                    </w:rPr>
                    <w:t>2020-</w:t>
                  </w:r>
                  <w:r>
                    <w:rPr>
                      <w:rFonts w:hint="eastAsia" w:ascii="Times New Roman" w:hAnsi="Times New Roman" w:eastAsia="微软雅黑" w:cs="Times New Roman"/>
                      <w:color w:val="auto"/>
                      <w:sz w:val="21"/>
                      <w:szCs w:val="21"/>
                      <w:lang w:val="en-US" w:eastAsia="zh-CN"/>
                    </w:rPr>
                    <w:t>12</w:t>
                  </w:r>
                </w:p>
              </w:tc>
              <w:tc>
                <w:tcPr>
                  <w:tcW w:w="59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8.3</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w:t>
                  </w:r>
                </w:p>
              </w:tc>
              <w:tc>
                <w:tcPr>
                  <w:tcW w:w="61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74</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25.1</w:t>
                  </w:r>
                </w:p>
              </w:tc>
              <w:tc>
                <w:tcPr>
                  <w:tcW w:w="59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32.1</w:t>
                  </w:r>
                </w:p>
              </w:tc>
              <w:tc>
                <w:tcPr>
                  <w:tcW w:w="593" w:type="pct"/>
                  <w:tcBorders>
                    <w:top w:val="single" w:color="auto" w:sz="4" w:space="0"/>
                    <w:left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center"/>
                    <w:textAlignment w:val="center"/>
                    <w:outlineLvl w:val="9"/>
                    <w:rPr>
                      <w:rFonts w:hint="eastAsia" w:ascii="Times New Roman" w:hAnsi="Times New Roman" w:cs="Times New Roman"/>
                      <w:color w:val="auto"/>
                      <w:sz w:val="21"/>
                      <w:szCs w:val="21"/>
                      <w:lang w:val="en-US" w:eastAsia="zh-CN"/>
                    </w:rPr>
                  </w:pPr>
                  <w:r>
                    <w:rPr>
                      <w:rFonts w:hint="default" w:ascii="Times New Roman" w:hAnsi="Times New Roman" w:cs="Times New Roman"/>
                      <w:color w:val="auto"/>
                      <w:sz w:val="18"/>
                      <w:szCs w:val="18"/>
                    </w:rPr>
                    <w:t>达标</w:t>
                  </w:r>
                </w:p>
              </w:tc>
            </w:tr>
          </w:tbl>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根据《环境影响评价技术导则大气环境》（</w:t>
            </w:r>
            <w:r>
              <w:rPr>
                <w:rFonts w:hint="default" w:ascii="Times New Roman" w:hAnsi="Times New Roman" w:eastAsia="宋体" w:cs="Times New Roman"/>
                <w:color w:val="000000"/>
                <w:kern w:val="0"/>
                <w:sz w:val="24"/>
                <w:szCs w:val="24"/>
                <w:lang w:val="en-US" w:eastAsia="zh-CN" w:bidi="ar"/>
              </w:rPr>
              <w:t>HJ2.2-2018</w:t>
            </w:r>
            <w:r>
              <w:rPr>
                <w:rFonts w:hint="eastAsia" w:ascii="宋体" w:hAnsi="宋体" w:eastAsia="宋体" w:cs="宋体"/>
                <w:color w:val="000000"/>
                <w:kern w:val="0"/>
                <w:sz w:val="24"/>
                <w:szCs w:val="24"/>
                <w:lang w:val="en-US" w:eastAsia="zh-CN" w:bidi="ar"/>
              </w:rPr>
              <w:t xml:space="preserve">），城市环境空气质量达标情况评价指标为 </w:t>
            </w:r>
            <w:r>
              <w:rPr>
                <w:rFonts w:hint="default" w:ascii="Times New Roman" w:hAnsi="Times New Roman" w:eastAsia="宋体" w:cs="Times New Roman"/>
                <w:color w:val="000000"/>
                <w:kern w:val="0"/>
                <w:sz w:val="24"/>
                <w:szCs w:val="24"/>
                <w:lang w:val="en-US" w:eastAsia="zh-CN" w:bidi="ar"/>
              </w:rPr>
              <w:t>SO</w:t>
            </w:r>
            <w:r>
              <w:rPr>
                <w:rFonts w:hint="default" w:ascii="Times New Roman" w:hAnsi="Times New Roman" w:eastAsia="宋体" w:cs="Times New Roman"/>
                <w:color w:val="000000"/>
                <w:kern w:val="0"/>
                <w:sz w:val="15"/>
                <w:szCs w:val="15"/>
                <w:lang w:val="en-US" w:eastAsia="zh-CN" w:bidi="ar"/>
              </w:rPr>
              <w:t>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NO</w:t>
            </w:r>
            <w:r>
              <w:rPr>
                <w:rFonts w:hint="default" w:ascii="Times New Roman" w:hAnsi="Times New Roman" w:eastAsia="宋体" w:cs="Times New Roman"/>
                <w:color w:val="000000"/>
                <w:kern w:val="0"/>
                <w:sz w:val="15"/>
                <w:szCs w:val="15"/>
                <w:lang w:val="en-US" w:eastAsia="zh-CN" w:bidi="ar"/>
              </w:rPr>
              <w:t>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PM</w:t>
            </w:r>
            <w:r>
              <w:rPr>
                <w:rFonts w:hint="default" w:ascii="Times New Roman" w:hAnsi="Times New Roman" w:eastAsia="宋体" w:cs="Times New Roman"/>
                <w:color w:val="000000"/>
                <w:kern w:val="0"/>
                <w:sz w:val="15"/>
                <w:szCs w:val="15"/>
                <w:lang w:val="en-US" w:eastAsia="zh-CN" w:bidi="ar"/>
              </w:rPr>
              <w:t>10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PM</w:t>
            </w:r>
            <w:r>
              <w:rPr>
                <w:rFonts w:hint="default" w:ascii="Times New Roman" w:hAnsi="Times New Roman" w:eastAsia="宋体" w:cs="Times New Roman"/>
                <w:color w:val="000000"/>
                <w:kern w:val="0"/>
                <w:sz w:val="15"/>
                <w:szCs w:val="15"/>
                <w:lang w:val="en-US" w:eastAsia="zh-CN" w:bidi="ar"/>
              </w:rPr>
              <w:t>2.5</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CO </w:t>
            </w:r>
            <w:r>
              <w:rPr>
                <w:rFonts w:hint="eastAsia" w:ascii="宋体" w:hAnsi="宋体" w:eastAsia="宋体" w:cs="宋体"/>
                <w:color w:val="000000"/>
                <w:kern w:val="0"/>
                <w:sz w:val="24"/>
                <w:szCs w:val="24"/>
                <w:lang w:val="en-US" w:eastAsia="zh-CN" w:bidi="ar"/>
              </w:rPr>
              <w:t xml:space="preserve">和 </w:t>
            </w:r>
            <w:r>
              <w:rPr>
                <w:rFonts w:hint="default" w:ascii="Times New Roman" w:hAnsi="Times New Roman" w:eastAsia="宋体" w:cs="Times New Roman"/>
                <w:color w:val="000000"/>
                <w:kern w:val="0"/>
                <w:sz w:val="24"/>
                <w:szCs w:val="24"/>
                <w:lang w:val="en-US" w:eastAsia="zh-CN" w:bidi="ar"/>
              </w:rPr>
              <w:t>O</w:t>
            </w:r>
            <w:r>
              <w:rPr>
                <w:rFonts w:hint="default" w:ascii="Times New Roman" w:hAnsi="Times New Roman" w:eastAsia="宋体" w:cs="Times New Roman"/>
                <w:color w:val="000000"/>
                <w:kern w:val="0"/>
                <w:sz w:val="15"/>
                <w:szCs w:val="15"/>
                <w:lang w:val="en-US" w:eastAsia="zh-CN" w:bidi="ar"/>
              </w:rPr>
              <w:t>3</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 xml:space="preserve">6 </w:t>
            </w:r>
            <w:r>
              <w:rPr>
                <w:rFonts w:hint="eastAsia" w:ascii="宋体" w:hAnsi="宋体" w:eastAsia="宋体" w:cs="宋体"/>
                <w:color w:val="000000"/>
                <w:kern w:val="0"/>
                <w:sz w:val="24"/>
                <w:szCs w:val="24"/>
                <w:lang w:val="en-US" w:eastAsia="zh-CN" w:bidi="ar"/>
              </w:rPr>
              <w:t>项污染物全部达标即为城市环境空气质量达标。因此，九龙县环境空气质量总体评价结果为达标区。</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宋体"/>
                <w:color w:val="000000"/>
                <w:kern w:val="0"/>
                <w:sz w:val="24"/>
                <w:szCs w:val="24"/>
                <w:lang w:val="en-US" w:eastAsia="zh-CN" w:bidi="ar"/>
              </w:rPr>
            </w:pPr>
            <w:r>
              <w:rPr>
                <w:rFonts w:hint="default" w:ascii="Times New Roman" w:hAnsi="Times New Roman" w:eastAsia="宋体" w:cs="宋体"/>
                <w:color w:val="000000"/>
                <w:kern w:val="0"/>
                <w:sz w:val="24"/>
                <w:szCs w:val="24"/>
                <w:lang w:val="en-US" w:eastAsia="zh-CN" w:bidi="ar"/>
              </w:rPr>
              <w:t>因此，本项目所在甘孜州</w:t>
            </w:r>
            <w:r>
              <w:rPr>
                <w:rFonts w:hint="eastAsia" w:ascii="Times New Roman" w:hAnsi="Times New Roman" w:cs="宋体"/>
                <w:color w:val="000000"/>
                <w:kern w:val="0"/>
                <w:sz w:val="24"/>
                <w:szCs w:val="24"/>
                <w:lang w:val="en-US" w:eastAsia="zh-CN" w:bidi="ar"/>
              </w:rPr>
              <w:t>九龙</w:t>
            </w:r>
            <w:r>
              <w:rPr>
                <w:rFonts w:hint="default" w:ascii="Times New Roman" w:hAnsi="Times New Roman" w:eastAsia="宋体" w:cs="宋体"/>
                <w:color w:val="000000"/>
                <w:kern w:val="0"/>
                <w:sz w:val="24"/>
                <w:szCs w:val="24"/>
                <w:lang w:val="en-US" w:eastAsia="zh-CN" w:bidi="ar"/>
              </w:rPr>
              <w:t>县属于大气环境质量达标区。</w:t>
            </w:r>
          </w:p>
          <w:p>
            <w:pPr>
              <w:pStyle w:val="16"/>
              <w:keepNext w:val="0"/>
              <w:keepLines w:val="0"/>
              <w:pageBreakBefore w:val="0"/>
              <w:kinsoku/>
              <w:wordWrap/>
              <w:overflowPunct/>
              <w:topLinePunct w:val="0"/>
              <w:autoSpaceDE w:val="0"/>
              <w:autoSpaceDN w:val="0"/>
              <w:bidi w:val="0"/>
              <w:snapToGrid/>
              <w:spacing w:line="360" w:lineRule="auto"/>
              <w:ind w:left="0" w:leftChars="0" w:firstLine="480" w:firstLineChars="200"/>
              <w:rPr>
                <w:rFonts w:hint="eastAsia" w:ascii="Times New Roman" w:hAnsi="Times New Roman"/>
                <w:color w:val="auto"/>
                <w:sz w:val="24"/>
                <w:highlight w:val="none"/>
              </w:rPr>
            </w:pPr>
            <w:r>
              <w:rPr>
                <w:rFonts w:ascii="Times New Roman" w:hAnsi="Times New Roman"/>
                <w:color w:val="auto"/>
                <w:sz w:val="24"/>
                <w:highlight w:val="none"/>
              </w:rPr>
              <w:t>2</w:t>
            </w:r>
            <w:r>
              <w:rPr>
                <w:rFonts w:hint="eastAsia" w:ascii="Times New Roman" w:hAnsi="Times New Roman"/>
                <w:color w:val="auto"/>
                <w:sz w:val="24"/>
                <w:highlight w:val="none"/>
              </w:rPr>
              <w:t>、</w:t>
            </w:r>
            <w:r>
              <w:rPr>
                <w:rFonts w:ascii="Times New Roman" w:hAnsi="Times New Roman"/>
                <w:color w:val="auto"/>
                <w:sz w:val="24"/>
                <w:highlight w:val="none"/>
              </w:rPr>
              <w:t>项目</w:t>
            </w:r>
            <w:r>
              <w:rPr>
                <w:rFonts w:hint="eastAsia" w:ascii="Times New Roman" w:hAnsi="Times New Roman"/>
                <w:color w:val="auto"/>
                <w:sz w:val="24"/>
                <w:highlight w:val="none"/>
              </w:rPr>
              <w:t>特征因子环境空气</w:t>
            </w:r>
            <w:r>
              <w:rPr>
                <w:rFonts w:ascii="Times New Roman" w:hAnsi="Times New Roman"/>
                <w:color w:val="auto"/>
                <w:sz w:val="24"/>
                <w:highlight w:val="none"/>
              </w:rPr>
              <w:t>质量</w:t>
            </w:r>
            <w:r>
              <w:rPr>
                <w:rFonts w:hint="eastAsia" w:ascii="Times New Roman" w:hAnsi="Times New Roman"/>
                <w:color w:val="auto"/>
                <w:sz w:val="24"/>
                <w:highlight w:val="none"/>
              </w:rPr>
              <w:t>现状</w:t>
            </w:r>
            <w:r>
              <w:rPr>
                <w:rFonts w:ascii="Times New Roman" w:hAnsi="Times New Roman"/>
                <w:color w:val="auto"/>
                <w:sz w:val="24"/>
                <w:highlight w:val="none"/>
              </w:rPr>
              <w:t>监测与评价</w:t>
            </w:r>
          </w:p>
          <w:p>
            <w:pPr>
              <w:pStyle w:val="16"/>
              <w:keepNext w:val="0"/>
              <w:keepLines w:val="0"/>
              <w:pageBreakBefore w:val="0"/>
              <w:kinsoku/>
              <w:wordWrap/>
              <w:overflowPunct/>
              <w:topLinePunct w:val="0"/>
              <w:autoSpaceDE w:val="0"/>
              <w:autoSpaceDN w:val="0"/>
              <w:bidi w:val="0"/>
              <w:snapToGrid/>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本项目为沥青拌合站，选取特征因子为</w:t>
            </w:r>
            <w:r>
              <w:rPr>
                <w:rFonts w:ascii="Times New Roman" w:hAnsi="Times New Roman"/>
                <w:bCs/>
                <w:color w:val="auto"/>
                <w:sz w:val="24"/>
                <w:highlight w:val="none"/>
              </w:rPr>
              <w:t>苯并</w:t>
            </w:r>
            <w:r>
              <w:rPr>
                <w:rFonts w:hint="eastAsia" w:ascii="Times New Roman" w:hAnsi="Times New Roman"/>
                <w:bCs/>
                <w:color w:val="auto"/>
                <w:sz w:val="24"/>
                <w:highlight w:val="none"/>
              </w:rPr>
              <w:t>（</w:t>
            </w:r>
            <w:r>
              <w:rPr>
                <w:rFonts w:ascii="Times New Roman" w:hAnsi="Times New Roman"/>
                <w:bCs/>
                <w:color w:val="auto"/>
                <w:sz w:val="24"/>
                <w:highlight w:val="none"/>
              </w:rPr>
              <w:t>a</w:t>
            </w:r>
            <w:r>
              <w:rPr>
                <w:rFonts w:hint="eastAsia" w:ascii="Times New Roman" w:hAnsi="Times New Roman"/>
                <w:bCs/>
                <w:color w:val="auto"/>
                <w:sz w:val="24"/>
                <w:highlight w:val="none"/>
              </w:rPr>
              <w:t>）</w:t>
            </w:r>
            <w:r>
              <w:rPr>
                <w:rFonts w:ascii="Times New Roman" w:hAnsi="Times New Roman"/>
                <w:bCs/>
                <w:color w:val="auto"/>
                <w:sz w:val="24"/>
                <w:highlight w:val="none"/>
              </w:rPr>
              <w:t>芘</w:t>
            </w:r>
            <w:r>
              <w:rPr>
                <w:rFonts w:hint="eastAsia" w:ascii="Times New Roman" w:hAnsi="Times New Roman"/>
                <w:bCs/>
                <w:color w:val="auto"/>
                <w:sz w:val="24"/>
                <w:highlight w:val="none"/>
                <w:lang w:eastAsia="zh-CN"/>
              </w:rPr>
              <w:t>、</w:t>
            </w:r>
            <w:r>
              <w:rPr>
                <w:rFonts w:hint="eastAsia" w:ascii="Times New Roman" w:hAnsi="Times New Roman"/>
                <w:bCs/>
                <w:color w:val="auto"/>
                <w:sz w:val="24"/>
                <w:highlight w:val="none"/>
                <w:lang w:val="en-US" w:eastAsia="zh-CN"/>
              </w:rPr>
              <w:t>TVOC、总悬浮颗粒物</w:t>
            </w:r>
            <w:r>
              <w:rPr>
                <w:rFonts w:hint="eastAsia" w:ascii="Times New Roman" w:hAnsi="Times New Roman"/>
                <w:color w:val="auto"/>
                <w:sz w:val="24"/>
                <w:highlight w:val="none"/>
              </w:rPr>
              <w:t>进行现状监测，监测时间为</w:t>
            </w:r>
            <w:r>
              <w:rPr>
                <w:rFonts w:hint="eastAsia" w:ascii="Times New Roman" w:hAnsi="Times New Roman"/>
                <w:color w:val="auto"/>
                <w:sz w:val="24"/>
                <w:highlight w:val="none"/>
                <w:lang w:val="en-US" w:eastAsia="zh-CN"/>
              </w:rPr>
              <w:t>2021年7月1日-7日</w:t>
            </w:r>
            <w:r>
              <w:rPr>
                <w:rFonts w:hint="eastAsia" w:ascii="Times New Roman" w:hAnsi="Times New Roman"/>
                <w:color w:val="auto"/>
                <w:sz w:val="24"/>
                <w:highlight w:val="none"/>
              </w:rPr>
              <w:t>连续监测7天。</w:t>
            </w:r>
          </w:p>
          <w:p>
            <w:pPr>
              <w:pStyle w:val="16"/>
              <w:keepNext w:val="0"/>
              <w:keepLines w:val="0"/>
              <w:pageBreakBefore w:val="0"/>
              <w:kinsoku/>
              <w:wordWrap/>
              <w:overflowPunct/>
              <w:topLinePunct w:val="0"/>
              <w:autoSpaceDE w:val="0"/>
              <w:autoSpaceDN w:val="0"/>
              <w:bidi w:val="0"/>
              <w:snapToGrid/>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（1）监测布点</w:t>
            </w:r>
          </w:p>
          <w:p>
            <w:pPr>
              <w:pStyle w:val="16"/>
              <w:keepNext w:val="0"/>
              <w:keepLines w:val="0"/>
              <w:pageBreakBefore w:val="0"/>
              <w:kinsoku/>
              <w:wordWrap/>
              <w:overflowPunct/>
              <w:topLinePunct w:val="0"/>
              <w:autoSpaceDE w:val="0"/>
              <w:autoSpaceDN w:val="0"/>
              <w:bidi w:val="0"/>
              <w:snapToGrid/>
              <w:spacing w:line="360" w:lineRule="auto"/>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根据</w:t>
            </w:r>
            <w:r>
              <w:rPr>
                <w:rFonts w:ascii="Times New Roman" w:hAnsi="Times New Roman"/>
                <w:color w:val="auto"/>
                <w:sz w:val="24"/>
                <w:highlight w:val="none"/>
              </w:rPr>
              <w:t>项目所在区域外环境情况</w:t>
            </w:r>
            <w:r>
              <w:rPr>
                <w:rFonts w:hint="eastAsia" w:ascii="Times New Roman" w:hAnsi="Times New Roman"/>
                <w:color w:val="auto"/>
                <w:sz w:val="24"/>
                <w:highlight w:val="none"/>
              </w:rPr>
              <w:t>及</w:t>
            </w:r>
            <w:r>
              <w:rPr>
                <w:rFonts w:ascii="Times New Roman" w:hAnsi="Times New Roman"/>
                <w:color w:val="auto"/>
                <w:sz w:val="24"/>
                <w:highlight w:val="none"/>
              </w:rPr>
              <w:t>主导风向，</w:t>
            </w:r>
            <w:r>
              <w:rPr>
                <w:rFonts w:hint="eastAsia" w:ascii="Times New Roman" w:hAnsi="Times New Roman"/>
                <w:color w:val="auto"/>
                <w:sz w:val="24"/>
                <w:highlight w:val="none"/>
              </w:rPr>
              <w:t>结合环境影响评价技术导则，</w:t>
            </w:r>
            <w:r>
              <w:rPr>
                <w:rFonts w:ascii="Times New Roman" w:hAnsi="Times New Roman"/>
                <w:color w:val="auto"/>
                <w:sz w:val="24"/>
                <w:highlight w:val="none"/>
              </w:rPr>
              <w:t>本次设置</w:t>
            </w:r>
            <w:r>
              <w:rPr>
                <w:rFonts w:hint="eastAsia" w:ascii="Times New Roman" w:hAnsi="Times New Roman"/>
                <w:color w:val="auto"/>
                <w:sz w:val="24"/>
                <w:highlight w:val="none"/>
              </w:rPr>
              <w:t>两个</w:t>
            </w:r>
            <w:r>
              <w:rPr>
                <w:rFonts w:ascii="Times New Roman" w:hAnsi="Times New Roman"/>
                <w:color w:val="auto"/>
                <w:sz w:val="24"/>
                <w:highlight w:val="none"/>
              </w:rPr>
              <w:t>监测点位</w:t>
            </w:r>
            <w:r>
              <w:rPr>
                <w:rFonts w:hint="eastAsia" w:ascii="Times New Roman" w:hAnsi="Times New Roman"/>
                <w:color w:val="auto"/>
                <w:sz w:val="24"/>
                <w:highlight w:val="none"/>
              </w:rPr>
              <w:t>。</w:t>
            </w:r>
          </w:p>
          <w:p>
            <w:pPr>
              <w:pStyle w:val="20"/>
              <w:bidi w:val="0"/>
              <w:rPr>
                <w:rFonts w:hint="eastAsia"/>
              </w:rPr>
            </w:pPr>
            <w:r>
              <w:rPr>
                <w:rFonts w:hint="eastAsia" w:ascii="Times New Roman" w:hAnsi="Times New Roman" w:eastAsia="宋体" w:cs="Times New Roman"/>
                <w:b/>
                <w:bCs/>
                <w:color w:val="auto"/>
                <w:kern w:val="0"/>
                <w:sz w:val="21"/>
                <w:szCs w:val="21"/>
                <w:highlight w:val="none"/>
                <w:lang w:val="zh-CN" w:eastAsia="zh-CN" w:bidi="zh-CN"/>
              </w:rPr>
              <w:t>表3-2   环境空气质量现状监测点位</w:t>
            </w:r>
          </w:p>
          <w:tbl>
            <w:tblPr>
              <w:tblStyle w:val="11"/>
              <w:tblW w:w="7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5"/>
              <w:gridCol w:w="3742"/>
              <w:gridCol w:w="2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95" w:type="dxa"/>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编号</w:t>
                  </w:r>
                </w:p>
              </w:tc>
              <w:tc>
                <w:tcPr>
                  <w:tcW w:w="3742" w:type="dxa"/>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监测点名称</w:t>
                  </w:r>
                </w:p>
              </w:tc>
              <w:tc>
                <w:tcPr>
                  <w:tcW w:w="2302" w:type="dxa"/>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795" w:type="dxa"/>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1#</w:t>
                  </w:r>
                </w:p>
              </w:tc>
              <w:tc>
                <w:tcPr>
                  <w:tcW w:w="374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Times New Roman" w:hAnsi="Times New Roman" w:cs="Arial"/>
                      <w:color w:val="auto"/>
                      <w:sz w:val="21"/>
                      <w:szCs w:val="21"/>
                      <w:highlight w:val="none"/>
                    </w:rPr>
                  </w:pPr>
                  <w:bookmarkStart w:id="0" w:name="环境空气1"/>
                  <w:r>
                    <w:rPr>
                      <w:rFonts w:hint="default" w:ascii="Times New Roman" w:hAnsi="Times New Roman" w:eastAsia="宋体" w:cs="Times New Roman"/>
                      <w:bCs/>
                      <w:color w:val="auto"/>
                      <w:kern w:val="2"/>
                      <w:sz w:val="21"/>
                      <w:szCs w:val="21"/>
                      <w:highlight w:val="none"/>
                      <w:lang w:val="en-US" w:eastAsia="zh-CN" w:bidi="ar"/>
                    </w:rPr>
                    <w:t xml:space="preserve">1# </w:t>
                  </w:r>
                  <w:r>
                    <w:rPr>
                      <w:rFonts w:hint="eastAsia" w:ascii="Times New Roman" w:hAnsi="Times New Roman" w:eastAsia="宋体" w:cs="Times New Roman"/>
                      <w:bCs/>
                      <w:color w:val="auto"/>
                      <w:kern w:val="2"/>
                      <w:sz w:val="21"/>
                      <w:szCs w:val="21"/>
                      <w:highlight w:val="none"/>
                      <w:lang w:val="en-US" w:eastAsia="zh-CN" w:bidi="ar"/>
                    </w:rPr>
                    <w:t>拟建热拌站厂址中心</w:t>
                  </w:r>
                  <w:bookmarkEnd w:id="0"/>
                </w:p>
              </w:tc>
              <w:tc>
                <w:tcPr>
                  <w:tcW w:w="2302" w:type="dxa"/>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现状监测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795" w:type="dxa"/>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r>
                    <w:rPr>
                      <w:rFonts w:ascii="Times New Roman" w:hAnsi="Times New Roman"/>
                      <w:color w:val="auto"/>
                      <w:sz w:val="21"/>
                      <w:szCs w:val="21"/>
                      <w:highlight w:val="none"/>
                    </w:rPr>
                    <w:t>2#</w:t>
                  </w:r>
                </w:p>
              </w:tc>
              <w:tc>
                <w:tcPr>
                  <w:tcW w:w="3742" w:type="dxa"/>
                  <w:tcBorders>
                    <w:tl2br w:val="nil"/>
                    <w:tr2bl w:val="nil"/>
                  </w:tcBorders>
                  <w:noWrap w:val="0"/>
                  <w:vAlign w:val="center"/>
                </w:tcPr>
                <w:p>
                  <w:pPr>
                    <w:jc w:val="center"/>
                    <w:rPr>
                      <w:rFonts w:hint="eastAsia" w:ascii="Times New Roman" w:hAnsi="Times New Roman" w:eastAsia="宋体" w:cs="Arial"/>
                      <w:color w:val="auto"/>
                      <w:sz w:val="21"/>
                      <w:szCs w:val="21"/>
                      <w:highlight w:val="none"/>
                      <w:lang w:eastAsia="zh-CN"/>
                    </w:rPr>
                  </w:pPr>
                  <w:bookmarkStart w:id="1" w:name="环境空气2"/>
                  <w:r>
                    <w:rPr>
                      <w:rFonts w:hint="eastAsia" w:ascii="Times New Roman" w:hAnsi="Times New Roman" w:eastAsia="宋体" w:cs="Times New Roman"/>
                      <w:bCs/>
                      <w:color w:val="auto"/>
                      <w:kern w:val="2"/>
                      <w:sz w:val="21"/>
                      <w:szCs w:val="21"/>
                      <w:highlight w:val="none"/>
                      <w:lang w:val="en-US" w:eastAsia="zh-CN" w:bidi="ar"/>
                    </w:rPr>
                    <w:t>2# 拟建热拌站北侧</w:t>
                  </w:r>
                  <w:r>
                    <w:rPr>
                      <w:rFonts w:hint="default" w:ascii="Times New Roman" w:hAnsi="Times New Roman" w:eastAsia="宋体" w:cs="Times New Roman"/>
                      <w:bCs/>
                      <w:color w:val="auto"/>
                      <w:kern w:val="2"/>
                      <w:sz w:val="21"/>
                      <w:szCs w:val="21"/>
                      <w:highlight w:val="none"/>
                      <w:lang w:val="en-US" w:eastAsia="zh-CN" w:bidi="ar"/>
                    </w:rPr>
                    <w:t>3</w:t>
                  </w:r>
                  <w:r>
                    <w:rPr>
                      <w:rFonts w:hint="eastAsia" w:ascii="Times New Roman" w:hAnsi="Times New Roman" w:cs="Times New Roman"/>
                      <w:bCs/>
                      <w:color w:val="auto"/>
                      <w:kern w:val="2"/>
                      <w:sz w:val="21"/>
                      <w:szCs w:val="21"/>
                      <w:highlight w:val="none"/>
                      <w:lang w:val="en-US" w:eastAsia="zh-CN" w:bidi="ar"/>
                    </w:rPr>
                    <w:t>1</w:t>
                  </w:r>
                  <w:r>
                    <w:rPr>
                      <w:rFonts w:hint="default" w:ascii="Times New Roman" w:hAnsi="Times New Roman" w:eastAsia="宋体" w:cs="Times New Roman"/>
                      <w:bCs/>
                      <w:color w:val="auto"/>
                      <w:kern w:val="2"/>
                      <w:sz w:val="21"/>
                      <w:szCs w:val="21"/>
                      <w:highlight w:val="none"/>
                      <w:lang w:val="en-US" w:eastAsia="zh-CN" w:bidi="ar"/>
                    </w:rPr>
                    <w:t>0m</w:t>
                  </w:r>
                  <w:r>
                    <w:rPr>
                      <w:rFonts w:hint="eastAsia" w:ascii="Times New Roman" w:hAnsi="Times New Roman" w:eastAsia="宋体" w:cs="Times New Roman"/>
                      <w:bCs/>
                      <w:color w:val="auto"/>
                      <w:kern w:val="2"/>
                      <w:sz w:val="21"/>
                      <w:szCs w:val="21"/>
                      <w:highlight w:val="none"/>
                      <w:lang w:val="en-US" w:eastAsia="zh-CN" w:bidi="ar"/>
                    </w:rPr>
                    <w:t>（崩崩冲村）</w:t>
                  </w:r>
                  <w:bookmarkEnd w:id="1"/>
                </w:p>
              </w:tc>
              <w:tc>
                <w:tcPr>
                  <w:tcW w:w="2302" w:type="dxa"/>
                  <w:tcBorders>
                    <w:tl2br w:val="nil"/>
                    <w:tr2bl w:val="nil"/>
                  </w:tcBorders>
                  <w:noWrap w:val="0"/>
                  <w:vAlign w:val="center"/>
                </w:tcPr>
                <w:p>
                  <w:pPr>
                    <w:adjustRightInd w:val="0"/>
                    <w:snapToGrid w:val="0"/>
                    <w:jc w:val="center"/>
                    <w:rPr>
                      <w:rFonts w:ascii="Times New Roman" w:hAnsi="Times New Roman"/>
                      <w:color w:val="auto"/>
                      <w:sz w:val="21"/>
                      <w:szCs w:val="21"/>
                      <w:highlight w:val="none"/>
                    </w:rPr>
                  </w:pPr>
                  <w:r>
                    <w:rPr>
                      <w:rFonts w:hint="eastAsia" w:ascii="Times New Roman" w:hAnsi="Times New Roman" w:cs="Arial"/>
                      <w:color w:val="auto"/>
                      <w:sz w:val="21"/>
                      <w:szCs w:val="21"/>
                      <w:highlight w:val="none"/>
                    </w:rPr>
                    <w:t>项目</w:t>
                  </w:r>
                  <w:r>
                    <w:rPr>
                      <w:rFonts w:hint="eastAsia" w:ascii="Times New Roman" w:hAnsi="Times New Roman" w:cs="Arial"/>
                      <w:color w:val="auto"/>
                      <w:sz w:val="21"/>
                      <w:szCs w:val="21"/>
                      <w:highlight w:val="none"/>
                      <w:lang w:val="en-US" w:eastAsia="zh-CN"/>
                    </w:rPr>
                    <w:t>北侧310米</w:t>
                  </w:r>
                  <w:r>
                    <w:rPr>
                      <w:rFonts w:hint="eastAsia" w:ascii="Times New Roman" w:hAnsi="Times New Roman" w:cs="Arial"/>
                      <w:color w:val="auto"/>
                      <w:sz w:val="21"/>
                      <w:szCs w:val="21"/>
                      <w:highlight w:val="none"/>
                    </w:rPr>
                    <w:t>处</w:t>
                  </w:r>
                </w:p>
              </w:tc>
            </w:tr>
          </w:tbl>
          <w:p>
            <w:pPr>
              <w:spacing w:before="240" w:beforeLines="0" w:line="360" w:lineRule="auto"/>
              <w:ind w:firstLine="480" w:firstLineChars="200"/>
              <w:rPr>
                <w:color w:val="auto"/>
                <w:sz w:val="24"/>
                <w:highlight w:val="none"/>
              </w:rPr>
            </w:pPr>
            <w:r>
              <w:rPr>
                <w:rFonts w:hint="eastAsia"/>
                <w:color w:val="auto"/>
                <w:sz w:val="24"/>
                <w:highlight w:val="none"/>
              </w:rPr>
              <w:t>（2）监测方法及</w:t>
            </w:r>
            <w:r>
              <w:rPr>
                <w:color w:val="auto"/>
                <w:sz w:val="24"/>
                <w:highlight w:val="none"/>
              </w:rPr>
              <w:t>方法来源</w:t>
            </w:r>
          </w:p>
          <w:p>
            <w:pPr>
              <w:pStyle w:val="20"/>
              <w:bidi w:val="0"/>
              <w:rPr>
                <w:rFonts w:hint="eastAsia" w:ascii="宋体" w:hAnsi="宋体" w:eastAsia="宋体" w:cs="宋体"/>
                <w:b/>
                <w:bCs/>
                <w:color w:val="auto"/>
                <w:kern w:val="0"/>
                <w:sz w:val="21"/>
                <w:szCs w:val="21"/>
                <w:highlight w:val="none"/>
                <w:lang w:val="zh-CN" w:eastAsia="zh-CN" w:bidi="zh-CN"/>
              </w:rPr>
            </w:pPr>
            <w:r>
              <w:rPr>
                <w:rFonts w:hint="eastAsia" w:ascii="Times New Roman" w:hAnsi="Times New Roman" w:eastAsia="宋体" w:cs="Times New Roman"/>
                <w:b/>
                <w:bCs/>
                <w:color w:val="auto"/>
                <w:kern w:val="0"/>
                <w:sz w:val="21"/>
                <w:szCs w:val="21"/>
                <w:highlight w:val="none"/>
                <w:lang w:val="zh-CN" w:eastAsia="zh-CN" w:bidi="zh-CN"/>
              </w:rPr>
              <w:t>表3-3   环境空气监测方法、方法来源、使用仪器及检出限</w:t>
            </w:r>
          </w:p>
          <w:tbl>
            <w:tblPr>
              <w:tblStyle w:val="11"/>
              <w:tblW w:w="4612" w:type="pct"/>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0" w:type="dxa"/>
                <w:bottom w:w="0" w:type="dxa"/>
                <w:right w:w="0" w:type="dxa"/>
              </w:tblCellMar>
            </w:tblPr>
            <w:tblGrid>
              <w:gridCol w:w="1302"/>
              <w:gridCol w:w="1642"/>
              <w:gridCol w:w="1389"/>
              <w:gridCol w:w="2357"/>
              <w:gridCol w:w="84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307" w:hRule="atLeast"/>
                <w:tblHeader/>
                <w:jc w:val="center"/>
              </w:trPr>
              <w:tc>
                <w:tcPr>
                  <w:tcW w:w="864" w:type="pct"/>
                  <w:noWrap w:val="0"/>
                  <w:tcMar>
                    <w:left w:w="0" w:type="dxa"/>
                    <w:right w:w="0" w:type="dxa"/>
                  </w:tcMar>
                  <w:vAlign w:val="center"/>
                </w:tcPr>
                <w:p>
                  <w:pPr>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监测项目</w:t>
                  </w:r>
                </w:p>
              </w:tc>
              <w:tc>
                <w:tcPr>
                  <w:tcW w:w="1089" w:type="pct"/>
                  <w:noWrap w:val="0"/>
                  <w:tcMar>
                    <w:left w:w="0" w:type="dxa"/>
                    <w:right w:w="0" w:type="dxa"/>
                  </w:tcMar>
                  <w:vAlign w:val="center"/>
                </w:tcPr>
                <w:p>
                  <w:pPr>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监测方法</w:t>
                  </w:r>
                </w:p>
              </w:tc>
              <w:tc>
                <w:tcPr>
                  <w:tcW w:w="921" w:type="pct"/>
                  <w:noWrap w:val="0"/>
                  <w:tcMar>
                    <w:left w:w="0" w:type="dxa"/>
                    <w:right w:w="0" w:type="dxa"/>
                  </w:tcMar>
                  <w:vAlign w:val="center"/>
                </w:tcPr>
                <w:p>
                  <w:pPr>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方法来源</w:t>
                  </w:r>
                </w:p>
              </w:tc>
              <w:tc>
                <w:tcPr>
                  <w:tcW w:w="1563" w:type="pct"/>
                  <w:noWrap w:val="0"/>
                  <w:tcMar>
                    <w:left w:w="0" w:type="dxa"/>
                    <w:right w:w="0" w:type="dxa"/>
                  </w:tcMar>
                  <w:vAlign w:val="center"/>
                </w:tcPr>
                <w:p>
                  <w:pPr>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使用仪器</w:t>
                  </w:r>
                </w:p>
              </w:tc>
              <w:tc>
                <w:tcPr>
                  <w:tcW w:w="561" w:type="pct"/>
                  <w:noWrap w:val="0"/>
                  <w:tcMar>
                    <w:left w:w="0" w:type="dxa"/>
                    <w:right w:w="0" w:type="dxa"/>
                  </w:tcMar>
                  <w:vAlign w:val="center"/>
                </w:tcPr>
                <w:p>
                  <w:pPr>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检出限</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312" w:hRule="atLeast"/>
                <w:tblHeader/>
                <w:jc w:val="center"/>
              </w:trPr>
              <w:tc>
                <w:tcPr>
                  <w:tcW w:w="864" w:type="pct"/>
                  <w:noWrap w:val="0"/>
                  <w:tcMar>
                    <w:left w:w="0" w:type="dxa"/>
                    <w:right w:w="0" w:type="dxa"/>
                  </w:tcMar>
                  <w:vAlign w:val="center"/>
                </w:tcPr>
                <w:p>
                  <w:pPr>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苯并</w:t>
                  </w:r>
                  <w:r>
                    <w:rPr>
                      <w:rFonts w:hint="eastAsia" w:ascii="Times New Roman" w:hAnsi="Times New Roman"/>
                      <w:bCs/>
                      <w:color w:val="auto"/>
                      <w:sz w:val="24"/>
                      <w:highlight w:val="none"/>
                    </w:rPr>
                    <w:t>（</w:t>
                  </w:r>
                  <w:r>
                    <w:rPr>
                      <w:rFonts w:ascii="Times New Roman" w:hAnsi="Times New Roman"/>
                      <w:bCs/>
                      <w:color w:val="auto"/>
                      <w:sz w:val="24"/>
                      <w:highlight w:val="none"/>
                    </w:rPr>
                    <w:t>a</w:t>
                  </w:r>
                  <w:r>
                    <w:rPr>
                      <w:rFonts w:hint="eastAsia" w:ascii="Times New Roman" w:hAnsi="Times New Roman"/>
                      <w:bCs/>
                      <w:color w:val="auto"/>
                      <w:sz w:val="24"/>
                      <w:highlight w:val="none"/>
                    </w:rPr>
                    <w:t>）</w:t>
                  </w:r>
                  <w:r>
                    <w:rPr>
                      <w:rFonts w:hint="eastAsia" w:ascii="Times New Roman" w:hAnsi="Times New Roman" w:eastAsia="宋体"/>
                      <w:color w:val="auto"/>
                      <w:sz w:val="21"/>
                      <w:szCs w:val="21"/>
                      <w:highlight w:val="none"/>
                    </w:rPr>
                    <w:t>芘</w:t>
                  </w:r>
                </w:p>
              </w:tc>
              <w:tc>
                <w:tcPr>
                  <w:tcW w:w="1089" w:type="pct"/>
                  <w:noWrap w:val="0"/>
                  <w:tcMar>
                    <w:left w:w="0" w:type="dxa"/>
                    <w:right w:w="0" w:type="dxa"/>
                  </w:tcMar>
                  <w:vAlign w:val="center"/>
                </w:tcPr>
                <w:p>
                  <w:pPr>
                    <w:jc w:val="center"/>
                    <w:rPr>
                      <w:rFonts w:ascii="Times New Roman" w:hAnsi="Times New Roman" w:eastAsia="宋体"/>
                      <w:iCs/>
                      <w:color w:val="auto"/>
                      <w:sz w:val="21"/>
                      <w:szCs w:val="21"/>
                      <w:highlight w:val="none"/>
                    </w:rPr>
                  </w:pPr>
                  <w:r>
                    <w:rPr>
                      <w:rFonts w:hint="eastAsia" w:ascii="Times New Roman" w:hAnsi="Times New Roman" w:eastAsia="宋体"/>
                      <w:iCs/>
                      <w:color w:val="auto"/>
                      <w:sz w:val="21"/>
                      <w:szCs w:val="21"/>
                      <w:highlight w:val="none"/>
                    </w:rPr>
                    <w:t>高效液相色谱法</w:t>
                  </w:r>
                </w:p>
              </w:tc>
              <w:tc>
                <w:tcPr>
                  <w:tcW w:w="921" w:type="pct"/>
                  <w:noWrap w:val="0"/>
                  <w:tcMar>
                    <w:left w:w="0" w:type="dxa"/>
                    <w:right w:w="0" w:type="dxa"/>
                  </w:tcMar>
                  <w:vAlign w:val="center"/>
                </w:tcPr>
                <w:p>
                  <w:pPr>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HJ956-2018</w:t>
                  </w:r>
                </w:p>
              </w:tc>
              <w:tc>
                <w:tcPr>
                  <w:tcW w:w="1563" w:type="pct"/>
                  <w:noWrap w:val="0"/>
                  <w:tcMar>
                    <w:left w:w="0" w:type="dxa"/>
                    <w:right w:w="0" w:type="dxa"/>
                  </w:tcMar>
                  <w:vAlign w:val="center"/>
                </w:tcPr>
                <w:p>
                  <w:pPr>
                    <w:overflowPunct w:val="0"/>
                    <w:adjustRightInd w:val="0"/>
                    <w:snapToGrid w:val="0"/>
                    <w:jc w:val="center"/>
                    <w:rPr>
                      <w:rFonts w:ascii="Times New Roman" w:hAnsi="Times New Roman" w:eastAsia="宋体"/>
                      <w:iCs/>
                      <w:color w:val="auto"/>
                      <w:sz w:val="21"/>
                      <w:szCs w:val="21"/>
                      <w:highlight w:val="none"/>
                    </w:rPr>
                  </w:pPr>
                  <w:r>
                    <w:rPr>
                      <w:rFonts w:hint="eastAsia" w:ascii="Times New Roman" w:hAnsi="Times New Roman" w:eastAsia="宋体"/>
                      <w:color w:val="auto"/>
                      <w:sz w:val="21"/>
                      <w:szCs w:val="21"/>
                      <w:highlight w:val="none"/>
                      <w:lang w:val="en-US" w:eastAsia="zh-CN"/>
                    </w:rPr>
                    <w:t>SPD-16</w:t>
                  </w:r>
                  <w:r>
                    <w:rPr>
                      <w:rFonts w:ascii="Times New Roman" w:hAnsi="Times New Roman" w:eastAsia="宋体"/>
                      <w:color w:val="auto"/>
                      <w:sz w:val="21"/>
                      <w:szCs w:val="21"/>
                      <w:highlight w:val="none"/>
                    </w:rPr>
                    <w:t>高效液相色谱仪</w:t>
                  </w:r>
                </w:p>
              </w:tc>
              <w:tc>
                <w:tcPr>
                  <w:tcW w:w="561" w:type="pct"/>
                  <w:noWrap w:val="0"/>
                  <w:tcMar>
                    <w:left w:w="0" w:type="dxa"/>
                    <w:right w:w="0" w:type="dxa"/>
                  </w:tcMar>
                  <w:vAlign w:val="center"/>
                </w:tcPr>
                <w:p>
                  <w:pPr>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0.1</w:t>
                  </w:r>
                  <w:r>
                    <w:rPr>
                      <w:rFonts w:hint="eastAsia" w:ascii="Times New Roman" w:hAnsi="Times New Roman" w:eastAsia="宋体"/>
                      <w:color w:val="auto"/>
                      <w:sz w:val="21"/>
                      <w:szCs w:val="21"/>
                      <w:highlight w:val="none"/>
                      <w:lang w:val="en-US" w:eastAsia="zh-CN"/>
                    </w:rPr>
                    <w:t>4n</w:t>
                  </w:r>
                  <w:r>
                    <w:rPr>
                      <w:rFonts w:hint="eastAsia" w:ascii="Times New Roman" w:hAnsi="Times New Roman" w:eastAsia="宋体"/>
                      <w:color w:val="auto"/>
                      <w:sz w:val="21"/>
                      <w:szCs w:val="21"/>
                      <w:highlight w:val="none"/>
                    </w:rPr>
                    <w:t>g</w:t>
                  </w:r>
                  <w:r>
                    <w:rPr>
                      <w:rFonts w:ascii="Times New Roman" w:hAnsi="Times New Roman" w:eastAsia="宋体"/>
                      <w:color w:val="auto"/>
                      <w:sz w:val="21"/>
                      <w:szCs w:val="21"/>
                      <w:highlight w:val="none"/>
                    </w:rPr>
                    <w:t>/m</w:t>
                  </w:r>
                  <w:r>
                    <w:rPr>
                      <w:rFonts w:ascii="Times New Roman" w:hAnsi="Times New Roman" w:eastAsia="宋体"/>
                      <w:color w:val="auto"/>
                      <w:sz w:val="21"/>
                      <w:szCs w:val="21"/>
                      <w:highlight w:val="none"/>
                      <w:vertAlign w:val="superscript"/>
                    </w:rPr>
                    <w:t>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493" w:hRule="atLeast"/>
                <w:tblHeader/>
                <w:jc w:val="center"/>
              </w:trPr>
              <w:tc>
                <w:tcPr>
                  <w:tcW w:w="864" w:type="pct"/>
                  <w:noWrap w:val="0"/>
                  <w:tcMar>
                    <w:left w:w="0" w:type="dxa"/>
                    <w:right w:w="0" w:type="dxa"/>
                  </w:tcMar>
                  <w:vAlign w:val="center"/>
                </w:tcPr>
                <w:p>
                  <w:pPr>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总悬浮颗粒物</w:t>
                  </w:r>
                </w:p>
              </w:tc>
              <w:tc>
                <w:tcPr>
                  <w:tcW w:w="1089" w:type="pct"/>
                  <w:noWrap w:val="0"/>
                  <w:tcMar>
                    <w:left w:w="0" w:type="dxa"/>
                    <w:right w:w="0" w:type="dxa"/>
                  </w:tcMar>
                  <w:vAlign w:val="center"/>
                </w:tcPr>
                <w:p>
                  <w:pPr>
                    <w:jc w:val="center"/>
                    <w:rPr>
                      <w:rFonts w:hint="eastAsia" w:ascii="Times New Roman" w:hAnsi="Times New Roman" w:eastAsia="宋体"/>
                      <w:iCs/>
                      <w:color w:val="auto"/>
                      <w:sz w:val="21"/>
                      <w:szCs w:val="21"/>
                      <w:highlight w:val="none"/>
                      <w:lang w:eastAsia="zh-CN"/>
                    </w:rPr>
                  </w:pPr>
                  <w:r>
                    <w:rPr>
                      <w:rFonts w:hint="eastAsia" w:ascii="Times New Roman" w:hAnsi="Times New Roman" w:eastAsia="宋体"/>
                      <w:iCs/>
                      <w:color w:val="auto"/>
                      <w:sz w:val="21"/>
                      <w:szCs w:val="21"/>
                      <w:highlight w:val="none"/>
                      <w:lang w:eastAsia="zh-CN"/>
                    </w:rPr>
                    <w:t>重量法</w:t>
                  </w:r>
                </w:p>
              </w:tc>
              <w:tc>
                <w:tcPr>
                  <w:tcW w:w="921" w:type="pct"/>
                  <w:noWrap w:val="0"/>
                  <w:tcMar>
                    <w:left w:w="0" w:type="dxa"/>
                    <w:right w:w="0" w:type="dxa"/>
                  </w:tcMar>
                  <w:vAlign w:val="center"/>
                </w:tcPr>
                <w:p>
                  <w:pPr>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GB/T15432-1995</w:t>
                  </w:r>
                </w:p>
              </w:tc>
              <w:tc>
                <w:tcPr>
                  <w:tcW w:w="1563" w:type="pct"/>
                  <w:noWrap w:val="0"/>
                  <w:tcMar>
                    <w:left w:w="0" w:type="dxa"/>
                    <w:right w:w="0" w:type="dxa"/>
                  </w:tcMar>
                  <w:vAlign w:val="center"/>
                </w:tcPr>
                <w:p>
                  <w:pPr>
                    <w:overflowPunct w:val="0"/>
                    <w:adjustRightInd w:val="0"/>
                    <w:snapToGrid w:val="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QUINTIX35-1CN十万分之一天平</w:t>
                  </w:r>
                </w:p>
              </w:tc>
              <w:tc>
                <w:tcPr>
                  <w:tcW w:w="561" w:type="pct"/>
                  <w:noWrap w:val="0"/>
                  <w:tcMar>
                    <w:left w:w="0" w:type="dxa"/>
                    <w:right w:w="0" w:type="dxa"/>
                  </w:tcMar>
                  <w:vAlign w:val="center"/>
                </w:tcPr>
                <w:p>
                  <w:pPr>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0.001mg/m</w:t>
                  </w:r>
                  <w:r>
                    <w:rPr>
                      <w:rFonts w:hint="eastAsia" w:ascii="Times New Roman" w:hAnsi="Times New Roman" w:eastAsia="宋体"/>
                      <w:color w:val="auto"/>
                      <w:sz w:val="21"/>
                      <w:szCs w:val="21"/>
                      <w:highlight w:val="none"/>
                      <w:vertAlign w:val="superscript"/>
                    </w:rPr>
                    <w:t>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0" w:type="dxa"/>
                  <w:bottom w:w="0" w:type="dxa"/>
                  <w:right w:w="0" w:type="dxa"/>
                </w:tblCellMar>
              </w:tblPrEx>
              <w:trPr>
                <w:cantSplit/>
                <w:trHeight w:val="498" w:hRule="atLeast"/>
                <w:tblHeader/>
                <w:jc w:val="center"/>
              </w:trPr>
              <w:tc>
                <w:tcPr>
                  <w:tcW w:w="864" w:type="pct"/>
                  <w:noWrap w:val="0"/>
                  <w:tcMar>
                    <w:left w:w="0" w:type="dxa"/>
                    <w:right w:w="0" w:type="dxa"/>
                  </w:tcMar>
                  <w:vAlign w:val="center"/>
                </w:tcPr>
                <w:p>
                  <w:pPr>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TVOC</w:t>
                  </w:r>
                </w:p>
              </w:tc>
              <w:tc>
                <w:tcPr>
                  <w:tcW w:w="1089" w:type="pct"/>
                  <w:noWrap w:val="0"/>
                  <w:tcMar>
                    <w:left w:w="0" w:type="dxa"/>
                    <w:right w:w="0" w:type="dxa"/>
                  </w:tcMar>
                  <w:vAlign w:val="center"/>
                </w:tcPr>
                <w:p>
                  <w:pPr>
                    <w:jc w:val="center"/>
                    <w:rPr>
                      <w:rFonts w:hint="eastAsia" w:ascii="Times New Roman" w:hAnsi="Times New Roman" w:eastAsia="宋体"/>
                      <w:iCs/>
                      <w:color w:val="auto"/>
                      <w:sz w:val="21"/>
                      <w:szCs w:val="21"/>
                      <w:highlight w:val="none"/>
                    </w:rPr>
                  </w:pPr>
                  <w:r>
                    <w:rPr>
                      <w:rFonts w:hint="eastAsia" w:ascii="Times New Roman" w:hAnsi="Times New Roman" w:eastAsia="宋体"/>
                      <w:iCs/>
                      <w:color w:val="auto"/>
                      <w:sz w:val="21"/>
                      <w:szCs w:val="21"/>
                      <w:highlight w:val="none"/>
                    </w:rPr>
                    <w:t>毛细管气相色谱法</w:t>
                  </w:r>
                </w:p>
              </w:tc>
              <w:tc>
                <w:tcPr>
                  <w:tcW w:w="921" w:type="pct"/>
                  <w:noWrap w:val="0"/>
                  <w:tcMar>
                    <w:left w:w="0" w:type="dxa"/>
                    <w:right w:w="0" w:type="dxa"/>
                  </w:tcMar>
                  <w:vAlign w:val="center"/>
                </w:tcPr>
                <w:p>
                  <w:pPr>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GB/T18883-2002</w:t>
                  </w:r>
                </w:p>
              </w:tc>
              <w:tc>
                <w:tcPr>
                  <w:tcW w:w="1563" w:type="pct"/>
                  <w:noWrap w:val="0"/>
                  <w:tcMar>
                    <w:left w:w="0" w:type="dxa"/>
                    <w:right w:w="0" w:type="dxa"/>
                  </w:tcMar>
                  <w:vAlign w:val="center"/>
                </w:tcPr>
                <w:p>
                  <w:pPr>
                    <w:overflowPunct w:val="0"/>
                    <w:adjustRightInd w:val="0"/>
                    <w:snapToGrid w:val="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GC4000A气相色谱仪</w:t>
                  </w:r>
                </w:p>
              </w:tc>
              <w:tc>
                <w:tcPr>
                  <w:tcW w:w="561" w:type="pct"/>
                  <w:noWrap w:val="0"/>
                  <w:tcMar>
                    <w:left w:w="0" w:type="dxa"/>
                    <w:right w:w="0" w:type="dxa"/>
                  </w:tcMar>
                  <w:vAlign w:val="center"/>
                </w:tcPr>
                <w:p>
                  <w:pPr>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0.5×10-3mg/m</w:t>
                  </w:r>
                  <w:r>
                    <w:rPr>
                      <w:rFonts w:hint="eastAsia" w:ascii="Times New Roman" w:hAnsi="Times New Roman" w:eastAsia="宋体"/>
                      <w:color w:val="auto"/>
                      <w:sz w:val="21"/>
                      <w:szCs w:val="21"/>
                      <w:highlight w:val="none"/>
                      <w:vertAlign w:val="superscript"/>
                    </w:rPr>
                    <w:t>3</w:t>
                  </w:r>
                </w:p>
              </w:tc>
            </w:tr>
          </w:tbl>
          <w:p>
            <w:pPr>
              <w:spacing w:before="240" w:beforeLines="0" w:line="360" w:lineRule="auto"/>
              <w:ind w:firstLine="480" w:firstLineChars="200"/>
              <w:rPr>
                <w:color w:val="auto"/>
                <w:sz w:val="24"/>
                <w:highlight w:val="none"/>
              </w:rPr>
            </w:pPr>
            <w:r>
              <w:rPr>
                <w:color w:val="auto"/>
                <w:sz w:val="24"/>
                <w:highlight w:val="none"/>
              </w:rPr>
              <w:t>（3）评价方法</w:t>
            </w:r>
          </w:p>
          <w:p>
            <w:pPr>
              <w:spacing w:line="360" w:lineRule="auto"/>
              <w:ind w:right="220" w:rightChars="100" w:firstLine="480" w:firstLineChars="200"/>
              <w:outlineLvl w:val="2"/>
              <w:rPr>
                <w:color w:val="auto"/>
                <w:sz w:val="24"/>
                <w:highlight w:val="none"/>
              </w:rPr>
            </w:pPr>
            <w:r>
              <w:rPr>
                <w:color w:val="auto"/>
                <w:sz w:val="24"/>
                <w:highlight w:val="none"/>
              </w:rPr>
              <w:t>评价区域内环境空气采用单项因子质量指数法进行评价，其数学模式为：</w:t>
            </w:r>
          </w:p>
          <w:p>
            <w:pPr>
              <w:spacing w:line="360" w:lineRule="auto"/>
              <w:ind w:left="220" w:leftChars="100" w:right="220" w:rightChars="100" w:firstLine="480" w:firstLineChars="200"/>
              <w:jc w:val="center"/>
              <w:outlineLvl w:val="2"/>
              <w:rPr>
                <w:color w:val="auto"/>
                <w:sz w:val="24"/>
                <w:highlight w:val="none"/>
              </w:rPr>
            </w:pPr>
            <w:r>
              <w:rPr>
                <w:color w:val="auto"/>
                <w:position w:val="-30"/>
                <w:sz w:val="24"/>
                <w:highlight w:val="none"/>
              </w:rPr>
              <w:object>
                <v:shape id="_x0000_i1025" o:spt="75" type="#_x0000_t75" style="height:34.6pt;width:52.6pt;" o:ole="t" filled="f" o:preferrelative="t" stroked="f" coordsize="21600,21600">
                  <v:path/>
                  <v:fill on="f" focussize="0,0"/>
                  <v:stroke on="f"/>
                  <v:imagedata r:id="rId25" o:title=""/>
                  <o:lock v:ext="edit" aspectratio="t"/>
                  <w10:wrap type="none"/>
                  <w10:anchorlock/>
                </v:shape>
                <o:OLEObject Type="Embed" ProgID="Equation.3" ShapeID="_x0000_i1025" DrawAspect="Content" ObjectID="_1468075725" r:id="rId24">
                  <o:LockedField>false</o:LockedField>
                </o:OLEObject>
              </w:object>
            </w:r>
            <w:r>
              <w:rPr>
                <w:color w:val="auto"/>
                <w:sz w:val="24"/>
                <w:highlight w:val="none"/>
              </w:rPr>
              <w:t>×100%</w:t>
            </w:r>
          </w:p>
          <w:p>
            <w:pPr>
              <w:spacing w:line="360" w:lineRule="auto"/>
              <w:ind w:right="220" w:rightChars="100" w:firstLine="480" w:firstLineChars="200"/>
              <w:outlineLvl w:val="2"/>
              <w:rPr>
                <w:rFonts w:ascii="Times New Roman" w:hAnsi="Times New Roman"/>
                <w:color w:val="auto"/>
                <w:sz w:val="24"/>
                <w:highlight w:val="none"/>
              </w:rPr>
            </w:pPr>
            <w:r>
              <w:rPr>
                <w:rFonts w:ascii="Times New Roman" w:hAnsi="Times New Roman"/>
                <w:color w:val="auto"/>
                <w:sz w:val="24"/>
                <w:highlight w:val="none"/>
              </w:rPr>
              <w:t>式中：P</w:t>
            </w:r>
            <w:r>
              <w:rPr>
                <w:rFonts w:ascii="Times New Roman" w:hAnsi="Times New Roman"/>
                <w:color w:val="auto"/>
                <w:sz w:val="24"/>
                <w:highlight w:val="none"/>
                <w:vertAlign w:val="subscript"/>
              </w:rPr>
              <w:t>i</w:t>
            </w:r>
            <w:r>
              <w:rPr>
                <w:rFonts w:ascii="Times New Roman" w:hAnsi="Times New Roman"/>
                <w:color w:val="auto"/>
                <w:sz w:val="24"/>
                <w:highlight w:val="none"/>
              </w:rPr>
              <w:t>—i种污染物的单项指数</w:t>
            </w:r>
          </w:p>
          <w:p>
            <w:pPr>
              <w:spacing w:line="360" w:lineRule="auto"/>
              <w:ind w:left="220" w:leftChars="100" w:right="220" w:rightChars="100" w:firstLine="960" w:firstLineChars="400"/>
              <w:outlineLvl w:val="2"/>
              <w:rPr>
                <w:rFonts w:ascii="Times New Roman" w:hAnsi="Times New Roman"/>
                <w:color w:val="auto"/>
                <w:sz w:val="24"/>
                <w:highlight w:val="none"/>
              </w:rPr>
            </w:pPr>
            <w:r>
              <w:rPr>
                <w:rFonts w:ascii="Times New Roman" w:hAnsi="Times New Roman"/>
                <w:color w:val="auto"/>
                <w:sz w:val="24"/>
                <w:highlight w:val="none"/>
              </w:rPr>
              <w:t>C</w:t>
            </w:r>
            <w:r>
              <w:rPr>
                <w:rFonts w:ascii="Times New Roman" w:hAnsi="Times New Roman"/>
                <w:color w:val="auto"/>
                <w:sz w:val="24"/>
                <w:highlight w:val="none"/>
                <w:vertAlign w:val="subscript"/>
              </w:rPr>
              <w:t>i</w:t>
            </w:r>
            <w:r>
              <w:rPr>
                <w:rFonts w:ascii="Times New Roman" w:hAnsi="Times New Roman"/>
                <w:color w:val="auto"/>
                <w:sz w:val="24"/>
                <w:highlight w:val="none"/>
              </w:rPr>
              <w:t>—i种污染物的实测浓度</w:t>
            </w:r>
          </w:p>
          <w:p>
            <w:pPr>
              <w:spacing w:line="360" w:lineRule="auto"/>
              <w:ind w:right="220" w:rightChars="100" w:firstLine="1200" w:firstLineChars="500"/>
              <w:outlineLvl w:val="2"/>
              <w:rPr>
                <w:rFonts w:ascii="Times New Roman" w:hAnsi="Times New Roman"/>
                <w:color w:val="auto"/>
                <w:sz w:val="24"/>
                <w:highlight w:val="none"/>
              </w:rPr>
            </w:pPr>
            <w:r>
              <w:rPr>
                <w:rFonts w:ascii="Times New Roman" w:hAnsi="Times New Roman"/>
                <w:color w:val="auto"/>
                <w:sz w:val="24"/>
                <w:highlight w:val="none"/>
              </w:rPr>
              <w:t>S</w:t>
            </w:r>
            <w:r>
              <w:rPr>
                <w:rFonts w:ascii="Times New Roman" w:hAnsi="Times New Roman"/>
                <w:color w:val="auto"/>
                <w:sz w:val="24"/>
                <w:highlight w:val="none"/>
                <w:vertAlign w:val="subscript"/>
              </w:rPr>
              <w:t>i</w:t>
            </w:r>
            <w:r>
              <w:rPr>
                <w:rFonts w:ascii="Times New Roman" w:hAnsi="Times New Roman"/>
                <w:color w:val="auto"/>
                <w:sz w:val="24"/>
                <w:highlight w:val="none"/>
              </w:rPr>
              <w:t>—i种污染物的评价标准</w:t>
            </w:r>
          </w:p>
          <w:p>
            <w:pPr>
              <w:spacing w:line="360" w:lineRule="auto"/>
              <w:ind w:firstLine="480" w:firstLineChars="200"/>
              <w:jc w:val="left"/>
              <w:rPr>
                <w:rFonts w:ascii="Times New Roman" w:hAnsi="Times New Roman"/>
                <w:snapToGrid w:val="0"/>
                <w:color w:val="auto"/>
                <w:kern w:val="0"/>
                <w:sz w:val="24"/>
                <w:highlight w:val="none"/>
              </w:rPr>
            </w:pPr>
            <w:r>
              <w:rPr>
                <w:rFonts w:ascii="Times New Roman" w:hAnsi="Times New Roman"/>
                <w:color w:val="auto"/>
                <w:sz w:val="24"/>
                <w:highlight w:val="none"/>
              </w:rPr>
              <w:t>当P</w:t>
            </w:r>
            <w:r>
              <w:rPr>
                <w:rFonts w:ascii="Times New Roman" w:hAnsi="Times New Roman"/>
                <w:color w:val="auto"/>
                <w:sz w:val="24"/>
                <w:highlight w:val="none"/>
                <w:vertAlign w:val="subscript"/>
              </w:rPr>
              <w:t>i</w:t>
            </w:r>
            <w:r>
              <w:rPr>
                <w:rFonts w:ascii="Times New Roman" w:hAnsi="Times New Roman"/>
                <w:color w:val="auto"/>
                <w:sz w:val="24"/>
                <w:highlight w:val="none"/>
              </w:rPr>
              <w:t>值大于1.0时，表明评价区域环境空气已受到该项评价因子所表征的污染物的污染，值越大，受污染程度越重，否则反之。</w:t>
            </w:r>
          </w:p>
          <w:p>
            <w:pPr>
              <w:spacing w:line="360" w:lineRule="auto"/>
              <w:ind w:firstLine="480" w:firstLineChars="200"/>
              <w:jc w:val="left"/>
              <w:rPr>
                <w:rFonts w:ascii="Times New Roman" w:hAnsi="Times New Roman"/>
                <w:snapToGrid w:val="0"/>
                <w:color w:val="auto"/>
                <w:kern w:val="0"/>
                <w:highlight w:val="none"/>
              </w:rPr>
            </w:pPr>
            <w:r>
              <w:rPr>
                <w:rFonts w:ascii="Times New Roman" w:hAnsi="Times New Roman"/>
                <w:bCs/>
                <w:color w:val="auto"/>
                <w:sz w:val="24"/>
                <w:highlight w:val="none"/>
              </w:rPr>
              <w:t>苯并</w:t>
            </w:r>
            <w:r>
              <w:rPr>
                <w:rFonts w:hint="eastAsia" w:ascii="Times New Roman" w:hAnsi="Times New Roman"/>
                <w:bCs/>
                <w:color w:val="auto"/>
                <w:sz w:val="24"/>
                <w:highlight w:val="none"/>
              </w:rPr>
              <w:t>（</w:t>
            </w:r>
            <w:r>
              <w:rPr>
                <w:rFonts w:ascii="Times New Roman" w:hAnsi="Times New Roman"/>
                <w:bCs/>
                <w:color w:val="auto"/>
                <w:sz w:val="24"/>
                <w:highlight w:val="none"/>
              </w:rPr>
              <w:t>a</w:t>
            </w:r>
            <w:r>
              <w:rPr>
                <w:rFonts w:hint="eastAsia" w:ascii="Times New Roman" w:hAnsi="Times New Roman"/>
                <w:bCs/>
                <w:color w:val="auto"/>
                <w:sz w:val="24"/>
                <w:highlight w:val="none"/>
              </w:rPr>
              <w:t>）</w:t>
            </w:r>
            <w:r>
              <w:rPr>
                <w:rFonts w:ascii="Times New Roman" w:hAnsi="Times New Roman"/>
                <w:bCs/>
                <w:color w:val="auto"/>
                <w:sz w:val="24"/>
                <w:highlight w:val="none"/>
              </w:rPr>
              <w:t>芘</w:t>
            </w:r>
            <w:r>
              <w:rPr>
                <w:rFonts w:ascii="Times New Roman" w:hAnsi="Times New Roman"/>
                <w:color w:val="auto"/>
                <w:sz w:val="24"/>
                <w:highlight w:val="none"/>
              </w:rPr>
              <w:t>评价执行《</w:t>
            </w:r>
            <w:r>
              <w:rPr>
                <w:rFonts w:hint="eastAsia" w:ascii="Times New Roman" w:hAnsi="Times New Roman"/>
                <w:color w:val="auto"/>
                <w:sz w:val="24"/>
                <w:highlight w:val="none"/>
              </w:rPr>
              <w:t>环境空气质量</w:t>
            </w:r>
            <w:r>
              <w:rPr>
                <w:rFonts w:ascii="Times New Roman" w:hAnsi="Times New Roman"/>
                <w:color w:val="auto"/>
                <w:sz w:val="24"/>
                <w:highlight w:val="none"/>
              </w:rPr>
              <w:t>标准》（GB3095-2012）中</w:t>
            </w:r>
            <w:r>
              <w:rPr>
                <w:rFonts w:hint="eastAsia" w:ascii="Times New Roman" w:hAnsi="Times New Roman"/>
                <w:color w:val="auto"/>
                <w:sz w:val="24"/>
                <w:highlight w:val="none"/>
              </w:rPr>
              <w:t>二级</w:t>
            </w:r>
            <w:r>
              <w:rPr>
                <w:rFonts w:ascii="Times New Roman" w:hAnsi="Times New Roman"/>
                <w:color w:val="auto"/>
                <w:sz w:val="24"/>
                <w:highlight w:val="none"/>
              </w:rPr>
              <w:t>浓度参考限值。具体评价因子标准限值见下表。</w:t>
            </w:r>
          </w:p>
          <w:p>
            <w:pPr>
              <w:snapToGrid w:val="0"/>
              <w:spacing w:line="360" w:lineRule="auto"/>
              <w:jc w:val="center"/>
              <w:rPr>
                <w:rFonts w:hint="eastAsia" w:ascii="宋体" w:hAnsi="宋体" w:eastAsia="宋体" w:cs="宋体"/>
                <w:b/>
                <w:bCs/>
                <w:color w:val="auto"/>
                <w:sz w:val="21"/>
                <w:szCs w:val="21"/>
                <w:highlight w:val="none"/>
              </w:rPr>
            </w:pPr>
            <w:r>
              <w:rPr>
                <w:rFonts w:hint="eastAsia" w:ascii="Times New Roman" w:hAnsi="Times New Roman" w:eastAsia="宋体" w:cs="Times New Roman"/>
                <w:b/>
                <w:bCs/>
                <w:color w:val="auto"/>
                <w:sz w:val="21"/>
                <w:szCs w:val="21"/>
                <w:highlight w:val="none"/>
              </w:rPr>
              <w:t>表3-4   评价标准浓度限值      单位：ug/</w:t>
            </w:r>
            <w:r>
              <w:rPr>
                <w:rFonts w:hint="eastAsia" w:ascii="宋体" w:hAnsi="宋体" w:eastAsia="宋体" w:cs="宋体"/>
                <w:b/>
                <w:bCs/>
                <w:color w:val="auto"/>
                <w:sz w:val="21"/>
                <w:szCs w:val="21"/>
                <w:highlight w:val="none"/>
              </w:rPr>
              <w:t>m</w:t>
            </w:r>
            <w:r>
              <w:rPr>
                <w:rFonts w:hint="eastAsia" w:ascii="宋体" w:hAnsi="宋体" w:eastAsia="宋体" w:cs="宋体"/>
                <w:b/>
                <w:bCs/>
                <w:color w:val="auto"/>
                <w:sz w:val="21"/>
                <w:szCs w:val="21"/>
                <w:highlight w:val="none"/>
                <w:vertAlign w:val="superscript"/>
              </w:rPr>
              <w:t>3</w:t>
            </w:r>
          </w:p>
          <w:tbl>
            <w:tblPr>
              <w:tblStyle w:val="11"/>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097"/>
              <w:gridCol w:w="979"/>
              <w:gridCol w:w="979"/>
              <w:gridCol w:w="857"/>
              <w:gridCol w:w="376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8" w:hRule="atLeast"/>
                <w:jc w:val="center"/>
              </w:trPr>
              <w:tc>
                <w:tcPr>
                  <w:tcW w:w="1097" w:type="dxa"/>
                  <w:vMerge w:val="restart"/>
                  <w:noWrap w:val="0"/>
                  <w:vAlign w:val="center"/>
                </w:tcPr>
                <w:p>
                  <w:pPr>
                    <w:pStyle w:val="21"/>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污染物</w:t>
                  </w:r>
                </w:p>
              </w:tc>
              <w:tc>
                <w:tcPr>
                  <w:tcW w:w="2815" w:type="dxa"/>
                  <w:gridSpan w:val="3"/>
                  <w:noWrap w:val="0"/>
                  <w:vAlign w:val="center"/>
                </w:tcPr>
                <w:p>
                  <w:pPr>
                    <w:pStyle w:val="21"/>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各污染物的浓度限值</w:t>
                  </w:r>
                </w:p>
              </w:tc>
              <w:tc>
                <w:tcPr>
                  <w:tcW w:w="3766" w:type="dxa"/>
                  <w:vMerge w:val="restart"/>
                  <w:noWrap w:val="0"/>
                  <w:vAlign w:val="center"/>
                </w:tcPr>
                <w:p>
                  <w:pPr>
                    <w:pStyle w:val="21"/>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依据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8" w:hRule="atLeast"/>
                <w:jc w:val="center"/>
              </w:trPr>
              <w:tc>
                <w:tcPr>
                  <w:tcW w:w="1097" w:type="dxa"/>
                  <w:vMerge w:val="continue"/>
                  <w:noWrap w:val="0"/>
                  <w:vAlign w:val="center"/>
                </w:tcPr>
                <w:p>
                  <w:pPr>
                    <w:pStyle w:val="21"/>
                    <w:spacing w:line="240" w:lineRule="auto"/>
                    <w:ind w:firstLine="0" w:firstLineChars="0"/>
                    <w:jc w:val="center"/>
                    <w:rPr>
                      <w:rFonts w:ascii="Times New Roman" w:hAnsi="Times New Roman" w:eastAsia="宋体"/>
                      <w:b/>
                      <w:bCs/>
                      <w:color w:val="auto"/>
                      <w:sz w:val="21"/>
                      <w:szCs w:val="21"/>
                      <w:highlight w:val="none"/>
                    </w:rPr>
                  </w:pPr>
                </w:p>
              </w:tc>
              <w:tc>
                <w:tcPr>
                  <w:tcW w:w="979" w:type="dxa"/>
                  <w:noWrap w:val="0"/>
                  <w:vAlign w:val="center"/>
                </w:tcPr>
                <w:p>
                  <w:pPr>
                    <w:pStyle w:val="21"/>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小时平均</w:t>
                  </w:r>
                </w:p>
              </w:tc>
              <w:tc>
                <w:tcPr>
                  <w:tcW w:w="979" w:type="dxa"/>
                  <w:noWrap w:val="0"/>
                  <w:vAlign w:val="center"/>
                </w:tcPr>
                <w:p>
                  <w:pPr>
                    <w:pStyle w:val="21"/>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日平均</w:t>
                  </w:r>
                </w:p>
              </w:tc>
              <w:tc>
                <w:tcPr>
                  <w:tcW w:w="857" w:type="dxa"/>
                  <w:noWrap w:val="0"/>
                  <w:vAlign w:val="center"/>
                </w:tcPr>
                <w:p>
                  <w:pPr>
                    <w:pStyle w:val="21"/>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年平均</w:t>
                  </w:r>
                </w:p>
              </w:tc>
              <w:tc>
                <w:tcPr>
                  <w:tcW w:w="3766" w:type="dxa"/>
                  <w:vMerge w:val="continue"/>
                  <w:noWrap w:val="0"/>
                  <w:vAlign w:val="center"/>
                </w:tcPr>
                <w:p>
                  <w:pPr>
                    <w:pStyle w:val="21"/>
                    <w:spacing w:line="240" w:lineRule="auto"/>
                    <w:ind w:firstLine="0" w:firstLineChars="0"/>
                    <w:jc w:val="center"/>
                    <w:rPr>
                      <w:rFonts w:ascii="Times New Roman" w:hAnsi="Times New Roman" w:eastAsia="宋体"/>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82" w:hRule="atLeast"/>
                <w:jc w:val="center"/>
              </w:trPr>
              <w:tc>
                <w:tcPr>
                  <w:tcW w:w="1097" w:type="dxa"/>
                  <w:noWrap w:val="0"/>
                  <w:vAlign w:val="center"/>
                </w:tcPr>
                <w:p>
                  <w:pPr>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苯并（a）芘</w:t>
                  </w:r>
                </w:p>
              </w:tc>
              <w:tc>
                <w:tcPr>
                  <w:tcW w:w="979" w:type="dxa"/>
                  <w:noWrap w:val="0"/>
                  <w:vAlign w:val="center"/>
                </w:tcPr>
                <w:p>
                  <w:pPr>
                    <w:pStyle w:val="21"/>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w:t>
                  </w:r>
                </w:p>
              </w:tc>
              <w:tc>
                <w:tcPr>
                  <w:tcW w:w="979" w:type="dxa"/>
                  <w:noWrap w:val="0"/>
                  <w:vAlign w:val="center"/>
                </w:tcPr>
                <w:p>
                  <w:pPr>
                    <w:pStyle w:val="21"/>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0.0025</w:t>
                  </w:r>
                </w:p>
              </w:tc>
              <w:tc>
                <w:tcPr>
                  <w:tcW w:w="857" w:type="dxa"/>
                  <w:noWrap w:val="0"/>
                  <w:vAlign w:val="center"/>
                </w:tcPr>
                <w:p>
                  <w:pPr>
                    <w:pStyle w:val="21"/>
                    <w:spacing w:line="240" w:lineRule="auto"/>
                    <w:ind w:firstLine="0" w:firstLineChars="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0.001</w:t>
                  </w:r>
                </w:p>
              </w:tc>
              <w:tc>
                <w:tcPr>
                  <w:tcW w:w="3766" w:type="dxa"/>
                  <w:tcBorders>
                    <w:top w:val="single" w:color="auto" w:sz="4" w:space="0"/>
                  </w:tcBorders>
                  <w:noWrap w:val="0"/>
                  <w:vAlign w:val="center"/>
                </w:tcPr>
                <w:p>
                  <w:pPr>
                    <w:pStyle w:val="21"/>
                    <w:spacing w:line="240" w:lineRule="auto"/>
                    <w:ind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《环境空气质量标准》（GB3095-2012）二级标准</w:t>
                  </w:r>
                </w:p>
              </w:tc>
            </w:tr>
          </w:tbl>
          <w:p>
            <w:pPr>
              <w:widowControl/>
              <w:adjustRightInd w:val="0"/>
              <w:snapToGrid w:val="0"/>
              <w:spacing w:before="156" w:beforeLines="50" w:line="360" w:lineRule="auto"/>
              <w:ind w:firstLine="482"/>
              <w:rPr>
                <w:color w:val="auto"/>
                <w:sz w:val="24"/>
                <w:highlight w:val="none"/>
              </w:rPr>
            </w:pPr>
            <w:r>
              <w:rPr>
                <w:color w:val="auto"/>
                <w:sz w:val="24"/>
                <w:highlight w:val="none"/>
              </w:rPr>
              <w:t>（4）监测</w:t>
            </w:r>
            <w:r>
              <w:rPr>
                <w:rFonts w:hint="eastAsia"/>
                <w:color w:val="auto"/>
                <w:sz w:val="24"/>
                <w:highlight w:val="none"/>
              </w:rPr>
              <w:t>及</w:t>
            </w:r>
            <w:r>
              <w:rPr>
                <w:color w:val="auto"/>
                <w:sz w:val="24"/>
                <w:highlight w:val="none"/>
              </w:rPr>
              <w:t>评价结果</w:t>
            </w:r>
          </w:p>
          <w:p>
            <w:pPr>
              <w:spacing w:line="360" w:lineRule="auto"/>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 xml:space="preserve">表3-5  </w:t>
            </w:r>
            <w:r>
              <w:rPr>
                <w:rFonts w:hint="eastAsia" w:ascii="Times New Roman" w:hAnsi="Times New Roman" w:eastAsia="宋体" w:cs="Times New Roman"/>
                <w:b/>
                <w:bCs/>
                <w:color w:val="auto"/>
                <w:sz w:val="21"/>
                <w:szCs w:val="21"/>
                <w:highlight w:val="none"/>
                <w:lang w:val="en-US" w:eastAsia="zh-CN"/>
              </w:rPr>
              <w:t xml:space="preserve">  </w:t>
            </w:r>
            <w:r>
              <w:rPr>
                <w:rFonts w:hint="eastAsia" w:ascii="Times New Roman" w:hAnsi="Times New Roman" w:eastAsia="宋体" w:cs="Times New Roman"/>
                <w:b/>
                <w:bCs/>
                <w:color w:val="auto"/>
                <w:sz w:val="21"/>
                <w:szCs w:val="21"/>
                <w:highlight w:val="none"/>
              </w:rPr>
              <w:t xml:space="preserve"> 环境空气监测结果 </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01"/>
              <w:gridCol w:w="1382"/>
              <w:gridCol w:w="1005"/>
              <w:gridCol w:w="3262"/>
              <w:gridCol w:w="12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6" w:hRule="atLeast"/>
                <w:tblHeader/>
                <w:jc w:val="center"/>
              </w:trPr>
              <w:tc>
                <w:tcPr>
                  <w:tcW w:w="1001" w:type="dxa"/>
                  <w:vMerge w:val="restart"/>
                  <w:tcBorders>
                    <w:top w:val="single" w:color="auto" w:sz="2" w:space="0"/>
                    <w:left w:val="single" w:color="auto" w:sz="2" w:space="0"/>
                    <w:bottom w:val="single" w:color="auto" w:sz="4" w:space="0"/>
                  </w:tcBorders>
                  <w:noWrap w:val="0"/>
                  <w:vAlign w:val="center"/>
                </w:tcPr>
                <w:p>
                  <w:pPr>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监测点位</w:t>
                  </w:r>
                </w:p>
              </w:tc>
              <w:tc>
                <w:tcPr>
                  <w:tcW w:w="1382" w:type="dxa"/>
                  <w:vMerge w:val="restart"/>
                  <w:tcBorders>
                    <w:top w:val="single" w:color="auto" w:sz="2" w:space="0"/>
                    <w:bottom w:val="single" w:color="auto" w:sz="4" w:space="0"/>
                  </w:tcBorders>
                  <w:noWrap w:val="0"/>
                  <w:vAlign w:val="center"/>
                </w:tcPr>
                <w:p>
                  <w:pPr>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监测时间</w:t>
                  </w:r>
                </w:p>
              </w:tc>
              <w:tc>
                <w:tcPr>
                  <w:tcW w:w="1005" w:type="dxa"/>
                  <w:vMerge w:val="restart"/>
                  <w:tcBorders>
                    <w:top w:val="single" w:color="auto" w:sz="2" w:space="0"/>
                    <w:bottom w:val="single" w:color="auto" w:sz="4" w:space="0"/>
                  </w:tcBorders>
                  <w:noWrap w:val="0"/>
                  <w:vAlign w:val="center"/>
                </w:tcPr>
                <w:p>
                  <w:pPr>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单位</w:t>
                  </w:r>
                </w:p>
              </w:tc>
              <w:tc>
                <w:tcPr>
                  <w:tcW w:w="3262" w:type="dxa"/>
                  <w:tcBorders>
                    <w:top w:val="single" w:color="auto" w:sz="2" w:space="0"/>
                    <w:bottom w:val="single" w:color="auto" w:sz="4" w:space="0"/>
                    <w:right w:val="single" w:color="auto" w:sz="2" w:space="0"/>
                  </w:tcBorders>
                  <w:noWrap w:val="0"/>
                  <w:vAlign w:val="center"/>
                </w:tcPr>
                <w:p>
                  <w:pPr>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监测项目、频次及结果</w:t>
                  </w:r>
                </w:p>
              </w:tc>
              <w:tc>
                <w:tcPr>
                  <w:tcW w:w="1228" w:type="dxa"/>
                  <w:vMerge w:val="restart"/>
                  <w:tcBorders>
                    <w:top w:val="single" w:color="auto" w:sz="2" w:space="0"/>
                    <w:left w:val="single" w:color="auto" w:sz="2" w:space="0"/>
                    <w:bottom w:val="single" w:color="auto" w:sz="4" w:space="0"/>
                    <w:right w:val="single" w:color="auto" w:sz="2" w:space="0"/>
                  </w:tcBorders>
                  <w:noWrap w:val="0"/>
                  <w:vAlign w:val="center"/>
                </w:tcPr>
                <w:p>
                  <w:pPr>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6" w:hRule="atLeast"/>
                <w:tblHeader/>
                <w:jc w:val="center"/>
              </w:trPr>
              <w:tc>
                <w:tcPr>
                  <w:tcW w:w="1001" w:type="dxa"/>
                  <w:vMerge w:val="continue"/>
                  <w:tcBorders>
                    <w:top w:val="single" w:color="auto" w:sz="4" w:space="0"/>
                    <w:left w:val="single" w:color="auto" w:sz="2" w:space="0"/>
                    <w:bottom w:val="single" w:color="auto" w:sz="4" w:space="0"/>
                  </w:tcBorders>
                  <w:noWrap w:val="0"/>
                  <w:vAlign w:val="center"/>
                </w:tcPr>
                <w:p>
                  <w:pPr>
                    <w:jc w:val="center"/>
                    <w:rPr>
                      <w:rFonts w:ascii="Times New Roman" w:hAnsi="Times New Roman" w:eastAsia="宋体"/>
                      <w:color w:val="auto"/>
                      <w:sz w:val="21"/>
                      <w:szCs w:val="21"/>
                      <w:highlight w:val="none"/>
                    </w:rPr>
                  </w:pPr>
                </w:p>
              </w:tc>
              <w:tc>
                <w:tcPr>
                  <w:tcW w:w="1382" w:type="dxa"/>
                  <w:vMerge w:val="continue"/>
                  <w:tcBorders>
                    <w:top w:val="single" w:color="auto" w:sz="4" w:space="0"/>
                    <w:bottom w:val="single" w:color="auto" w:sz="4" w:space="0"/>
                  </w:tcBorders>
                  <w:noWrap w:val="0"/>
                  <w:vAlign w:val="center"/>
                </w:tcPr>
                <w:p>
                  <w:pPr>
                    <w:jc w:val="center"/>
                    <w:rPr>
                      <w:rFonts w:ascii="Times New Roman" w:hAnsi="Times New Roman" w:eastAsia="宋体"/>
                      <w:color w:val="auto"/>
                      <w:sz w:val="21"/>
                      <w:szCs w:val="21"/>
                      <w:highlight w:val="none"/>
                    </w:rPr>
                  </w:pPr>
                </w:p>
              </w:tc>
              <w:tc>
                <w:tcPr>
                  <w:tcW w:w="1005" w:type="dxa"/>
                  <w:vMerge w:val="continue"/>
                  <w:tcBorders>
                    <w:top w:val="single" w:color="auto" w:sz="4" w:space="0"/>
                    <w:bottom w:val="single" w:color="auto" w:sz="4" w:space="0"/>
                  </w:tcBorders>
                  <w:noWrap w:val="0"/>
                  <w:vAlign w:val="center"/>
                </w:tcPr>
                <w:p>
                  <w:pPr>
                    <w:jc w:val="center"/>
                    <w:rPr>
                      <w:rFonts w:ascii="Times New Roman" w:hAnsi="Times New Roman" w:eastAsia="宋体"/>
                      <w:color w:val="auto"/>
                      <w:sz w:val="21"/>
                      <w:szCs w:val="21"/>
                      <w:highlight w:val="none"/>
                    </w:rPr>
                  </w:pPr>
                </w:p>
              </w:tc>
              <w:tc>
                <w:tcPr>
                  <w:tcW w:w="3262" w:type="dxa"/>
                  <w:tcBorders>
                    <w:top w:val="single" w:color="auto" w:sz="4" w:space="0"/>
                    <w:bottom w:val="single" w:color="auto" w:sz="4" w:space="0"/>
                    <w:right w:val="single" w:color="auto" w:sz="2" w:space="0"/>
                  </w:tcBorders>
                  <w:noWrap w:val="0"/>
                  <w:vAlign w:val="center"/>
                </w:tcPr>
                <w:p>
                  <w:pPr>
                    <w:overflowPunct w:val="0"/>
                    <w:adjustRightInd w:val="0"/>
                    <w:snapToGrid w:val="0"/>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rPr>
                    <w:t>苯并</w:t>
                  </w:r>
                  <w:r>
                    <w:rPr>
                      <w:rFonts w:hint="eastAsia" w:ascii="Times New Roman" w:hAnsi="Times New Roman"/>
                      <w:color w:val="auto"/>
                      <w:sz w:val="21"/>
                      <w:szCs w:val="21"/>
                      <w:highlight w:val="none"/>
                      <w:lang w:eastAsia="zh-CN"/>
                    </w:rPr>
                    <w:t>〔</w:t>
                  </w:r>
                  <w:r>
                    <w:rPr>
                      <w:rFonts w:hint="eastAsia" w:ascii="Times New Roman" w:hAnsi="Times New Roman" w:eastAsia="宋体"/>
                      <w:color w:val="auto"/>
                      <w:sz w:val="21"/>
                      <w:szCs w:val="21"/>
                      <w:highlight w:val="none"/>
                    </w:rPr>
                    <w:t>a</w:t>
                  </w:r>
                  <w:r>
                    <w:rPr>
                      <w:rFonts w:hint="eastAsia" w:ascii="Times New Roman" w:hAnsi="Times New Roman"/>
                      <w:color w:val="auto"/>
                      <w:sz w:val="21"/>
                      <w:szCs w:val="21"/>
                      <w:highlight w:val="none"/>
                      <w:lang w:eastAsia="zh-CN"/>
                    </w:rPr>
                    <w:t>〕</w:t>
                  </w:r>
                  <w:r>
                    <w:rPr>
                      <w:rFonts w:hint="eastAsia" w:ascii="Times New Roman" w:hAnsi="Times New Roman" w:eastAsia="宋体"/>
                      <w:color w:val="auto"/>
                      <w:sz w:val="21"/>
                      <w:szCs w:val="21"/>
                      <w:highlight w:val="none"/>
                    </w:rPr>
                    <w:t>芘</w:t>
                  </w:r>
                  <w:r>
                    <w:rPr>
                      <w:rFonts w:hint="eastAsia" w:ascii="Times New Roman" w:hAnsi="Times New Roman"/>
                      <w:color w:val="auto"/>
                      <w:sz w:val="21"/>
                      <w:szCs w:val="21"/>
                      <w:highlight w:val="none"/>
                      <w:lang w:eastAsia="zh-CN"/>
                    </w:rPr>
                    <w:t>（</w:t>
                  </w:r>
                  <w:r>
                    <w:rPr>
                      <w:rFonts w:hint="eastAsia" w:ascii="Times New Roman" w:hAnsi="Times New Roman"/>
                      <w:color w:val="auto"/>
                      <w:sz w:val="21"/>
                      <w:szCs w:val="21"/>
                      <w:highlight w:val="none"/>
                      <w:lang w:val="en-US" w:eastAsia="zh-CN"/>
                    </w:rPr>
                    <w:t>日均值</w:t>
                  </w:r>
                  <w:r>
                    <w:rPr>
                      <w:rFonts w:hint="eastAsia" w:ascii="Times New Roman" w:hAnsi="Times New Roman"/>
                      <w:color w:val="auto"/>
                      <w:sz w:val="21"/>
                      <w:szCs w:val="21"/>
                      <w:highlight w:val="none"/>
                      <w:lang w:eastAsia="zh-CN"/>
                    </w:rPr>
                    <w:t>）</w:t>
                  </w:r>
                </w:p>
              </w:tc>
              <w:tc>
                <w:tcPr>
                  <w:tcW w:w="1228" w:type="dxa"/>
                  <w:vMerge w:val="continue"/>
                  <w:tcBorders>
                    <w:top w:val="single" w:color="auto" w:sz="4" w:space="0"/>
                    <w:left w:val="single" w:color="auto" w:sz="2" w:space="0"/>
                    <w:bottom w:val="single" w:color="auto" w:sz="4" w:space="0"/>
                    <w:right w:val="single" w:color="auto" w:sz="2" w:space="0"/>
                  </w:tcBorders>
                  <w:noWrap w:val="0"/>
                  <w:vAlign w:val="center"/>
                </w:tcPr>
                <w:p>
                  <w:pPr>
                    <w:overflowPunct w:val="0"/>
                    <w:adjustRightInd w:val="0"/>
                    <w:snapToGrid w:val="0"/>
                    <w:jc w:val="center"/>
                    <w:rPr>
                      <w:rFonts w:ascii="Times New Roman" w:hAnsi="Times New Roman" w:eastAsia="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6" w:hRule="atLeast"/>
                <w:tblHeader/>
                <w:jc w:val="center"/>
              </w:trPr>
              <w:tc>
                <w:tcPr>
                  <w:tcW w:w="1001" w:type="dxa"/>
                  <w:vMerge w:val="continue"/>
                  <w:tcBorders>
                    <w:top w:val="single" w:color="auto" w:sz="4" w:space="0"/>
                    <w:left w:val="single" w:color="auto" w:sz="2" w:space="0"/>
                    <w:bottom w:val="single" w:color="auto" w:sz="4" w:space="0"/>
                  </w:tcBorders>
                  <w:noWrap w:val="0"/>
                  <w:vAlign w:val="center"/>
                </w:tcPr>
                <w:p>
                  <w:pPr>
                    <w:jc w:val="center"/>
                    <w:rPr>
                      <w:rFonts w:ascii="Times New Roman" w:hAnsi="Times New Roman" w:eastAsia="宋体"/>
                      <w:color w:val="auto"/>
                      <w:sz w:val="21"/>
                      <w:szCs w:val="21"/>
                      <w:highlight w:val="none"/>
                    </w:rPr>
                  </w:pPr>
                </w:p>
              </w:tc>
              <w:tc>
                <w:tcPr>
                  <w:tcW w:w="1382" w:type="dxa"/>
                  <w:vMerge w:val="continue"/>
                  <w:tcBorders>
                    <w:top w:val="single" w:color="auto" w:sz="4" w:space="0"/>
                    <w:bottom w:val="single" w:color="auto" w:sz="4" w:space="0"/>
                  </w:tcBorders>
                  <w:noWrap w:val="0"/>
                  <w:vAlign w:val="center"/>
                </w:tcPr>
                <w:p>
                  <w:pPr>
                    <w:jc w:val="center"/>
                    <w:rPr>
                      <w:rFonts w:ascii="Times New Roman" w:hAnsi="Times New Roman" w:eastAsia="宋体"/>
                      <w:color w:val="auto"/>
                      <w:sz w:val="21"/>
                      <w:szCs w:val="21"/>
                      <w:highlight w:val="none"/>
                    </w:rPr>
                  </w:pPr>
                </w:p>
              </w:tc>
              <w:tc>
                <w:tcPr>
                  <w:tcW w:w="1005" w:type="dxa"/>
                  <w:vMerge w:val="continue"/>
                  <w:tcBorders>
                    <w:top w:val="single" w:color="auto" w:sz="4" w:space="0"/>
                    <w:bottom w:val="single" w:color="auto" w:sz="4" w:space="0"/>
                  </w:tcBorders>
                  <w:noWrap w:val="0"/>
                  <w:vAlign w:val="center"/>
                </w:tcPr>
                <w:p>
                  <w:pPr>
                    <w:jc w:val="center"/>
                    <w:rPr>
                      <w:rFonts w:ascii="Times New Roman" w:hAnsi="Times New Roman" w:eastAsia="宋体"/>
                      <w:color w:val="auto"/>
                      <w:sz w:val="21"/>
                      <w:szCs w:val="21"/>
                      <w:highlight w:val="none"/>
                    </w:rPr>
                  </w:pPr>
                </w:p>
              </w:tc>
              <w:tc>
                <w:tcPr>
                  <w:tcW w:w="3262" w:type="dxa"/>
                  <w:tcBorders>
                    <w:top w:val="single" w:color="auto" w:sz="4" w:space="0"/>
                    <w:bottom w:val="single" w:color="auto" w:sz="4" w:space="0"/>
                    <w:right w:val="single" w:color="auto" w:sz="2" w:space="0"/>
                  </w:tcBorders>
                  <w:noWrap w:val="0"/>
                  <w:vAlign w:val="center"/>
                </w:tcPr>
                <w:p>
                  <w:pPr>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日均值</w:t>
                  </w:r>
                </w:p>
              </w:tc>
              <w:tc>
                <w:tcPr>
                  <w:tcW w:w="1228" w:type="dxa"/>
                  <w:vMerge w:val="continue"/>
                  <w:tcBorders>
                    <w:top w:val="single" w:color="auto" w:sz="4" w:space="0"/>
                    <w:left w:val="single" w:color="auto" w:sz="2" w:space="0"/>
                    <w:bottom w:val="single" w:color="auto" w:sz="4" w:space="0"/>
                    <w:right w:val="single" w:color="auto" w:sz="2" w:space="0"/>
                  </w:tcBorders>
                  <w:noWrap w:val="0"/>
                  <w:vAlign w:val="center"/>
                </w:tcPr>
                <w:p>
                  <w:pPr>
                    <w:jc w:val="center"/>
                    <w:rPr>
                      <w:rFonts w:ascii="Times New Roman" w:hAnsi="Times New Roman" w:eastAsia="宋体"/>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1001" w:type="dxa"/>
                  <w:vMerge w:val="restart"/>
                  <w:tcBorders>
                    <w:top w:val="single" w:color="auto" w:sz="4" w:space="0"/>
                    <w:left w:val="single" w:color="auto" w:sz="2" w:space="0"/>
                    <w:bottom w:val="single" w:color="auto" w:sz="4" w:space="0"/>
                  </w:tcBorders>
                  <w:noWrap w:val="0"/>
                  <w:vAlign w:val="center"/>
                </w:tcPr>
                <w:p>
                  <w:pPr>
                    <w:jc w:val="center"/>
                    <w:rPr>
                      <w:rFonts w:ascii="Times New Roman" w:hAnsi="Times New Roman" w:eastAsia="宋体"/>
                      <w:color w:val="auto"/>
                      <w:sz w:val="21"/>
                      <w:szCs w:val="21"/>
                      <w:highlight w:val="none"/>
                    </w:rPr>
                  </w:pPr>
                  <w:r>
                    <w:rPr>
                      <w:rFonts w:hint="eastAsia" w:ascii="Times New Roman" w:hAnsi="Times New Roman" w:cs="Times New Roman"/>
                      <w:b w:val="0"/>
                      <w:bCs/>
                      <w:color w:val="auto"/>
                      <w:kern w:val="2"/>
                      <w:sz w:val="21"/>
                      <w:szCs w:val="21"/>
                      <w:vertAlign w:val="baseline"/>
                      <w:lang w:val="en-US" w:eastAsia="zh-CN" w:bidi="ar-SA"/>
                    </w:rPr>
                    <w:t>1#</w:t>
                  </w:r>
                  <w:r>
                    <w:rPr>
                      <w:rFonts w:hint="default" w:ascii="Times New Roman" w:hAnsi="Times New Roman" w:eastAsia="宋体" w:cs="Times New Roman"/>
                      <w:b w:val="0"/>
                      <w:bCs/>
                      <w:color w:val="auto"/>
                      <w:kern w:val="2"/>
                      <w:sz w:val="21"/>
                      <w:szCs w:val="21"/>
                      <w:vertAlign w:val="baseline"/>
                      <w:lang w:val="en-US" w:eastAsia="zh-CN" w:bidi="ar-SA"/>
                    </w:rPr>
                    <w:t>拟建热拌站厂址中心</w:t>
                  </w:r>
                </w:p>
              </w:tc>
              <w:tc>
                <w:tcPr>
                  <w:tcW w:w="1382" w:type="dxa"/>
                  <w:tcBorders>
                    <w:top w:val="single" w:color="auto" w:sz="4" w:space="0"/>
                    <w:bottom w:val="single" w:color="auto" w:sz="4" w:space="0"/>
                  </w:tcBorders>
                  <w:noWrap w:val="0"/>
                  <w:vAlign w:val="center"/>
                </w:tcPr>
                <w:p>
                  <w:pPr>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第1天</w:t>
                  </w:r>
                </w:p>
              </w:tc>
              <w:tc>
                <w:tcPr>
                  <w:tcW w:w="1005" w:type="dxa"/>
                  <w:tcBorders>
                    <w:top w:val="single" w:color="auto" w:sz="4" w:space="0"/>
                    <w:bottom w:val="single" w:color="auto" w:sz="4" w:space="0"/>
                  </w:tcBorders>
                  <w:noWrap w:val="0"/>
                  <w:vAlign w:val="center"/>
                </w:tcPr>
                <w:p>
                  <w:pPr>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n</w:t>
                  </w:r>
                  <w:r>
                    <w:rPr>
                      <w:rFonts w:ascii="Times New Roman" w:hAnsi="Times New Roman" w:eastAsia="宋体"/>
                      <w:color w:val="auto"/>
                      <w:sz w:val="21"/>
                      <w:szCs w:val="21"/>
                      <w:highlight w:val="none"/>
                    </w:rPr>
                    <w:t>g/m</w:t>
                  </w:r>
                  <w:r>
                    <w:rPr>
                      <w:rFonts w:ascii="Times New Roman" w:hAnsi="Times New Roman" w:eastAsia="宋体"/>
                      <w:color w:val="auto"/>
                      <w:sz w:val="21"/>
                      <w:szCs w:val="21"/>
                      <w:highlight w:val="none"/>
                      <w:vertAlign w:val="superscript"/>
                    </w:rPr>
                    <w:t>3</w:t>
                  </w:r>
                </w:p>
              </w:tc>
              <w:tc>
                <w:tcPr>
                  <w:tcW w:w="3262"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s="Times New Roman"/>
                      <w:b w:val="0"/>
                      <w:bCs/>
                      <w:color w:val="auto"/>
                      <w:kern w:val="2"/>
                      <w:sz w:val="21"/>
                      <w:szCs w:val="21"/>
                      <w:vertAlign w:val="baseline"/>
                      <w:lang w:val="en-US" w:eastAsia="zh-CN" w:bidi="ar-SA"/>
                    </w:rPr>
                    <w:t>未检出</w:t>
                  </w:r>
                </w:p>
              </w:tc>
              <w:tc>
                <w:tcPr>
                  <w:tcW w:w="1228" w:type="dxa"/>
                  <w:tcBorders>
                    <w:top w:val="single" w:color="auto" w:sz="4" w:space="0"/>
                    <w:left w:val="single" w:color="auto" w:sz="2" w:space="0"/>
                    <w:bottom w:val="single" w:color="auto" w:sz="4" w:space="0"/>
                    <w:right w:val="single" w:color="auto" w:sz="2" w:space="0"/>
                  </w:tcBorders>
                  <w:noWrap w:val="0"/>
                  <w:vAlign w:val="center"/>
                </w:tcPr>
                <w:p>
                  <w:pPr>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001" w:type="dxa"/>
                  <w:vMerge w:val="continue"/>
                  <w:tcBorders>
                    <w:top w:val="single" w:color="auto" w:sz="4" w:space="0"/>
                    <w:left w:val="single" w:color="auto" w:sz="2" w:space="0"/>
                    <w:bottom w:val="single" w:color="auto" w:sz="4" w:space="0"/>
                  </w:tcBorders>
                  <w:noWrap w:val="0"/>
                  <w:vAlign w:val="center"/>
                </w:tcPr>
                <w:p>
                  <w:pPr>
                    <w:pStyle w:val="22"/>
                    <w:ind w:firstLine="0" w:firstLineChars="0"/>
                    <w:jc w:val="center"/>
                    <w:rPr>
                      <w:rFonts w:ascii="Times New Roman" w:hAnsi="Times New Roman" w:eastAsia="宋体" w:cs="Times New Roman"/>
                      <w:color w:val="auto"/>
                      <w:sz w:val="21"/>
                      <w:szCs w:val="21"/>
                      <w:highlight w:val="none"/>
                    </w:rPr>
                  </w:pPr>
                </w:p>
              </w:tc>
              <w:tc>
                <w:tcPr>
                  <w:tcW w:w="1382" w:type="dxa"/>
                  <w:tcBorders>
                    <w:top w:val="single" w:color="auto" w:sz="4" w:space="0"/>
                    <w:bottom w:val="single" w:color="auto" w:sz="4" w:space="0"/>
                  </w:tcBorders>
                  <w:noWrap w:val="0"/>
                  <w:vAlign w:val="center"/>
                </w:tcPr>
                <w:p>
                  <w:pPr>
                    <w:widowControl/>
                    <w:overflowPunct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第2天</w:t>
                  </w:r>
                </w:p>
              </w:tc>
              <w:tc>
                <w:tcPr>
                  <w:tcW w:w="1005" w:type="dxa"/>
                  <w:tcBorders>
                    <w:top w:val="single" w:color="auto" w:sz="4" w:space="0"/>
                    <w:bottom w:val="single" w:color="auto" w:sz="4" w:space="0"/>
                  </w:tcBorders>
                  <w:noWrap w:val="0"/>
                  <w:vAlign w:val="center"/>
                </w:tcPr>
                <w:p>
                  <w:pPr>
                    <w:widowControl/>
                    <w:overflowPunct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n</w:t>
                  </w:r>
                  <w:r>
                    <w:rPr>
                      <w:rFonts w:ascii="Times New Roman" w:hAnsi="Times New Roman" w:eastAsia="宋体"/>
                      <w:color w:val="auto"/>
                      <w:sz w:val="21"/>
                      <w:szCs w:val="21"/>
                      <w:highlight w:val="none"/>
                    </w:rPr>
                    <w:t>g/m</w:t>
                  </w:r>
                  <w:r>
                    <w:rPr>
                      <w:rFonts w:ascii="Times New Roman" w:hAnsi="Times New Roman" w:eastAsia="宋体"/>
                      <w:color w:val="auto"/>
                      <w:sz w:val="21"/>
                      <w:szCs w:val="21"/>
                      <w:highlight w:val="none"/>
                      <w:vertAlign w:val="superscript"/>
                    </w:rPr>
                    <w:t>3</w:t>
                  </w:r>
                </w:p>
              </w:tc>
              <w:tc>
                <w:tcPr>
                  <w:tcW w:w="3262"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eastAsia" w:ascii="Times New Roman" w:hAnsi="Times New Roman" w:cs="Times New Roman"/>
                      <w:b w:val="0"/>
                      <w:bCs/>
                      <w:color w:val="auto"/>
                      <w:kern w:val="2"/>
                      <w:sz w:val="21"/>
                      <w:szCs w:val="21"/>
                      <w:vertAlign w:val="baseline"/>
                      <w:lang w:val="en-US" w:eastAsia="zh-CN" w:bidi="ar-SA"/>
                    </w:rPr>
                    <w:t>未检出</w:t>
                  </w:r>
                </w:p>
              </w:tc>
              <w:tc>
                <w:tcPr>
                  <w:tcW w:w="1228" w:type="dxa"/>
                  <w:tcBorders>
                    <w:top w:val="single" w:color="auto" w:sz="4" w:space="0"/>
                    <w:left w:val="single" w:color="auto" w:sz="2" w:space="0"/>
                    <w:bottom w:val="single" w:color="auto" w:sz="4" w:space="0"/>
                    <w:right w:val="single" w:color="auto" w:sz="2" w:space="0"/>
                  </w:tcBorders>
                  <w:noWrap w:val="0"/>
                  <w:vAlign w:val="center"/>
                </w:tcPr>
                <w:p>
                  <w:pPr>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1001" w:type="dxa"/>
                  <w:vMerge w:val="continue"/>
                  <w:tcBorders>
                    <w:top w:val="single" w:color="auto" w:sz="4" w:space="0"/>
                    <w:left w:val="single" w:color="auto" w:sz="2" w:space="0"/>
                    <w:bottom w:val="single" w:color="auto" w:sz="4" w:space="0"/>
                  </w:tcBorders>
                  <w:noWrap w:val="0"/>
                  <w:vAlign w:val="center"/>
                </w:tcPr>
                <w:p>
                  <w:pPr>
                    <w:pStyle w:val="22"/>
                    <w:ind w:firstLine="0" w:firstLineChars="0"/>
                    <w:jc w:val="center"/>
                    <w:rPr>
                      <w:rFonts w:ascii="Times New Roman" w:hAnsi="Times New Roman" w:eastAsia="宋体" w:cs="Times New Roman"/>
                      <w:color w:val="auto"/>
                      <w:sz w:val="21"/>
                      <w:szCs w:val="21"/>
                      <w:highlight w:val="none"/>
                    </w:rPr>
                  </w:pPr>
                </w:p>
              </w:tc>
              <w:tc>
                <w:tcPr>
                  <w:tcW w:w="1382" w:type="dxa"/>
                  <w:tcBorders>
                    <w:top w:val="single" w:color="auto" w:sz="4" w:space="0"/>
                    <w:bottom w:val="single" w:color="auto" w:sz="4" w:space="0"/>
                  </w:tcBorders>
                  <w:noWrap w:val="0"/>
                  <w:vAlign w:val="center"/>
                </w:tcPr>
                <w:p>
                  <w:pPr>
                    <w:widowControl/>
                    <w:overflowPunct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第3天</w:t>
                  </w:r>
                </w:p>
              </w:tc>
              <w:tc>
                <w:tcPr>
                  <w:tcW w:w="1005" w:type="dxa"/>
                  <w:tcBorders>
                    <w:top w:val="single" w:color="auto" w:sz="4" w:space="0"/>
                    <w:bottom w:val="single" w:color="auto" w:sz="4" w:space="0"/>
                  </w:tcBorders>
                  <w:noWrap w:val="0"/>
                  <w:vAlign w:val="center"/>
                </w:tcPr>
                <w:p>
                  <w:pPr>
                    <w:widowControl/>
                    <w:overflowPunct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n</w:t>
                  </w:r>
                  <w:r>
                    <w:rPr>
                      <w:rFonts w:ascii="Times New Roman" w:hAnsi="Times New Roman" w:eastAsia="宋体"/>
                      <w:color w:val="auto"/>
                      <w:sz w:val="21"/>
                      <w:szCs w:val="21"/>
                      <w:highlight w:val="none"/>
                    </w:rPr>
                    <w:t>g/m</w:t>
                  </w:r>
                  <w:r>
                    <w:rPr>
                      <w:rFonts w:ascii="Times New Roman" w:hAnsi="Times New Roman" w:eastAsia="宋体"/>
                      <w:color w:val="auto"/>
                      <w:sz w:val="21"/>
                      <w:szCs w:val="21"/>
                      <w:highlight w:val="none"/>
                      <w:vertAlign w:val="superscript"/>
                    </w:rPr>
                    <w:t>3</w:t>
                  </w:r>
                </w:p>
              </w:tc>
              <w:tc>
                <w:tcPr>
                  <w:tcW w:w="3262"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eastAsia" w:ascii="Times New Roman" w:hAnsi="Times New Roman" w:cs="Times New Roman"/>
                      <w:b w:val="0"/>
                      <w:bCs/>
                      <w:color w:val="auto"/>
                      <w:kern w:val="2"/>
                      <w:sz w:val="21"/>
                      <w:szCs w:val="21"/>
                      <w:vertAlign w:val="baseline"/>
                      <w:lang w:val="en-US" w:eastAsia="zh-CN" w:bidi="ar-SA"/>
                    </w:rPr>
                    <w:t>未检出</w:t>
                  </w:r>
                </w:p>
              </w:tc>
              <w:tc>
                <w:tcPr>
                  <w:tcW w:w="1228" w:type="dxa"/>
                  <w:tcBorders>
                    <w:top w:val="single" w:color="auto" w:sz="4" w:space="0"/>
                    <w:left w:val="single" w:color="auto" w:sz="2" w:space="0"/>
                    <w:bottom w:val="single" w:color="auto" w:sz="4" w:space="0"/>
                    <w:right w:val="single" w:color="auto" w:sz="2" w:space="0"/>
                  </w:tcBorders>
                  <w:noWrap w:val="0"/>
                  <w:vAlign w:val="center"/>
                </w:tcPr>
                <w:p>
                  <w:pPr>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1001" w:type="dxa"/>
                  <w:vMerge w:val="continue"/>
                  <w:tcBorders>
                    <w:top w:val="single" w:color="auto" w:sz="4" w:space="0"/>
                    <w:left w:val="single" w:color="auto" w:sz="2" w:space="0"/>
                    <w:bottom w:val="single" w:color="auto" w:sz="4" w:space="0"/>
                  </w:tcBorders>
                  <w:noWrap w:val="0"/>
                  <w:vAlign w:val="center"/>
                </w:tcPr>
                <w:p>
                  <w:pPr>
                    <w:pStyle w:val="22"/>
                    <w:ind w:firstLine="0" w:firstLineChars="0"/>
                    <w:jc w:val="center"/>
                    <w:rPr>
                      <w:rFonts w:ascii="Times New Roman" w:hAnsi="Times New Roman" w:eastAsia="宋体" w:cs="Times New Roman"/>
                      <w:color w:val="auto"/>
                      <w:sz w:val="21"/>
                      <w:szCs w:val="21"/>
                      <w:highlight w:val="none"/>
                    </w:rPr>
                  </w:pPr>
                </w:p>
              </w:tc>
              <w:tc>
                <w:tcPr>
                  <w:tcW w:w="1382" w:type="dxa"/>
                  <w:tcBorders>
                    <w:top w:val="single" w:color="auto" w:sz="4" w:space="0"/>
                    <w:bottom w:val="single" w:color="auto" w:sz="4" w:space="0"/>
                  </w:tcBorders>
                  <w:noWrap w:val="0"/>
                  <w:vAlign w:val="center"/>
                </w:tcPr>
                <w:p>
                  <w:pPr>
                    <w:widowControl/>
                    <w:overflowPunct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第4天</w:t>
                  </w:r>
                </w:p>
              </w:tc>
              <w:tc>
                <w:tcPr>
                  <w:tcW w:w="1005" w:type="dxa"/>
                  <w:tcBorders>
                    <w:top w:val="single" w:color="auto" w:sz="4" w:space="0"/>
                    <w:bottom w:val="single" w:color="auto" w:sz="4" w:space="0"/>
                  </w:tcBorders>
                  <w:noWrap w:val="0"/>
                  <w:vAlign w:val="center"/>
                </w:tcPr>
                <w:p>
                  <w:pPr>
                    <w:widowControl/>
                    <w:overflowPunct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n</w:t>
                  </w:r>
                  <w:r>
                    <w:rPr>
                      <w:rFonts w:ascii="Times New Roman" w:hAnsi="Times New Roman" w:eastAsia="宋体"/>
                      <w:color w:val="auto"/>
                      <w:sz w:val="21"/>
                      <w:szCs w:val="21"/>
                      <w:highlight w:val="none"/>
                    </w:rPr>
                    <w:t>g/m</w:t>
                  </w:r>
                  <w:r>
                    <w:rPr>
                      <w:rFonts w:ascii="Times New Roman" w:hAnsi="Times New Roman" w:eastAsia="宋体"/>
                      <w:color w:val="auto"/>
                      <w:sz w:val="21"/>
                      <w:szCs w:val="21"/>
                      <w:highlight w:val="none"/>
                      <w:vertAlign w:val="superscript"/>
                    </w:rPr>
                    <w:t>3</w:t>
                  </w:r>
                </w:p>
              </w:tc>
              <w:tc>
                <w:tcPr>
                  <w:tcW w:w="3262"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eastAsia" w:ascii="Times New Roman" w:hAnsi="Times New Roman" w:cs="Times New Roman"/>
                      <w:b w:val="0"/>
                      <w:bCs/>
                      <w:color w:val="auto"/>
                      <w:kern w:val="2"/>
                      <w:sz w:val="21"/>
                      <w:szCs w:val="21"/>
                      <w:vertAlign w:val="baseline"/>
                      <w:lang w:val="en-US" w:eastAsia="zh-CN" w:bidi="ar-SA"/>
                    </w:rPr>
                    <w:t>未检出</w:t>
                  </w:r>
                </w:p>
              </w:tc>
              <w:tc>
                <w:tcPr>
                  <w:tcW w:w="1228" w:type="dxa"/>
                  <w:tcBorders>
                    <w:top w:val="single" w:color="auto" w:sz="4" w:space="0"/>
                    <w:left w:val="single" w:color="auto" w:sz="2" w:space="0"/>
                    <w:bottom w:val="single" w:color="auto" w:sz="4" w:space="0"/>
                    <w:right w:val="single" w:color="auto" w:sz="2" w:space="0"/>
                  </w:tcBorders>
                  <w:noWrap w:val="0"/>
                  <w:vAlign w:val="center"/>
                </w:tcPr>
                <w:p>
                  <w:pPr>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1001" w:type="dxa"/>
                  <w:vMerge w:val="continue"/>
                  <w:tcBorders>
                    <w:top w:val="single" w:color="auto" w:sz="4" w:space="0"/>
                    <w:left w:val="single" w:color="auto" w:sz="2" w:space="0"/>
                    <w:bottom w:val="single" w:color="auto" w:sz="4" w:space="0"/>
                  </w:tcBorders>
                  <w:noWrap w:val="0"/>
                  <w:vAlign w:val="center"/>
                </w:tcPr>
                <w:p>
                  <w:pPr>
                    <w:pStyle w:val="22"/>
                    <w:ind w:firstLine="0" w:firstLineChars="0"/>
                    <w:jc w:val="center"/>
                    <w:rPr>
                      <w:rFonts w:ascii="Times New Roman" w:hAnsi="Times New Roman" w:eastAsia="宋体" w:cs="Times New Roman"/>
                      <w:color w:val="auto"/>
                      <w:sz w:val="21"/>
                      <w:szCs w:val="21"/>
                      <w:highlight w:val="none"/>
                    </w:rPr>
                  </w:pPr>
                </w:p>
              </w:tc>
              <w:tc>
                <w:tcPr>
                  <w:tcW w:w="1382" w:type="dxa"/>
                  <w:tcBorders>
                    <w:top w:val="single" w:color="auto" w:sz="4" w:space="0"/>
                    <w:bottom w:val="single" w:color="auto" w:sz="4" w:space="0"/>
                  </w:tcBorders>
                  <w:noWrap w:val="0"/>
                  <w:vAlign w:val="center"/>
                </w:tcPr>
                <w:p>
                  <w:pPr>
                    <w:widowControl/>
                    <w:overflowPunct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第5天</w:t>
                  </w:r>
                </w:p>
              </w:tc>
              <w:tc>
                <w:tcPr>
                  <w:tcW w:w="1005" w:type="dxa"/>
                  <w:tcBorders>
                    <w:top w:val="single" w:color="auto" w:sz="4" w:space="0"/>
                    <w:bottom w:val="single" w:color="auto" w:sz="4" w:space="0"/>
                  </w:tcBorders>
                  <w:noWrap w:val="0"/>
                  <w:vAlign w:val="center"/>
                </w:tcPr>
                <w:p>
                  <w:pPr>
                    <w:widowControl/>
                    <w:overflowPunct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n</w:t>
                  </w:r>
                  <w:r>
                    <w:rPr>
                      <w:rFonts w:ascii="Times New Roman" w:hAnsi="Times New Roman" w:eastAsia="宋体"/>
                      <w:color w:val="auto"/>
                      <w:sz w:val="21"/>
                      <w:szCs w:val="21"/>
                      <w:highlight w:val="none"/>
                    </w:rPr>
                    <w:t>g/m</w:t>
                  </w:r>
                  <w:r>
                    <w:rPr>
                      <w:rFonts w:ascii="Times New Roman" w:hAnsi="Times New Roman" w:eastAsia="宋体"/>
                      <w:color w:val="auto"/>
                      <w:sz w:val="21"/>
                      <w:szCs w:val="21"/>
                      <w:highlight w:val="none"/>
                      <w:vertAlign w:val="superscript"/>
                    </w:rPr>
                    <w:t>3</w:t>
                  </w:r>
                </w:p>
              </w:tc>
              <w:tc>
                <w:tcPr>
                  <w:tcW w:w="3262"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eastAsia" w:ascii="Times New Roman" w:hAnsi="Times New Roman" w:cs="Times New Roman"/>
                      <w:b w:val="0"/>
                      <w:bCs/>
                      <w:color w:val="auto"/>
                      <w:kern w:val="2"/>
                      <w:sz w:val="21"/>
                      <w:szCs w:val="21"/>
                      <w:vertAlign w:val="baseline"/>
                      <w:lang w:val="en-US" w:eastAsia="zh-CN" w:bidi="ar-SA"/>
                    </w:rPr>
                    <w:t>未检出</w:t>
                  </w:r>
                </w:p>
              </w:tc>
              <w:tc>
                <w:tcPr>
                  <w:tcW w:w="1228" w:type="dxa"/>
                  <w:tcBorders>
                    <w:top w:val="single" w:color="auto" w:sz="4" w:space="0"/>
                    <w:left w:val="single" w:color="auto" w:sz="2" w:space="0"/>
                    <w:bottom w:val="single" w:color="auto" w:sz="4" w:space="0"/>
                    <w:right w:val="single" w:color="auto" w:sz="2" w:space="0"/>
                  </w:tcBorders>
                  <w:noWrap w:val="0"/>
                  <w:vAlign w:val="center"/>
                </w:tcPr>
                <w:p>
                  <w:pPr>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1001" w:type="dxa"/>
                  <w:vMerge w:val="continue"/>
                  <w:tcBorders>
                    <w:top w:val="single" w:color="auto" w:sz="4" w:space="0"/>
                    <w:left w:val="single" w:color="auto" w:sz="2" w:space="0"/>
                    <w:bottom w:val="single" w:color="auto" w:sz="4" w:space="0"/>
                  </w:tcBorders>
                  <w:noWrap w:val="0"/>
                  <w:vAlign w:val="center"/>
                </w:tcPr>
                <w:p>
                  <w:pPr>
                    <w:jc w:val="center"/>
                    <w:rPr>
                      <w:rFonts w:ascii="Times New Roman" w:hAnsi="Times New Roman" w:eastAsia="宋体"/>
                      <w:color w:val="auto"/>
                      <w:sz w:val="21"/>
                      <w:szCs w:val="21"/>
                      <w:highlight w:val="none"/>
                    </w:rPr>
                  </w:pPr>
                </w:p>
              </w:tc>
              <w:tc>
                <w:tcPr>
                  <w:tcW w:w="1382" w:type="dxa"/>
                  <w:tcBorders>
                    <w:top w:val="single" w:color="auto" w:sz="4" w:space="0"/>
                    <w:bottom w:val="single" w:color="auto" w:sz="4" w:space="0"/>
                  </w:tcBorders>
                  <w:noWrap w:val="0"/>
                  <w:vAlign w:val="center"/>
                </w:tcPr>
                <w:p>
                  <w:pPr>
                    <w:widowControl/>
                    <w:overflowPunct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第6天</w:t>
                  </w:r>
                </w:p>
              </w:tc>
              <w:tc>
                <w:tcPr>
                  <w:tcW w:w="1005" w:type="dxa"/>
                  <w:tcBorders>
                    <w:top w:val="single" w:color="auto" w:sz="4" w:space="0"/>
                    <w:bottom w:val="single" w:color="auto" w:sz="4" w:space="0"/>
                  </w:tcBorders>
                  <w:noWrap w:val="0"/>
                  <w:vAlign w:val="center"/>
                </w:tcPr>
                <w:p>
                  <w:pPr>
                    <w:widowControl/>
                    <w:overflowPunct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n</w:t>
                  </w:r>
                  <w:r>
                    <w:rPr>
                      <w:rFonts w:ascii="Times New Roman" w:hAnsi="Times New Roman" w:eastAsia="宋体"/>
                      <w:color w:val="auto"/>
                      <w:sz w:val="21"/>
                      <w:szCs w:val="21"/>
                      <w:highlight w:val="none"/>
                    </w:rPr>
                    <w:t>g/m</w:t>
                  </w:r>
                  <w:r>
                    <w:rPr>
                      <w:rFonts w:ascii="Times New Roman" w:hAnsi="Times New Roman" w:eastAsia="宋体"/>
                      <w:color w:val="auto"/>
                      <w:sz w:val="21"/>
                      <w:szCs w:val="21"/>
                      <w:highlight w:val="none"/>
                      <w:vertAlign w:val="superscript"/>
                    </w:rPr>
                    <w:t>3</w:t>
                  </w:r>
                </w:p>
              </w:tc>
              <w:tc>
                <w:tcPr>
                  <w:tcW w:w="3262"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eastAsia" w:ascii="Times New Roman" w:hAnsi="Times New Roman" w:cs="Times New Roman"/>
                      <w:b w:val="0"/>
                      <w:bCs/>
                      <w:color w:val="auto"/>
                      <w:kern w:val="2"/>
                      <w:sz w:val="21"/>
                      <w:szCs w:val="21"/>
                      <w:vertAlign w:val="baseline"/>
                      <w:lang w:val="en-US" w:eastAsia="zh-CN" w:bidi="ar-SA"/>
                    </w:rPr>
                    <w:t>未检出</w:t>
                  </w:r>
                </w:p>
              </w:tc>
              <w:tc>
                <w:tcPr>
                  <w:tcW w:w="1228" w:type="dxa"/>
                  <w:tcBorders>
                    <w:top w:val="single" w:color="auto" w:sz="4" w:space="0"/>
                    <w:left w:val="single" w:color="auto" w:sz="2" w:space="0"/>
                    <w:bottom w:val="single" w:color="auto" w:sz="4" w:space="0"/>
                    <w:right w:val="single" w:color="auto" w:sz="2" w:space="0"/>
                  </w:tcBorders>
                  <w:noWrap w:val="0"/>
                  <w:vAlign w:val="center"/>
                </w:tcPr>
                <w:p>
                  <w:pPr>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1001" w:type="dxa"/>
                  <w:vMerge w:val="continue"/>
                  <w:tcBorders>
                    <w:top w:val="single" w:color="auto" w:sz="4" w:space="0"/>
                    <w:left w:val="single" w:color="auto" w:sz="2" w:space="0"/>
                    <w:bottom w:val="single" w:color="auto" w:sz="4" w:space="0"/>
                  </w:tcBorders>
                  <w:noWrap w:val="0"/>
                  <w:vAlign w:val="center"/>
                </w:tcPr>
                <w:p>
                  <w:pPr>
                    <w:jc w:val="center"/>
                    <w:rPr>
                      <w:rFonts w:ascii="Times New Roman" w:hAnsi="Times New Roman" w:eastAsia="宋体"/>
                      <w:color w:val="auto"/>
                      <w:sz w:val="21"/>
                      <w:szCs w:val="21"/>
                      <w:highlight w:val="none"/>
                    </w:rPr>
                  </w:pPr>
                </w:p>
              </w:tc>
              <w:tc>
                <w:tcPr>
                  <w:tcW w:w="1382" w:type="dxa"/>
                  <w:tcBorders>
                    <w:top w:val="single" w:color="auto" w:sz="4" w:space="0"/>
                    <w:bottom w:val="single" w:color="auto" w:sz="4" w:space="0"/>
                  </w:tcBorders>
                  <w:noWrap w:val="0"/>
                  <w:vAlign w:val="center"/>
                </w:tcPr>
                <w:p>
                  <w:pPr>
                    <w:widowControl/>
                    <w:overflowPunct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第7天</w:t>
                  </w:r>
                </w:p>
              </w:tc>
              <w:tc>
                <w:tcPr>
                  <w:tcW w:w="1005" w:type="dxa"/>
                  <w:tcBorders>
                    <w:top w:val="single" w:color="auto" w:sz="4" w:space="0"/>
                    <w:bottom w:val="single" w:color="auto" w:sz="4" w:space="0"/>
                  </w:tcBorders>
                  <w:noWrap w:val="0"/>
                  <w:vAlign w:val="center"/>
                </w:tcPr>
                <w:p>
                  <w:pPr>
                    <w:widowControl/>
                    <w:overflowPunct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n</w:t>
                  </w:r>
                  <w:r>
                    <w:rPr>
                      <w:rFonts w:ascii="Times New Roman" w:hAnsi="Times New Roman" w:eastAsia="宋体"/>
                      <w:color w:val="auto"/>
                      <w:sz w:val="21"/>
                      <w:szCs w:val="21"/>
                      <w:highlight w:val="none"/>
                    </w:rPr>
                    <w:t>g/m</w:t>
                  </w:r>
                  <w:r>
                    <w:rPr>
                      <w:rFonts w:ascii="Times New Roman" w:hAnsi="Times New Roman" w:eastAsia="宋体"/>
                      <w:color w:val="auto"/>
                      <w:sz w:val="21"/>
                      <w:szCs w:val="21"/>
                      <w:highlight w:val="none"/>
                      <w:vertAlign w:val="superscript"/>
                    </w:rPr>
                    <w:t>3</w:t>
                  </w:r>
                </w:p>
              </w:tc>
              <w:tc>
                <w:tcPr>
                  <w:tcW w:w="3262"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eastAsia" w:ascii="Times New Roman" w:hAnsi="Times New Roman" w:cs="Times New Roman"/>
                      <w:b w:val="0"/>
                      <w:bCs/>
                      <w:color w:val="auto"/>
                      <w:kern w:val="2"/>
                      <w:sz w:val="21"/>
                      <w:szCs w:val="21"/>
                      <w:vertAlign w:val="baseline"/>
                      <w:lang w:val="en-US" w:eastAsia="zh-CN" w:bidi="ar-SA"/>
                    </w:rPr>
                    <w:t>未检出</w:t>
                  </w:r>
                </w:p>
              </w:tc>
              <w:tc>
                <w:tcPr>
                  <w:tcW w:w="1228" w:type="dxa"/>
                  <w:tcBorders>
                    <w:top w:val="single" w:color="auto" w:sz="4" w:space="0"/>
                    <w:left w:val="single" w:color="auto" w:sz="2" w:space="0"/>
                    <w:bottom w:val="single" w:color="auto" w:sz="4" w:space="0"/>
                    <w:right w:val="single" w:color="auto" w:sz="2" w:space="0"/>
                  </w:tcBorders>
                  <w:noWrap w:val="0"/>
                  <w:vAlign w:val="center"/>
                </w:tcPr>
                <w:p>
                  <w:pPr>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1001" w:type="dxa"/>
                  <w:vMerge w:val="restart"/>
                  <w:tcBorders>
                    <w:top w:val="single" w:color="auto" w:sz="4" w:space="0"/>
                    <w:left w:val="single" w:color="auto" w:sz="2" w:space="0"/>
                    <w:bottom w:val="single" w:color="auto" w:sz="4" w:space="0"/>
                  </w:tcBorders>
                  <w:noWrap w:val="0"/>
                  <w:vAlign w:val="center"/>
                </w:tcPr>
                <w:p>
                  <w:pPr>
                    <w:jc w:val="center"/>
                    <w:rPr>
                      <w:rFonts w:ascii="Times New Roman" w:hAnsi="Times New Roman" w:eastAsia="宋体"/>
                      <w:color w:val="auto"/>
                      <w:sz w:val="21"/>
                      <w:szCs w:val="21"/>
                      <w:highlight w:val="none"/>
                    </w:rPr>
                  </w:pPr>
                  <w:r>
                    <w:rPr>
                      <w:rFonts w:hint="default" w:ascii="Times New Roman" w:hAnsi="Times New Roman" w:eastAsia="宋体" w:cs="Times New Roman"/>
                      <w:b w:val="0"/>
                      <w:bCs/>
                      <w:color w:val="auto"/>
                      <w:kern w:val="2"/>
                      <w:sz w:val="21"/>
                      <w:szCs w:val="21"/>
                      <w:vertAlign w:val="baseline"/>
                      <w:lang w:val="en-US" w:eastAsia="zh-CN" w:bidi="ar-SA"/>
                    </w:rPr>
                    <w:fldChar w:fldCharType="begin"/>
                  </w:r>
                  <w:r>
                    <w:rPr>
                      <w:rFonts w:hint="default" w:ascii="Times New Roman" w:hAnsi="Times New Roman" w:eastAsia="宋体" w:cs="Times New Roman"/>
                      <w:b w:val="0"/>
                      <w:bCs/>
                      <w:color w:val="auto"/>
                      <w:kern w:val="2"/>
                      <w:sz w:val="21"/>
                      <w:szCs w:val="21"/>
                      <w:vertAlign w:val="baseline"/>
                      <w:lang w:val="en-US" w:eastAsia="zh-CN" w:bidi="ar-SA"/>
                    </w:rPr>
                    <w:instrText xml:space="preserve"> REF 环境空气2 \h \* MERGEFORMAT</w:instrText>
                  </w:r>
                  <w:r>
                    <w:rPr>
                      <w:rFonts w:hint="default" w:ascii="Times New Roman" w:hAnsi="Times New Roman" w:eastAsia="宋体" w:cs="Times New Roman"/>
                      <w:b w:val="0"/>
                      <w:bCs/>
                      <w:color w:val="auto"/>
                      <w:kern w:val="2"/>
                      <w:sz w:val="21"/>
                      <w:szCs w:val="21"/>
                      <w:vertAlign w:val="baseline"/>
                      <w:lang w:val="en-US" w:eastAsia="zh-CN" w:bidi="ar-SA"/>
                    </w:rPr>
                    <w:fldChar w:fldCharType="separate"/>
                  </w:r>
                  <w:r>
                    <w:rPr>
                      <w:rFonts w:hint="default" w:ascii="Times New Roman" w:hAnsi="Times New Roman" w:eastAsia="宋体" w:cs="Times New Roman"/>
                      <w:b w:val="0"/>
                      <w:bCs/>
                      <w:color w:val="auto"/>
                      <w:kern w:val="2"/>
                      <w:sz w:val="21"/>
                      <w:szCs w:val="21"/>
                      <w:vertAlign w:val="baseline"/>
                      <w:lang w:val="en-US" w:eastAsia="zh-CN" w:bidi="ar-SA"/>
                    </w:rPr>
                    <w:t>2# 拟建热拌站北侧300m（崩崩冲村）</w:t>
                  </w:r>
                  <w:r>
                    <w:rPr>
                      <w:rFonts w:hint="default" w:ascii="Times New Roman" w:hAnsi="Times New Roman" w:eastAsia="宋体" w:cs="Times New Roman"/>
                      <w:b w:val="0"/>
                      <w:bCs/>
                      <w:color w:val="auto"/>
                      <w:kern w:val="2"/>
                      <w:sz w:val="21"/>
                      <w:szCs w:val="21"/>
                      <w:vertAlign w:val="baseline"/>
                      <w:lang w:val="en-US" w:eastAsia="zh-CN" w:bidi="ar-SA"/>
                    </w:rPr>
                    <w:fldChar w:fldCharType="end"/>
                  </w:r>
                </w:p>
              </w:tc>
              <w:tc>
                <w:tcPr>
                  <w:tcW w:w="1382" w:type="dxa"/>
                  <w:tcBorders>
                    <w:top w:val="single" w:color="auto" w:sz="4" w:space="0"/>
                    <w:bottom w:val="single" w:color="auto" w:sz="4" w:space="0"/>
                  </w:tcBorders>
                  <w:noWrap w:val="0"/>
                  <w:vAlign w:val="center"/>
                </w:tcPr>
                <w:p>
                  <w:pPr>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第1天</w:t>
                  </w:r>
                </w:p>
              </w:tc>
              <w:tc>
                <w:tcPr>
                  <w:tcW w:w="1005" w:type="dxa"/>
                  <w:tcBorders>
                    <w:top w:val="single" w:color="auto" w:sz="4" w:space="0"/>
                    <w:bottom w:val="single" w:color="auto" w:sz="4" w:space="0"/>
                  </w:tcBorders>
                  <w:noWrap w:val="0"/>
                  <w:vAlign w:val="center"/>
                </w:tcPr>
                <w:p>
                  <w:pPr>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n</w:t>
                  </w:r>
                  <w:r>
                    <w:rPr>
                      <w:rFonts w:ascii="Times New Roman" w:hAnsi="Times New Roman" w:eastAsia="宋体"/>
                      <w:color w:val="auto"/>
                      <w:sz w:val="21"/>
                      <w:szCs w:val="21"/>
                      <w:highlight w:val="none"/>
                    </w:rPr>
                    <w:t>g/m</w:t>
                  </w:r>
                  <w:r>
                    <w:rPr>
                      <w:rFonts w:ascii="Times New Roman" w:hAnsi="Times New Roman" w:eastAsia="宋体"/>
                      <w:color w:val="auto"/>
                      <w:sz w:val="21"/>
                      <w:szCs w:val="21"/>
                      <w:highlight w:val="none"/>
                      <w:vertAlign w:val="superscript"/>
                    </w:rPr>
                    <w:t>3</w:t>
                  </w:r>
                </w:p>
              </w:tc>
              <w:tc>
                <w:tcPr>
                  <w:tcW w:w="3262"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eastAsia" w:ascii="Times New Roman" w:hAnsi="Times New Roman" w:cs="Times New Roman"/>
                      <w:b w:val="0"/>
                      <w:bCs/>
                      <w:color w:val="auto"/>
                      <w:kern w:val="2"/>
                      <w:sz w:val="21"/>
                      <w:szCs w:val="21"/>
                      <w:vertAlign w:val="baseline"/>
                      <w:lang w:val="en-US" w:eastAsia="zh-CN" w:bidi="ar-SA"/>
                    </w:rPr>
                    <w:t>未检出</w:t>
                  </w:r>
                </w:p>
              </w:tc>
              <w:tc>
                <w:tcPr>
                  <w:tcW w:w="1228" w:type="dxa"/>
                  <w:tcBorders>
                    <w:top w:val="single" w:color="auto" w:sz="4" w:space="0"/>
                    <w:left w:val="single" w:color="auto" w:sz="2" w:space="0"/>
                    <w:bottom w:val="single" w:color="auto" w:sz="4" w:space="0"/>
                    <w:right w:val="single" w:color="auto" w:sz="2" w:space="0"/>
                  </w:tcBorders>
                  <w:noWrap w:val="0"/>
                  <w:vAlign w:val="center"/>
                </w:tcPr>
                <w:p>
                  <w:pPr>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1001" w:type="dxa"/>
                  <w:vMerge w:val="continue"/>
                  <w:tcBorders>
                    <w:top w:val="single" w:color="auto" w:sz="4" w:space="0"/>
                    <w:left w:val="single" w:color="auto" w:sz="2" w:space="0"/>
                    <w:bottom w:val="single" w:color="auto" w:sz="4" w:space="0"/>
                  </w:tcBorders>
                  <w:noWrap w:val="0"/>
                  <w:vAlign w:val="center"/>
                </w:tcPr>
                <w:p>
                  <w:pPr>
                    <w:pStyle w:val="22"/>
                    <w:ind w:firstLine="0" w:firstLineChars="0"/>
                    <w:jc w:val="center"/>
                    <w:rPr>
                      <w:rFonts w:ascii="Times New Roman" w:hAnsi="Times New Roman" w:eastAsia="宋体" w:cs="Times New Roman"/>
                      <w:color w:val="auto"/>
                      <w:sz w:val="21"/>
                      <w:szCs w:val="21"/>
                      <w:highlight w:val="none"/>
                    </w:rPr>
                  </w:pPr>
                </w:p>
              </w:tc>
              <w:tc>
                <w:tcPr>
                  <w:tcW w:w="1382" w:type="dxa"/>
                  <w:tcBorders>
                    <w:top w:val="single" w:color="auto" w:sz="4" w:space="0"/>
                    <w:bottom w:val="single" w:color="auto" w:sz="4" w:space="0"/>
                  </w:tcBorders>
                  <w:noWrap w:val="0"/>
                  <w:vAlign w:val="center"/>
                </w:tcPr>
                <w:p>
                  <w:pPr>
                    <w:widowControl/>
                    <w:overflowPunct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第2天</w:t>
                  </w:r>
                </w:p>
              </w:tc>
              <w:tc>
                <w:tcPr>
                  <w:tcW w:w="1005" w:type="dxa"/>
                  <w:tcBorders>
                    <w:top w:val="single" w:color="auto" w:sz="4" w:space="0"/>
                    <w:bottom w:val="single" w:color="auto" w:sz="4" w:space="0"/>
                  </w:tcBorders>
                  <w:noWrap w:val="0"/>
                  <w:vAlign w:val="center"/>
                </w:tcPr>
                <w:p>
                  <w:pPr>
                    <w:widowControl/>
                    <w:overflowPunct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n</w:t>
                  </w:r>
                  <w:r>
                    <w:rPr>
                      <w:rFonts w:ascii="Times New Roman" w:hAnsi="Times New Roman" w:eastAsia="宋体"/>
                      <w:color w:val="auto"/>
                      <w:sz w:val="21"/>
                      <w:szCs w:val="21"/>
                      <w:highlight w:val="none"/>
                    </w:rPr>
                    <w:t>g/m</w:t>
                  </w:r>
                  <w:r>
                    <w:rPr>
                      <w:rFonts w:ascii="Times New Roman" w:hAnsi="Times New Roman" w:eastAsia="宋体"/>
                      <w:color w:val="auto"/>
                      <w:sz w:val="21"/>
                      <w:szCs w:val="21"/>
                      <w:highlight w:val="none"/>
                      <w:vertAlign w:val="superscript"/>
                    </w:rPr>
                    <w:t>3</w:t>
                  </w:r>
                </w:p>
              </w:tc>
              <w:tc>
                <w:tcPr>
                  <w:tcW w:w="3262"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eastAsia" w:ascii="Times New Roman" w:hAnsi="Times New Roman" w:cs="Times New Roman"/>
                      <w:b w:val="0"/>
                      <w:bCs/>
                      <w:color w:val="auto"/>
                      <w:kern w:val="2"/>
                      <w:sz w:val="21"/>
                      <w:szCs w:val="21"/>
                      <w:vertAlign w:val="baseline"/>
                      <w:lang w:val="en-US" w:eastAsia="zh-CN" w:bidi="ar-SA"/>
                    </w:rPr>
                    <w:t>未检出</w:t>
                  </w:r>
                </w:p>
              </w:tc>
              <w:tc>
                <w:tcPr>
                  <w:tcW w:w="1228" w:type="dxa"/>
                  <w:tcBorders>
                    <w:top w:val="single" w:color="auto" w:sz="4" w:space="0"/>
                    <w:left w:val="single" w:color="auto" w:sz="2" w:space="0"/>
                    <w:bottom w:val="single" w:color="auto" w:sz="4" w:space="0"/>
                    <w:right w:val="single" w:color="auto" w:sz="2" w:space="0"/>
                  </w:tcBorders>
                  <w:noWrap w:val="0"/>
                  <w:vAlign w:val="center"/>
                </w:tcPr>
                <w:p>
                  <w:pPr>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1001" w:type="dxa"/>
                  <w:vMerge w:val="continue"/>
                  <w:tcBorders>
                    <w:top w:val="single" w:color="auto" w:sz="4" w:space="0"/>
                    <w:left w:val="single" w:color="auto" w:sz="2" w:space="0"/>
                    <w:bottom w:val="single" w:color="auto" w:sz="4" w:space="0"/>
                  </w:tcBorders>
                  <w:noWrap w:val="0"/>
                  <w:vAlign w:val="center"/>
                </w:tcPr>
                <w:p>
                  <w:pPr>
                    <w:pStyle w:val="22"/>
                    <w:ind w:firstLine="0" w:firstLineChars="0"/>
                    <w:jc w:val="center"/>
                    <w:rPr>
                      <w:rFonts w:ascii="Times New Roman" w:hAnsi="Times New Roman" w:eastAsia="宋体" w:cs="Times New Roman"/>
                      <w:color w:val="auto"/>
                      <w:sz w:val="21"/>
                      <w:szCs w:val="21"/>
                      <w:highlight w:val="none"/>
                    </w:rPr>
                  </w:pPr>
                </w:p>
              </w:tc>
              <w:tc>
                <w:tcPr>
                  <w:tcW w:w="1382" w:type="dxa"/>
                  <w:tcBorders>
                    <w:top w:val="single" w:color="auto" w:sz="4" w:space="0"/>
                    <w:bottom w:val="single" w:color="auto" w:sz="4" w:space="0"/>
                  </w:tcBorders>
                  <w:noWrap w:val="0"/>
                  <w:vAlign w:val="center"/>
                </w:tcPr>
                <w:p>
                  <w:pPr>
                    <w:widowControl/>
                    <w:overflowPunct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第3天</w:t>
                  </w:r>
                </w:p>
              </w:tc>
              <w:tc>
                <w:tcPr>
                  <w:tcW w:w="1005" w:type="dxa"/>
                  <w:tcBorders>
                    <w:top w:val="single" w:color="auto" w:sz="4" w:space="0"/>
                    <w:bottom w:val="single" w:color="auto" w:sz="4" w:space="0"/>
                  </w:tcBorders>
                  <w:noWrap w:val="0"/>
                  <w:vAlign w:val="center"/>
                </w:tcPr>
                <w:p>
                  <w:pPr>
                    <w:widowControl/>
                    <w:overflowPunct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n</w:t>
                  </w:r>
                  <w:r>
                    <w:rPr>
                      <w:rFonts w:ascii="Times New Roman" w:hAnsi="Times New Roman" w:eastAsia="宋体"/>
                      <w:color w:val="auto"/>
                      <w:sz w:val="21"/>
                      <w:szCs w:val="21"/>
                      <w:highlight w:val="none"/>
                    </w:rPr>
                    <w:t>g/m</w:t>
                  </w:r>
                  <w:r>
                    <w:rPr>
                      <w:rFonts w:ascii="Times New Roman" w:hAnsi="Times New Roman" w:eastAsia="宋体"/>
                      <w:color w:val="auto"/>
                      <w:sz w:val="21"/>
                      <w:szCs w:val="21"/>
                      <w:highlight w:val="none"/>
                      <w:vertAlign w:val="superscript"/>
                    </w:rPr>
                    <w:t>3</w:t>
                  </w:r>
                </w:p>
              </w:tc>
              <w:tc>
                <w:tcPr>
                  <w:tcW w:w="3262"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eastAsia" w:ascii="Times New Roman" w:hAnsi="Times New Roman" w:cs="Times New Roman"/>
                      <w:b w:val="0"/>
                      <w:bCs/>
                      <w:color w:val="auto"/>
                      <w:kern w:val="2"/>
                      <w:sz w:val="21"/>
                      <w:szCs w:val="21"/>
                      <w:vertAlign w:val="baseline"/>
                      <w:lang w:val="en-US" w:eastAsia="zh-CN" w:bidi="ar-SA"/>
                    </w:rPr>
                    <w:t>未检出</w:t>
                  </w:r>
                </w:p>
              </w:tc>
              <w:tc>
                <w:tcPr>
                  <w:tcW w:w="1228" w:type="dxa"/>
                  <w:tcBorders>
                    <w:top w:val="single" w:color="auto" w:sz="4" w:space="0"/>
                    <w:left w:val="single" w:color="auto" w:sz="2" w:space="0"/>
                    <w:bottom w:val="single" w:color="auto" w:sz="4" w:space="0"/>
                    <w:right w:val="single" w:color="auto" w:sz="2" w:space="0"/>
                  </w:tcBorders>
                  <w:noWrap w:val="0"/>
                  <w:vAlign w:val="center"/>
                </w:tcPr>
                <w:p>
                  <w:pPr>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1001" w:type="dxa"/>
                  <w:vMerge w:val="continue"/>
                  <w:tcBorders>
                    <w:top w:val="single" w:color="auto" w:sz="4" w:space="0"/>
                    <w:left w:val="single" w:color="auto" w:sz="2" w:space="0"/>
                    <w:bottom w:val="single" w:color="auto" w:sz="4" w:space="0"/>
                  </w:tcBorders>
                  <w:noWrap w:val="0"/>
                  <w:vAlign w:val="center"/>
                </w:tcPr>
                <w:p>
                  <w:pPr>
                    <w:pStyle w:val="22"/>
                    <w:ind w:firstLine="0" w:firstLineChars="0"/>
                    <w:jc w:val="center"/>
                    <w:rPr>
                      <w:rFonts w:ascii="Times New Roman" w:hAnsi="Times New Roman" w:eastAsia="宋体" w:cs="Times New Roman"/>
                      <w:color w:val="auto"/>
                      <w:sz w:val="21"/>
                      <w:szCs w:val="21"/>
                      <w:highlight w:val="none"/>
                    </w:rPr>
                  </w:pPr>
                </w:p>
              </w:tc>
              <w:tc>
                <w:tcPr>
                  <w:tcW w:w="1382" w:type="dxa"/>
                  <w:tcBorders>
                    <w:top w:val="single" w:color="auto" w:sz="4" w:space="0"/>
                    <w:bottom w:val="single" w:color="auto" w:sz="4" w:space="0"/>
                  </w:tcBorders>
                  <w:noWrap w:val="0"/>
                  <w:vAlign w:val="center"/>
                </w:tcPr>
                <w:p>
                  <w:pPr>
                    <w:widowControl/>
                    <w:overflowPunct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第4天</w:t>
                  </w:r>
                </w:p>
              </w:tc>
              <w:tc>
                <w:tcPr>
                  <w:tcW w:w="1005" w:type="dxa"/>
                  <w:tcBorders>
                    <w:top w:val="single" w:color="auto" w:sz="4" w:space="0"/>
                    <w:bottom w:val="single" w:color="auto" w:sz="4" w:space="0"/>
                  </w:tcBorders>
                  <w:noWrap w:val="0"/>
                  <w:vAlign w:val="center"/>
                </w:tcPr>
                <w:p>
                  <w:pPr>
                    <w:widowControl/>
                    <w:overflowPunct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n</w:t>
                  </w:r>
                  <w:r>
                    <w:rPr>
                      <w:rFonts w:ascii="Times New Roman" w:hAnsi="Times New Roman" w:eastAsia="宋体"/>
                      <w:color w:val="auto"/>
                      <w:sz w:val="21"/>
                      <w:szCs w:val="21"/>
                      <w:highlight w:val="none"/>
                    </w:rPr>
                    <w:t>g/m</w:t>
                  </w:r>
                  <w:r>
                    <w:rPr>
                      <w:rFonts w:ascii="Times New Roman" w:hAnsi="Times New Roman" w:eastAsia="宋体"/>
                      <w:color w:val="auto"/>
                      <w:sz w:val="21"/>
                      <w:szCs w:val="21"/>
                      <w:highlight w:val="none"/>
                      <w:vertAlign w:val="superscript"/>
                    </w:rPr>
                    <w:t>3</w:t>
                  </w:r>
                </w:p>
              </w:tc>
              <w:tc>
                <w:tcPr>
                  <w:tcW w:w="3262"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eastAsia" w:ascii="Times New Roman" w:hAnsi="Times New Roman" w:cs="Times New Roman"/>
                      <w:b w:val="0"/>
                      <w:bCs/>
                      <w:color w:val="auto"/>
                      <w:kern w:val="2"/>
                      <w:sz w:val="21"/>
                      <w:szCs w:val="21"/>
                      <w:vertAlign w:val="baseline"/>
                      <w:lang w:val="en-US" w:eastAsia="zh-CN" w:bidi="ar-SA"/>
                    </w:rPr>
                    <w:t>未检出</w:t>
                  </w:r>
                </w:p>
              </w:tc>
              <w:tc>
                <w:tcPr>
                  <w:tcW w:w="1228" w:type="dxa"/>
                  <w:tcBorders>
                    <w:top w:val="single" w:color="auto" w:sz="4" w:space="0"/>
                    <w:left w:val="single" w:color="auto" w:sz="2" w:space="0"/>
                    <w:bottom w:val="single" w:color="auto" w:sz="4" w:space="0"/>
                    <w:right w:val="single" w:color="auto" w:sz="2" w:space="0"/>
                  </w:tcBorders>
                  <w:noWrap w:val="0"/>
                  <w:vAlign w:val="center"/>
                </w:tcPr>
                <w:p>
                  <w:pPr>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1001" w:type="dxa"/>
                  <w:vMerge w:val="continue"/>
                  <w:tcBorders>
                    <w:top w:val="single" w:color="auto" w:sz="4" w:space="0"/>
                    <w:left w:val="single" w:color="auto" w:sz="2" w:space="0"/>
                    <w:bottom w:val="single" w:color="auto" w:sz="4" w:space="0"/>
                  </w:tcBorders>
                  <w:noWrap w:val="0"/>
                  <w:vAlign w:val="center"/>
                </w:tcPr>
                <w:p>
                  <w:pPr>
                    <w:pStyle w:val="22"/>
                    <w:ind w:firstLine="0" w:firstLineChars="0"/>
                    <w:jc w:val="center"/>
                    <w:rPr>
                      <w:rFonts w:ascii="Times New Roman" w:hAnsi="Times New Roman" w:eastAsia="宋体" w:cs="Times New Roman"/>
                      <w:color w:val="auto"/>
                      <w:sz w:val="21"/>
                      <w:szCs w:val="21"/>
                      <w:highlight w:val="none"/>
                    </w:rPr>
                  </w:pPr>
                </w:p>
              </w:tc>
              <w:tc>
                <w:tcPr>
                  <w:tcW w:w="1382" w:type="dxa"/>
                  <w:tcBorders>
                    <w:top w:val="single" w:color="auto" w:sz="4" w:space="0"/>
                    <w:bottom w:val="single" w:color="auto" w:sz="4" w:space="0"/>
                  </w:tcBorders>
                  <w:noWrap w:val="0"/>
                  <w:vAlign w:val="center"/>
                </w:tcPr>
                <w:p>
                  <w:pPr>
                    <w:widowControl/>
                    <w:overflowPunct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第5天</w:t>
                  </w:r>
                </w:p>
              </w:tc>
              <w:tc>
                <w:tcPr>
                  <w:tcW w:w="1005" w:type="dxa"/>
                  <w:tcBorders>
                    <w:top w:val="single" w:color="auto" w:sz="4" w:space="0"/>
                    <w:bottom w:val="single" w:color="auto" w:sz="4" w:space="0"/>
                  </w:tcBorders>
                  <w:noWrap w:val="0"/>
                  <w:vAlign w:val="center"/>
                </w:tcPr>
                <w:p>
                  <w:pPr>
                    <w:widowControl/>
                    <w:overflowPunct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n</w:t>
                  </w:r>
                  <w:r>
                    <w:rPr>
                      <w:rFonts w:ascii="Times New Roman" w:hAnsi="Times New Roman" w:eastAsia="宋体"/>
                      <w:color w:val="auto"/>
                      <w:sz w:val="21"/>
                      <w:szCs w:val="21"/>
                      <w:highlight w:val="none"/>
                    </w:rPr>
                    <w:t>g/m</w:t>
                  </w:r>
                  <w:r>
                    <w:rPr>
                      <w:rFonts w:ascii="Times New Roman" w:hAnsi="Times New Roman" w:eastAsia="宋体"/>
                      <w:color w:val="auto"/>
                      <w:sz w:val="21"/>
                      <w:szCs w:val="21"/>
                      <w:highlight w:val="none"/>
                      <w:vertAlign w:val="superscript"/>
                    </w:rPr>
                    <w:t>3</w:t>
                  </w:r>
                </w:p>
              </w:tc>
              <w:tc>
                <w:tcPr>
                  <w:tcW w:w="3262"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eastAsia" w:ascii="Times New Roman" w:hAnsi="Times New Roman" w:cs="Times New Roman"/>
                      <w:b w:val="0"/>
                      <w:bCs/>
                      <w:color w:val="auto"/>
                      <w:kern w:val="2"/>
                      <w:sz w:val="21"/>
                      <w:szCs w:val="21"/>
                      <w:vertAlign w:val="baseline"/>
                      <w:lang w:val="en-US" w:eastAsia="zh-CN" w:bidi="ar-SA"/>
                    </w:rPr>
                    <w:t>未检出</w:t>
                  </w:r>
                </w:p>
              </w:tc>
              <w:tc>
                <w:tcPr>
                  <w:tcW w:w="1228" w:type="dxa"/>
                  <w:tcBorders>
                    <w:top w:val="single" w:color="auto" w:sz="4" w:space="0"/>
                    <w:left w:val="single" w:color="auto" w:sz="2" w:space="0"/>
                    <w:bottom w:val="single" w:color="auto" w:sz="4" w:space="0"/>
                    <w:right w:val="single" w:color="auto" w:sz="2" w:space="0"/>
                  </w:tcBorders>
                  <w:noWrap w:val="0"/>
                  <w:vAlign w:val="center"/>
                </w:tcPr>
                <w:p>
                  <w:pPr>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1001" w:type="dxa"/>
                  <w:vMerge w:val="continue"/>
                  <w:tcBorders>
                    <w:top w:val="single" w:color="auto" w:sz="4" w:space="0"/>
                    <w:left w:val="single" w:color="auto" w:sz="2" w:space="0"/>
                    <w:bottom w:val="single" w:color="auto" w:sz="4" w:space="0"/>
                  </w:tcBorders>
                  <w:noWrap w:val="0"/>
                  <w:vAlign w:val="center"/>
                </w:tcPr>
                <w:p>
                  <w:pPr>
                    <w:jc w:val="center"/>
                    <w:rPr>
                      <w:rFonts w:ascii="Times New Roman" w:hAnsi="Times New Roman" w:eastAsia="宋体"/>
                      <w:color w:val="auto"/>
                      <w:sz w:val="21"/>
                      <w:szCs w:val="21"/>
                      <w:highlight w:val="none"/>
                    </w:rPr>
                  </w:pPr>
                </w:p>
              </w:tc>
              <w:tc>
                <w:tcPr>
                  <w:tcW w:w="1382" w:type="dxa"/>
                  <w:tcBorders>
                    <w:top w:val="single" w:color="auto" w:sz="4" w:space="0"/>
                    <w:bottom w:val="single" w:color="auto" w:sz="4" w:space="0"/>
                  </w:tcBorders>
                  <w:noWrap w:val="0"/>
                  <w:vAlign w:val="center"/>
                </w:tcPr>
                <w:p>
                  <w:pPr>
                    <w:widowControl/>
                    <w:overflowPunct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第6天</w:t>
                  </w:r>
                </w:p>
              </w:tc>
              <w:tc>
                <w:tcPr>
                  <w:tcW w:w="1005" w:type="dxa"/>
                  <w:tcBorders>
                    <w:top w:val="single" w:color="auto" w:sz="4" w:space="0"/>
                    <w:bottom w:val="single" w:color="auto" w:sz="4" w:space="0"/>
                  </w:tcBorders>
                  <w:noWrap w:val="0"/>
                  <w:vAlign w:val="center"/>
                </w:tcPr>
                <w:p>
                  <w:pPr>
                    <w:widowControl/>
                    <w:overflowPunct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n</w:t>
                  </w:r>
                  <w:r>
                    <w:rPr>
                      <w:rFonts w:ascii="Times New Roman" w:hAnsi="Times New Roman" w:eastAsia="宋体"/>
                      <w:color w:val="auto"/>
                      <w:sz w:val="21"/>
                      <w:szCs w:val="21"/>
                      <w:highlight w:val="none"/>
                    </w:rPr>
                    <w:t>g/m</w:t>
                  </w:r>
                  <w:r>
                    <w:rPr>
                      <w:rFonts w:ascii="Times New Roman" w:hAnsi="Times New Roman" w:eastAsia="宋体"/>
                      <w:color w:val="auto"/>
                      <w:sz w:val="21"/>
                      <w:szCs w:val="21"/>
                      <w:highlight w:val="none"/>
                      <w:vertAlign w:val="superscript"/>
                    </w:rPr>
                    <w:t>3</w:t>
                  </w:r>
                </w:p>
              </w:tc>
              <w:tc>
                <w:tcPr>
                  <w:tcW w:w="3262"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eastAsia" w:ascii="Times New Roman" w:hAnsi="Times New Roman" w:cs="Times New Roman"/>
                      <w:b w:val="0"/>
                      <w:bCs/>
                      <w:color w:val="auto"/>
                      <w:kern w:val="2"/>
                      <w:sz w:val="21"/>
                      <w:szCs w:val="21"/>
                      <w:vertAlign w:val="baseline"/>
                      <w:lang w:val="en-US" w:eastAsia="zh-CN" w:bidi="ar-SA"/>
                    </w:rPr>
                    <w:t>未检出</w:t>
                  </w:r>
                </w:p>
              </w:tc>
              <w:tc>
                <w:tcPr>
                  <w:tcW w:w="1228" w:type="dxa"/>
                  <w:tcBorders>
                    <w:top w:val="single" w:color="auto" w:sz="4" w:space="0"/>
                    <w:left w:val="single" w:color="auto" w:sz="2" w:space="0"/>
                    <w:bottom w:val="single" w:color="auto" w:sz="4" w:space="0"/>
                    <w:right w:val="single" w:color="auto" w:sz="2" w:space="0"/>
                  </w:tcBorders>
                  <w:noWrap w:val="0"/>
                  <w:vAlign w:val="center"/>
                </w:tcPr>
                <w:p>
                  <w:pPr>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5" w:hRule="atLeast"/>
                <w:jc w:val="center"/>
              </w:trPr>
              <w:tc>
                <w:tcPr>
                  <w:tcW w:w="1001" w:type="dxa"/>
                  <w:vMerge w:val="continue"/>
                  <w:tcBorders>
                    <w:top w:val="single" w:color="auto" w:sz="4" w:space="0"/>
                    <w:left w:val="single" w:color="auto" w:sz="2" w:space="0"/>
                    <w:bottom w:val="single" w:color="auto" w:sz="2" w:space="0"/>
                  </w:tcBorders>
                  <w:noWrap w:val="0"/>
                  <w:vAlign w:val="center"/>
                </w:tcPr>
                <w:p>
                  <w:pPr>
                    <w:jc w:val="center"/>
                    <w:rPr>
                      <w:rFonts w:ascii="Times New Roman" w:hAnsi="Times New Roman" w:eastAsia="宋体"/>
                      <w:color w:val="auto"/>
                      <w:sz w:val="21"/>
                      <w:szCs w:val="21"/>
                      <w:highlight w:val="none"/>
                    </w:rPr>
                  </w:pPr>
                </w:p>
              </w:tc>
              <w:tc>
                <w:tcPr>
                  <w:tcW w:w="1382" w:type="dxa"/>
                  <w:tcBorders>
                    <w:top w:val="single" w:color="auto" w:sz="4" w:space="0"/>
                    <w:bottom w:val="single" w:color="auto" w:sz="2" w:space="0"/>
                  </w:tcBorders>
                  <w:noWrap w:val="0"/>
                  <w:vAlign w:val="center"/>
                </w:tcPr>
                <w:p>
                  <w:pPr>
                    <w:widowControl/>
                    <w:overflowPunct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第7天</w:t>
                  </w:r>
                </w:p>
              </w:tc>
              <w:tc>
                <w:tcPr>
                  <w:tcW w:w="1005" w:type="dxa"/>
                  <w:tcBorders>
                    <w:top w:val="single" w:color="auto" w:sz="4" w:space="0"/>
                    <w:bottom w:val="single" w:color="auto" w:sz="2" w:space="0"/>
                  </w:tcBorders>
                  <w:noWrap w:val="0"/>
                  <w:vAlign w:val="center"/>
                </w:tcPr>
                <w:p>
                  <w:pPr>
                    <w:widowControl/>
                    <w:overflowPunct w:val="0"/>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lang w:val="en-US" w:eastAsia="zh-CN"/>
                    </w:rPr>
                    <w:t>n</w:t>
                  </w:r>
                  <w:r>
                    <w:rPr>
                      <w:rFonts w:ascii="Times New Roman" w:hAnsi="Times New Roman" w:eastAsia="宋体"/>
                      <w:color w:val="auto"/>
                      <w:sz w:val="21"/>
                      <w:szCs w:val="21"/>
                      <w:highlight w:val="none"/>
                    </w:rPr>
                    <w:t>g/m</w:t>
                  </w:r>
                  <w:r>
                    <w:rPr>
                      <w:rFonts w:ascii="Times New Roman" w:hAnsi="Times New Roman" w:eastAsia="宋体"/>
                      <w:color w:val="auto"/>
                      <w:sz w:val="21"/>
                      <w:szCs w:val="21"/>
                      <w:highlight w:val="none"/>
                      <w:vertAlign w:val="superscript"/>
                    </w:rPr>
                    <w:t>3</w:t>
                  </w:r>
                </w:p>
              </w:tc>
              <w:tc>
                <w:tcPr>
                  <w:tcW w:w="3262" w:type="dxa"/>
                  <w:tcBorders>
                    <w:top w:val="single" w:color="auto" w:sz="4" w:space="0"/>
                    <w:bottom w:val="single" w:color="auto" w:sz="2"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eastAsia" w:ascii="Times New Roman" w:hAnsi="Times New Roman" w:cs="Times New Roman"/>
                      <w:b w:val="0"/>
                      <w:bCs/>
                      <w:color w:val="auto"/>
                      <w:kern w:val="2"/>
                      <w:sz w:val="21"/>
                      <w:szCs w:val="21"/>
                      <w:vertAlign w:val="baseline"/>
                      <w:lang w:val="en-US" w:eastAsia="zh-CN" w:bidi="ar-SA"/>
                    </w:rPr>
                    <w:t>未检出</w:t>
                  </w:r>
                </w:p>
              </w:tc>
              <w:tc>
                <w:tcPr>
                  <w:tcW w:w="1228" w:type="dxa"/>
                  <w:tcBorders>
                    <w:top w:val="single" w:color="auto" w:sz="4" w:space="0"/>
                    <w:left w:val="single" w:color="auto" w:sz="2" w:space="0"/>
                    <w:bottom w:val="single" w:color="auto" w:sz="2" w:space="0"/>
                    <w:right w:val="single" w:color="auto" w:sz="2" w:space="0"/>
                  </w:tcBorders>
                  <w:noWrap w:val="0"/>
                  <w:vAlign w:val="center"/>
                </w:tcPr>
                <w:p>
                  <w:pPr>
                    <w:adjustRightInd w:val="0"/>
                    <w:snapToGrid w:val="0"/>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达标</w:t>
                  </w:r>
                </w:p>
              </w:tc>
            </w:tr>
          </w:tbl>
          <w:tbl>
            <w:tblPr>
              <w:tblStyle w:val="11"/>
              <w:tblpPr w:leftFromText="180" w:rightFromText="180" w:vertAnchor="text" w:horzAnchor="page" w:tblpX="59" w:tblpY="502"/>
              <w:tblOverlap w:val="never"/>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63"/>
              <w:gridCol w:w="1546"/>
              <w:gridCol w:w="1639"/>
              <w:gridCol w:w="1144"/>
              <w:gridCol w:w="1423"/>
              <w:gridCol w:w="10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6" w:hRule="atLeast"/>
                <w:tblHeader/>
              </w:trPr>
              <w:tc>
                <w:tcPr>
                  <w:tcW w:w="1063" w:type="dxa"/>
                  <w:vMerge w:val="restart"/>
                  <w:tcBorders>
                    <w:top w:val="single" w:color="auto" w:sz="2" w:space="0"/>
                    <w:left w:val="single" w:color="auto" w:sz="2" w:space="0"/>
                    <w:bottom w:val="single" w:color="auto" w:sz="4" w:space="0"/>
                  </w:tcBorders>
                  <w:noWrap w:val="0"/>
                  <w:vAlign w:val="center"/>
                </w:tcPr>
                <w:p>
                  <w:pPr>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监测点位</w:t>
                  </w:r>
                </w:p>
              </w:tc>
              <w:tc>
                <w:tcPr>
                  <w:tcW w:w="1546" w:type="dxa"/>
                  <w:vMerge w:val="restart"/>
                  <w:tcBorders>
                    <w:top w:val="single" w:color="auto" w:sz="2" w:space="0"/>
                    <w:bottom w:val="single" w:color="auto" w:sz="4" w:space="0"/>
                  </w:tcBorders>
                  <w:noWrap w:val="0"/>
                  <w:vAlign w:val="center"/>
                </w:tcPr>
                <w:p>
                  <w:pPr>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监测时间</w:t>
                  </w:r>
                </w:p>
              </w:tc>
              <w:tc>
                <w:tcPr>
                  <w:tcW w:w="5269" w:type="dxa"/>
                  <w:gridSpan w:val="4"/>
                  <w:tcBorders>
                    <w:top w:val="single" w:color="auto" w:sz="2" w:space="0"/>
                    <w:bottom w:val="single" w:color="auto" w:sz="4" w:space="0"/>
                    <w:right w:val="single" w:color="auto" w:sz="2" w:space="0"/>
                  </w:tcBorders>
                  <w:noWrap w:val="0"/>
                  <w:vAlign w:val="center"/>
                </w:tcPr>
                <w:p>
                  <w:pPr>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监测</w:t>
                  </w:r>
                  <w:r>
                    <w:rPr>
                      <w:rFonts w:hint="eastAsia" w:ascii="Times New Roman" w:hAnsi="Times New Roman" w:eastAsia="宋体"/>
                      <w:color w:val="auto"/>
                      <w:sz w:val="21"/>
                      <w:szCs w:val="21"/>
                      <w:highlight w:val="none"/>
                      <w:lang w:eastAsia="zh-CN"/>
                    </w:rPr>
                    <w:t>数据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1" w:hRule="atLeast"/>
                <w:tblHeader/>
              </w:trPr>
              <w:tc>
                <w:tcPr>
                  <w:tcW w:w="1063" w:type="dxa"/>
                  <w:vMerge w:val="continue"/>
                  <w:tcBorders>
                    <w:top w:val="single" w:color="auto" w:sz="4" w:space="0"/>
                    <w:left w:val="single" w:color="auto" w:sz="2" w:space="0"/>
                    <w:bottom w:val="single" w:color="auto" w:sz="4" w:space="0"/>
                  </w:tcBorders>
                  <w:noWrap w:val="0"/>
                  <w:vAlign w:val="center"/>
                </w:tcPr>
                <w:p>
                  <w:pPr>
                    <w:jc w:val="center"/>
                    <w:rPr>
                      <w:rFonts w:ascii="Times New Roman" w:hAnsi="Times New Roman" w:eastAsia="宋体"/>
                      <w:color w:val="auto"/>
                      <w:sz w:val="21"/>
                      <w:szCs w:val="21"/>
                      <w:highlight w:val="none"/>
                    </w:rPr>
                  </w:pPr>
                </w:p>
              </w:tc>
              <w:tc>
                <w:tcPr>
                  <w:tcW w:w="1546" w:type="dxa"/>
                  <w:vMerge w:val="continue"/>
                  <w:tcBorders>
                    <w:top w:val="single" w:color="auto" w:sz="4" w:space="0"/>
                    <w:bottom w:val="single" w:color="auto" w:sz="4" w:space="0"/>
                  </w:tcBorders>
                  <w:noWrap w:val="0"/>
                  <w:vAlign w:val="center"/>
                </w:tcPr>
                <w:p>
                  <w:pPr>
                    <w:jc w:val="center"/>
                    <w:rPr>
                      <w:rFonts w:ascii="Times New Roman" w:hAnsi="Times New Roman" w:eastAsia="宋体"/>
                      <w:color w:val="auto"/>
                      <w:sz w:val="21"/>
                      <w:szCs w:val="21"/>
                      <w:highlight w:val="none"/>
                    </w:rPr>
                  </w:pPr>
                </w:p>
              </w:tc>
              <w:tc>
                <w:tcPr>
                  <w:tcW w:w="1639" w:type="dxa"/>
                  <w:tcBorders>
                    <w:top w:val="single" w:color="auto" w:sz="4" w:space="0"/>
                    <w:bottom w:val="single" w:color="auto" w:sz="4" w:space="0"/>
                    <w:right w:val="single" w:color="auto" w:sz="2" w:space="0"/>
                  </w:tcBorders>
                  <w:noWrap w:val="0"/>
                  <w:vAlign w:val="center"/>
                </w:tcPr>
                <w:p>
                  <w:pPr>
                    <w:overflowPunct w:val="0"/>
                    <w:adjustRightInd w:val="0"/>
                    <w:snapToGrid w:val="0"/>
                    <w:jc w:val="center"/>
                    <w:rPr>
                      <w:rFonts w:hint="eastAsia" w:ascii="Times New Roman" w:hAnsi="Times New Roman" w:eastAsia="宋体"/>
                      <w:color w:val="auto"/>
                      <w:sz w:val="21"/>
                      <w:szCs w:val="21"/>
                      <w:highlight w:val="none"/>
                      <w:lang w:eastAsia="zh-CN"/>
                    </w:rPr>
                  </w:pPr>
                  <w:r>
                    <w:rPr>
                      <w:rFonts w:hint="eastAsia" w:ascii="Times New Roman" w:hAnsi="Times New Roman" w:eastAsia="宋体"/>
                      <w:color w:val="auto"/>
                      <w:sz w:val="21"/>
                      <w:szCs w:val="21"/>
                      <w:highlight w:val="none"/>
                      <w:lang w:eastAsia="zh-CN"/>
                    </w:rPr>
                    <w:t>总悬浮颗粒物</w:t>
                  </w:r>
                </w:p>
              </w:tc>
              <w:tc>
                <w:tcPr>
                  <w:tcW w:w="1144" w:type="dxa"/>
                  <w:tcBorders>
                    <w:top w:val="single" w:color="auto" w:sz="4" w:space="0"/>
                    <w:left w:val="single" w:color="auto" w:sz="2" w:space="0"/>
                    <w:bottom w:val="single" w:color="auto" w:sz="4" w:space="0"/>
                    <w:right w:val="single" w:color="auto" w:sz="2" w:space="0"/>
                  </w:tcBorders>
                  <w:noWrap w:val="0"/>
                  <w:vAlign w:val="center"/>
                </w:tcPr>
                <w:p>
                  <w:pPr>
                    <w:overflowPunct w:val="0"/>
                    <w:adjustRightInd w:val="0"/>
                    <w:snapToGrid w:val="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Pi值</w:t>
                  </w:r>
                </w:p>
              </w:tc>
              <w:tc>
                <w:tcPr>
                  <w:tcW w:w="1423" w:type="dxa"/>
                  <w:tcBorders>
                    <w:top w:val="single" w:color="auto" w:sz="4" w:space="0"/>
                    <w:left w:val="single" w:color="auto" w:sz="2" w:space="0"/>
                    <w:bottom w:val="single" w:color="auto" w:sz="4" w:space="0"/>
                    <w:right w:val="single" w:color="auto" w:sz="2" w:space="0"/>
                  </w:tcBorders>
                  <w:noWrap w:val="0"/>
                  <w:vAlign w:val="center"/>
                </w:tcPr>
                <w:p>
                  <w:pPr>
                    <w:overflowPunct w:val="0"/>
                    <w:adjustRightInd w:val="0"/>
                    <w:snapToGrid w:val="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TVOC</w:t>
                  </w:r>
                </w:p>
              </w:tc>
              <w:tc>
                <w:tcPr>
                  <w:tcW w:w="1063" w:type="dxa"/>
                  <w:tcBorders>
                    <w:top w:val="single" w:color="auto" w:sz="4" w:space="0"/>
                    <w:left w:val="single" w:color="auto" w:sz="2" w:space="0"/>
                    <w:bottom w:val="single" w:color="auto" w:sz="4" w:space="0"/>
                    <w:right w:val="single" w:color="auto" w:sz="2" w:space="0"/>
                  </w:tcBorders>
                  <w:noWrap w:val="0"/>
                  <w:vAlign w:val="center"/>
                </w:tcPr>
                <w:p>
                  <w:pPr>
                    <w:overflowPunct w:val="0"/>
                    <w:adjustRightInd w:val="0"/>
                    <w:snapToGrid w:val="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Pi值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1" w:hRule="atLeast"/>
                <w:tblHeader/>
              </w:trPr>
              <w:tc>
                <w:tcPr>
                  <w:tcW w:w="1063" w:type="dxa"/>
                  <w:vMerge w:val="continue"/>
                  <w:tcBorders>
                    <w:top w:val="single" w:color="auto" w:sz="4" w:space="0"/>
                    <w:left w:val="single" w:color="auto" w:sz="2" w:space="0"/>
                    <w:bottom w:val="single" w:color="auto" w:sz="4" w:space="0"/>
                  </w:tcBorders>
                  <w:noWrap w:val="0"/>
                  <w:vAlign w:val="center"/>
                </w:tcPr>
                <w:p>
                  <w:pPr>
                    <w:jc w:val="center"/>
                    <w:rPr>
                      <w:rFonts w:ascii="Times New Roman" w:hAnsi="Times New Roman" w:eastAsia="宋体"/>
                      <w:color w:val="auto"/>
                      <w:sz w:val="21"/>
                      <w:szCs w:val="21"/>
                      <w:highlight w:val="none"/>
                    </w:rPr>
                  </w:pPr>
                </w:p>
              </w:tc>
              <w:tc>
                <w:tcPr>
                  <w:tcW w:w="1546" w:type="dxa"/>
                  <w:vMerge w:val="continue"/>
                  <w:tcBorders>
                    <w:top w:val="single" w:color="auto" w:sz="4" w:space="0"/>
                    <w:bottom w:val="single" w:color="auto" w:sz="4" w:space="0"/>
                  </w:tcBorders>
                  <w:noWrap w:val="0"/>
                  <w:vAlign w:val="center"/>
                </w:tcPr>
                <w:p>
                  <w:pPr>
                    <w:jc w:val="center"/>
                    <w:rPr>
                      <w:rFonts w:ascii="Times New Roman" w:hAnsi="Times New Roman" w:eastAsia="宋体"/>
                      <w:color w:val="auto"/>
                      <w:sz w:val="21"/>
                      <w:szCs w:val="21"/>
                      <w:highlight w:val="none"/>
                    </w:rPr>
                  </w:pPr>
                </w:p>
              </w:tc>
              <w:tc>
                <w:tcPr>
                  <w:tcW w:w="1639" w:type="dxa"/>
                  <w:tcBorders>
                    <w:top w:val="single" w:color="auto" w:sz="4" w:space="0"/>
                    <w:bottom w:val="single" w:color="auto" w:sz="4" w:space="0"/>
                    <w:right w:val="single" w:color="auto" w:sz="2" w:space="0"/>
                  </w:tcBorders>
                  <w:noWrap w:val="0"/>
                  <w:vAlign w:val="center"/>
                </w:tcPr>
                <w:p>
                  <w:pPr>
                    <w:jc w:val="center"/>
                    <w:rPr>
                      <w:rFonts w:ascii="Times New Roman" w:hAnsi="Times New Roman" w:eastAsia="宋体"/>
                      <w:b/>
                      <w:bCs/>
                      <w:color w:val="auto"/>
                      <w:sz w:val="21"/>
                      <w:szCs w:val="21"/>
                      <w:highlight w:val="none"/>
                    </w:rPr>
                  </w:pPr>
                  <w:r>
                    <w:rPr>
                      <w:rFonts w:hint="eastAsia" w:ascii="Times New Roman" w:hAnsi="Times New Roman" w:eastAsia="宋体"/>
                      <w:color w:val="auto"/>
                      <w:sz w:val="21"/>
                      <w:szCs w:val="21"/>
                      <w:highlight w:val="none"/>
                      <w:lang w:val="en-US" w:eastAsia="zh-CN"/>
                    </w:rPr>
                    <w:t>m</w:t>
                  </w:r>
                  <w:r>
                    <w:rPr>
                      <w:rFonts w:ascii="Times New Roman" w:hAnsi="Times New Roman" w:eastAsia="宋体"/>
                      <w:color w:val="auto"/>
                      <w:sz w:val="21"/>
                      <w:szCs w:val="21"/>
                      <w:highlight w:val="none"/>
                    </w:rPr>
                    <w:t>g/m</w:t>
                  </w:r>
                  <w:r>
                    <w:rPr>
                      <w:rFonts w:ascii="Times New Roman" w:hAnsi="Times New Roman" w:eastAsia="宋体"/>
                      <w:color w:val="auto"/>
                      <w:sz w:val="21"/>
                      <w:szCs w:val="21"/>
                      <w:highlight w:val="none"/>
                      <w:vertAlign w:val="superscript"/>
                    </w:rPr>
                    <w:t>3</w:t>
                  </w:r>
                </w:p>
              </w:tc>
              <w:tc>
                <w:tcPr>
                  <w:tcW w:w="1144" w:type="dxa"/>
                  <w:tcBorders>
                    <w:top w:val="single" w:color="auto" w:sz="4" w:space="0"/>
                    <w:left w:val="single" w:color="auto" w:sz="2" w:space="0"/>
                    <w:bottom w:val="single" w:color="auto" w:sz="4" w:space="0"/>
                    <w:right w:val="single" w:color="auto" w:sz="2" w:space="0"/>
                  </w:tcBorders>
                  <w:noWrap w:val="0"/>
                  <w:vAlign w:val="center"/>
                </w:tcPr>
                <w:p>
                  <w:pPr>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c>
                <w:tcPr>
                  <w:tcW w:w="1423" w:type="dxa"/>
                  <w:tcBorders>
                    <w:top w:val="single" w:color="auto" w:sz="4" w:space="0"/>
                    <w:left w:val="single" w:color="auto" w:sz="2" w:space="0"/>
                    <w:bottom w:val="single" w:color="auto" w:sz="4" w:space="0"/>
                    <w:right w:val="single" w:color="auto" w:sz="2" w:space="0"/>
                  </w:tcBorders>
                  <w:noWrap w:val="0"/>
                  <w:vAlign w:val="center"/>
                </w:tcPr>
                <w:p>
                  <w:pPr>
                    <w:jc w:val="center"/>
                    <w:rPr>
                      <w:rFonts w:ascii="Times New Roman" w:hAnsi="Times New Roman" w:eastAsia="宋体"/>
                      <w:b/>
                      <w:bCs/>
                      <w:color w:val="auto"/>
                      <w:sz w:val="21"/>
                      <w:szCs w:val="21"/>
                      <w:highlight w:val="none"/>
                    </w:rPr>
                  </w:pPr>
                  <w:r>
                    <w:rPr>
                      <w:rFonts w:hint="default" w:ascii="Times New Roman" w:hAnsi="Times New Roman" w:cs="Times New Roman"/>
                      <w:b/>
                      <w:bCs w:val="0"/>
                      <w:color w:val="auto"/>
                      <w:sz w:val="21"/>
                      <w:szCs w:val="21"/>
                      <w:lang w:val="en-US" w:eastAsia="zh-CN"/>
                    </w:rPr>
                    <w:t>μ</w:t>
                  </w:r>
                  <w:r>
                    <w:rPr>
                      <w:rFonts w:hint="default" w:ascii="Times New Roman" w:hAnsi="Times New Roman" w:eastAsia="宋体" w:cs="Times New Roman"/>
                      <w:b/>
                      <w:bCs w:val="0"/>
                      <w:color w:val="auto"/>
                      <w:sz w:val="21"/>
                      <w:szCs w:val="21"/>
                      <w:lang w:val="en-US" w:eastAsia="zh-CN"/>
                    </w:rPr>
                    <w:t>g</w:t>
                  </w:r>
                  <w:r>
                    <w:rPr>
                      <w:rFonts w:ascii="Times New Roman" w:hAnsi="Times New Roman" w:eastAsia="宋体"/>
                      <w:color w:val="auto"/>
                      <w:sz w:val="21"/>
                      <w:szCs w:val="21"/>
                      <w:highlight w:val="none"/>
                    </w:rPr>
                    <w:t>/m</w:t>
                  </w:r>
                  <w:r>
                    <w:rPr>
                      <w:rFonts w:ascii="Times New Roman" w:hAnsi="Times New Roman" w:eastAsia="宋体"/>
                      <w:color w:val="auto"/>
                      <w:sz w:val="21"/>
                      <w:szCs w:val="21"/>
                      <w:highlight w:val="none"/>
                      <w:vertAlign w:val="superscript"/>
                    </w:rPr>
                    <w:t>3</w:t>
                  </w:r>
                </w:p>
              </w:tc>
              <w:tc>
                <w:tcPr>
                  <w:tcW w:w="1063" w:type="dxa"/>
                  <w:tcBorders>
                    <w:top w:val="single" w:color="auto" w:sz="4" w:space="0"/>
                    <w:left w:val="single" w:color="auto" w:sz="2" w:space="0"/>
                    <w:bottom w:val="single" w:color="auto" w:sz="4" w:space="0"/>
                    <w:right w:val="single" w:color="auto" w:sz="2" w:space="0"/>
                  </w:tcBorders>
                  <w:noWrap w:val="0"/>
                  <w:vAlign w:val="center"/>
                </w:tcPr>
                <w:p>
                  <w:pPr>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063" w:type="dxa"/>
                  <w:vMerge w:val="restart"/>
                  <w:tcBorders>
                    <w:top w:val="single" w:color="auto" w:sz="4" w:space="0"/>
                    <w:left w:val="single" w:color="auto" w:sz="2" w:space="0"/>
                    <w:bottom w:val="single" w:color="auto" w:sz="4" w:space="0"/>
                  </w:tcBorders>
                  <w:noWrap w:val="0"/>
                  <w:vAlign w:val="center"/>
                </w:tcPr>
                <w:p>
                  <w:pPr>
                    <w:jc w:val="center"/>
                    <w:rPr>
                      <w:rFonts w:ascii="Times New Roman" w:hAnsi="Times New Roman" w:eastAsia="宋体"/>
                      <w:color w:val="auto"/>
                      <w:sz w:val="21"/>
                      <w:szCs w:val="21"/>
                      <w:highlight w:val="none"/>
                    </w:rPr>
                  </w:pPr>
                  <w:r>
                    <w:rPr>
                      <w:rFonts w:hint="default" w:ascii="Times New Roman" w:hAnsi="Times New Roman" w:eastAsia="宋体" w:cs="Times New Roman"/>
                      <w:b w:val="0"/>
                      <w:bCs/>
                      <w:color w:val="auto"/>
                      <w:kern w:val="2"/>
                      <w:sz w:val="21"/>
                      <w:szCs w:val="21"/>
                      <w:vertAlign w:val="baseline"/>
                      <w:lang w:val="en-US" w:eastAsia="zh-CN" w:bidi="ar-SA"/>
                    </w:rPr>
                    <w:fldChar w:fldCharType="begin"/>
                  </w:r>
                  <w:r>
                    <w:rPr>
                      <w:rFonts w:hint="default" w:ascii="Times New Roman" w:hAnsi="Times New Roman" w:eastAsia="宋体" w:cs="Times New Roman"/>
                      <w:b w:val="0"/>
                      <w:bCs/>
                      <w:color w:val="auto"/>
                      <w:kern w:val="2"/>
                      <w:sz w:val="21"/>
                      <w:szCs w:val="21"/>
                      <w:vertAlign w:val="baseline"/>
                      <w:lang w:val="en-US" w:eastAsia="zh-CN" w:bidi="ar-SA"/>
                    </w:rPr>
                    <w:instrText xml:space="preserve"> REF 环境空气1 \h \* MERGEFORMAT</w:instrText>
                  </w:r>
                  <w:r>
                    <w:rPr>
                      <w:rFonts w:hint="default" w:ascii="Times New Roman" w:hAnsi="Times New Roman" w:eastAsia="宋体" w:cs="Times New Roman"/>
                      <w:b w:val="0"/>
                      <w:bCs/>
                      <w:color w:val="auto"/>
                      <w:kern w:val="2"/>
                      <w:sz w:val="21"/>
                      <w:szCs w:val="21"/>
                      <w:vertAlign w:val="baseline"/>
                      <w:lang w:val="en-US" w:eastAsia="zh-CN" w:bidi="ar-SA"/>
                    </w:rPr>
                    <w:fldChar w:fldCharType="separate"/>
                  </w:r>
                  <w:r>
                    <w:rPr>
                      <w:rFonts w:hint="default" w:ascii="Times New Roman" w:hAnsi="Times New Roman" w:eastAsia="宋体" w:cs="Times New Roman"/>
                      <w:b w:val="0"/>
                      <w:bCs/>
                      <w:color w:val="auto"/>
                      <w:kern w:val="2"/>
                      <w:sz w:val="21"/>
                      <w:szCs w:val="21"/>
                      <w:vertAlign w:val="baseline"/>
                      <w:lang w:val="en-US" w:eastAsia="zh-CN" w:bidi="ar-SA"/>
                    </w:rPr>
                    <w:t>1# 拟建热拌站厂址中心</w:t>
                  </w:r>
                  <w:r>
                    <w:rPr>
                      <w:rFonts w:hint="default" w:ascii="Times New Roman" w:hAnsi="Times New Roman" w:eastAsia="宋体" w:cs="Times New Roman"/>
                      <w:b w:val="0"/>
                      <w:bCs/>
                      <w:color w:val="auto"/>
                      <w:kern w:val="2"/>
                      <w:sz w:val="21"/>
                      <w:szCs w:val="21"/>
                      <w:vertAlign w:val="baseline"/>
                      <w:lang w:val="en-US" w:eastAsia="zh-CN" w:bidi="ar-SA"/>
                    </w:rPr>
                    <w:fldChar w:fldCharType="end"/>
                  </w:r>
                </w:p>
              </w:tc>
              <w:tc>
                <w:tcPr>
                  <w:tcW w:w="154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default" w:ascii="Times New Roman" w:hAnsi="Times New Roman" w:cs="Times New Roman"/>
                      <w:b w:val="0"/>
                      <w:bCs/>
                      <w:color w:val="auto"/>
                      <w:kern w:val="2"/>
                      <w:sz w:val="21"/>
                      <w:szCs w:val="21"/>
                      <w:vertAlign w:val="baseline"/>
                      <w:lang w:val="en-US" w:eastAsia="zh-CN" w:bidi="ar-SA"/>
                    </w:rPr>
                    <w:t>7月1日</w:t>
                  </w:r>
                </w:p>
              </w:tc>
              <w:tc>
                <w:tcPr>
                  <w:tcW w:w="1639"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s="Times New Roman"/>
                      <w:b w:val="0"/>
                      <w:bCs/>
                      <w:color w:val="auto"/>
                      <w:kern w:val="2"/>
                      <w:sz w:val="21"/>
                      <w:szCs w:val="21"/>
                      <w:vertAlign w:val="baseline"/>
                      <w:lang w:val="en-US" w:eastAsia="zh-CN" w:bidi="ar-SA"/>
                    </w:rPr>
                    <w:t>0.097</w:t>
                  </w:r>
                </w:p>
              </w:tc>
              <w:tc>
                <w:tcPr>
                  <w:tcW w:w="1144"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0.32 </w:t>
                  </w:r>
                </w:p>
              </w:tc>
              <w:tc>
                <w:tcPr>
                  <w:tcW w:w="142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s="Times New Roman"/>
                      <w:b w:val="0"/>
                      <w:bCs/>
                      <w:color w:val="auto"/>
                      <w:kern w:val="2"/>
                      <w:sz w:val="21"/>
                      <w:szCs w:val="21"/>
                      <w:vertAlign w:val="baseline"/>
                      <w:lang w:val="en-US" w:eastAsia="zh-CN" w:bidi="ar-SA"/>
                    </w:rPr>
                    <w:t>34.0</w:t>
                  </w:r>
                </w:p>
              </w:tc>
              <w:tc>
                <w:tcPr>
                  <w:tcW w:w="106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0.06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063" w:type="dxa"/>
                  <w:vMerge w:val="continue"/>
                  <w:tcBorders>
                    <w:top w:val="single" w:color="auto" w:sz="4" w:space="0"/>
                    <w:left w:val="single" w:color="auto" w:sz="2" w:space="0"/>
                    <w:bottom w:val="single" w:color="auto" w:sz="4" w:space="0"/>
                  </w:tcBorders>
                  <w:noWrap w:val="0"/>
                  <w:vAlign w:val="center"/>
                </w:tcPr>
                <w:p>
                  <w:pPr>
                    <w:pStyle w:val="22"/>
                    <w:ind w:firstLine="0" w:firstLineChars="0"/>
                    <w:jc w:val="center"/>
                    <w:rPr>
                      <w:rFonts w:ascii="Times New Roman" w:hAnsi="Times New Roman" w:eastAsia="宋体" w:cs="Times New Roman"/>
                      <w:color w:val="auto"/>
                      <w:sz w:val="21"/>
                      <w:szCs w:val="21"/>
                      <w:highlight w:val="none"/>
                    </w:rPr>
                  </w:pPr>
                </w:p>
              </w:tc>
              <w:tc>
                <w:tcPr>
                  <w:tcW w:w="154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default" w:ascii="Times New Roman" w:hAnsi="Times New Roman" w:cs="Times New Roman"/>
                      <w:b w:val="0"/>
                      <w:bCs/>
                      <w:color w:val="auto"/>
                      <w:kern w:val="2"/>
                      <w:sz w:val="21"/>
                      <w:szCs w:val="21"/>
                      <w:vertAlign w:val="baseline"/>
                      <w:lang w:val="en-US" w:eastAsia="zh-CN" w:bidi="ar-SA"/>
                    </w:rPr>
                    <w:t>7月2日</w:t>
                  </w:r>
                </w:p>
              </w:tc>
              <w:tc>
                <w:tcPr>
                  <w:tcW w:w="1639"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s="Times New Roman"/>
                      <w:b w:val="0"/>
                      <w:bCs/>
                      <w:color w:val="auto"/>
                      <w:kern w:val="2"/>
                      <w:sz w:val="21"/>
                      <w:szCs w:val="21"/>
                      <w:vertAlign w:val="baseline"/>
                      <w:lang w:val="en-US" w:eastAsia="zh-CN" w:bidi="ar-SA"/>
                    </w:rPr>
                    <w:t>0.092</w:t>
                  </w:r>
                </w:p>
              </w:tc>
              <w:tc>
                <w:tcPr>
                  <w:tcW w:w="1144"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0.31 </w:t>
                  </w:r>
                </w:p>
              </w:tc>
              <w:tc>
                <w:tcPr>
                  <w:tcW w:w="142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rPr>
                  </w:pPr>
                  <w:r>
                    <w:rPr>
                      <w:rFonts w:hint="eastAsia" w:ascii="Times New Roman" w:hAnsi="Times New Roman" w:cs="Times New Roman"/>
                      <w:b w:val="0"/>
                      <w:bCs/>
                      <w:color w:val="auto"/>
                      <w:kern w:val="2"/>
                      <w:sz w:val="21"/>
                      <w:szCs w:val="21"/>
                      <w:vertAlign w:val="baseline"/>
                      <w:lang w:val="en-US" w:eastAsia="zh-CN" w:bidi="ar-SA"/>
                    </w:rPr>
                    <w:t>49.7</w:t>
                  </w:r>
                </w:p>
              </w:tc>
              <w:tc>
                <w:tcPr>
                  <w:tcW w:w="106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063" w:type="dxa"/>
                  <w:vMerge w:val="continue"/>
                  <w:tcBorders>
                    <w:top w:val="single" w:color="auto" w:sz="4" w:space="0"/>
                    <w:left w:val="single" w:color="auto" w:sz="2" w:space="0"/>
                    <w:bottom w:val="single" w:color="auto" w:sz="4" w:space="0"/>
                  </w:tcBorders>
                  <w:noWrap w:val="0"/>
                  <w:vAlign w:val="center"/>
                </w:tcPr>
                <w:p>
                  <w:pPr>
                    <w:pStyle w:val="22"/>
                    <w:ind w:firstLine="0" w:firstLineChars="0"/>
                    <w:jc w:val="center"/>
                    <w:rPr>
                      <w:rFonts w:ascii="Times New Roman" w:hAnsi="Times New Roman" w:eastAsia="宋体" w:cs="Times New Roman"/>
                      <w:color w:val="auto"/>
                      <w:sz w:val="21"/>
                      <w:szCs w:val="21"/>
                      <w:highlight w:val="none"/>
                    </w:rPr>
                  </w:pPr>
                </w:p>
              </w:tc>
              <w:tc>
                <w:tcPr>
                  <w:tcW w:w="154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default" w:ascii="Times New Roman" w:hAnsi="Times New Roman" w:cs="Times New Roman"/>
                      <w:b w:val="0"/>
                      <w:bCs/>
                      <w:color w:val="auto"/>
                      <w:kern w:val="2"/>
                      <w:sz w:val="21"/>
                      <w:szCs w:val="21"/>
                      <w:vertAlign w:val="baseline"/>
                      <w:lang w:val="en-US" w:eastAsia="zh-CN" w:bidi="ar-SA"/>
                    </w:rPr>
                    <w:t>7月3日</w:t>
                  </w:r>
                </w:p>
              </w:tc>
              <w:tc>
                <w:tcPr>
                  <w:tcW w:w="1639"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b w:val="0"/>
                      <w:bCs/>
                      <w:color w:val="auto"/>
                      <w:kern w:val="2"/>
                      <w:sz w:val="21"/>
                      <w:szCs w:val="21"/>
                      <w:vertAlign w:val="baseline"/>
                      <w:lang w:val="en-US" w:eastAsia="zh-CN" w:bidi="ar-SA"/>
                    </w:rPr>
                    <w:t>0.104</w:t>
                  </w:r>
                </w:p>
              </w:tc>
              <w:tc>
                <w:tcPr>
                  <w:tcW w:w="1144"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0.35 </w:t>
                  </w:r>
                </w:p>
              </w:tc>
              <w:tc>
                <w:tcPr>
                  <w:tcW w:w="142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s="Times New Roman"/>
                      <w:b w:val="0"/>
                      <w:bCs/>
                      <w:color w:val="auto"/>
                      <w:kern w:val="2"/>
                      <w:sz w:val="21"/>
                      <w:szCs w:val="21"/>
                      <w:vertAlign w:val="baseline"/>
                      <w:lang w:val="en-US" w:eastAsia="zh-CN" w:bidi="ar-SA"/>
                    </w:rPr>
                    <w:t>54.9</w:t>
                  </w:r>
                </w:p>
              </w:tc>
              <w:tc>
                <w:tcPr>
                  <w:tcW w:w="106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063" w:type="dxa"/>
                  <w:vMerge w:val="continue"/>
                  <w:tcBorders>
                    <w:top w:val="single" w:color="auto" w:sz="4" w:space="0"/>
                    <w:left w:val="single" w:color="auto" w:sz="2" w:space="0"/>
                    <w:bottom w:val="single" w:color="auto" w:sz="4" w:space="0"/>
                  </w:tcBorders>
                  <w:noWrap w:val="0"/>
                  <w:vAlign w:val="center"/>
                </w:tcPr>
                <w:p>
                  <w:pPr>
                    <w:pStyle w:val="22"/>
                    <w:ind w:firstLine="0" w:firstLineChars="0"/>
                    <w:jc w:val="center"/>
                    <w:rPr>
                      <w:rFonts w:ascii="Times New Roman" w:hAnsi="Times New Roman" w:eastAsia="宋体" w:cs="Times New Roman"/>
                      <w:color w:val="auto"/>
                      <w:sz w:val="21"/>
                      <w:szCs w:val="21"/>
                      <w:highlight w:val="none"/>
                    </w:rPr>
                  </w:pPr>
                </w:p>
              </w:tc>
              <w:tc>
                <w:tcPr>
                  <w:tcW w:w="154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default" w:ascii="Times New Roman" w:hAnsi="Times New Roman" w:cs="Times New Roman"/>
                      <w:b w:val="0"/>
                      <w:bCs/>
                      <w:color w:val="auto"/>
                      <w:kern w:val="2"/>
                      <w:sz w:val="21"/>
                      <w:szCs w:val="21"/>
                      <w:vertAlign w:val="baseline"/>
                      <w:lang w:val="en-US" w:eastAsia="zh-CN" w:bidi="ar-SA"/>
                    </w:rPr>
                    <w:t>7月4日</w:t>
                  </w:r>
                </w:p>
              </w:tc>
              <w:tc>
                <w:tcPr>
                  <w:tcW w:w="1639"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b w:val="0"/>
                      <w:bCs/>
                      <w:color w:val="auto"/>
                      <w:kern w:val="2"/>
                      <w:sz w:val="21"/>
                      <w:szCs w:val="21"/>
                      <w:vertAlign w:val="baseline"/>
                      <w:lang w:val="en-US" w:eastAsia="zh-CN" w:bidi="ar-SA"/>
                    </w:rPr>
                    <w:t>0.099</w:t>
                  </w:r>
                </w:p>
              </w:tc>
              <w:tc>
                <w:tcPr>
                  <w:tcW w:w="1144"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0.33 </w:t>
                  </w:r>
                </w:p>
              </w:tc>
              <w:tc>
                <w:tcPr>
                  <w:tcW w:w="142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s="Times New Roman"/>
                      <w:b w:val="0"/>
                      <w:bCs/>
                      <w:color w:val="auto"/>
                      <w:kern w:val="2"/>
                      <w:sz w:val="21"/>
                      <w:szCs w:val="21"/>
                      <w:vertAlign w:val="baseline"/>
                      <w:lang w:val="en-US" w:eastAsia="zh-CN" w:bidi="ar-SA"/>
                    </w:rPr>
                    <w:t>81.6</w:t>
                  </w:r>
                </w:p>
              </w:tc>
              <w:tc>
                <w:tcPr>
                  <w:tcW w:w="106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063" w:type="dxa"/>
                  <w:vMerge w:val="continue"/>
                  <w:tcBorders>
                    <w:top w:val="single" w:color="auto" w:sz="4" w:space="0"/>
                    <w:left w:val="single" w:color="auto" w:sz="2" w:space="0"/>
                    <w:bottom w:val="single" w:color="auto" w:sz="4" w:space="0"/>
                  </w:tcBorders>
                  <w:noWrap w:val="0"/>
                  <w:vAlign w:val="center"/>
                </w:tcPr>
                <w:p>
                  <w:pPr>
                    <w:pStyle w:val="22"/>
                    <w:ind w:firstLine="0" w:firstLineChars="0"/>
                    <w:jc w:val="center"/>
                    <w:rPr>
                      <w:rFonts w:ascii="Times New Roman" w:hAnsi="Times New Roman" w:eastAsia="宋体" w:cs="Times New Roman"/>
                      <w:color w:val="auto"/>
                      <w:sz w:val="21"/>
                      <w:szCs w:val="21"/>
                      <w:highlight w:val="none"/>
                    </w:rPr>
                  </w:pPr>
                </w:p>
              </w:tc>
              <w:tc>
                <w:tcPr>
                  <w:tcW w:w="154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default" w:ascii="Times New Roman" w:hAnsi="Times New Roman" w:cs="Times New Roman"/>
                      <w:b w:val="0"/>
                      <w:bCs/>
                      <w:color w:val="auto"/>
                      <w:kern w:val="2"/>
                      <w:sz w:val="21"/>
                      <w:szCs w:val="21"/>
                      <w:vertAlign w:val="baseline"/>
                      <w:lang w:val="en-US" w:eastAsia="zh-CN" w:bidi="ar-SA"/>
                    </w:rPr>
                    <w:t>7月5日</w:t>
                  </w:r>
                </w:p>
              </w:tc>
              <w:tc>
                <w:tcPr>
                  <w:tcW w:w="1639"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b w:val="0"/>
                      <w:bCs/>
                      <w:color w:val="auto"/>
                      <w:kern w:val="2"/>
                      <w:sz w:val="21"/>
                      <w:szCs w:val="21"/>
                      <w:vertAlign w:val="baseline"/>
                      <w:lang w:val="en-US" w:eastAsia="zh-CN" w:bidi="ar-SA"/>
                    </w:rPr>
                    <w:t>0.095</w:t>
                  </w:r>
                </w:p>
              </w:tc>
              <w:tc>
                <w:tcPr>
                  <w:tcW w:w="1144"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0.32 </w:t>
                  </w:r>
                </w:p>
              </w:tc>
              <w:tc>
                <w:tcPr>
                  <w:tcW w:w="142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s="Times New Roman"/>
                      <w:b w:val="0"/>
                      <w:bCs/>
                      <w:color w:val="auto"/>
                      <w:kern w:val="2"/>
                      <w:sz w:val="21"/>
                      <w:szCs w:val="21"/>
                      <w:vertAlign w:val="baseline"/>
                      <w:lang w:val="en-US" w:eastAsia="zh-CN" w:bidi="ar-SA"/>
                    </w:rPr>
                    <w:t>57.8</w:t>
                  </w:r>
                </w:p>
              </w:tc>
              <w:tc>
                <w:tcPr>
                  <w:tcW w:w="106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063" w:type="dxa"/>
                  <w:vMerge w:val="continue"/>
                  <w:tcBorders>
                    <w:top w:val="single" w:color="auto" w:sz="4" w:space="0"/>
                    <w:left w:val="single" w:color="auto" w:sz="2" w:space="0"/>
                    <w:bottom w:val="single" w:color="auto" w:sz="4" w:space="0"/>
                  </w:tcBorders>
                  <w:noWrap w:val="0"/>
                  <w:vAlign w:val="center"/>
                </w:tcPr>
                <w:p>
                  <w:pPr>
                    <w:jc w:val="center"/>
                    <w:rPr>
                      <w:rFonts w:ascii="Times New Roman" w:hAnsi="Times New Roman" w:eastAsia="宋体"/>
                      <w:color w:val="auto"/>
                      <w:sz w:val="21"/>
                      <w:szCs w:val="21"/>
                      <w:highlight w:val="none"/>
                    </w:rPr>
                  </w:pPr>
                </w:p>
              </w:tc>
              <w:tc>
                <w:tcPr>
                  <w:tcW w:w="154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default" w:ascii="Times New Roman" w:hAnsi="Times New Roman" w:cs="Times New Roman"/>
                      <w:b w:val="0"/>
                      <w:bCs/>
                      <w:color w:val="auto"/>
                      <w:kern w:val="2"/>
                      <w:sz w:val="21"/>
                      <w:szCs w:val="21"/>
                      <w:vertAlign w:val="baseline"/>
                      <w:lang w:val="en-US" w:eastAsia="zh-CN" w:bidi="ar-SA"/>
                    </w:rPr>
                    <w:t>7月6日</w:t>
                  </w:r>
                </w:p>
              </w:tc>
              <w:tc>
                <w:tcPr>
                  <w:tcW w:w="1639"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b w:val="0"/>
                      <w:bCs/>
                      <w:color w:val="auto"/>
                      <w:kern w:val="2"/>
                      <w:sz w:val="21"/>
                      <w:szCs w:val="21"/>
                      <w:vertAlign w:val="baseline"/>
                      <w:lang w:val="en-US" w:eastAsia="zh-CN" w:bidi="ar-SA"/>
                    </w:rPr>
                    <w:t>0.101</w:t>
                  </w:r>
                </w:p>
              </w:tc>
              <w:tc>
                <w:tcPr>
                  <w:tcW w:w="1144"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0.34 </w:t>
                  </w:r>
                </w:p>
              </w:tc>
              <w:tc>
                <w:tcPr>
                  <w:tcW w:w="142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s="Times New Roman"/>
                      <w:b w:val="0"/>
                      <w:bCs/>
                      <w:color w:val="auto"/>
                      <w:kern w:val="2"/>
                      <w:sz w:val="21"/>
                      <w:szCs w:val="21"/>
                      <w:vertAlign w:val="baseline"/>
                      <w:lang w:val="en-US" w:eastAsia="zh-CN" w:bidi="ar-SA"/>
                    </w:rPr>
                    <w:t>45.0</w:t>
                  </w:r>
                </w:p>
              </w:tc>
              <w:tc>
                <w:tcPr>
                  <w:tcW w:w="106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063" w:type="dxa"/>
                  <w:vMerge w:val="continue"/>
                  <w:tcBorders>
                    <w:top w:val="single" w:color="auto" w:sz="4" w:space="0"/>
                    <w:left w:val="single" w:color="auto" w:sz="2" w:space="0"/>
                    <w:bottom w:val="single" w:color="auto" w:sz="4" w:space="0"/>
                  </w:tcBorders>
                  <w:noWrap w:val="0"/>
                  <w:vAlign w:val="center"/>
                </w:tcPr>
                <w:p>
                  <w:pPr>
                    <w:jc w:val="center"/>
                    <w:rPr>
                      <w:rFonts w:ascii="Times New Roman" w:hAnsi="Times New Roman" w:eastAsia="宋体"/>
                      <w:color w:val="auto"/>
                      <w:sz w:val="21"/>
                      <w:szCs w:val="21"/>
                      <w:highlight w:val="none"/>
                    </w:rPr>
                  </w:pPr>
                </w:p>
              </w:tc>
              <w:tc>
                <w:tcPr>
                  <w:tcW w:w="154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default" w:ascii="Times New Roman" w:hAnsi="Times New Roman" w:cs="Times New Roman"/>
                      <w:b w:val="0"/>
                      <w:bCs/>
                      <w:color w:val="auto"/>
                      <w:kern w:val="2"/>
                      <w:sz w:val="21"/>
                      <w:szCs w:val="21"/>
                      <w:vertAlign w:val="baseline"/>
                      <w:lang w:val="en-US" w:eastAsia="zh-CN" w:bidi="ar-SA"/>
                    </w:rPr>
                    <w:t>7月7日</w:t>
                  </w:r>
                </w:p>
              </w:tc>
              <w:tc>
                <w:tcPr>
                  <w:tcW w:w="1639"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b w:val="0"/>
                      <w:bCs/>
                      <w:color w:val="auto"/>
                      <w:kern w:val="2"/>
                      <w:sz w:val="21"/>
                      <w:szCs w:val="21"/>
                      <w:vertAlign w:val="baseline"/>
                      <w:lang w:val="en-US" w:eastAsia="zh-CN" w:bidi="ar-SA"/>
                    </w:rPr>
                    <w:t>0.104</w:t>
                  </w:r>
                </w:p>
              </w:tc>
              <w:tc>
                <w:tcPr>
                  <w:tcW w:w="1144"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0.35 </w:t>
                  </w:r>
                </w:p>
              </w:tc>
              <w:tc>
                <w:tcPr>
                  <w:tcW w:w="142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s="Times New Roman"/>
                      <w:b w:val="0"/>
                      <w:bCs/>
                      <w:color w:val="auto"/>
                      <w:kern w:val="2"/>
                      <w:sz w:val="21"/>
                      <w:szCs w:val="21"/>
                      <w:vertAlign w:val="baseline"/>
                      <w:lang w:val="en-US" w:eastAsia="zh-CN" w:bidi="ar-SA"/>
                    </w:rPr>
                    <w:t>116</w:t>
                  </w:r>
                </w:p>
              </w:tc>
              <w:tc>
                <w:tcPr>
                  <w:tcW w:w="106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063" w:type="dxa"/>
                  <w:vMerge w:val="restart"/>
                  <w:tcBorders>
                    <w:top w:val="single" w:color="auto" w:sz="4" w:space="0"/>
                    <w:left w:val="single" w:color="auto" w:sz="2" w:space="0"/>
                    <w:bottom w:val="single" w:color="auto" w:sz="4" w:space="0"/>
                  </w:tcBorders>
                  <w:noWrap w:val="0"/>
                  <w:vAlign w:val="center"/>
                </w:tcPr>
                <w:p>
                  <w:pPr>
                    <w:jc w:val="center"/>
                    <w:rPr>
                      <w:rFonts w:ascii="Times New Roman" w:hAnsi="Times New Roman" w:eastAsia="宋体"/>
                      <w:color w:val="auto"/>
                      <w:sz w:val="21"/>
                      <w:szCs w:val="21"/>
                      <w:highlight w:val="none"/>
                    </w:rPr>
                  </w:pPr>
                  <w:r>
                    <w:rPr>
                      <w:rFonts w:hint="default" w:ascii="Times New Roman" w:hAnsi="Times New Roman" w:eastAsia="宋体" w:cs="Times New Roman"/>
                      <w:b w:val="0"/>
                      <w:bCs/>
                      <w:color w:val="auto"/>
                      <w:kern w:val="2"/>
                      <w:sz w:val="21"/>
                      <w:szCs w:val="21"/>
                      <w:vertAlign w:val="baseline"/>
                      <w:lang w:val="en-US" w:eastAsia="zh-CN" w:bidi="ar-SA"/>
                    </w:rPr>
                    <w:fldChar w:fldCharType="begin"/>
                  </w:r>
                  <w:r>
                    <w:rPr>
                      <w:rFonts w:hint="default" w:ascii="Times New Roman" w:hAnsi="Times New Roman" w:eastAsia="宋体" w:cs="Times New Roman"/>
                      <w:b w:val="0"/>
                      <w:bCs/>
                      <w:color w:val="auto"/>
                      <w:kern w:val="2"/>
                      <w:sz w:val="21"/>
                      <w:szCs w:val="21"/>
                      <w:vertAlign w:val="baseline"/>
                      <w:lang w:val="en-US" w:eastAsia="zh-CN" w:bidi="ar-SA"/>
                    </w:rPr>
                    <w:instrText xml:space="preserve"> REF 环境空气2 \h \* MERGEFORMAT</w:instrText>
                  </w:r>
                  <w:r>
                    <w:rPr>
                      <w:rFonts w:hint="default" w:ascii="Times New Roman" w:hAnsi="Times New Roman" w:eastAsia="宋体" w:cs="Times New Roman"/>
                      <w:b w:val="0"/>
                      <w:bCs/>
                      <w:color w:val="auto"/>
                      <w:kern w:val="2"/>
                      <w:sz w:val="21"/>
                      <w:szCs w:val="21"/>
                      <w:vertAlign w:val="baseline"/>
                      <w:lang w:val="en-US" w:eastAsia="zh-CN" w:bidi="ar-SA"/>
                    </w:rPr>
                    <w:fldChar w:fldCharType="separate"/>
                  </w:r>
                  <w:r>
                    <w:rPr>
                      <w:rFonts w:hint="default" w:ascii="Times New Roman" w:hAnsi="Times New Roman" w:eastAsia="宋体" w:cs="Times New Roman"/>
                      <w:b w:val="0"/>
                      <w:bCs/>
                      <w:color w:val="auto"/>
                      <w:kern w:val="2"/>
                      <w:sz w:val="21"/>
                      <w:szCs w:val="21"/>
                      <w:vertAlign w:val="baseline"/>
                      <w:lang w:val="en-US" w:eastAsia="zh-CN" w:bidi="ar-SA"/>
                    </w:rPr>
                    <w:t>2# 拟建热拌站北侧300m（崩崩冲村）</w:t>
                  </w:r>
                  <w:r>
                    <w:rPr>
                      <w:rFonts w:hint="default" w:ascii="Times New Roman" w:hAnsi="Times New Roman" w:eastAsia="宋体" w:cs="Times New Roman"/>
                      <w:b w:val="0"/>
                      <w:bCs/>
                      <w:color w:val="auto"/>
                      <w:kern w:val="2"/>
                      <w:sz w:val="21"/>
                      <w:szCs w:val="21"/>
                      <w:vertAlign w:val="baseline"/>
                      <w:lang w:val="en-US" w:eastAsia="zh-CN" w:bidi="ar-SA"/>
                    </w:rPr>
                    <w:fldChar w:fldCharType="end"/>
                  </w:r>
                </w:p>
              </w:tc>
              <w:tc>
                <w:tcPr>
                  <w:tcW w:w="154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default" w:ascii="Times New Roman" w:hAnsi="Times New Roman" w:cs="Times New Roman"/>
                      <w:b w:val="0"/>
                      <w:bCs/>
                      <w:color w:val="auto"/>
                      <w:kern w:val="2"/>
                      <w:sz w:val="21"/>
                      <w:szCs w:val="21"/>
                      <w:vertAlign w:val="baseline"/>
                      <w:lang w:val="en-US" w:eastAsia="zh-CN" w:bidi="ar-SA"/>
                    </w:rPr>
                    <w:t>7月1日</w:t>
                  </w:r>
                </w:p>
              </w:tc>
              <w:tc>
                <w:tcPr>
                  <w:tcW w:w="1639"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b w:val="0"/>
                      <w:bCs/>
                      <w:color w:val="auto"/>
                      <w:kern w:val="2"/>
                      <w:sz w:val="21"/>
                      <w:szCs w:val="21"/>
                      <w:vertAlign w:val="baseline"/>
                      <w:lang w:val="en-US" w:eastAsia="zh-CN" w:bidi="ar-SA"/>
                    </w:rPr>
                    <w:t>0.099</w:t>
                  </w:r>
                </w:p>
              </w:tc>
              <w:tc>
                <w:tcPr>
                  <w:tcW w:w="1144"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0.33 </w:t>
                  </w:r>
                </w:p>
              </w:tc>
              <w:tc>
                <w:tcPr>
                  <w:tcW w:w="142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s="Times New Roman"/>
                      <w:b w:val="0"/>
                      <w:bCs/>
                      <w:color w:val="auto"/>
                      <w:kern w:val="2"/>
                      <w:sz w:val="21"/>
                      <w:szCs w:val="21"/>
                      <w:vertAlign w:val="baseline"/>
                      <w:lang w:val="en-US" w:eastAsia="zh-CN" w:bidi="ar-SA"/>
                    </w:rPr>
                    <w:t>66.8</w:t>
                  </w:r>
                </w:p>
              </w:tc>
              <w:tc>
                <w:tcPr>
                  <w:tcW w:w="106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0.11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063" w:type="dxa"/>
                  <w:vMerge w:val="continue"/>
                  <w:tcBorders>
                    <w:top w:val="single" w:color="auto" w:sz="4" w:space="0"/>
                    <w:left w:val="single" w:color="auto" w:sz="2" w:space="0"/>
                    <w:bottom w:val="single" w:color="auto" w:sz="4" w:space="0"/>
                  </w:tcBorders>
                  <w:noWrap w:val="0"/>
                  <w:vAlign w:val="center"/>
                </w:tcPr>
                <w:p>
                  <w:pPr>
                    <w:pStyle w:val="22"/>
                    <w:ind w:firstLine="0" w:firstLineChars="0"/>
                    <w:jc w:val="center"/>
                    <w:rPr>
                      <w:rFonts w:ascii="Times New Roman" w:hAnsi="Times New Roman" w:eastAsia="宋体" w:cs="Times New Roman"/>
                      <w:color w:val="auto"/>
                      <w:sz w:val="21"/>
                      <w:szCs w:val="21"/>
                      <w:highlight w:val="none"/>
                    </w:rPr>
                  </w:pPr>
                </w:p>
              </w:tc>
              <w:tc>
                <w:tcPr>
                  <w:tcW w:w="154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default" w:ascii="Times New Roman" w:hAnsi="Times New Roman" w:cs="Times New Roman"/>
                      <w:b w:val="0"/>
                      <w:bCs/>
                      <w:color w:val="auto"/>
                      <w:kern w:val="2"/>
                      <w:sz w:val="21"/>
                      <w:szCs w:val="21"/>
                      <w:vertAlign w:val="baseline"/>
                      <w:lang w:val="en-US" w:eastAsia="zh-CN" w:bidi="ar-SA"/>
                    </w:rPr>
                    <w:t>7月2日</w:t>
                  </w:r>
                </w:p>
              </w:tc>
              <w:tc>
                <w:tcPr>
                  <w:tcW w:w="1639"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b w:val="0"/>
                      <w:bCs/>
                      <w:color w:val="auto"/>
                      <w:kern w:val="2"/>
                      <w:sz w:val="21"/>
                      <w:szCs w:val="21"/>
                      <w:vertAlign w:val="baseline"/>
                      <w:lang w:val="en-US" w:eastAsia="zh-CN" w:bidi="ar-SA"/>
                    </w:rPr>
                    <w:t>0.102</w:t>
                  </w:r>
                </w:p>
              </w:tc>
              <w:tc>
                <w:tcPr>
                  <w:tcW w:w="1144"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0.34 </w:t>
                  </w:r>
                </w:p>
              </w:tc>
              <w:tc>
                <w:tcPr>
                  <w:tcW w:w="142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s="Times New Roman"/>
                      <w:b w:val="0"/>
                      <w:bCs/>
                      <w:color w:val="auto"/>
                      <w:kern w:val="2"/>
                      <w:sz w:val="21"/>
                      <w:szCs w:val="21"/>
                      <w:vertAlign w:val="baseline"/>
                      <w:lang w:val="en-US" w:eastAsia="zh-CN" w:bidi="ar-SA"/>
                    </w:rPr>
                    <w:t>71.5</w:t>
                  </w:r>
                </w:p>
              </w:tc>
              <w:tc>
                <w:tcPr>
                  <w:tcW w:w="106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063" w:type="dxa"/>
                  <w:vMerge w:val="continue"/>
                  <w:tcBorders>
                    <w:top w:val="single" w:color="auto" w:sz="4" w:space="0"/>
                    <w:left w:val="single" w:color="auto" w:sz="2" w:space="0"/>
                    <w:bottom w:val="single" w:color="auto" w:sz="4" w:space="0"/>
                  </w:tcBorders>
                  <w:noWrap w:val="0"/>
                  <w:vAlign w:val="center"/>
                </w:tcPr>
                <w:p>
                  <w:pPr>
                    <w:pStyle w:val="22"/>
                    <w:ind w:firstLine="0" w:firstLineChars="0"/>
                    <w:jc w:val="center"/>
                    <w:rPr>
                      <w:rFonts w:ascii="Times New Roman" w:hAnsi="Times New Roman" w:eastAsia="宋体" w:cs="Times New Roman"/>
                      <w:color w:val="auto"/>
                      <w:sz w:val="21"/>
                      <w:szCs w:val="21"/>
                      <w:highlight w:val="none"/>
                    </w:rPr>
                  </w:pPr>
                </w:p>
              </w:tc>
              <w:tc>
                <w:tcPr>
                  <w:tcW w:w="154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default" w:ascii="Times New Roman" w:hAnsi="Times New Roman" w:cs="Times New Roman"/>
                      <w:b w:val="0"/>
                      <w:bCs/>
                      <w:color w:val="auto"/>
                      <w:kern w:val="2"/>
                      <w:sz w:val="21"/>
                      <w:szCs w:val="21"/>
                      <w:vertAlign w:val="baseline"/>
                      <w:lang w:val="en-US" w:eastAsia="zh-CN" w:bidi="ar-SA"/>
                    </w:rPr>
                    <w:t>7月3日</w:t>
                  </w:r>
                </w:p>
              </w:tc>
              <w:tc>
                <w:tcPr>
                  <w:tcW w:w="1639"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b w:val="0"/>
                      <w:bCs/>
                      <w:color w:val="auto"/>
                      <w:kern w:val="2"/>
                      <w:sz w:val="21"/>
                      <w:szCs w:val="21"/>
                      <w:vertAlign w:val="baseline"/>
                      <w:lang w:val="en-US" w:eastAsia="zh-CN" w:bidi="ar-SA"/>
                    </w:rPr>
                    <w:t>0.094</w:t>
                  </w:r>
                </w:p>
              </w:tc>
              <w:tc>
                <w:tcPr>
                  <w:tcW w:w="1144"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0.31 </w:t>
                  </w:r>
                </w:p>
              </w:tc>
              <w:tc>
                <w:tcPr>
                  <w:tcW w:w="142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s="Times New Roman"/>
                      <w:b w:val="0"/>
                      <w:bCs/>
                      <w:color w:val="auto"/>
                      <w:kern w:val="2"/>
                      <w:sz w:val="21"/>
                      <w:szCs w:val="21"/>
                      <w:vertAlign w:val="baseline"/>
                      <w:lang w:val="en-US" w:eastAsia="zh-CN" w:bidi="ar-SA"/>
                    </w:rPr>
                    <w:t>61.3</w:t>
                  </w:r>
                </w:p>
              </w:tc>
              <w:tc>
                <w:tcPr>
                  <w:tcW w:w="106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063" w:type="dxa"/>
                  <w:vMerge w:val="continue"/>
                  <w:tcBorders>
                    <w:top w:val="single" w:color="auto" w:sz="4" w:space="0"/>
                    <w:left w:val="single" w:color="auto" w:sz="2" w:space="0"/>
                    <w:bottom w:val="single" w:color="auto" w:sz="4" w:space="0"/>
                  </w:tcBorders>
                  <w:noWrap w:val="0"/>
                  <w:vAlign w:val="center"/>
                </w:tcPr>
                <w:p>
                  <w:pPr>
                    <w:pStyle w:val="22"/>
                    <w:ind w:firstLine="0" w:firstLineChars="0"/>
                    <w:jc w:val="center"/>
                    <w:rPr>
                      <w:rFonts w:ascii="Times New Roman" w:hAnsi="Times New Roman" w:eastAsia="宋体" w:cs="Times New Roman"/>
                      <w:color w:val="auto"/>
                      <w:sz w:val="21"/>
                      <w:szCs w:val="21"/>
                      <w:highlight w:val="none"/>
                    </w:rPr>
                  </w:pPr>
                </w:p>
              </w:tc>
              <w:tc>
                <w:tcPr>
                  <w:tcW w:w="154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default" w:ascii="Times New Roman" w:hAnsi="Times New Roman" w:cs="Times New Roman"/>
                      <w:b w:val="0"/>
                      <w:bCs/>
                      <w:color w:val="auto"/>
                      <w:kern w:val="2"/>
                      <w:sz w:val="21"/>
                      <w:szCs w:val="21"/>
                      <w:vertAlign w:val="baseline"/>
                      <w:lang w:val="en-US" w:eastAsia="zh-CN" w:bidi="ar-SA"/>
                    </w:rPr>
                    <w:t>7月4日</w:t>
                  </w:r>
                </w:p>
              </w:tc>
              <w:tc>
                <w:tcPr>
                  <w:tcW w:w="1639"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b w:val="0"/>
                      <w:bCs/>
                      <w:color w:val="auto"/>
                      <w:kern w:val="2"/>
                      <w:sz w:val="21"/>
                      <w:szCs w:val="21"/>
                      <w:vertAlign w:val="baseline"/>
                      <w:lang w:val="en-US" w:eastAsia="zh-CN" w:bidi="ar-SA"/>
                    </w:rPr>
                    <w:t>0.097</w:t>
                  </w:r>
                </w:p>
              </w:tc>
              <w:tc>
                <w:tcPr>
                  <w:tcW w:w="1144"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0.32 </w:t>
                  </w:r>
                </w:p>
              </w:tc>
              <w:tc>
                <w:tcPr>
                  <w:tcW w:w="142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s="Times New Roman"/>
                      <w:b w:val="0"/>
                      <w:bCs/>
                      <w:color w:val="auto"/>
                      <w:kern w:val="2"/>
                      <w:sz w:val="21"/>
                      <w:szCs w:val="21"/>
                      <w:vertAlign w:val="baseline"/>
                      <w:lang w:val="en-US" w:eastAsia="zh-CN" w:bidi="ar-SA"/>
                    </w:rPr>
                    <w:t>103</w:t>
                  </w:r>
                </w:p>
              </w:tc>
              <w:tc>
                <w:tcPr>
                  <w:tcW w:w="106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063" w:type="dxa"/>
                  <w:vMerge w:val="continue"/>
                  <w:tcBorders>
                    <w:top w:val="single" w:color="auto" w:sz="4" w:space="0"/>
                    <w:left w:val="single" w:color="auto" w:sz="2" w:space="0"/>
                    <w:bottom w:val="single" w:color="auto" w:sz="4" w:space="0"/>
                  </w:tcBorders>
                  <w:noWrap w:val="0"/>
                  <w:vAlign w:val="center"/>
                </w:tcPr>
                <w:p>
                  <w:pPr>
                    <w:pStyle w:val="22"/>
                    <w:ind w:firstLine="0" w:firstLineChars="0"/>
                    <w:jc w:val="center"/>
                    <w:rPr>
                      <w:rFonts w:ascii="Times New Roman" w:hAnsi="Times New Roman" w:eastAsia="宋体" w:cs="Times New Roman"/>
                      <w:color w:val="auto"/>
                      <w:sz w:val="21"/>
                      <w:szCs w:val="21"/>
                      <w:highlight w:val="none"/>
                    </w:rPr>
                  </w:pPr>
                </w:p>
              </w:tc>
              <w:tc>
                <w:tcPr>
                  <w:tcW w:w="154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default" w:ascii="Times New Roman" w:hAnsi="Times New Roman" w:cs="Times New Roman"/>
                      <w:b w:val="0"/>
                      <w:bCs/>
                      <w:color w:val="auto"/>
                      <w:kern w:val="2"/>
                      <w:sz w:val="21"/>
                      <w:szCs w:val="21"/>
                      <w:vertAlign w:val="baseline"/>
                      <w:lang w:val="en-US" w:eastAsia="zh-CN" w:bidi="ar-SA"/>
                    </w:rPr>
                    <w:t>7月5日</w:t>
                  </w:r>
                </w:p>
              </w:tc>
              <w:tc>
                <w:tcPr>
                  <w:tcW w:w="1639"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b w:val="0"/>
                      <w:bCs/>
                      <w:color w:val="auto"/>
                      <w:kern w:val="2"/>
                      <w:sz w:val="21"/>
                      <w:szCs w:val="21"/>
                      <w:vertAlign w:val="baseline"/>
                      <w:lang w:val="en-US" w:eastAsia="zh-CN" w:bidi="ar-SA"/>
                    </w:rPr>
                    <w:t>0.096</w:t>
                  </w:r>
                </w:p>
              </w:tc>
              <w:tc>
                <w:tcPr>
                  <w:tcW w:w="1144"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0.32 </w:t>
                  </w:r>
                </w:p>
              </w:tc>
              <w:tc>
                <w:tcPr>
                  <w:tcW w:w="142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s="Times New Roman"/>
                      <w:b w:val="0"/>
                      <w:bCs/>
                      <w:color w:val="auto"/>
                      <w:kern w:val="2"/>
                      <w:sz w:val="21"/>
                      <w:szCs w:val="21"/>
                      <w:vertAlign w:val="baseline"/>
                      <w:lang w:val="en-US" w:eastAsia="zh-CN" w:bidi="ar-SA"/>
                    </w:rPr>
                    <w:t>71.0</w:t>
                  </w:r>
                </w:p>
              </w:tc>
              <w:tc>
                <w:tcPr>
                  <w:tcW w:w="106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063" w:type="dxa"/>
                  <w:vMerge w:val="continue"/>
                  <w:tcBorders>
                    <w:top w:val="single" w:color="auto" w:sz="4" w:space="0"/>
                    <w:left w:val="single" w:color="auto" w:sz="2" w:space="0"/>
                    <w:bottom w:val="single" w:color="auto" w:sz="4" w:space="0"/>
                  </w:tcBorders>
                  <w:noWrap w:val="0"/>
                  <w:vAlign w:val="center"/>
                </w:tcPr>
                <w:p>
                  <w:pPr>
                    <w:jc w:val="center"/>
                    <w:rPr>
                      <w:rFonts w:ascii="Times New Roman" w:hAnsi="Times New Roman" w:eastAsia="宋体"/>
                      <w:color w:val="auto"/>
                      <w:sz w:val="21"/>
                      <w:szCs w:val="21"/>
                      <w:highlight w:val="none"/>
                    </w:rPr>
                  </w:pPr>
                </w:p>
              </w:tc>
              <w:tc>
                <w:tcPr>
                  <w:tcW w:w="154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default" w:ascii="Times New Roman" w:hAnsi="Times New Roman" w:cs="Times New Roman"/>
                      <w:b w:val="0"/>
                      <w:bCs/>
                      <w:color w:val="auto"/>
                      <w:kern w:val="2"/>
                      <w:sz w:val="21"/>
                      <w:szCs w:val="21"/>
                      <w:vertAlign w:val="baseline"/>
                      <w:lang w:val="en-US" w:eastAsia="zh-CN" w:bidi="ar-SA"/>
                    </w:rPr>
                    <w:t>7月6日</w:t>
                  </w:r>
                </w:p>
              </w:tc>
              <w:tc>
                <w:tcPr>
                  <w:tcW w:w="1639"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b w:val="0"/>
                      <w:bCs/>
                      <w:color w:val="auto"/>
                      <w:kern w:val="2"/>
                      <w:sz w:val="21"/>
                      <w:szCs w:val="21"/>
                      <w:vertAlign w:val="baseline"/>
                      <w:lang w:val="en-US" w:eastAsia="zh-CN" w:bidi="ar-SA"/>
                    </w:rPr>
                    <w:t>0.098</w:t>
                  </w:r>
                </w:p>
              </w:tc>
              <w:tc>
                <w:tcPr>
                  <w:tcW w:w="1144"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0.33 </w:t>
                  </w:r>
                </w:p>
              </w:tc>
              <w:tc>
                <w:tcPr>
                  <w:tcW w:w="142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s="Times New Roman"/>
                      <w:b w:val="0"/>
                      <w:bCs/>
                      <w:color w:val="auto"/>
                      <w:kern w:val="2"/>
                      <w:sz w:val="21"/>
                      <w:szCs w:val="21"/>
                      <w:vertAlign w:val="baseline"/>
                      <w:lang w:val="en-US" w:eastAsia="zh-CN" w:bidi="ar-SA"/>
                    </w:rPr>
                    <w:t>60.2</w:t>
                  </w:r>
                </w:p>
              </w:tc>
              <w:tc>
                <w:tcPr>
                  <w:tcW w:w="106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1" w:hRule="atLeast"/>
              </w:trPr>
              <w:tc>
                <w:tcPr>
                  <w:tcW w:w="1063" w:type="dxa"/>
                  <w:vMerge w:val="continue"/>
                  <w:tcBorders>
                    <w:top w:val="single" w:color="auto" w:sz="4" w:space="0"/>
                    <w:left w:val="single" w:color="auto" w:sz="2" w:space="0"/>
                    <w:bottom w:val="single" w:color="auto" w:sz="4" w:space="0"/>
                  </w:tcBorders>
                  <w:noWrap w:val="0"/>
                  <w:vAlign w:val="center"/>
                </w:tcPr>
                <w:p>
                  <w:pPr>
                    <w:jc w:val="center"/>
                    <w:rPr>
                      <w:rFonts w:ascii="Times New Roman" w:hAnsi="Times New Roman" w:eastAsia="宋体"/>
                      <w:color w:val="auto"/>
                      <w:sz w:val="21"/>
                      <w:szCs w:val="21"/>
                      <w:highlight w:val="none"/>
                    </w:rPr>
                  </w:pPr>
                </w:p>
              </w:tc>
              <w:tc>
                <w:tcPr>
                  <w:tcW w:w="1546" w:type="dxa"/>
                  <w:tcBorders>
                    <w:top w:val="single" w:color="auto" w:sz="4" w:space="0"/>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ascii="Times New Roman" w:hAnsi="Times New Roman" w:eastAsia="宋体"/>
                      <w:color w:val="auto"/>
                      <w:sz w:val="21"/>
                      <w:szCs w:val="21"/>
                      <w:highlight w:val="none"/>
                    </w:rPr>
                  </w:pPr>
                  <w:r>
                    <w:rPr>
                      <w:rFonts w:hint="default" w:ascii="Times New Roman" w:hAnsi="Times New Roman" w:cs="Times New Roman"/>
                      <w:b w:val="0"/>
                      <w:bCs/>
                      <w:color w:val="auto"/>
                      <w:kern w:val="2"/>
                      <w:sz w:val="21"/>
                      <w:szCs w:val="21"/>
                      <w:vertAlign w:val="baseline"/>
                      <w:lang w:val="en-US" w:eastAsia="zh-CN" w:bidi="ar-SA"/>
                    </w:rPr>
                    <w:t>7月7日</w:t>
                  </w:r>
                </w:p>
              </w:tc>
              <w:tc>
                <w:tcPr>
                  <w:tcW w:w="1639" w:type="dxa"/>
                  <w:tcBorders>
                    <w:top w:val="single" w:color="auto" w:sz="4"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eastAsia="宋体" w:cs="Times New Roman"/>
                      <w:b w:val="0"/>
                      <w:bCs/>
                      <w:color w:val="auto"/>
                      <w:kern w:val="2"/>
                      <w:sz w:val="21"/>
                      <w:szCs w:val="21"/>
                      <w:vertAlign w:val="baseline"/>
                      <w:lang w:val="en-US" w:eastAsia="zh-CN" w:bidi="ar-SA"/>
                    </w:rPr>
                    <w:t>0.097</w:t>
                  </w:r>
                </w:p>
              </w:tc>
              <w:tc>
                <w:tcPr>
                  <w:tcW w:w="1144"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0.32 </w:t>
                  </w:r>
                </w:p>
              </w:tc>
              <w:tc>
                <w:tcPr>
                  <w:tcW w:w="142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olor w:val="auto"/>
                      <w:sz w:val="21"/>
                      <w:szCs w:val="21"/>
                      <w:highlight w:val="none"/>
                      <w:lang w:val="en-US" w:eastAsia="zh-CN"/>
                    </w:rPr>
                  </w:pPr>
                  <w:r>
                    <w:rPr>
                      <w:rFonts w:hint="eastAsia" w:ascii="Times New Roman" w:hAnsi="Times New Roman" w:cs="Times New Roman"/>
                      <w:b w:val="0"/>
                      <w:bCs/>
                      <w:color w:val="auto"/>
                      <w:kern w:val="2"/>
                      <w:sz w:val="21"/>
                      <w:szCs w:val="21"/>
                      <w:vertAlign w:val="baseline"/>
                      <w:lang w:val="en-US" w:eastAsia="zh-CN" w:bidi="ar-SA"/>
                    </w:rPr>
                    <w:t>60.2</w:t>
                  </w:r>
                </w:p>
              </w:tc>
              <w:tc>
                <w:tcPr>
                  <w:tcW w:w="1063" w:type="dxa"/>
                  <w:tcBorders>
                    <w:top w:val="single" w:color="auto" w:sz="4" w:space="0"/>
                    <w:left w:val="single" w:color="auto" w:sz="2" w:space="0"/>
                    <w:bottom w:val="single" w:color="auto" w:sz="4"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5" w:hRule="atLeast"/>
              </w:trPr>
              <w:tc>
                <w:tcPr>
                  <w:tcW w:w="2609" w:type="dxa"/>
                  <w:gridSpan w:val="2"/>
                  <w:tcBorders>
                    <w:top w:val="single" w:color="auto" w:sz="4" w:space="0"/>
                    <w:left w:val="single" w:color="auto" w:sz="2" w:space="0"/>
                    <w:bottom w:val="single" w:color="auto" w:sz="2" w:space="0"/>
                  </w:tcBorders>
                  <w:noWrap w:val="0"/>
                  <w:vAlign w:val="center"/>
                </w:tcPr>
                <w:p>
                  <w:pPr>
                    <w:widowControl/>
                    <w:overflowPunct w:val="0"/>
                    <w:adjustRightInd w:val="0"/>
                    <w:snapToGrid w:val="0"/>
                    <w:jc w:val="center"/>
                    <w:rPr>
                      <w:rFonts w:hint="eastAsia"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标准限值</w:t>
                  </w:r>
                </w:p>
              </w:tc>
              <w:tc>
                <w:tcPr>
                  <w:tcW w:w="1639" w:type="dxa"/>
                  <w:tcBorders>
                    <w:top w:val="single" w:color="auto" w:sz="4" w:space="0"/>
                    <w:bottom w:val="single" w:color="auto" w:sz="2" w:space="0"/>
                    <w:right w:val="single" w:color="auto" w:sz="2" w:space="0"/>
                  </w:tcBorders>
                  <w:noWrap w:val="0"/>
                  <w:vAlign w:val="center"/>
                </w:tcPr>
                <w:p>
                  <w:pPr>
                    <w:adjustRightInd w:val="0"/>
                    <w:snapToGrid w:val="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0.3mg/m</w:t>
                  </w:r>
                  <w:r>
                    <w:rPr>
                      <w:rFonts w:ascii="Times New Roman" w:hAnsi="Times New Roman" w:eastAsia="宋体"/>
                      <w:color w:val="auto"/>
                      <w:sz w:val="21"/>
                      <w:szCs w:val="21"/>
                      <w:highlight w:val="none"/>
                      <w:vertAlign w:val="superscript"/>
                    </w:rPr>
                    <w:t>3</w:t>
                  </w:r>
                </w:p>
              </w:tc>
              <w:tc>
                <w:tcPr>
                  <w:tcW w:w="1144" w:type="dxa"/>
                  <w:tcBorders>
                    <w:top w:val="single" w:color="auto" w:sz="4" w:space="0"/>
                    <w:left w:val="single" w:color="auto" w:sz="2" w:space="0"/>
                    <w:bottom w:val="single" w:color="auto" w:sz="2"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达标</w:t>
                  </w:r>
                </w:p>
              </w:tc>
              <w:tc>
                <w:tcPr>
                  <w:tcW w:w="1423" w:type="dxa"/>
                  <w:tcBorders>
                    <w:top w:val="single" w:color="auto" w:sz="4" w:space="0"/>
                    <w:left w:val="single" w:color="auto" w:sz="2" w:space="0"/>
                    <w:bottom w:val="single" w:color="auto" w:sz="2" w:space="0"/>
                    <w:right w:val="single" w:color="auto" w:sz="2" w:space="0"/>
                  </w:tcBorders>
                  <w:noWrap w:val="0"/>
                  <w:vAlign w:val="center"/>
                </w:tcPr>
                <w:p>
                  <w:pPr>
                    <w:adjustRightInd w:val="0"/>
                    <w:snapToGrid w:val="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600</w:t>
                  </w:r>
                  <w:r>
                    <w:rPr>
                      <w:rFonts w:hint="default" w:ascii="Times New Roman" w:hAnsi="Times New Roman" w:cs="Times New Roman"/>
                      <w:b/>
                      <w:bCs w:val="0"/>
                      <w:color w:val="auto"/>
                      <w:sz w:val="21"/>
                      <w:szCs w:val="21"/>
                      <w:lang w:val="en-US" w:eastAsia="zh-CN"/>
                    </w:rPr>
                    <w:t>μ</w:t>
                  </w:r>
                  <w:r>
                    <w:rPr>
                      <w:rFonts w:hint="default" w:ascii="Times New Roman" w:hAnsi="Times New Roman" w:eastAsia="宋体" w:cs="Times New Roman"/>
                      <w:b/>
                      <w:bCs w:val="0"/>
                      <w:color w:val="auto"/>
                      <w:sz w:val="21"/>
                      <w:szCs w:val="21"/>
                      <w:lang w:val="en-US" w:eastAsia="zh-CN"/>
                    </w:rPr>
                    <w:t>g</w:t>
                  </w:r>
                  <w:r>
                    <w:rPr>
                      <w:rFonts w:hint="eastAsia" w:ascii="Times New Roman" w:hAnsi="Times New Roman" w:eastAsia="宋体"/>
                      <w:color w:val="auto"/>
                      <w:sz w:val="21"/>
                      <w:szCs w:val="21"/>
                      <w:highlight w:val="none"/>
                      <w:lang w:val="en-US" w:eastAsia="zh-CN"/>
                    </w:rPr>
                    <w:t>/m</w:t>
                  </w:r>
                  <w:r>
                    <w:rPr>
                      <w:rFonts w:ascii="Times New Roman" w:hAnsi="Times New Roman" w:eastAsia="宋体"/>
                      <w:color w:val="auto"/>
                      <w:sz w:val="21"/>
                      <w:szCs w:val="21"/>
                      <w:highlight w:val="none"/>
                      <w:vertAlign w:val="superscript"/>
                    </w:rPr>
                    <w:t>3</w:t>
                  </w:r>
                </w:p>
              </w:tc>
              <w:tc>
                <w:tcPr>
                  <w:tcW w:w="1063" w:type="dxa"/>
                  <w:tcBorders>
                    <w:top w:val="single" w:color="auto" w:sz="4" w:space="0"/>
                    <w:left w:val="single" w:color="auto" w:sz="2" w:space="0"/>
                    <w:bottom w:val="single" w:color="auto" w:sz="2" w:space="0"/>
                    <w:right w:val="single" w:color="auto" w:sz="2" w:space="0"/>
                  </w:tcBorders>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olor w:val="auto"/>
                      <w:sz w:val="21"/>
                      <w:szCs w:val="21"/>
                      <w:highlight w:val="none"/>
                      <w:lang w:val="en-US" w:eastAsia="zh-CN"/>
                    </w:rPr>
                  </w:pPr>
                  <w:r>
                    <w:rPr>
                      <w:rFonts w:hint="eastAsia" w:ascii="宋体" w:hAnsi="宋体" w:eastAsia="宋体" w:cs="宋体"/>
                      <w:i w:val="0"/>
                      <w:iCs w:val="0"/>
                      <w:color w:val="auto"/>
                      <w:kern w:val="0"/>
                      <w:sz w:val="21"/>
                      <w:szCs w:val="21"/>
                      <w:u w:val="none"/>
                      <w:lang w:val="en-US" w:eastAsia="zh-CN" w:bidi="ar"/>
                    </w:rPr>
                    <w:t>达标</w:t>
                  </w:r>
                </w:p>
              </w:tc>
            </w:tr>
          </w:tbl>
          <w:p>
            <w:pPr>
              <w:pStyle w:val="16"/>
              <w:spacing w:line="520" w:lineRule="exact"/>
              <w:ind w:firstLine="480" w:firstLineChars="200"/>
              <w:rPr>
                <w:rFonts w:hint="default" w:ascii="Times New Roman" w:hAnsi="Times New Roman" w:cs="Times New Roman"/>
                <w:color w:val="auto"/>
                <w:sz w:val="24"/>
                <w:highlight w:val="none"/>
              </w:rPr>
            </w:pPr>
            <w:r>
              <w:rPr>
                <w:rFonts w:hint="default" w:ascii="Times New Roman" w:hAnsi="Times New Roman" w:cs="Times New Roman"/>
                <w:snapToGrid w:val="0"/>
                <w:color w:val="auto"/>
                <w:kern w:val="0"/>
                <w:sz w:val="24"/>
                <w:highlight w:val="none"/>
              </w:rPr>
              <w:t>从上表可知，监测点位的环境空气</w:t>
            </w:r>
            <w:r>
              <w:rPr>
                <w:rFonts w:hint="default" w:ascii="Times New Roman" w:hAnsi="Times New Roman" w:cs="Times New Roman"/>
                <w:bCs/>
                <w:color w:val="auto"/>
                <w:sz w:val="24"/>
                <w:highlight w:val="none"/>
              </w:rPr>
              <w:t>苯并（a）芘</w:t>
            </w:r>
            <w:r>
              <w:rPr>
                <w:rFonts w:hint="default" w:ascii="Times New Roman" w:hAnsi="Times New Roman" w:cs="Times New Roman"/>
                <w:bCs/>
                <w:color w:val="auto"/>
                <w:sz w:val="24"/>
                <w:highlight w:val="none"/>
                <w:lang w:eastAsia="zh-CN"/>
              </w:rPr>
              <w:t>、</w:t>
            </w:r>
            <w:r>
              <w:rPr>
                <w:rFonts w:hint="default" w:ascii="Times New Roman" w:hAnsi="Times New Roman" w:cs="Times New Roman"/>
                <w:snapToGrid w:val="0"/>
                <w:color w:val="auto"/>
                <w:kern w:val="0"/>
                <w:sz w:val="24"/>
                <w:highlight w:val="none"/>
                <w:lang w:eastAsia="zh-CN"/>
              </w:rPr>
              <w:t>总悬浮颗粒物、</w:t>
            </w:r>
            <w:r>
              <w:rPr>
                <w:rFonts w:hint="default" w:ascii="Times New Roman" w:hAnsi="Times New Roman" w:cs="Times New Roman"/>
                <w:snapToGrid w:val="0"/>
                <w:color w:val="auto"/>
                <w:kern w:val="0"/>
                <w:sz w:val="24"/>
                <w:highlight w:val="none"/>
                <w:lang w:val="en-US" w:eastAsia="zh-CN"/>
              </w:rPr>
              <w:t>TPS</w:t>
            </w:r>
            <w:r>
              <w:rPr>
                <w:rFonts w:hint="default" w:ascii="Times New Roman" w:hAnsi="Times New Roman" w:cs="Times New Roman"/>
                <w:snapToGrid w:val="0"/>
                <w:color w:val="auto"/>
                <w:kern w:val="0"/>
                <w:sz w:val="24"/>
                <w:highlight w:val="none"/>
              </w:rPr>
              <w:t>监测指标均小于</w:t>
            </w:r>
            <w:r>
              <w:rPr>
                <w:rFonts w:hint="default" w:ascii="Times New Roman" w:hAnsi="Times New Roman" w:cs="Times New Roman"/>
                <w:color w:val="auto"/>
                <w:sz w:val="24"/>
                <w:highlight w:val="none"/>
              </w:rPr>
              <w:t>《环境空气质量标准》（GB3095-2012）中二级浓度</w:t>
            </w:r>
            <w:r>
              <w:rPr>
                <w:rFonts w:hint="default" w:ascii="Times New Roman" w:hAnsi="Times New Roman" w:cs="Times New Roman"/>
                <w:snapToGrid w:val="0"/>
                <w:color w:val="auto"/>
                <w:kern w:val="0"/>
                <w:sz w:val="24"/>
                <w:highlight w:val="none"/>
              </w:rPr>
              <w:t>限值要求</w:t>
            </w:r>
            <w:r>
              <w:rPr>
                <w:rFonts w:hint="default" w:ascii="Times New Roman" w:hAnsi="Times New Roman" w:cs="Times New Roman"/>
                <w:snapToGrid w:val="0"/>
                <w:color w:val="auto"/>
                <w:kern w:val="0"/>
                <w:sz w:val="24"/>
                <w:highlight w:val="none"/>
                <w:lang w:eastAsia="zh-CN"/>
              </w:rPr>
              <w:t>；TVOC检测结果满足《环境影响评价技术导则大气环境》（HJ2.2-2018）附录D其他污染物空气质量浓度参考限值要求</w:t>
            </w:r>
            <w:r>
              <w:rPr>
                <w:rFonts w:hint="default" w:ascii="Times New Roman" w:hAnsi="Times New Roman" w:cs="Times New Roman"/>
                <w:snapToGrid w:val="0"/>
                <w:color w:val="auto"/>
                <w:kern w:val="0"/>
                <w:sz w:val="24"/>
                <w:highlight w:val="none"/>
              </w:rPr>
              <w:t>，因此，监测结果表明项目所在地区域的环境空气质量良好，尚有一定的环境容量。</w:t>
            </w:r>
          </w:p>
          <w:p>
            <w:pPr>
              <w:spacing w:line="360" w:lineRule="auto"/>
              <w:outlineLvl w:val="2"/>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二、地表水环境质量</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color w:val="auto"/>
                <w:sz w:val="24"/>
                <w:highlight w:val="none"/>
              </w:rPr>
              <w:t>本项目为沥青砼生产项目，无生产废水，生活废水</w:t>
            </w:r>
            <w:r>
              <w:rPr>
                <w:rFonts w:hint="default" w:ascii="Times New Roman" w:hAnsi="Times New Roman" w:cs="Times New Roman"/>
                <w:color w:val="auto"/>
                <w:sz w:val="24"/>
                <w:highlight w:val="none"/>
                <w:lang w:eastAsia="zh-CN"/>
              </w:rPr>
              <w:t>依托</w:t>
            </w:r>
            <w:r>
              <w:rPr>
                <w:rFonts w:hint="eastAsia" w:ascii="Times New Roman" w:hAnsi="Times New Roman" w:cs="Times New Roman"/>
                <w:color w:val="auto"/>
                <w:sz w:val="24"/>
                <w:highlight w:val="none"/>
                <w:lang w:val="en-US" w:eastAsia="zh-CN"/>
              </w:rPr>
              <w:t>旱厕</w:t>
            </w:r>
            <w:r>
              <w:rPr>
                <w:rFonts w:hint="default" w:ascii="Times New Roman" w:hAnsi="Times New Roman" w:cs="Times New Roman"/>
                <w:color w:val="auto"/>
                <w:sz w:val="24"/>
                <w:highlight w:val="none"/>
                <w:lang w:val="en-US" w:eastAsia="zh-CN"/>
              </w:rPr>
              <w:t>不外排</w:t>
            </w:r>
            <w:r>
              <w:rPr>
                <w:rFonts w:hint="default" w:ascii="Times New Roman" w:hAnsi="Times New Roman" w:cs="Times New Roman"/>
                <w:color w:val="auto"/>
                <w:sz w:val="24"/>
                <w:highlight w:val="none"/>
              </w:rPr>
              <w:t>。</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根据《环境影响评价技术导则 地表水环境》(HJ2.3—2018)中 6.6.3 水环境质量现状调查据</w:t>
            </w:r>
            <w:r>
              <w:rPr>
                <w:rFonts w:hint="eastAsia" w:ascii="宋体" w:hAnsi="宋体" w:eastAsia="宋体" w:cs="宋体"/>
                <w:color w:val="auto"/>
                <w:sz w:val="24"/>
                <w:highlight w:val="none"/>
                <w:lang w:val="en-US" w:eastAsia="zh-CN"/>
              </w:rPr>
              <w:t>“</w:t>
            </w:r>
            <w:r>
              <w:rPr>
                <w:rFonts w:hint="default" w:ascii="Times New Roman" w:hAnsi="Times New Roman" w:cs="Times New Roman"/>
                <w:color w:val="auto"/>
                <w:sz w:val="24"/>
                <w:highlight w:val="none"/>
                <w:lang w:val="en-US" w:eastAsia="zh-CN"/>
              </w:rPr>
              <w:t>6.6.3.1-6.6.3.2 根据不同评价等级对应的评价时期要求开展水环境质量现状调查。</w:t>
            </w:r>
            <w:r>
              <w:rPr>
                <w:rFonts w:hint="eastAsia" w:ascii="宋体" w:hAnsi="宋体" w:eastAsia="宋体" w:cs="宋体"/>
                <w:color w:val="auto"/>
                <w:sz w:val="24"/>
                <w:highlight w:val="none"/>
                <w:lang w:val="en-US" w:eastAsia="zh-CN"/>
              </w:rPr>
              <w:t>”</w:t>
            </w:r>
            <w:r>
              <w:rPr>
                <w:rFonts w:hint="default" w:ascii="Times New Roman" w:hAnsi="Times New Roman" w:cs="Times New Roman"/>
                <w:color w:val="auto"/>
                <w:sz w:val="24"/>
                <w:highlight w:val="none"/>
                <w:lang w:val="en-US" w:eastAsia="zh-CN"/>
              </w:rPr>
              <w:t>本次评价选用甘孜州生态环境局公开的《关于 2020 年第四季度全州水环境质量情况通报》（甘污防攻坚办</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2020</w:t>
            </w:r>
            <w:r>
              <w:rPr>
                <w:rFonts w:hint="eastAsia"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val="en-US" w:eastAsia="zh-CN"/>
              </w:rPr>
              <w:t>18 号）中统计数据进行区域环境质量达标评价。</w:t>
            </w:r>
          </w:p>
          <w:p>
            <w:pPr>
              <w:spacing w:line="360" w:lineRule="auto"/>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表3-</w:t>
            </w:r>
            <w:r>
              <w:rPr>
                <w:rFonts w:hint="eastAsia" w:ascii="Times New Roman" w:hAnsi="Times New Roman" w:eastAsia="宋体" w:cs="Times New Roman"/>
                <w:b/>
                <w:bCs/>
                <w:color w:val="auto"/>
                <w:sz w:val="21"/>
                <w:szCs w:val="21"/>
                <w:highlight w:val="none"/>
                <w:lang w:val="en-US" w:eastAsia="zh-CN"/>
              </w:rPr>
              <w:t>6  九龙河公报数据</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991"/>
              <w:gridCol w:w="1562"/>
              <w:gridCol w:w="1105"/>
              <w:gridCol w:w="1105"/>
              <w:gridCol w:w="1105"/>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6" w:hRule="atLeast"/>
                <w:jc w:val="center"/>
              </w:trPr>
              <w:tc>
                <w:tcPr>
                  <w:tcW w:w="762" w:type="dxa"/>
                </w:tcPr>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default" w:ascii="宋体" w:hAnsi="宋体"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河流名称</w:t>
                  </w:r>
                </w:p>
              </w:tc>
              <w:tc>
                <w:tcPr>
                  <w:tcW w:w="991" w:type="dxa"/>
                </w:tcPr>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default" w:ascii="宋体" w:hAnsi="宋体"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断面</w:t>
                  </w:r>
                </w:p>
              </w:tc>
              <w:tc>
                <w:tcPr>
                  <w:tcW w:w="1562" w:type="dxa"/>
                </w:tcPr>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default" w:ascii="宋体" w:hAnsi="宋体"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时间</w:t>
                  </w:r>
                </w:p>
              </w:tc>
              <w:tc>
                <w:tcPr>
                  <w:tcW w:w="1105" w:type="dxa"/>
                </w:tcPr>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default" w:ascii="宋体" w:hAnsi="宋体"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本月水质</w:t>
                  </w:r>
                </w:p>
              </w:tc>
              <w:tc>
                <w:tcPr>
                  <w:tcW w:w="1105" w:type="dxa"/>
                </w:tcPr>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default" w:ascii="宋体" w:hAnsi="宋体"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主要污染因子及超标倍数</w:t>
                  </w:r>
                </w:p>
              </w:tc>
              <w:tc>
                <w:tcPr>
                  <w:tcW w:w="1105" w:type="dxa"/>
                </w:tcPr>
                <w:p>
                  <w:pPr>
                    <w:keepNext w:val="0"/>
                    <w:keepLines w:val="0"/>
                    <w:widowControl/>
                    <w:suppressLineNumbers w:val="0"/>
                    <w:jc w:val="center"/>
                    <w:rPr>
                      <w:color w:val="auto"/>
                      <w:sz w:val="21"/>
                      <w:szCs w:val="21"/>
                      <w:highlight w:val="none"/>
                    </w:rPr>
                  </w:pPr>
                  <w:r>
                    <w:rPr>
                      <w:rFonts w:hint="eastAsia" w:ascii="宋体" w:hAnsi="宋体" w:eastAsia="宋体" w:cs="宋体"/>
                      <w:color w:val="auto"/>
                      <w:kern w:val="0"/>
                      <w:sz w:val="21"/>
                      <w:szCs w:val="21"/>
                      <w:highlight w:val="none"/>
                      <w:lang w:val="en-US" w:eastAsia="zh-CN" w:bidi="ar"/>
                    </w:rPr>
                    <w:t>规定类别</w:t>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105" w:type="dxa"/>
                </w:tcPr>
                <w:p>
                  <w:pPr>
                    <w:keepNext w:val="0"/>
                    <w:keepLines w:val="0"/>
                    <w:widowControl/>
                    <w:suppressLineNumbers w:val="0"/>
                    <w:jc w:val="center"/>
                    <w:rPr>
                      <w:color w:val="auto"/>
                      <w:sz w:val="21"/>
                      <w:szCs w:val="21"/>
                      <w:highlight w:val="none"/>
                    </w:rPr>
                  </w:pPr>
                  <w:r>
                    <w:rPr>
                      <w:rFonts w:hint="eastAsia" w:ascii="宋体" w:hAnsi="宋体" w:eastAsia="宋体" w:cs="宋体"/>
                      <w:color w:val="auto"/>
                      <w:kern w:val="0"/>
                      <w:sz w:val="21"/>
                      <w:szCs w:val="21"/>
                      <w:highlight w:val="none"/>
                      <w:lang w:val="en-US" w:eastAsia="zh-CN" w:bidi="ar"/>
                    </w:rPr>
                    <w:t>达标性</w:t>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kern w:val="0"/>
                      <w:sz w:val="21"/>
                      <w:szCs w:val="21"/>
                      <w:highlight w:val="none"/>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62" w:type="dxa"/>
                  <w:vMerge w:val="restart"/>
                </w:tcPr>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eastAsia" w:cs="宋体"/>
                      <w:color w:val="auto"/>
                      <w:kern w:val="0"/>
                      <w:sz w:val="21"/>
                      <w:szCs w:val="21"/>
                      <w:highlight w:val="none"/>
                      <w:vertAlign w:val="baseline"/>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eastAsia" w:cs="宋体"/>
                      <w:color w:val="auto"/>
                      <w:kern w:val="0"/>
                      <w:sz w:val="21"/>
                      <w:szCs w:val="21"/>
                      <w:highlight w:val="none"/>
                      <w:vertAlign w:val="baseline"/>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eastAsia"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九</w:t>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eastAsia"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龙</w:t>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default" w:ascii="宋体" w:hAnsi="宋体"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河</w:t>
                  </w:r>
                </w:p>
              </w:tc>
              <w:tc>
                <w:tcPr>
                  <w:tcW w:w="991" w:type="dxa"/>
                  <w:vMerge w:val="restart"/>
                </w:tcPr>
                <w:p>
                  <w:pPr>
                    <w:keepNext w:val="0"/>
                    <w:keepLines w:val="0"/>
                    <w:widowControl/>
                    <w:suppressLineNumbers w:val="0"/>
                    <w:jc w:val="center"/>
                    <w:rPr>
                      <w:color w:val="auto"/>
                      <w:sz w:val="21"/>
                      <w:szCs w:val="21"/>
                      <w:highlight w:val="none"/>
                    </w:rPr>
                  </w:pPr>
                  <w:r>
                    <w:rPr>
                      <w:rFonts w:hint="eastAsia" w:ascii="宋体" w:hAnsi="宋体" w:eastAsia="宋体" w:cs="宋体"/>
                      <w:color w:val="auto"/>
                      <w:kern w:val="0"/>
                      <w:sz w:val="21"/>
                      <w:szCs w:val="21"/>
                      <w:highlight w:val="none"/>
                      <w:lang w:val="en-US" w:eastAsia="zh-CN" w:bidi="ar"/>
                    </w:rPr>
                    <w:t>汤古乡汤古</w:t>
                  </w:r>
                </w:p>
                <w:p>
                  <w:pPr>
                    <w:keepNext w:val="0"/>
                    <w:keepLines w:val="0"/>
                    <w:widowControl/>
                    <w:suppressLineNumbers w:val="0"/>
                    <w:jc w:val="center"/>
                    <w:rPr>
                      <w:rFonts w:hint="eastAsia" w:ascii="宋体" w:hAnsi="宋体" w:eastAsia="宋体" w:cs="宋体"/>
                      <w:color w:val="auto"/>
                      <w:kern w:val="0"/>
                      <w:sz w:val="21"/>
                      <w:szCs w:val="21"/>
                      <w:highlight w:val="none"/>
                      <w:vertAlign w:val="baseline"/>
                      <w:lang w:val="en-US" w:eastAsia="zh-CN" w:bidi="ar"/>
                    </w:rPr>
                  </w:pPr>
                  <w:r>
                    <w:rPr>
                      <w:rFonts w:hint="eastAsia" w:ascii="宋体" w:hAnsi="宋体" w:eastAsia="宋体" w:cs="宋体"/>
                      <w:color w:val="auto"/>
                      <w:kern w:val="0"/>
                      <w:sz w:val="21"/>
                      <w:szCs w:val="21"/>
                      <w:highlight w:val="none"/>
                      <w:lang w:val="en-US" w:eastAsia="zh-CN" w:bidi="ar"/>
                    </w:rPr>
                    <w:t>村中古组</w:t>
                  </w:r>
                </w:p>
              </w:tc>
              <w:tc>
                <w:tcPr>
                  <w:tcW w:w="1562" w:type="dxa"/>
                </w:tcPr>
                <w:p>
                  <w:pPr>
                    <w:keepNext w:val="0"/>
                    <w:keepLines w:val="0"/>
                    <w:widowControl/>
                    <w:suppressLineNumbers w:val="0"/>
                    <w:jc w:val="center"/>
                    <w:rPr>
                      <w:rFonts w:hint="eastAsia" w:ascii="宋体" w:hAnsi="宋体" w:eastAsia="宋体" w:cs="宋体"/>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2020</w:t>
                  </w:r>
                  <w:r>
                    <w:rPr>
                      <w:rFonts w:hint="eastAsia" w:ascii="宋体" w:hAnsi="宋体" w:eastAsia="宋体" w:cs="宋体"/>
                      <w:color w:val="auto"/>
                      <w:kern w:val="0"/>
                      <w:sz w:val="21"/>
                      <w:szCs w:val="21"/>
                      <w:highlight w:val="none"/>
                      <w:lang w:val="en-US" w:eastAsia="zh-CN" w:bidi="ar"/>
                    </w:rPr>
                    <w:t>年</w:t>
                  </w:r>
                  <w:r>
                    <w:rPr>
                      <w:rFonts w:hint="default"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月</w:t>
                  </w:r>
                </w:p>
              </w:tc>
              <w:tc>
                <w:tcPr>
                  <w:tcW w:w="1105" w:type="dxa"/>
                </w:tcPr>
                <w:p>
                  <w:pPr>
                    <w:keepNext w:val="0"/>
                    <w:keepLines w:val="0"/>
                    <w:widowControl/>
                    <w:suppressLineNumbers w:val="0"/>
                    <w:jc w:val="center"/>
                    <w:rPr>
                      <w:rFonts w:hint="eastAsia" w:ascii="宋体" w:hAnsi="宋体" w:eastAsia="宋体" w:cs="宋体"/>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II</w:t>
                  </w:r>
                </w:p>
              </w:tc>
              <w:tc>
                <w:tcPr>
                  <w:tcW w:w="1105" w:type="dxa"/>
                </w:tcPr>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default" w:ascii="宋体" w:hAnsi="宋体" w:eastAsia="宋体" w:cs="宋体"/>
                      <w:color w:val="auto"/>
                      <w:kern w:val="0"/>
                      <w:sz w:val="21"/>
                      <w:szCs w:val="21"/>
                      <w:highlight w:val="none"/>
                      <w:vertAlign w:val="baseline"/>
                      <w:lang w:val="en-US" w:eastAsia="zh-CN" w:bidi="ar"/>
                    </w:rPr>
                  </w:pPr>
                  <w:r>
                    <w:rPr>
                      <w:rFonts w:hint="eastAsia" w:cs="宋体"/>
                      <w:color w:val="auto"/>
                      <w:kern w:val="0"/>
                      <w:sz w:val="21"/>
                      <w:szCs w:val="21"/>
                      <w:highlight w:val="none"/>
                      <w:vertAlign w:val="baseline"/>
                      <w:lang w:val="en-US" w:eastAsia="zh-CN" w:bidi="ar"/>
                    </w:rPr>
                    <w:t>/</w:t>
                  </w:r>
                </w:p>
              </w:tc>
              <w:tc>
                <w:tcPr>
                  <w:tcW w:w="1105" w:type="dxa"/>
                </w:tcPr>
                <w:p>
                  <w:pPr>
                    <w:keepNext w:val="0"/>
                    <w:keepLines w:val="0"/>
                    <w:widowControl/>
                    <w:suppressLineNumbers w:val="0"/>
                    <w:jc w:val="center"/>
                    <w:rPr>
                      <w:rFonts w:hint="eastAsia" w:ascii="宋体" w:hAnsi="宋体" w:eastAsia="宋体" w:cs="宋体"/>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lang w:val="en-US" w:eastAsia="zh-CN" w:bidi="ar"/>
                    </w:rPr>
                    <w:t>II</w:t>
                  </w:r>
                </w:p>
              </w:tc>
              <w:tc>
                <w:tcPr>
                  <w:tcW w:w="1105" w:type="dxa"/>
                </w:tcPr>
                <w:p>
                  <w:pPr>
                    <w:keepNext w:val="0"/>
                    <w:keepLines w:val="0"/>
                    <w:widowControl/>
                    <w:suppressLineNumbers w:val="0"/>
                    <w:jc w:val="center"/>
                    <w:rPr>
                      <w:rFonts w:hint="eastAsia" w:ascii="宋体" w:hAnsi="宋体" w:eastAsia="宋体" w:cs="宋体"/>
                      <w:color w:val="auto"/>
                      <w:kern w:val="0"/>
                      <w:sz w:val="21"/>
                      <w:szCs w:val="21"/>
                      <w:highlight w:val="none"/>
                      <w:vertAlign w:val="baseline"/>
                      <w:lang w:val="en-US" w:eastAsia="zh-CN" w:bidi="ar"/>
                    </w:rPr>
                  </w:pPr>
                  <w:r>
                    <w:rPr>
                      <w:rFonts w:hint="eastAsia" w:ascii="宋体" w:hAnsi="宋体" w:eastAsia="宋体" w:cs="宋体"/>
                      <w:color w:val="auto"/>
                      <w:kern w:val="0"/>
                      <w:sz w:val="21"/>
                      <w:szCs w:val="21"/>
                      <w:highlight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62" w:type="dxa"/>
                  <w:vMerge w:val="continue"/>
                </w:tcPr>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991" w:type="dxa"/>
                  <w:vMerge w:val="continue"/>
                </w:tcPr>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562" w:type="dxa"/>
                </w:tcPr>
                <w:p>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2020</w:t>
                  </w:r>
                  <w:r>
                    <w:rPr>
                      <w:rFonts w:hint="eastAsia" w:ascii="Times New Roman" w:hAnsi="Times New Roman" w:eastAsia="宋体" w:cs="Times New Roman"/>
                      <w:color w:val="auto"/>
                      <w:kern w:val="0"/>
                      <w:sz w:val="21"/>
                      <w:szCs w:val="21"/>
                      <w:highlight w:val="none"/>
                      <w:lang w:val="en-US" w:eastAsia="zh-CN" w:bidi="ar"/>
                    </w:rPr>
                    <w:t>年11月</w:t>
                  </w:r>
                </w:p>
              </w:tc>
              <w:tc>
                <w:tcPr>
                  <w:tcW w:w="1105" w:type="dxa"/>
                </w:tcPr>
                <w:p>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II</w:t>
                  </w:r>
                </w:p>
              </w:tc>
              <w:tc>
                <w:tcPr>
                  <w:tcW w:w="1105" w:type="dxa"/>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w:t>
                  </w:r>
                </w:p>
              </w:tc>
              <w:tc>
                <w:tcPr>
                  <w:tcW w:w="1105" w:type="dxa"/>
                </w:tcPr>
                <w:p>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II</w:t>
                  </w:r>
                </w:p>
              </w:tc>
              <w:tc>
                <w:tcPr>
                  <w:tcW w:w="1105" w:type="dxa"/>
                </w:tcPr>
                <w:p>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62" w:type="dxa"/>
                  <w:vMerge w:val="continue"/>
                </w:tcPr>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991" w:type="dxa"/>
                  <w:vMerge w:val="continue"/>
                </w:tcPr>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562" w:type="dxa"/>
                </w:tcPr>
                <w:p>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2020</w:t>
                  </w:r>
                  <w:r>
                    <w:rPr>
                      <w:rFonts w:hint="eastAsia" w:ascii="Times New Roman" w:hAnsi="Times New Roman" w:eastAsia="宋体" w:cs="Times New Roman"/>
                      <w:color w:val="auto"/>
                      <w:kern w:val="0"/>
                      <w:sz w:val="21"/>
                      <w:szCs w:val="21"/>
                      <w:highlight w:val="none"/>
                      <w:lang w:val="en-US" w:eastAsia="zh-CN" w:bidi="ar"/>
                    </w:rPr>
                    <w:t>年</w:t>
                  </w:r>
                  <w:r>
                    <w:rPr>
                      <w:rFonts w:hint="eastAsia" w:ascii="Times New Roman" w:hAnsi="Times New Roman"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2月</w:t>
                  </w:r>
                </w:p>
              </w:tc>
              <w:tc>
                <w:tcPr>
                  <w:tcW w:w="1105" w:type="dxa"/>
                </w:tcPr>
                <w:p>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II</w:t>
                  </w:r>
                </w:p>
              </w:tc>
              <w:tc>
                <w:tcPr>
                  <w:tcW w:w="1105" w:type="dxa"/>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w:t>
                  </w:r>
                </w:p>
              </w:tc>
              <w:tc>
                <w:tcPr>
                  <w:tcW w:w="1105" w:type="dxa"/>
                </w:tcPr>
                <w:p>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II</w:t>
                  </w:r>
                </w:p>
              </w:tc>
              <w:tc>
                <w:tcPr>
                  <w:tcW w:w="1105" w:type="dxa"/>
                </w:tcPr>
                <w:p>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62" w:type="dxa"/>
                  <w:vMerge w:val="continue"/>
                </w:tcPr>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991" w:type="dxa"/>
                  <w:vMerge w:val="restart"/>
                </w:tcPr>
                <w:p>
                  <w:pPr>
                    <w:keepNext w:val="0"/>
                    <w:keepLines w:val="0"/>
                    <w:widowControl/>
                    <w:suppressLineNumbers w:val="0"/>
                    <w:jc w:val="center"/>
                    <w:rPr>
                      <w:rFonts w:hint="eastAsia" w:ascii="宋体" w:hAnsi="宋体" w:eastAsia="宋体" w:cs="宋体"/>
                      <w:color w:val="auto"/>
                      <w:kern w:val="0"/>
                      <w:sz w:val="21"/>
                      <w:szCs w:val="21"/>
                      <w:highlight w:val="none"/>
                      <w:vertAlign w:val="baseline"/>
                      <w:lang w:val="en-US" w:eastAsia="zh-CN" w:bidi="ar"/>
                    </w:rPr>
                  </w:pPr>
                  <w:r>
                    <w:rPr>
                      <w:rFonts w:hint="eastAsia" w:ascii="宋体" w:hAnsi="宋体" w:eastAsia="宋体" w:cs="宋体"/>
                      <w:color w:val="auto"/>
                      <w:kern w:val="0"/>
                      <w:sz w:val="21"/>
                      <w:szCs w:val="21"/>
                      <w:highlight w:val="none"/>
                      <w:lang w:val="en-US" w:eastAsia="zh-CN" w:bidi="ar"/>
                    </w:rPr>
                    <w:t>乃渠乡水打坝村水打坝组</w:t>
                  </w:r>
                </w:p>
              </w:tc>
              <w:tc>
                <w:tcPr>
                  <w:tcW w:w="1562" w:type="dxa"/>
                  <w:vAlign w:val="top"/>
                </w:tcPr>
                <w:p>
                  <w:pPr>
                    <w:keepNext w:val="0"/>
                    <w:keepLines w:val="0"/>
                    <w:widowControl/>
                    <w:suppressLineNumbers w:val="0"/>
                    <w:ind w:left="0" w:leftChars="0" w:right="0" w:rightChars="0"/>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2020</w:t>
                  </w:r>
                  <w:r>
                    <w:rPr>
                      <w:rFonts w:hint="eastAsia" w:ascii="宋体" w:hAnsi="宋体" w:eastAsia="宋体" w:cs="宋体"/>
                      <w:color w:val="auto"/>
                      <w:kern w:val="0"/>
                      <w:sz w:val="21"/>
                      <w:szCs w:val="21"/>
                      <w:highlight w:val="none"/>
                      <w:lang w:val="en-US" w:eastAsia="zh-CN" w:bidi="ar"/>
                    </w:rPr>
                    <w:t>年</w:t>
                  </w:r>
                  <w:r>
                    <w:rPr>
                      <w:rFonts w:hint="default"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val="en-US" w:eastAsia="zh-CN" w:bidi="ar"/>
                    </w:rPr>
                    <w:t>月</w:t>
                  </w:r>
                </w:p>
              </w:tc>
              <w:tc>
                <w:tcPr>
                  <w:tcW w:w="1105" w:type="dxa"/>
                </w:tcPr>
                <w:p>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II</w:t>
                  </w:r>
                </w:p>
              </w:tc>
              <w:tc>
                <w:tcPr>
                  <w:tcW w:w="1105" w:type="dxa"/>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w:t>
                  </w:r>
                </w:p>
              </w:tc>
              <w:tc>
                <w:tcPr>
                  <w:tcW w:w="1105" w:type="dxa"/>
                </w:tcPr>
                <w:p>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II</w:t>
                  </w:r>
                </w:p>
              </w:tc>
              <w:tc>
                <w:tcPr>
                  <w:tcW w:w="1105" w:type="dxa"/>
                </w:tcPr>
                <w:p>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762" w:type="dxa"/>
                  <w:vMerge w:val="continue"/>
                </w:tcPr>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991" w:type="dxa"/>
                  <w:vMerge w:val="continue"/>
                </w:tcPr>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562" w:type="dxa"/>
                  <w:vAlign w:val="top"/>
                </w:tcPr>
                <w:p>
                  <w:pPr>
                    <w:keepNext w:val="0"/>
                    <w:keepLines w:val="0"/>
                    <w:widowControl/>
                    <w:suppressLineNumbers w:val="0"/>
                    <w:ind w:left="0" w:leftChars="0" w:right="0" w:rightChars="0"/>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2020</w:t>
                  </w:r>
                  <w:r>
                    <w:rPr>
                      <w:rFonts w:hint="eastAsia" w:ascii="Times New Roman" w:hAnsi="Times New Roman" w:eastAsia="宋体" w:cs="Times New Roman"/>
                      <w:color w:val="auto"/>
                      <w:kern w:val="0"/>
                      <w:sz w:val="21"/>
                      <w:szCs w:val="21"/>
                      <w:highlight w:val="none"/>
                      <w:lang w:val="en-US" w:eastAsia="zh-CN" w:bidi="ar"/>
                    </w:rPr>
                    <w:t>年11月</w:t>
                  </w:r>
                </w:p>
              </w:tc>
              <w:tc>
                <w:tcPr>
                  <w:tcW w:w="1105" w:type="dxa"/>
                </w:tcPr>
                <w:p>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II</w:t>
                  </w:r>
                </w:p>
              </w:tc>
              <w:tc>
                <w:tcPr>
                  <w:tcW w:w="1105" w:type="dxa"/>
                </w:tcPr>
                <w:p>
                  <w:pPr>
                    <w:keepNext w:val="0"/>
                    <w:keepLines w:val="0"/>
                    <w:widowControl/>
                    <w:suppressLineNumbers w:val="0"/>
                    <w:jc w:val="center"/>
                    <w:rPr>
                      <w:rFonts w:hint="default"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w:t>
                  </w:r>
                </w:p>
              </w:tc>
              <w:tc>
                <w:tcPr>
                  <w:tcW w:w="1105" w:type="dxa"/>
                </w:tcPr>
                <w:p>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II</w:t>
                  </w:r>
                </w:p>
              </w:tc>
              <w:tc>
                <w:tcPr>
                  <w:tcW w:w="1105" w:type="dxa"/>
                </w:tcPr>
                <w:p>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762" w:type="dxa"/>
                  <w:vMerge w:val="continue"/>
                </w:tcPr>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991" w:type="dxa"/>
                  <w:vMerge w:val="continue"/>
                </w:tcPr>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color w:val="auto"/>
                      <w:kern w:val="0"/>
                      <w:sz w:val="21"/>
                      <w:szCs w:val="21"/>
                      <w:highlight w:val="none"/>
                      <w:vertAlign w:val="baseline"/>
                      <w:lang w:val="en-US" w:eastAsia="zh-CN" w:bidi="ar"/>
                    </w:rPr>
                  </w:pPr>
                </w:p>
              </w:tc>
              <w:tc>
                <w:tcPr>
                  <w:tcW w:w="1562" w:type="dxa"/>
                  <w:vAlign w:val="top"/>
                </w:tcPr>
                <w:p>
                  <w:pPr>
                    <w:keepNext w:val="0"/>
                    <w:keepLines w:val="0"/>
                    <w:widowControl/>
                    <w:suppressLineNumbers w:val="0"/>
                    <w:ind w:left="0" w:leftChars="0" w:right="0" w:rightChars="0"/>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2020</w:t>
                  </w:r>
                  <w:r>
                    <w:rPr>
                      <w:rFonts w:hint="eastAsia" w:ascii="Times New Roman" w:hAnsi="Times New Roman" w:eastAsia="宋体" w:cs="Times New Roman"/>
                      <w:color w:val="auto"/>
                      <w:kern w:val="0"/>
                      <w:sz w:val="21"/>
                      <w:szCs w:val="21"/>
                      <w:highlight w:val="none"/>
                      <w:lang w:val="en-US" w:eastAsia="zh-CN" w:bidi="ar"/>
                    </w:rPr>
                    <w:t>年</w:t>
                  </w:r>
                  <w:r>
                    <w:rPr>
                      <w:rFonts w:hint="eastAsia" w:ascii="Times New Roman" w:hAnsi="Times New Roman"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2月</w:t>
                  </w:r>
                </w:p>
              </w:tc>
              <w:tc>
                <w:tcPr>
                  <w:tcW w:w="1105" w:type="dxa"/>
                </w:tcPr>
                <w:p>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II</w:t>
                  </w:r>
                </w:p>
              </w:tc>
              <w:tc>
                <w:tcPr>
                  <w:tcW w:w="1105" w:type="dxa"/>
                </w:tcPr>
                <w:p>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cs="Times New Roman"/>
                      <w:color w:val="auto"/>
                      <w:kern w:val="0"/>
                      <w:sz w:val="21"/>
                      <w:szCs w:val="21"/>
                      <w:highlight w:val="none"/>
                      <w:lang w:val="en-US" w:eastAsia="zh-CN" w:bidi="ar"/>
                    </w:rPr>
                    <w:t>/</w:t>
                  </w:r>
                </w:p>
              </w:tc>
              <w:tc>
                <w:tcPr>
                  <w:tcW w:w="1105" w:type="dxa"/>
                </w:tcPr>
                <w:p>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II</w:t>
                  </w:r>
                </w:p>
              </w:tc>
              <w:tc>
                <w:tcPr>
                  <w:tcW w:w="1105" w:type="dxa"/>
                </w:tcPr>
                <w:p>
                  <w:pPr>
                    <w:keepNext w:val="0"/>
                    <w:keepLines w:val="0"/>
                    <w:widowControl/>
                    <w:suppressLineNumbers w:val="0"/>
                    <w:jc w:val="center"/>
                    <w:rPr>
                      <w:rFonts w:hint="eastAsia" w:ascii="Times New Roman" w:hAnsi="Times New Roman" w:eastAsia="宋体" w:cs="Times New Roman"/>
                      <w:color w:val="auto"/>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达标</w:t>
                  </w:r>
                </w:p>
              </w:tc>
            </w:tr>
          </w:tbl>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项目区域地表水九龙河断面均能达到《地表水环境质量标准》（GB3838-2002）II类水域标准</w:t>
            </w:r>
          </w:p>
          <w:p>
            <w:pPr>
              <w:spacing w:line="360" w:lineRule="auto"/>
              <w:outlineLvl w:val="2"/>
              <w:rPr>
                <w:rFonts w:hint="eastAsia" w:ascii="宋体" w:hAnsi="宋体" w:eastAsia="宋体" w:cs="宋体"/>
                <w:b/>
                <w:bCs w:val="0"/>
                <w:color w:val="auto"/>
                <w:sz w:val="24"/>
                <w:highlight w:val="none"/>
              </w:rPr>
            </w:pPr>
            <w:r>
              <w:rPr>
                <w:rFonts w:hint="eastAsia" w:ascii="宋体" w:hAnsi="宋体" w:eastAsia="宋体" w:cs="宋体"/>
                <w:b/>
                <w:bCs w:val="0"/>
                <w:color w:val="auto"/>
                <w:sz w:val="24"/>
                <w:highlight w:val="none"/>
              </w:rPr>
              <w:t>三、声学环境质量</w:t>
            </w:r>
          </w:p>
          <w:p>
            <w:pPr>
              <w:spacing w:line="360" w:lineRule="auto"/>
              <w:ind w:firstLine="482"/>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1、监测布点</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本次噪声监测布设</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个环境噪声监测点</w:t>
            </w:r>
            <w:r>
              <w:rPr>
                <w:rFonts w:hint="default" w:ascii="Times New Roman" w:hAnsi="Times New Roman" w:cs="Times New Roman"/>
                <w:color w:val="auto"/>
                <w:sz w:val="24"/>
                <w:highlight w:val="none"/>
                <w:lang w:val="en-US" w:eastAsia="zh-CN"/>
              </w:rPr>
              <w:t>拟建场地中心点</w:t>
            </w:r>
            <w:r>
              <w:rPr>
                <w:rFonts w:hint="default" w:ascii="Times New Roman" w:hAnsi="Times New Roman" w:cs="Times New Roman"/>
                <w:color w:val="auto"/>
                <w:sz w:val="24"/>
                <w:highlight w:val="none"/>
              </w:rPr>
              <w:t>。具体监测点布置见表3-8和附图。</w:t>
            </w:r>
          </w:p>
          <w:p>
            <w:pPr>
              <w:snapToGrid w:val="0"/>
              <w:spacing w:line="36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表3-</w:t>
            </w:r>
            <w:r>
              <w:rPr>
                <w:rFonts w:hint="default" w:ascii="Times New Roman" w:hAnsi="Times New Roman"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rPr>
              <w:t xml:space="preserve">  声环境监测布点表</w:t>
            </w:r>
          </w:p>
          <w:tbl>
            <w:tblPr>
              <w:tblStyle w:val="11"/>
              <w:tblW w:w="471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03"/>
              <w:gridCol w:w="1663"/>
              <w:gridCol w:w="463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7" w:hRule="atLeast"/>
                <w:jc w:val="center"/>
              </w:trPr>
              <w:tc>
                <w:tcPr>
                  <w:tcW w:w="911" w:type="pct"/>
                  <w:noWrap w:val="0"/>
                  <w:vAlign w:val="top"/>
                </w:tcPr>
                <w:p>
                  <w:pPr>
                    <w:spacing w:line="276" w:lineRule="auto"/>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监测类别</w:t>
                  </w:r>
                </w:p>
              </w:tc>
              <w:tc>
                <w:tcPr>
                  <w:tcW w:w="1080" w:type="pct"/>
                  <w:noWrap w:val="0"/>
                  <w:vAlign w:val="top"/>
                </w:tcPr>
                <w:p>
                  <w:pPr>
                    <w:spacing w:line="276" w:lineRule="auto"/>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监测点位编号</w:t>
                  </w:r>
                </w:p>
              </w:tc>
              <w:tc>
                <w:tcPr>
                  <w:tcW w:w="3008" w:type="pct"/>
                  <w:noWrap w:val="0"/>
                  <w:vAlign w:val="top"/>
                </w:tcPr>
                <w:p>
                  <w:pPr>
                    <w:spacing w:line="276" w:lineRule="auto"/>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监测点位位置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3" w:hRule="atLeast"/>
                <w:jc w:val="center"/>
              </w:trPr>
              <w:tc>
                <w:tcPr>
                  <w:tcW w:w="911" w:type="pct"/>
                  <w:noWrap w:val="0"/>
                  <w:vAlign w:val="center"/>
                </w:tcPr>
                <w:p>
                  <w:pPr>
                    <w:spacing w:line="276" w:lineRule="auto"/>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 xml:space="preserve">声环境噪声 </w:t>
                  </w:r>
                </w:p>
              </w:tc>
              <w:tc>
                <w:tcPr>
                  <w:tcW w:w="1080" w:type="pct"/>
                  <w:noWrap w:val="0"/>
                  <w:vAlign w:val="center"/>
                </w:tcPr>
                <w:p>
                  <w:pPr>
                    <w:spacing w:line="276" w:lineRule="auto"/>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rPr>
                    <w:t>1#</w:t>
                  </w:r>
                </w:p>
              </w:tc>
              <w:tc>
                <w:tcPr>
                  <w:tcW w:w="3008" w:type="pct"/>
                  <w:noWrap w:val="0"/>
                  <w:vAlign w:val="top"/>
                </w:tcPr>
                <w:p>
                  <w:pPr>
                    <w:spacing w:line="276" w:lineRule="auto"/>
                    <w:jc w:val="center"/>
                    <w:rPr>
                      <w:rFonts w:hint="default" w:ascii="Times New Roman" w:hAnsi="Times New Roman" w:cs="Times New Roman"/>
                      <w:b w:val="0"/>
                      <w:bCs/>
                      <w:color w:val="auto"/>
                      <w:sz w:val="21"/>
                      <w:szCs w:val="21"/>
                      <w:highlight w:val="none"/>
                    </w:rPr>
                  </w:pPr>
                  <w:r>
                    <w:rPr>
                      <w:rFonts w:hint="default" w:ascii="Times New Roman" w:hAnsi="Times New Roman" w:cs="Times New Roman"/>
                      <w:b w:val="0"/>
                      <w:bCs/>
                      <w:color w:val="auto"/>
                      <w:sz w:val="21"/>
                      <w:szCs w:val="21"/>
                      <w:highlight w:val="none"/>
                      <w:lang w:val="en-US" w:eastAsia="zh-CN"/>
                    </w:rPr>
                    <w:t>拟建厂址中心点</w:t>
                  </w:r>
                </w:p>
              </w:tc>
            </w:tr>
          </w:tbl>
          <w:p>
            <w:pPr>
              <w:ind w:left="0" w:leftChars="0" w:firstLine="0" w:firstLineChars="0"/>
              <w:rPr>
                <w:rFonts w:hint="default" w:ascii="Times New Roman" w:hAnsi="Times New Roman" w:eastAsia="宋体" w:cs="Times New Roman"/>
                <w:color w:val="000000"/>
                <w:kern w:val="0"/>
                <w:sz w:val="24"/>
                <w:szCs w:val="24"/>
                <w:lang w:val="en-US" w:eastAsia="zh-CN" w:bidi="ar"/>
              </w:rPr>
            </w:pPr>
          </w:p>
          <w:p>
            <w:pPr>
              <w:keepNext w:val="0"/>
              <w:keepLines w:val="0"/>
              <w:pageBreakBefore w:val="0"/>
              <w:widowControl w:val="0"/>
              <w:kinsoku/>
              <w:wordWrap/>
              <w:overflowPunct/>
              <w:topLinePunct w:val="0"/>
              <w:bidi w:val="0"/>
              <w:adjustRightInd/>
              <w:snapToGrid/>
              <w:spacing w:line="360" w:lineRule="auto"/>
              <w:ind w:firstLine="482"/>
              <w:textAlignment w:val="auto"/>
              <w:rPr>
                <w:rFonts w:hint="default" w:ascii="Times New Roman" w:hAnsi="Times New Roman" w:cs="Times New Roman"/>
                <w:color w:val="auto"/>
                <w:sz w:val="24"/>
                <w:highlight w:val="none"/>
              </w:rPr>
            </w:pPr>
            <w:bookmarkStart w:id="2" w:name="_Toc471738966"/>
            <w:r>
              <w:rPr>
                <w:rFonts w:hint="default" w:ascii="Times New Roman" w:hAnsi="Times New Roman" w:cs="Times New Roman"/>
                <w:color w:val="auto"/>
                <w:sz w:val="24"/>
                <w:highlight w:val="none"/>
              </w:rPr>
              <w:t>2、监测项目</w:t>
            </w:r>
            <w:bookmarkEnd w:id="2"/>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等效连续A声级。</w:t>
            </w:r>
          </w:p>
          <w:p>
            <w:pPr>
              <w:keepNext w:val="0"/>
              <w:keepLines w:val="0"/>
              <w:pageBreakBefore w:val="0"/>
              <w:widowControl w:val="0"/>
              <w:kinsoku/>
              <w:wordWrap/>
              <w:overflowPunct/>
              <w:topLinePunct w:val="0"/>
              <w:bidi w:val="0"/>
              <w:adjustRightInd/>
              <w:snapToGrid/>
              <w:spacing w:line="360" w:lineRule="auto"/>
              <w:ind w:firstLine="482"/>
              <w:textAlignment w:val="auto"/>
              <w:rPr>
                <w:rFonts w:hint="default" w:ascii="Times New Roman" w:hAnsi="Times New Roman" w:cs="Times New Roman"/>
                <w:color w:val="auto"/>
                <w:sz w:val="24"/>
                <w:highlight w:val="none"/>
              </w:rPr>
            </w:pPr>
            <w:bookmarkStart w:id="3" w:name="_Toc471738967"/>
            <w:r>
              <w:rPr>
                <w:rFonts w:hint="default" w:ascii="Times New Roman" w:hAnsi="Times New Roman" w:cs="Times New Roman"/>
                <w:color w:val="auto"/>
                <w:sz w:val="24"/>
                <w:highlight w:val="none"/>
              </w:rPr>
              <w:t>3、监测时间和频率</w:t>
            </w:r>
            <w:bookmarkEnd w:id="3"/>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202</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日至202</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rPr>
              <w:t>年</w:t>
            </w:r>
            <w:r>
              <w:rPr>
                <w:rFonts w:hint="default" w:ascii="Times New Roman" w:hAnsi="Times New Roman" w:cs="Times New Roman"/>
                <w:color w:val="auto"/>
                <w:sz w:val="24"/>
                <w:highlight w:val="none"/>
                <w:lang w:val="en-US" w:eastAsia="zh-CN"/>
              </w:rPr>
              <w:t>7</w:t>
            </w:r>
            <w:r>
              <w:rPr>
                <w:rFonts w:hint="default" w:ascii="Times New Roman" w:hAnsi="Times New Roman" w:cs="Times New Roman"/>
                <w:color w:val="auto"/>
                <w:sz w:val="24"/>
                <w:highlight w:val="none"/>
              </w:rPr>
              <w:t>月</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日连续监测2天，昼、夜各监测1次。</w:t>
            </w:r>
          </w:p>
          <w:p>
            <w:pPr>
              <w:keepNext w:val="0"/>
              <w:keepLines w:val="0"/>
              <w:pageBreakBefore w:val="0"/>
              <w:widowControl w:val="0"/>
              <w:kinsoku/>
              <w:wordWrap/>
              <w:overflowPunct/>
              <w:topLinePunct w:val="0"/>
              <w:bidi w:val="0"/>
              <w:adjustRightInd/>
              <w:snapToGrid/>
              <w:spacing w:line="360" w:lineRule="auto"/>
              <w:ind w:firstLine="482"/>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4、评价方法</w:t>
            </w:r>
          </w:p>
          <w:p>
            <w:pPr>
              <w:pStyle w:val="23"/>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 w:val="24"/>
                <w:szCs w:val="24"/>
                <w:highlight w:val="none"/>
              </w:rPr>
            </w:pPr>
            <w:bookmarkStart w:id="4" w:name="_Toc471738969"/>
            <w:r>
              <w:rPr>
                <w:rFonts w:hint="default" w:ascii="Times New Roman" w:hAnsi="Times New Roman" w:cs="Times New Roman"/>
                <w:color w:val="auto"/>
                <w:sz w:val="24"/>
                <w:szCs w:val="24"/>
                <w:highlight w:val="none"/>
              </w:rPr>
              <w:t>采用实测值（LAeq）与标准直接进行比较的方法进行评价。若实测值大于标准值则指数超标，若小于标准值则良好。</w:t>
            </w:r>
          </w:p>
          <w:p>
            <w:pPr>
              <w:numPr>
                <w:ilvl w:val="0"/>
                <w:numId w:val="0"/>
              </w:numPr>
              <w:spacing w:line="360" w:lineRule="auto"/>
              <w:ind w:right="0" w:rightChars="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5、</w:t>
            </w:r>
            <w:r>
              <w:rPr>
                <w:rFonts w:hint="default" w:ascii="Times New Roman" w:hAnsi="Times New Roman" w:cs="Times New Roman"/>
                <w:color w:val="auto"/>
                <w:sz w:val="24"/>
                <w:highlight w:val="none"/>
              </w:rPr>
              <w:t>监测结果及评价结果</w:t>
            </w:r>
            <w:bookmarkEnd w:id="4"/>
          </w:p>
          <w:p>
            <w:pPr>
              <w:spacing w:line="360" w:lineRule="auto"/>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表3-</w:t>
            </w:r>
            <w:r>
              <w:rPr>
                <w:rFonts w:hint="eastAsia" w:ascii="Times New Roman" w:hAnsi="Times New Roman" w:eastAsia="宋体" w:cs="Times New Roman"/>
                <w:b/>
                <w:bCs/>
                <w:color w:val="auto"/>
                <w:sz w:val="21"/>
                <w:szCs w:val="21"/>
                <w:highlight w:val="none"/>
                <w:lang w:val="en-US" w:eastAsia="zh-CN"/>
              </w:rPr>
              <w:t>8</w:t>
            </w:r>
            <w:r>
              <w:rPr>
                <w:rFonts w:hint="eastAsia" w:ascii="Times New Roman" w:hAnsi="Times New Roman" w:eastAsia="宋体" w:cs="Times New Roman"/>
                <w:b/>
                <w:bCs/>
                <w:color w:val="auto"/>
                <w:sz w:val="21"/>
                <w:szCs w:val="21"/>
                <w:highlight w:val="none"/>
              </w:rPr>
              <w:t xml:space="preserve">   噪声监测结果（单位:dB(A) ）</w:t>
            </w:r>
          </w:p>
          <w:tbl>
            <w:tblPr>
              <w:tblStyle w:val="11"/>
              <w:tblpPr w:leftFromText="180" w:rightFromText="180" w:vertAnchor="text" w:horzAnchor="page" w:tblpXSpec="center" w:tblpY="1"/>
              <w:tblOverlap w:val="never"/>
              <w:tblW w:w="7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848"/>
              <w:gridCol w:w="1242"/>
              <w:gridCol w:w="2229"/>
              <w:gridCol w:w="2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02" w:hRule="atLeast"/>
                <w:jc w:val="center"/>
              </w:trPr>
              <w:tc>
                <w:tcPr>
                  <w:tcW w:w="599"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jc w:val="both"/>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eastAsia="zh-CN"/>
                    </w:rPr>
                    <w:t>检测</w:t>
                  </w:r>
                  <w:r>
                    <w:rPr>
                      <w:rFonts w:hint="default" w:ascii="Times New Roman" w:hAnsi="Times New Roman" w:eastAsia="宋体" w:cs="Times New Roman"/>
                      <w:b/>
                      <w:bCs w:val="0"/>
                      <w:color w:val="auto"/>
                      <w:sz w:val="21"/>
                      <w:szCs w:val="21"/>
                    </w:rPr>
                    <w:t>日期</w:t>
                  </w:r>
                </w:p>
              </w:tc>
              <w:tc>
                <w:tcPr>
                  <w:tcW w:w="877"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eastAsia="zh-CN"/>
                    </w:rPr>
                    <w:t>检测</w:t>
                  </w:r>
                  <w:r>
                    <w:rPr>
                      <w:rFonts w:hint="default" w:ascii="Times New Roman" w:hAnsi="Times New Roman" w:eastAsia="宋体" w:cs="Times New Roman"/>
                      <w:b/>
                      <w:bCs w:val="0"/>
                      <w:color w:val="auto"/>
                      <w:sz w:val="21"/>
                      <w:szCs w:val="21"/>
                    </w:rPr>
                    <w:t>点位</w:t>
                  </w:r>
                </w:p>
              </w:tc>
              <w:tc>
                <w:tcPr>
                  <w:tcW w:w="1574"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lang w:eastAsia="zh-CN"/>
                    </w:rPr>
                    <w:t>检测</w:t>
                  </w:r>
                  <w:r>
                    <w:rPr>
                      <w:rFonts w:hint="default" w:ascii="Times New Roman" w:hAnsi="Times New Roman" w:eastAsia="宋体" w:cs="Times New Roman"/>
                      <w:b/>
                      <w:bCs w:val="0"/>
                      <w:color w:val="auto"/>
                      <w:sz w:val="21"/>
                      <w:szCs w:val="21"/>
                    </w:rPr>
                    <w:t>时间</w:t>
                  </w:r>
                </w:p>
              </w:tc>
              <w:tc>
                <w:tcPr>
                  <w:tcW w:w="1948" w:type="pct"/>
                  <w:tcBorders>
                    <w:tl2br w:val="nil"/>
                    <w:tr2bl w:val="nil"/>
                  </w:tcBorders>
                  <w:noWrap w:val="0"/>
                  <w:vAlign w:val="center"/>
                </w:tcPr>
                <w:p>
                  <w:pPr>
                    <w:pStyle w:val="24"/>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jc w:val="center"/>
                    <w:textAlignment w:val="auto"/>
                    <w:rPr>
                      <w:rFonts w:hint="default" w:ascii="Times New Roman" w:hAnsi="Times New Roman" w:eastAsia="宋体" w:cs="Times New Roman"/>
                      <w:b/>
                      <w:bCs w:val="0"/>
                      <w:color w:val="auto"/>
                      <w:sz w:val="21"/>
                      <w:szCs w:val="21"/>
                      <w:lang w:eastAsia="zh-CN"/>
                    </w:rPr>
                  </w:pPr>
                  <w:r>
                    <w:rPr>
                      <w:rFonts w:hint="default" w:ascii="Times New Roman" w:hAnsi="Times New Roman" w:eastAsia="宋体" w:cs="Times New Roman"/>
                      <w:b/>
                      <w:bCs w:val="0"/>
                      <w:color w:val="auto"/>
                      <w:sz w:val="21"/>
                      <w:szCs w:val="21"/>
                    </w:rPr>
                    <w:t>检测结果dB(A)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29" w:hRule="atLeast"/>
                <w:jc w:val="center"/>
              </w:trPr>
              <w:tc>
                <w:tcPr>
                  <w:tcW w:w="599"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Cs/>
                      <w:color w:val="auto"/>
                      <w:sz w:val="21"/>
                      <w:szCs w:val="21"/>
                      <w:lang w:val="en-US"/>
                    </w:rPr>
                  </w:pPr>
                  <w:r>
                    <w:rPr>
                      <w:rFonts w:hint="default" w:ascii="Times New Roman" w:hAnsi="Times New Roman" w:cs="Times New Roman"/>
                      <w:color w:val="auto"/>
                      <w:kern w:val="2"/>
                      <w:sz w:val="21"/>
                      <w:szCs w:val="21"/>
                      <w:lang w:val="en-US" w:eastAsia="zh-CN" w:bidi="ar-SA"/>
                    </w:rPr>
                    <w:t>7月1日</w:t>
                  </w:r>
                </w:p>
              </w:tc>
              <w:tc>
                <w:tcPr>
                  <w:tcW w:w="87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fldChar w:fldCharType="begin"/>
                  </w:r>
                  <w:r>
                    <w:rPr>
                      <w:rFonts w:hint="default" w:ascii="Times New Roman" w:hAnsi="Times New Roman" w:eastAsia="宋体" w:cs="Times New Roman"/>
                      <w:b w:val="0"/>
                      <w:bCs/>
                      <w:color w:val="auto"/>
                      <w:kern w:val="2"/>
                      <w:sz w:val="21"/>
                      <w:szCs w:val="21"/>
                      <w:vertAlign w:val="baseline"/>
                      <w:lang w:val="en-US" w:eastAsia="zh-CN" w:bidi="ar-SA"/>
                    </w:rPr>
                    <w:instrText xml:space="preserve"> REF 噪声1 \h \* MERGEFORMAT</w:instrText>
                  </w:r>
                  <w:r>
                    <w:rPr>
                      <w:rFonts w:hint="default" w:ascii="Times New Roman" w:hAnsi="Times New Roman" w:eastAsia="宋体" w:cs="Times New Roman"/>
                      <w:b w:val="0"/>
                      <w:bCs/>
                      <w:color w:val="auto"/>
                      <w:kern w:val="2"/>
                      <w:sz w:val="21"/>
                      <w:szCs w:val="21"/>
                      <w:vertAlign w:val="baseline"/>
                      <w:lang w:val="en-US" w:eastAsia="zh-CN" w:bidi="ar-SA"/>
                    </w:rPr>
                    <w:fldChar w:fldCharType="separate"/>
                  </w:r>
                  <w:r>
                    <w:rPr>
                      <w:rFonts w:hint="default" w:ascii="Times New Roman" w:hAnsi="Times New Roman" w:eastAsia="宋体" w:cs="Times New Roman"/>
                      <w:b w:val="0"/>
                      <w:bCs/>
                      <w:color w:val="auto"/>
                      <w:kern w:val="2"/>
                      <w:sz w:val="21"/>
                      <w:szCs w:val="21"/>
                      <w:vertAlign w:val="baseline"/>
                      <w:lang w:val="en-US" w:eastAsia="zh-CN" w:bidi="ar-SA"/>
                    </w:rPr>
                    <w:t>1# 项目厂址中心</w:t>
                  </w:r>
                  <w:r>
                    <w:rPr>
                      <w:rFonts w:hint="default" w:ascii="Times New Roman" w:hAnsi="Times New Roman" w:eastAsia="宋体" w:cs="Times New Roman"/>
                      <w:b w:val="0"/>
                      <w:bCs/>
                      <w:color w:val="auto"/>
                      <w:kern w:val="2"/>
                      <w:sz w:val="21"/>
                      <w:szCs w:val="21"/>
                      <w:vertAlign w:val="baseline"/>
                      <w:lang w:val="en-US" w:eastAsia="zh-CN" w:bidi="ar-SA"/>
                    </w:rPr>
                    <w:fldChar w:fldCharType="end"/>
                  </w:r>
                </w:p>
              </w:tc>
              <w:tc>
                <w:tcPr>
                  <w:tcW w:w="1574" w:type="pct"/>
                  <w:tcBorders>
                    <w:tl2br w:val="nil"/>
                    <w:tr2bl w:val="nil"/>
                  </w:tcBorders>
                  <w:noWrap w:val="0"/>
                  <w:vAlign w:val="center"/>
                </w:tcPr>
                <w:p>
                  <w:pPr>
                    <w:pStyle w:val="10"/>
                    <w:keepNext w:val="0"/>
                    <w:keepLines w:val="0"/>
                    <w:pageBreakBefore w:val="0"/>
                    <w:widowControl w:val="0"/>
                    <w:kinsoku/>
                    <w:wordWrap/>
                    <w:overflowPunct/>
                    <w:topLinePunct w:val="0"/>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09:37-09:47（昼）</w:t>
                  </w:r>
                </w:p>
              </w:tc>
              <w:tc>
                <w:tcPr>
                  <w:tcW w:w="1948"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29" w:hRule="atLeast"/>
                <w:jc w:val="center"/>
              </w:trPr>
              <w:tc>
                <w:tcPr>
                  <w:tcW w:w="599"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cs="Times New Roman"/>
                      <w:color w:val="auto"/>
                      <w:kern w:val="2"/>
                      <w:sz w:val="21"/>
                      <w:szCs w:val="21"/>
                      <w:lang w:val="en-US" w:eastAsia="zh-CN" w:bidi="ar-SA"/>
                    </w:rPr>
                  </w:pPr>
                </w:p>
              </w:tc>
              <w:tc>
                <w:tcPr>
                  <w:tcW w:w="8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p>
              </w:tc>
              <w:tc>
                <w:tcPr>
                  <w:tcW w:w="1574" w:type="pct"/>
                  <w:tcBorders>
                    <w:tl2br w:val="nil"/>
                    <w:tr2bl w:val="nil"/>
                  </w:tcBorders>
                  <w:noWrap w:val="0"/>
                  <w:vAlign w:val="center"/>
                </w:tcPr>
                <w:p>
                  <w:pPr>
                    <w:pStyle w:val="10"/>
                    <w:keepNext w:val="0"/>
                    <w:keepLines w:val="0"/>
                    <w:pageBreakBefore w:val="0"/>
                    <w:widowControl w:val="0"/>
                    <w:kinsoku/>
                    <w:wordWrap/>
                    <w:overflowPunct/>
                    <w:topLinePunct w:val="0"/>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bCs/>
                      <w:color w:val="auto"/>
                      <w:sz w:val="21"/>
                      <w:szCs w:val="21"/>
                      <w:lang w:val="en-US" w:eastAsia="zh-CN"/>
                    </w:rPr>
                    <w:t>22:08-22:18（夜）</w:t>
                  </w:r>
                </w:p>
              </w:tc>
              <w:tc>
                <w:tcPr>
                  <w:tcW w:w="1948"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29" w:hRule="atLeast"/>
                <w:jc w:val="center"/>
              </w:trPr>
              <w:tc>
                <w:tcPr>
                  <w:tcW w:w="599" w:type="pct"/>
                  <w:vMerge w:val="restar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7月2日</w:t>
                  </w:r>
                </w:p>
              </w:tc>
              <w:tc>
                <w:tcPr>
                  <w:tcW w:w="8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p>
              </w:tc>
              <w:tc>
                <w:tcPr>
                  <w:tcW w:w="1574" w:type="pct"/>
                  <w:tcBorders>
                    <w:tl2br w:val="nil"/>
                    <w:tr2bl w:val="nil"/>
                  </w:tcBorders>
                  <w:noWrap w:val="0"/>
                  <w:vAlign w:val="center"/>
                </w:tcPr>
                <w:p>
                  <w:pPr>
                    <w:pStyle w:val="10"/>
                    <w:keepNext w:val="0"/>
                    <w:keepLines w:val="0"/>
                    <w:pageBreakBefore w:val="0"/>
                    <w:widowControl w:val="0"/>
                    <w:kinsoku/>
                    <w:wordWrap/>
                    <w:overflowPunct/>
                    <w:topLinePunct w:val="0"/>
                    <w:bidi w:val="0"/>
                    <w:adjustRightInd w:val="0"/>
                    <w:snapToGrid/>
                    <w:spacing w:before="0" w:beforeAutospacing="0" w:after="0" w:afterAutospacing="0" w:line="240" w:lineRule="auto"/>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09:54-10:04（昼）</w:t>
                  </w:r>
                </w:p>
              </w:tc>
              <w:tc>
                <w:tcPr>
                  <w:tcW w:w="1948"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52" w:hRule="atLeast"/>
                <w:jc w:val="center"/>
              </w:trPr>
              <w:tc>
                <w:tcPr>
                  <w:tcW w:w="599" w:type="pct"/>
                  <w:vMerge w:val="continue"/>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cs="Times New Roman"/>
                      <w:color w:val="auto"/>
                      <w:kern w:val="2"/>
                      <w:sz w:val="21"/>
                      <w:szCs w:val="21"/>
                      <w:lang w:val="en-US" w:eastAsia="zh-CN" w:bidi="ar-SA"/>
                    </w:rPr>
                  </w:pPr>
                </w:p>
              </w:tc>
              <w:tc>
                <w:tcPr>
                  <w:tcW w:w="87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p>
              </w:tc>
              <w:tc>
                <w:tcPr>
                  <w:tcW w:w="1574" w:type="pct"/>
                  <w:tcBorders>
                    <w:tl2br w:val="nil"/>
                    <w:tr2bl w:val="nil"/>
                  </w:tcBorders>
                  <w:noWrap w:val="0"/>
                  <w:vAlign w:val="center"/>
                </w:tcPr>
                <w:p>
                  <w:pPr>
                    <w:pStyle w:val="10"/>
                    <w:keepNext w:val="0"/>
                    <w:keepLines w:val="0"/>
                    <w:pageBreakBefore w:val="0"/>
                    <w:widowControl w:val="0"/>
                    <w:kinsoku/>
                    <w:wordWrap/>
                    <w:overflowPunct/>
                    <w:topLinePunct w:val="0"/>
                    <w:bidi w:val="0"/>
                    <w:adjustRightInd w:val="0"/>
                    <w:snapToGrid/>
                    <w:spacing w:before="0" w:beforeAutospacing="0" w:after="0" w:afterAutospacing="0" w:line="240" w:lineRule="auto"/>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22:04-22:14（夜）</w:t>
                  </w:r>
                </w:p>
              </w:tc>
              <w:tc>
                <w:tcPr>
                  <w:tcW w:w="1948" w:type="pct"/>
                  <w:tcBorders>
                    <w:tl2br w:val="nil"/>
                    <w:tr2bl w:val="nil"/>
                  </w:tcBorders>
                  <w:noWrap w:val="0"/>
                  <w:vAlign w:val="center"/>
                </w:tcPr>
                <w:p>
                  <w:pPr>
                    <w:pStyle w:val="10"/>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41</w:t>
                  </w:r>
                </w:p>
              </w:tc>
            </w:tr>
          </w:tbl>
          <w:p>
            <w:pPr>
              <w:kinsoku w:val="0"/>
              <w:overflowPunct w:val="0"/>
              <w:autoSpaceDE w:val="0"/>
              <w:autoSpaceDN w:val="0"/>
              <w:adjustRightInd w:val="0"/>
              <w:snapToGrid w:val="0"/>
              <w:spacing w:before="240" w:line="360" w:lineRule="auto"/>
              <w:ind w:firstLine="480" w:firstLineChars="200"/>
              <w:rPr>
                <w:rFonts w:hint="default" w:ascii="Times New Roman" w:hAnsi="Times New Roman" w:cs="Times New Roman"/>
                <w:sz w:val="24"/>
              </w:rPr>
            </w:pPr>
            <w:r>
              <w:rPr>
                <w:rFonts w:hint="default" w:ascii="Times New Roman" w:hAnsi="Times New Roman" w:cs="Times New Roman"/>
                <w:sz w:val="24"/>
              </w:rPr>
              <w:t>由表3-8可知，项目所在地昼间、夜间环境噪声均能够满足《声环境质量标准》（GB3096-2008）2类区要求，项目所在地声环境质量良好。</w:t>
            </w:r>
          </w:p>
          <w:p>
            <w:pPr>
              <w:keepNext w:val="0"/>
              <w:keepLines w:val="0"/>
              <w:pageBreakBefore w:val="0"/>
              <w:widowControl w:val="0"/>
              <w:kinsoku/>
              <w:wordWrap/>
              <w:overflowPunct/>
              <w:topLinePunct w:val="0"/>
              <w:autoSpaceDE/>
              <w:autoSpaceDN/>
              <w:bidi w:val="0"/>
              <w:spacing w:line="360" w:lineRule="auto"/>
              <w:textAlignment w:val="auto"/>
              <w:outlineLvl w:val="2"/>
              <w:rPr>
                <w:rFonts w:hint="eastAsia" w:eastAsia="宋体"/>
                <w:b/>
                <w:bCs w:val="0"/>
                <w:color w:val="auto"/>
                <w:sz w:val="24"/>
                <w:highlight w:val="none"/>
              </w:rPr>
            </w:pPr>
            <w:r>
              <w:rPr>
                <w:rFonts w:hint="eastAsia" w:eastAsia="宋体"/>
                <w:b/>
                <w:bCs w:val="0"/>
                <w:color w:val="auto"/>
                <w:sz w:val="24"/>
                <w:highlight w:val="none"/>
              </w:rPr>
              <w:t>四</w:t>
            </w:r>
            <w:r>
              <w:rPr>
                <w:rFonts w:eastAsia="宋体"/>
                <w:b/>
                <w:bCs w:val="0"/>
                <w:color w:val="auto"/>
                <w:sz w:val="24"/>
                <w:highlight w:val="none"/>
              </w:rPr>
              <w:t>、</w:t>
            </w:r>
            <w:r>
              <w:rPr>
                <w:rFonts w:hint="eastAsia" w:eastAsia="宋体"/>
                <w:b/>
                <w:bCs w:val="0"/>
                <w:color w:val="auto"/>
                <w:sz w:val="24"/>
                <w:highlight w:val="none"/>
              </w:rPr>
              <w:t>生态</w:t>
            </w:r>
            <w:r>
              <w:rPr>
                <w:rFonts w:eastAsia="宋体"/>
                <w:b/>
                <w:bCs w:val="0"/>
                <w:color w:val="auto"/>
                <w:sz w:val="24"/>
                <w:highlight w:val="none"/>
              </w:rPr>
              <w:t>环境现状</w:t>
            </w:r>
          </w:p>
          <w:p>
            <w:pPr>
              <w:keepNext w:val="0"/>
              <w:keepLines w:val="0"/>
              <w:pageBreakBefore w:val="0"/>
              <w:widowControl w:val="0"/>
              <w:kinsoku/>
              <w:wordWrap/>
              <w:overflowPunct/>
              <w:topLinePunct w:val="0"/>
              <w:bidi w:val="0"/>
              <w:adjustRightInd/>
              <w:snapToGrid/>
              <w:spacing w:line="360" w:lineRule="auto"/>
              <w:ind w:firstLine="482"/>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经调查访问和观察，本项目建设区域及周边1km范围内无大型野生动物，也无国家保护的珍稀野生动物。区域内生态环境目前处于基本平衡状态，属开放性的景观生态体系。景观生态体系的各拼块具有一定的生产能力和稳定性，但对内外干扰的阻抗能力较弱。评价范围内无珍稀濒危动物和植物群落分布，以及其他生态敏感点。</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20" w:firstLineChars="200"/>
              <w:jc w:val="left"/>
              <w:textAlignment w:val="auto"/>
              <w:rPr>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99" w:hRule="atLeast"/>
        </w:trPr>
        <w:tc>
          <w:tcPr>
            <w:tcW w:w="799" w:type="dxa"/>
            <w:tcBorders>
              <w:top w:val="single" w:color="000000" w:sz="4" w:space="0"/>
              <w:bottom w:val="single" w:color="000000" w:sz="4" w:space="0"/>
              <w:right w:val="single" w:color="000000" w:sz="4" w:space="0"/>
            </w:tcBorders>
          </w:tcPr>
          <w:p>
            <w:pPr>
              <w:pStyle w:val="15"/>
              <w:rPr>
                <w:rFonts w:ascii="黑体"/>
                <w:sz w:val="20"/>
              </w:rPr>
            </w:pPr>
          </w:p>
          <w:p>
            <w:pPr>
              <w:pStyle w:val="15"/>
              <w:rPr>
                <w:rFonts w:ascii="黑体"/>
                <w:sz w:val="20"/>
              </w:rPr>
            </w:pPr>
          </w:p>
          <w:p>
            <w:pPr>
              <w:pStyle w:val="15"/>
              <w:spacing w:before="11"/>
              <w:rPr>
                <w:rFonts w:ascii="黑体"/>
                <w:sz w:val="21"/>
              </w:rPr>
            </w:pPr>
          </w:p>
          <w:p>
            <w:pPr>
              <w:pStyle w:val="15"/>
              <w:spacing w:line="242" w:lineRule="auto"/>
              <w:ind w:left="189" w:right="67"/>
              <w:jc w:val="both"/>
              <w:rPr>
                <w:sz w:val="24"/>
                <w:szCs w:val="24"/>
              </w:rPr>
            </w:pPr>
            <w:r>
              <w:rPr>
                <w:sz w:val="24"/>
                <w:szCs w:val="24"/>
              </w:rPr>
              <w:t>环</w:t>
            </w:r>
          </w:p>
          <w:p>
            <w:pPr>
              <w:pStyle w:val="15"/>
              <w:spacing w:line="242" w:lineRule="auto"/>
              <w:ind w:left="189" w:right="67"/>
              <w:jc w:val="both"/>
              <w:rPr>
                <w:sz w:val="24"/>
                <w:szCs w:val="24"/>
              </w:rPr>
            </w:pPr>
            <w:r>
              <w:rPr>
                <w:sz w:val="24"/>
                <w:szCs w:val="24"/>
              </w:rPr>
              <w:t>境</w:t>
            </w:r>
          </w:p>
          <w:p>
            <w:pPr>
              <w:pStyle w:val="15"/>
              <w:spacing w:line="242" w:lineRule="auto"/>
              <w:ind w:left="189" w:right="67"/>
              <w:jc w:val="both"/>
              <w:rPr>
                <w:sz w:val="24"/>
                <w:szCs w:val="24"/>
              </w:rPr>
            </w:pPr>
            <w:r>
              <w:rPr>
                <w:sz w:val="24"/>
                <w:szCs w:val="24"/>
              </w:rPr>
              <w:t>保</w:t>
            </w:r>
          </w:p>
          <w:p>
            <w:pPr>
              <w:pStyle w:val="15"/>
              <w:spacing w:line="242" w:lineRule="auto"/>
              <w:ind w:left="189" w:right="67"/>
              <w:jc w:val="both"/>
              <w:rPr>
                <w:sz w:val="24"/>
                <w:szCs w:val="24"/>
              </w:rPr>
            </w:pPr>
            <w:r>
              <w:rPr>
                <w:sz w:val="24"/>
                <w:szCs w:val="24"/>
              </w:rPr>
              <w:t>护</w:t>
            </w:r>
          </w:p>
          <w:p>
            <w:pPr>
              <w:pStyle w:val="15"/>
              <w:spacing w:line="242" w:lineRule="auto"/>
              <w:ind w:left="189" w:right="67"/>
              <w:jc w:val="both"/>
              <w:rPr>
                <w:sz w:val="24"/>
                <w:szCs w:val="24"/>
              </w:rPr>
            </w:pPr>
            <w:r>
              <w:rPr>
                <w:sz w:val="24"/>
                <w:szCs w:val="24"/>
              </w:rPr>
              <w:t>目</w:t>
            </w:r>
          </w:p>
          <w:p>
            <w:pPr>
              <w:pStyle w:val="15"/>
              <w:spacing w:line="242" w:lineRule="auto"/>
              <w:ind w:left="189" w:right="67"/>
              <w:jc w:val="both"/>
              <w:rPr>
                <w:sz w:val="21"/>
              </w:rPr>
            </w:pPr>
            <w:r>
              <w:rPr>
                <w:sz w:val="24"/>
                <w:szCs w:val="24"/>
              </w:rPr>
              <w:t>标</w:t>
            </w:r>
            <w:r>
              <w:rPr>
                <w:sz w:val="21"/>
              </w:rPr>
              <w:t xml:space="preserve"> </w:t>
            </w:r>
          </w:p>
        </w:tc>
        <w:tc>
          <w:tcPr>
            <w:tcW w:w="8190" w:type="dxa"/>
            <w:tcBorders>
              <w:top w:val="single" w:color="000000" w:sz="4" w:space="0"/>
              <w:left w:val="single" w:color="000000" w:sz="4" w:space="0"/>
              <w:bottom w:val="single" w:color="000000" w:sz="4" w:space="0"/>
            </w:tcBorders>
          </w:tcPr>
          <w:p>
            <w:pPr>
              <w:pStyle w:val="15"/>
              <w:rPr>
                <w:rFonts w:ascii="黑体"/>
                <w:sz w:val="20"/>
              </w:rPr>
            </w:pPr>
          </w:p>
          <w:p>
            <w:pPr>
              <w:pStyle w:val="15"/>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right="0" w:rightChars="0" w:firstLine="480" w:firstLineChars="200"/>
              <w:textAlignment w:val="auto"/>
              <w:rPr>
                <w:rFonts w:hint="default" w:ascii="Times New Roman" w:hAnsi="Times New Roman" w:cs="Times New Roman"/>
                <w:sz w:val="24"/>
                <w:szCs w:val="24"/>
                <w:highlight w:val="none"/>
                <w:lang w:val="en-US" w:eastAsia="zh-CN"/>
              </w:rPr>
            </w:pPr>
            <w:r>
              <w:rPr>
                <w:rFonts w:hint="eastAsia" w:ascii="黑体"/>
                <w:sz w:val="24"/>
                <w:szCs w:val="24"/>
                <w:highlight w:val="none"/>
                <w:lang w:val="en-US" w:eastAsia="zh-CN"/>
              </w:rPr>
              <w:t>1</w:t>
            </w:r>
            <w:r>
              <w:rPr>
                <w:rFonts w:hint="default" w:ascii="Times New Roman" w:hAnsi="Times New Roman" w:cs="Times New Roman"/>
                <w:sz w:val="24"/>
                <w:szCs w:val="24"/>
                <w:highlight w:val="none"/>
                <w:lang w:val="en-US" w:eastAsia="zh-CN"/>
              </w:rPr>
              <w:t>、项目外环境关系</w:t>
            </w:r>
          </w:p>
          <w:p>
            <w:pPr>
              <w:pStyle w:val="3"/>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sz w:val="24"/>
                <w:highlight w:val="none"/>
                <w:lang w:val="en-US" w:eastAsia="zh-CN"/>
              </w:rPr>
              <w:t>本</w:t>
            </w:r>
            <w:r>
              <w:rPr>
                <w:rFonts w:hint="default" w:ascii="Times New Roman" w:hAnsi="Times New Roman" w:eastAsia="宋体" w:cs="Times New Roman"/>
                <w:color w:val="auto"/>
                <w:sz w:val="24"/>
                <w:szCs w:val="28"/>
                <w:highlight w:val="none"/>
                <w:lang w:val="en-US" w:eastAsia="zh-CN" w:bidi="zh-CN"/>
              </w:rPr>
              <w:t>项目位于九龙县崩崩冲村，项目东侧紧邻G248线公路，西侧为山地，北侧约3</w:t>
            </w:r>
            <w:r>
              <w:rPr>
                <w:rFonts w:hint="eastAsia" w:cs="Times New Roman"/>
                <w:color w:val="auto"/>
                <w:sz w:val="24"/>
                <w:szCs w:val="28"/>
                <w:highlight w:val="none"/>
                <w:lang w:val="en-US" w:eastAsia="zh-CN" w:bidi="zh-CN"/>
              </w:rPr>
              <w:t>1</w:t>
            </w:r>
            <w:r>
              <w:rPr>
                <w:rFonts w:hint="default" w:ascii="Times New Roman" w:hAnsi="Times New Roman" w:eastAsia="宋体" w:cs="Times New Roman"/>
                <w:color w:val="auto"/>
                <w:sz w:val="24"/>
                <w:szCs w:val="28"/>
                <w:highlight w:val="none"/>
                <w:lang w:val="en-US" w:eastAsia="zh-CN" w:bidi="zh-CN"/>
              </w:rPr>
              <w:t>0米为崩崩冲村居民约30户，南侧为空地，项目所在位置空旷，项目出场道路由东侧接入</w:t>
            </w:r>
            <w:r>
              <w:rPr>
                <w:rFonts w:hint="eastAsia" w:ascii="Times New Roman" w:hAnsi="Times New Roman" w:cs="Times New Roman"/>
                <w:color w:val="auto"/>
                <w:sz w:val="24"/>
                <w:szCs w:val="28"/>
                <w:highlight w:val="none"/>
                <w:lang w:val="en-US" w:eastAsia="zh-CN" w:bidi="zh-CN"/>
              </w:rPr>
              <w:t>国</w:t>
            </w:r>
            <w:r>
              <w:rPr>
                <w:rFonts w:hint="default" w:ascii="Times New Roman" w:hAnsi="Times New Roman" w:eastAsia="宋体" w:cs="Times New Roman"/>
                <w:color w:val="auto"/>
                <w:sz w:val="24"/>
                <w:szCs w:val="28"/>
                <w:highlight w:val="none"/>
                <w:lang w:val="en-US" w:eastAsia="zh-CN" w:bidi="zh-CN"/>
              </w:rPr>
              <w:t>道。</w:t>
            </w:r>
            <w:r>
              <w:rPr>
                <w:rFonts w:hint="default" w:ascii="Times New Roman" w:hAnsi="Times New Roman" w:cs="Times New Roman"/>
                <w:color w:val="auto"/>
              </w:rPr>
              <w:t>项目东南侧</w:t>
            </w:r>
            <w:r>
              <w:rPr>
                <w:rFonts w:hint="default" w:ascii="Times New Roman" w:hAnsi="Times New Roman" w:cs="Times New Roman"/>
                <w:color w:val="auto"/>
                <w:lang w:val="en-US" w:eastAsia="zh-CN"/>
              </w:rPr>
              <w:t>20</w:t>
            </w:r>
            <w:r>
              <w:rPr>
                <w:rFonts w:hint="default" w:ascii="Times New Roman" w:hAnsi="Times New Roman" w:cs="Times New Roman"/>
                <w:color w:val="auto"/>
              </w:rPr>
              <w:t>0m处为原</w:t>
            </w:r>
            <w:r>
              <w:rPr>
                <w:rFonts w:hint="default" w:ascii="Times New Roman" w:hAnsi="Times New Roman" w:eastAsia="宋体" w:cs="Times New Roman"/>
                <w:color w:val="auto"/>
                <w:sz w:val="24"/>
                <w:szCs w:val="28"/>
                <w:highlight w:val="none"/>
                <w:lang w:val="en-US" w:eastAsia="zh-CN" w:bidi="zh-CN"/>
              </w:rPr>
              <w:t>崩崩冲砂厂</w:t>
            </w:r>
            <w:r>
              <w:rPr>
                <w:rFonts w:hint="default" w:ascii="Times New Roman" w:hAnsi="Times New Roman" w:cs="Times New Roman"/>
                <w:color w:val="auto"/>
                <w:sz w:val="24"/>
                <w:szCs w:val="28"/>
                <w:highlight w:val="none"/>
                <w:lang w:val="en-US" w:eastAsia="zh-CN" w:bidi="zh-CN"/>
              </w:rPr>
              <w:t>生活</w:t>
            </w:r>
            <w:r>
              <w:rPr>
                <w:rFonts w:hint="default" w:ascii="Times New Roman" w:hAnsi="Times New Roman" w:cs="Times New Roman"/>
                <w:color w:val="auto"/>
              </w:rPr>
              <w:t>营地，现已空置，作为本项目施工人员生活营地及后期项目工作人员的生活区。</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2、本项目主要保护目标如下：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cs="Times New Roman"/>
                <w:sz w:val="24"/>
              </w:rPr>
              <w:t>1）环境空气：保护目标为建设区域周围空气环境质量，保护级别为《环境空气质量标准》（GB3095-2012）二级标准。</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2）水环境：不因本项目的实施改变地表水环境质量，评价段水体水质不因本项目实施而改变，评价区域内水体水质达到《地表水环境质量标准》（GB3838-2002）中的</w:t>
            </w:r>
            <w:r>
              <w:rPr>
                <w:rFonts w:hint="default" w:ascii="Times New Roman" w:hAnsi="Times New Roman" w:eastAsia="宋体" w:cs="Times New Roman"/>
                <w:color w:val="auto"/>
                <w:kern w:val="2"/>
                <w:sz w:val="24"/>
                <w:szCs w:val="24"/>
                <w:highlight w:val="none"/>
                <w:lang w:val="en-US" w:eastAsia="ja-JP" w:bidi="ar-SA"/>
              </w:rPr>
              <w:t>Ⅱ</w:t>
            </w:r>
            <w:r>
              <w:rPr>
                <w:rFonts w:hint="default" w:ascii="Times New Roman" w:hAnsi="Times New Roman" w:eastAsia="宋体" w:cs="Times New Roman"/>
                <w:color w:val="auto"/>
                <w:kern w:val="2"/>
                <w:sz w:val="24"/>
                <w:szCs w:val="24"/>
                <w:highlight w:val="none"/>
                <w:lang w:val="en-US" w:eastAsia="zh-CN" w:bidi="ar-SA"/>
              </w:rPr>
              <w:t>类水域标准要求。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3）声环境：施工期应满足《建筑施工场界环境噪声排放标准》（GB 12523-2011）中标准限值要求，做到噪声不扰民。投入使用后，满足《声环境质量标准》（GB 3096-2008）中</w:t>
            </w:r>
            <w:r>
              <w:rPr>
                <w:rFonts w:hint="default" w:ascii="Times New Roman" w:hAnsi="Times New Roman" w:cs="Times New Roman"/>
                <w:color w:val="auto"/>
                <w:kern w:val="2"/>
                <w:sz w:val="24"/>
                <w:szCs w:val="24"/>
                <w:highlight w:val="none"/>
                <w:lang w:val="en-US" w:eastAsia="zh-CN" w:bidi="ar-SA"/>
              </w:rPr>
              <w:t>2</w:t>
            </w:r>
            <w:r>
              <w:rPr>
                <w:rFonts w:hint="default" w:ascii="Times New Roman" w:hAnsi="Times New Roman" w:eastAsia="宋体" w:cs="Times New Roman"/>
                <w:color w:val="auto"/>
                <w:kern w:val="2"/>
                <w:sz w:val="24"/>
                <w:szCs w:val="24"/>
                <w:highlight w:val="none"/>
                <w:lang w:val="en-US" w:eastAsia="zh-CN" w:bidi="ar-SA"/>
              </w:rPr>
              <w:t>类标准要求。</w:t>
            </w:r>
          </w:p>
          <w:p>
            <w:pPr>
              <w:spacing w:line="360" w:lineRule="auto"/>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表3-</w:t>
            </w:r>
            <w:r>
              <w:rPr>
                <w:rFonts w:hint="eastAsia" w:ascii="Times New Roman" w:hAnsi="Times New Roman" w:eastAsia="宋体" w:cs="Times New Roman"/>
                <w:b/>
                <w:bCs/>
                <w:color w:val="auto"/>
                <w:sz w:val="21"/>
                <w:szCs w:val="21"/>
                <w:highlight w:val="none"/>
                <w:lang w:val="en-US" w:eastAsia="zh-CN"/>
              </w:rPr>
              <w:t>9</w:t>
            </w:r>
            <w:r>
              <w:rPr>
                <w:rFonts w:hint="eastAsia" w:ascii="Times New Roman" w:hAnsi="Times New Roman" w:eastAsia="宋体" w:cs="Times New Roman"/>
                <w:b/>
                <w:bCs/>
                <w:color w:val="auto"/>
                <w:sz w:val="21"/>
                <w:szCs w:val="21"/>
                <w:highlight w:val="none"/>
              </w:rPr>
              <w:t xml:space="preserve">  主要环境保护目标</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444"/>
              <w:gridCol w:w="1444"/>
              <w:gridCol w:w="1444"/>
              <w:gridCol w:w="2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5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环境要素</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olor w:val="auto"/>
                      <w:sz w:val="21"/>
                      <w:szCs w:val="21"/>
                    </w:rPr>
                  </w:pPr>
                  <w:r>
                    <w:rPr>
                      <w:rFonts w:ascii="Times New Roman" w:hAnsi="Times New Roman" w:eastAsia="宋体"/>
                      <w:color w:val="auto"/>
                      <w:sz w:val="21"/>
                      <w:szCs w:val="21"/>
                    </w:rPr>
                    <w:t>环境保护目标</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规模或</w:t>
                  </w:r>
                  <w:r>
                    <w:rPr>
                      <w:rFonts w:ascii="Times New Roman" w:hAnsi="Times New Roman" w:eastAsia="宋体"/>
                      <w:color w:val="auto"/>
                      <w:sz w:val="21"/>
                      <w:szCs w:val="21"/>
                    </w:rPr>
                    <w:t>功能</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olor w:val="auto"/>
                      <w:sz w:val="21"/>
                      <w:szCs w:val="21"/>
                    </w:rPr>
                  </w:pPr>
                  <w:r>
                    <w:rPr>
                      <w:rFonts w:ascii="Times New Roman" w:hAnsi="Times New Roman" w:eastAsia="宋体"/>
                      <w:color w:val="auto"/>
                      <w:sz w:val="21"/>
                      <w:szCs w:val="21"/>
                    </w:rPr>
                    <w:t>相对位置关系</w:t>
                  </w:r>
                </w:p>
              </w:tc>
              <w:tc>
                <w:tcPr>
                  <w:tcW w:w="2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olor w:val="auto"/>
                      <w:sz w:val="21"/>
                      <w:szCs w:val="21"/>
                    </w:rPr>
                  </w:pPr>
                  <w:r>
                    <w:rPr>
                      <w:rFonts w:ascii="Times New Roman" w:hAnsi="Times New Roman" w:eastAsia="宋体"/>
                      <w:color w:val="auto"/>
                      <w:sz w:val="21"/>
                      <w:szCs w:val="21"/>
                    </w:rPr>
                    <w:t>环境功能区划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95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olor w:val="auto"/>
                      <w:sz w:val="21"/>
                      <w:szCs w:val="21"/>
                    </w:rPr>
                  </w:pPr>
                  <w:r>
                    <w:rPr>
                      <w:rFonts w:ascii="Times New Roman" w:hAnsi="Times New Roman" w:eastAsia="宋体"/>
                      <w:color w:val="auto"/>
                      <w:sz w:val="21"/>
                      <w:szCs w:val="21"/>
                    </w:rPr>
                    <w:t>水环境</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九龙</w:t>
                  </w:r>
                  <w:r>
                    <w:rPr>
                      <w:rFonts w:hint="eastAsia" w:ascii="Times New Roman" w:hAnsi="Times New Roman" w:eastAsia="宋体"/>
                      <w:color w:val="auto"/>
                      <w:sz w:val="21"/>
                      <w:szCs w:val="21"/>
                    </w:rPr>
                    <w:t>河</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default" w:ascii="Times New Roman" w:hAnsi="Times New Roman" w:eastAsia="宋体" w:cs="Times New Roman"/>
                      <w:color w:val="auto"/>
                      <w:sz w:val="21"/>
                      <w:szCs w:val="21"/>
                      <w:lang w:eastAsia="ja-JP"/>
                    </w:rPr>
                    <w:t>Ⅱ</w:t>
                  </w:r>
                  <w:r>
                    <w:rPr>
                      <w:rFonts w:hint="eastAsia" w:ascii="Times New Roman" w:hAnsi="Times New Roman" w:eastAsia="宋体"/>
                      <w:color w:val="auto"/>
                      <w:sz w:val="21"/>
                      <w:szCs w:val="21"/>
                    </w:rPr>
                    <w:t>类水体，水力发电</w:t>
                  </w:r>
                </w:p>
                <w:p>
                  <w:pPr>
                    <w:jc w:val="center"/>
                    <w:rPr>
                      <w:rFonts w:ascii="Times New Roman" w:hAnsi="Times New Roman" w:eastAsia="宋体"/>
                      <w:color w:val="auto"/>
                      <w:sz w:val="21"/>
                      <w:szCs w:val="21"/>
                    </w:rPr>
                  </w:pPr>
                  <w:r>
                    <w:rPr>
                      <w:rFonts w:hint="eastAsia" w:ascii="Times New Roman" w:hAnsi="Times New Roman" w:eastAsia="宋体"/>
                      <w:color w:val="auto"/>
                      <w:sz w:val="21"/>
                      <w:szCs w:val="21"/>
                    </w:rPr>
                    <w:t>农业灌溉</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东</w:t>
                  </w:r>
                  <w:r>
                    <w:rPr>
                      <w:rFonts w:hint="eastAsia" w:ascii="Times New Roman" w:hAnsi="Times New Roman" w:eastAsia="宋体"/>
                      <w:color w:val="auto"/>
                      <w:sz w:val="21"/>
                      <w:szCs w:val="21"/>
                    </w:rPr>
                    <w:t>侧约</w:t>
                  </w:r>
                  <w:r>
                    <w:rPr>
                      <w:rFonts w:hint="eastAsia" w:ascii="Times New Roman" w:hAnsi="Times New Roman" w:eastAsia="宋体"/>
                      <w:color w:val="auto"/>
                      <w:sz w:val="21"/>
                      <w:szCs w:val="21"/>
                      <w:lang w:val="en-US" w:eastAsia="zh-CN"/>
                    </w:rPr>
                    <w:t>80</w:t>
                  </w:r>
                  <w:r>
                    <w:rPr>
                      <w:rFonts w:hint="eastAsia" w:ascii="Times New Roman" w:hAnsi="Times New Roman" w:eastAsia="宋体"/>
                      <w:color w:val="auto"/>
                      <w:sz w:val="21"/>
                      <w:szCs w:val="21"/>
                    </w:rPr>
                    <w:t>m</w:t>
                  </w:r>
                </w:p>
              </w:tc>
              <w:tc>
                <w:tcPr>
                  <w:tcW w:w="2288" w:type="dxa"/>
                  <w:tcBorders>
                    <w:top w:val="single" w:color="auto" w:sz="4" w:space="0"/>
                    <w:left w:val="single" w:color="auto" w:sz="4" w:space="0"/>
                    <w:right w:val="single" w:color="auto" w:sz="4" w:space="0"/>
                  </w:tcBorders>
                  <w:noWrap w:val="0"/>
                  <w:vAlign w:val="center"/>
                </w:tcPr>
                <w:p>
                  <w:pPr>
                    <w:jc w:val="center"/>
                    <w:rPr>
                      <w:rFonts w:ascii="Times New Roman" w:hAnsi="Times New Roman" w:eastAsia="宋体"/>
                      <w:color w:val="auto"/>
                      <w:sz w:val="21"/>
                      <w:szCs w:val="21"/>
                    </w:rPr>
                  </w:pPr>
                  <w:r>
                    <w:rPr>
                      <w:rFonts w:ascii="Times New Roman" w:hAnsi="Times New Roman" w:eastAsia="宋体"/>
                      <w:color w:val="auto"/>
                      <w:sz w:val="21"/>
                      <w:szCs w:val="21"/>
                    </w:rPr>
                    <w:t>《地表水环境质量标准》（GB3838-2002）中的</w:t>
                  </w:r>
                  <w:r>
                    <w:rPr>
                      <w:rFonts w:hint="default" w:ascii="Times New Roman" w:hAnsi="Times New Roman" w:eastAsia="宋体" w:cs="Times New Roman"/>
                      <w:color w:val="auto"/>
                      <w:sz w:val="21"/>
                      <w:szCs w:val="21"/>
                      <w:lang w:eastAsia="ja-JP"/>
                    </w:rPr>
                    <w:t>Ⅱ</w:t>
                  </w:r>
                  <w:r>
                    <w:rPr>
                      <w:rFonts w:ascii="Times New Roman" w:hAnsi="Times New Roman" w:eastAsia="宋体"/>
                      <w:color w:val="auto"/>
                      <w:sz w:val="21"/>
                      <w:szCs w:val="21"/>
                    </w:rPr>
                    <w:t>类水域标准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957" w:type="dxa"/>
                  <w:vMerge w:val="restar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声环境</w:t>
                  </w:r>
                  <w:r>
                    <w:rPr>
                      <w:rFonts w:ascii="Times New Roman" w:hAnsi="Times New Roman" w:eastAsia="宋体"/>
                      <w:color w:val="auto"/>
                      <w:sz w:val="21"/>
                      <w:szCs w:val="21"/>
                    </w:rPr>
                    <w:t>、大气</w:t>
                  </w:r>
                  <w:r>
                    <w:rPr>
                      <w:rFonts w:hint="eastAsia" w:ascii="Times New Roman" w:hAnsi="Times New Roman" w:eastAsia="宋体"/>
                      <w:color w:val="auto"/>
                      <w:sz w:val="21"/>
                      <w:szCs w:val="21"/>
                    </w:rPr>
                    <w:t>环境</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s="Times New Roman"/>
                      <w:color w:val="auto"/>
                      <w:sz w:val="21"/>
                      <w:szCs w:val="21"/>
                      <w:highlight w:val="none"/>
                      <w:lang w:val="en-US" w:eastAsia="zh-CN" w:bidi="zh-CN"/>
                    </w:rPr>
                    <w:t>生活</w:t>
                  </w:r>
                  <w:r>
                    <w:rPr>
                      <w:rFonts w:hint="eastAsia" w:ascii="Times New Roman" w:hAnsi="Times New Roman" w:eastAsia="宋体"/>
                      <w:color w:val="auto"/>
                      <w:sz w:val="21"/>
                      <w:szCs w:val="21"/>
                    </w:rPr>
                    <w:t>营地</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10人</w:t>
                  </w:r>
                  <w:r>
                    <w:rPr>
                      <w:rFonts w:ascii="Times New Roman" w:hAnsi="Times New Roman" w:eastAsia="宋体"/>
                      <w:color w:val="auto"/>
                      <w:sz w:val="21"/>
                      <w:szCs w:val="21"/>
                    </w:rPr>
                    <w:t>（</w:t>
                  </w:r>
                  <w:r>
                    <w:rPr>
                      <w:rFonts w:hint="eastAsia" w:ascii="Times New Roman" w:hAnsi="Times New Roman" w:eastAsia="宋体"/>
                      <w:color w:val="auto"/>
                      <w:sz w:val="21"/>
                      <w:szCs w:val="21"/>
                    </w:rPr>
                    <w:t>本项目职工</w:t>
                  </w:r>
                  <w:r>
                    <w:rPr>
                      <w:rFonts w:ascii="Times New Roman" w:hAnsi="Times New Roman" w:eastAsia="宋体"/>
                      <w:color w:val="auto"/>
                      <w:sz w:val="21"/>
                      <w:szCs w:val="21"/>
                    </w:rPr>
                    <w:t>）</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olor w:val="auto"/>
                      <w:sz w:val="21"/>
                      <w:szCs w:val="21"/>
                    </w:rPr>
                  </w:pPr>
                  <w:r>
                    <w:rPr>
                      <w:rFonts w:hint="eastAsia" w:ascii="Times New Roman" w:hAnsi="Times New Roman" w:eastAsia="宋体"/>
                      <w:color w:val="auto"/>
                      <w:sz w:val="21"/>
                      <w:szCs w:val="21"/>
                    </w:rPr>
                    <w:t>东南侧</w:t>
                  </w:r>
                </w:p>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lang w:val="en-US" w:eastAsia="zh-CN"/>
                    </w:rPr>
                    <w:t>20</w:t>
                  </w:r>
                  <w:r>
                    <w:rPr>
                      <w:rFonts w:hint="eastAsia" w:ascii="Times New Roman" w:hAnsi="Times New Roman" w:eastAsia="宋体"/>
                      <w:color w:val="auto"/>
                      <w:sz w:val="21"/>
                      <w:szCs w:val="21"/>
                    </w:rPr>
                    <w:t>0m</w:t>
                  </w:r>
                </w:p>
              </w:tc>
              <w:tc>
                <w:tcPr>
                  <w:tcW w:w="2288" w:type="dxa"/>
                  <w:vMerge w:val="restart"/>
                  <w:tcBorders>
                    <w:top w:val="single" w:color="auto" w:sz="4" w:space="0"/>
                    <w:left w:val="single" w:color="auto" w:sz="4" w:space="0"/>
                    <w:right w:val="single" w:color="auto" w:sz="4" w:space="0"/>
                  </w:tcBorders>
                  <w:noWrap w:val="0"/>
                  <w:vAlign w:val="center"/>
                </w:tcPr>
                <w:p>
                  <w:pPr>
                    <w:jc w:val="center"/>
                    <w:rPr>
                      <w:rFonts w:ascii="Times New Roman" w:hAnsi="Times New Roman" w:eastAsia="宋体"/>
                      <w:color w:val="auto"/>
                      <w:sz w:val="21"/>
                      <w:szCs w:val="21"/>
                    </w:rPr>
                  </w:pPr>
                  <w:r>
                    <w:rPr>
                      <w:rFonts w:hint="eastAsia" w:ascii="Times New Roman" w:hAnsi="Times New Roman" w:eastAsia="宋体"/>
                      <w:color w:val="auto"/>
                      <w:sz w:val="21"/>
                      <w:szCs w:val="21"/>
                    </w:rPr>
                    <w:t>《环境空气质量标准（GB3095-2012）二级标准；《声环境质量标准》（GB 3096-2008）中</w:t>
                  </w:r>
                  <w:r>
                    <w:rPr>
                      <w:rFonts w:hint="eastAsia" w:ascii="Times New Roman" w:hAnsi="Times New Roman"/>
                      <w:color w:val="auto"/>
                      <w:sz w:val="21"/>
                      <w:szCs w:val="21"/>
                      <w:lang w:val="en-US" w:eastAsia="zh-CN"/>
                    </w:rPr>
                    <w:t>2</w:t>
                  </w:r>
                  <w:r>
                    <w:rPr>
                      <w:rFonts w:hint="eastAsia" w:ascii="Times New Roman" w:hAnsi="Times New Roman" w:eastAsia="宋体"/>
                      <w:color w:val="auto"/>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957"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s="Times New Roman"/>
                      <w:color w:val="auto"/>
                      <w:sz w:val="21"/>
                      <w:szCs w:val="21"/>
                      <w:highlight w:val="none"/>
                      <w:lang w:val="en-US" w:eastAsia="zh-CN" w:bidi="zh-CN"/>
                    </w:rPr>
                    <w:t>崩崩冲</w:t>
                  </w:r>
                  <w:r>
                    <w:rPr>
                      <w:rFonts w:hint="eastAsia" w:ascii="Times New Roman" w:hAnsi="Times New Roman" w:cs="Times New Roman"/>
                      <w:color w:val="auto"/>
                      <w:sz w:val="21"/>
                      <w:szCs w:val="21"/>
                      <w:highlight w:val="none"/>
                      <w:lang w:val="en-US" w:eastAsia="zh-CN" w:bidi="zh-CN"/>
                    </w:rPr>
                    <w:t>村居民</w:t>
                  </w:r>
                  <w:r>
                    <w:rPr>
                      <w:rFonts w:hint="eastAsia" w:ascii="Times New Roman" w:hAnsi="Times New Roman" w:eastAsia="宋体"/>
                      <w:color w:val="auto"/>
                      <w:sz w:val="21"/>
                      <w:szCs w:val="21"/>
                    </w:rPr>
                    <w:t>点</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lang w:val="en-US" w:eastAsia="zh-CN"/>
                    </w:rPr>
                    <w:t>30</w:t>
                  </w:r>
                  <w:r>
                    <w:rPr>
                      <w:rFonts w:hint="eastAsia" w:ascii="Times New Roman" w:hAnsi="Times New Roman" w:eastAsia="宋体"/>
                      <w:color w:val="auto"/>
                      <w:sz w:val="21"/>
                      <w:szCs w:val="21"/>
                    </w:rPr>
                    <w:t>户</w:t>
                  </w:r>
                  <w:r>
                    <w:rPr>
                      <w:rFonts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12</w:t>
                  </w:r>
                  <w:r>
                    <w:rPr>
                      <w:rFonts w:hint="eastAsia" w:ascii="Times New Roman" w:hAnsi="Times New Roman" w:eastAsia="宋体"/>
                      <w:color w:val="auto"/>
                      <w:sz w:val="21"/>
                      <w:szCs w:val="21"/>
                    </w:rPr>
                    <w:t>0人</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北侧</w:t>
                  </w:r>
                  <w:r>
                    <w:rPr>
                      <w:rFonts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3</w:t>
                  </w:r>
                  <w:r>
                    <w:rPr>
                      <w:rFonts w:hint="eastAsia" w:ascii="Times New Roman" w:hAnsi="Times New Roman"/>
                      <w:color w:val="auto"/>
                      <w:sz w:val="21"/>
                      <w:szCs w:val="21"/>
                      <w:lang w:val="en-US" w:eastAsia="zh-CN"/>
                    </w:rPr>
                    <w:t>1</w:t>
                  </w:r>
                  <w:r>
                    <w:rPr>
                      <w:rFonts w:hint="eastAsia" w:ascii="Times New Roman" w:hAnsi="Times New Roman" w:eastAsia="宋体"/>
                      <w:color w:val="auto"/>
                      <w:sz w:val="21"/>
                      <w:szCs w:val="21"/>
                      <w:lang w:val="en-US" w:eastAsia="zh-CN"/>
                    </w:rPr>
                    <w:t>0</w:t>
                  </w:r>
                  <w:r>
                    <w:rPr>
                      <w:rFonts w:hint="eastAsia" w:ascii="Times New Roman" w:hAnsi="Times New Roman" w:eastAsia="宋体"/>
                      <w:color w:val="auto"/>
                      <w:sz w:val="21"/>
                      <w:szCs w:val="21"/>
                    </w:rPr>
                    <w:t>m～</w:t>
                  </w:r>
                  <w:r>
                    <w:rPr>
                      <w:rFonts w:hint="eastAsia" w:ascii="Times New Roman" w:hAnsi="Times New Roman" w:eastAsia="宋体"/>
                      <w:color w:val="auto"/>
                      <w:sz w:val="21"/>
                      <w:szCs w:val="21"/>
                      <w:lang w:val="en-US" w:eastAsia="zh-CN"/>
                    </w:rPr>
                    <w:t>950</w:t>
                  </w:r>
                  <w:r>
                    <w:rPr>
                      <w:rFonts w:hint="eastAsia" w:ascii="Times New Roman" w:hAnsi="Times New Roman" w:eastAsia="宋体"/>
                      <w:color w:val="auto"/>
                      <w:sz w:val="21"/>
                      <w:szCs w:val="21"/>
                    </w:rPr>
                    <w:t>m</w:t>
                  </w:r>
                </w:p>
              </w:tc>
              <w:tc>
                <w:tcPr>
                  <w:tcW w:w="2288"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957" w:type="dxa"/>
                  <w:vMerge w:val="restar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社会环境</w:t>
                  </w:r>
                </w:p>
              </w:tc>
              <w:tc>
                <w:tcPr>
                  <w:tcW w:w="1444"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lang w:val="en-US" w:eastAsia="zh-CN"/>
                    </w:rPr>
                    <w:t>国</w:t>
                  </w:r>
                  <w:r>
                    <w:rPr>
                      <w:rFonts w:hint="eastAsia" w:ascii="Times New Roman" w:hAnsi="Times New Roman" w:eastAsia="宋体"/>
                      <w:color w:val="auto"/>
                      <w:sz w:val="21"/>
                      <w:szCs w:val="21"/>
                    </w:rPr>
                    <w:t>道</w:t>
                  </w:r>
                </w:p>
              </w:tc>
              <w:tc>
                <w:tcPr>
                  <w:tcW w:w="1444"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w:t>
                  </w:r>
                </w:p>
              </w:tc>
              <w:tc>
                <w:tcPr>
                  <w:tcW w:w="1444"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紧邻项目东侧</w:t>
                  </w:r>
                </w:p>
              </w:tc>
              <w:tc>
                <w:tcPr>
                  <w:tcW w:w="2288" w:type="dxa"/>
                  <w:tcBorders>
                    <w:left w:val="single" w:color="auto" w:sz="4" w:space="0"/>
                    <w:right w:val="single" w:color="auto" w:sz="4" w:space="0"/>
                  </w:tcBorders>
                  <w:noWrap w:val="0"/>
                  <w:vAlign w:val="center"/>
                </w:tcPr>
                <w:p>
                  <w:pPr>
                    <w:jc w:val="center"/>
                    <w:rPr>
                      <w:rFonts w:ascii="Times New Roman" w:hAnsi="Times New Roman" w:eastAsia="宋体"/>
                      <w:color w:val="auto"/>
                      <w:sz w:val="21"/>
                      <w:szCs w:val="21"/>
                    </w:rPr>
                  </w:pPr>
                  <w:r>
                    <w:rPr>
                      <w:rFonts w:hint="eastAsia" w:ascii="Times New Roman" w:hAnsi="Times New Roman" w:eastAsia="宋体"/>
                      <w:color w:val="auto"/>
                      <w:sz w:val="21"/>
                      <w:szCs w:val="21"/>
                    </w:rPr>
                    <w:t>不会造成道路拥堵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7" w:hRule="atLeast"/>
                <w:jc w:val="center"/>
              </w:trPr>
              <w:tc>
                <w:tcPr>
                  <w:tcW w:w="957"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生态环境</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项目工程范围内周围生态环境</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评价区域</w:t>
                  </w:r>
                </w:p>
              </w:tc>
              <w:tc>
                <w:tcPr>
                  <w:tcW w:w="2288" w:type="dxa"/>
                  <w:tcBorders>
                    <w:left w:val="single" w:color="auto" w:sz="4" w:space="0"/>
                    <w:right w:val="single" w:color="auto" w:sz="4" w:space="0"/>
                  </w:tcBorders>
                  <w:noWrap w:val="0"/>
                  <w:vAlign w:val="center"/>
                </w:tcPr>
                <w:p>
                  <w:pPr>
                    <w:jc w:val="center"/>
                    <w:rPr>
                      <w:rFonts w:ascii="Times New Roman" w:hAnsi="Times New Roman" w:eastAsia="宋体"/>
                      <w:color w:val="auto"/>
                      <w:sz w:val="21"/>
                      <w:szCs w:val="21"/>
                    </w:rPr>
                  </w:pPr>
                  <w:r>
                    <w:rPr>
                      <w:rFonts w:hint="eastAsia" w:ascii="Times New Roman" w:hAnsi="Times New Roman" w:eastAsia="宋体"/>
                      <w:color w:val="auto"/>
                      <w:sz w:val="21"/>
                      <w:szCs w:val="21"/>
                    </w:rPr>
                    <w:t>尽量降低本工程建设对工程区及周边地区生态环境的破坏程度，使工程影响区的水土流失达到地方水土保持规划的治理标准。</w:t>
                  </w:r>
                </w:p>
              </w:tc>
            </w:tr>
          </w:tbl>
          <w:p>
            <w:pPr>
              <w:pStyle w:val="15"/>
              <w:ind w:right="3967"/>
              <w:jc w:val="both"/>
              <w:rPr>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93" w:hRule="atLeast"/>
        </w:trPr>
        <w:tc>
          <w:tcPr>
            <w:tcW w:w="799" w:type="dxa"/>
            <w:tcBorders>
              <w:top w:val="single" w:color="000000" w:sz="4" w:space="0"/>
              <w:bottom w:val="single" w:color="000000" w:sz="4" w:space="0"/>
              <w:right w:val="single" w:color="000000" w:sz="4" w:space="0"/>
            </w:tcBorders>
          </w:tcPr>
          <w:p>
            <w:pPr>
              <w:pStyle w:val="15"/>
              <w:rPr>
                <w:rFonts w:ascii="黑体"/>
                <w:sz w:val="20"/>
              </w:rPr>
            </w:pPr>
          </w:p>
          <w:p>
            <w:pPr>
              <w:pStyle w:val="15"/>
              <w:rPr>
                <w:rFonts w:ascii="黑体"/>
                <w:sz w:val="20"/>
              </w:rPr>
            </w:pPr>
          </w:p>
          <w:p>
            <w:pPr>
              <w:widowControl w:val="0"/>
              <w:spacing w:line="360" w:lineRule="auto"/>
              <w:ind w:firstLine="480" w:firstLineChars="200"/>
              <w:jc w:val="left"/>
              <w:rPr>
                <w:rFonts w:ascii="Times New Roman" w:hAnsi="Times New Roman" w:eastAsia="宋体" w:cs="Times New Roman"/>
                <w:bCs/>
                <w:color w:val="auto"/>
                <w:kern w:val="2"/>
                <w:sz w:val="24"/>
                <w:szCs w:val="22"/>
                <w:highlight w:val="none"/>
                <w:lang w:val="en-US" w:eastAsia="zh-CN" w:bidi="ar-SA"/>
              </w:rPr>
            </w:pPr>
          </w:p>
          <w:p>
            <w:pPr>
              <w:widowControl w:val="0"/>
              <w:spacing w:line="360" w:lineRule="auto"/>
              <w:jc w:val="left"/>
              <w:rPr>
                <w:rFonts w:ascii="Times New Roman" w:hAnsi="Times New Roman" w:eastAsia="宋体" w:cs="Times New Roman"/>
                <w:bCs/>
                <w:color w:val="auto"/>
                <w:kern w:val="2"/>
                <w:sz w:val="24"/>
                <w:szCs w:val="22"/>
                <w:highlight w:val="none"/>
                <w:lang w:val="en-US" w:eastAsia="zh-CN" w:bidi="ar-SA"/>
              </w:rPr>
            </w:pPr>
            <w:r>
              <w:rPr>
                <w:rFonts w:ascii="Times New Roman" w:hAnsi="Times New Roman" w:eastAsia="宋体" w:cs="Times New Roman"/>
                <w:bCs/>
                <w:color w:val="auto"/>
                <w:kern w:val="2"/>
                <w:sz w:val="24"/>
                <w:szCs w:val="22"/>
                <w:highlight w:val="none"/>
                <w:lang w:val="en-US" w:eastAsia="zh-CN" w:bidi="ar-SA"/>
              </w:rPr>
              <w:t>污</w:t>
            </w:r>
          </w:p>
          <w:p>
            <w:pPr>
              <w:widowControl w:val="0"/>
              <w:spacing w:line="360" w:lineRule="auto"/>
              <w:jc w:val="left"/>
              <w:rPr>
                <w:rFonts w:ascii="Times New Roman" w:hAnsi="Times New Roman" w:eastAsia="宋体" w:cs="Times New Roman"/>
                <w:bCs/>
                <w:color w:val="auto"/>
                <w:kern w:val="2"/>
                <w:sz w:val="24"/>
                <w:szCs w:val="22"/>
                <w:highlight w:val="none"/>
                <w:lang w:val="en-US" w:eastAsia="zh-CN" w:bidi="ar-SA"/>
              </w:rPr>
            </w:pPr>
            <w:r>
              <w:rPr>
                <w:rFonts w:ascii="Times New Roman" w:hAnsi="Times New Roman" w:eastAsia="宋体" w:cs="Times New Roman"/>
                <w:bCs/>
                <w:color w:val="auto"/>
                <w:kern w:val="2"/>
                <w:sz w:val="24"/>
                <w:szCs w:val="22"/>
                <w:highlight w:val="none"/>
                <w:lang w:val="en-US" w:eastAsia="zh-CN" w:bidi="ar-SA"/>
              </w:rPr>
              <w:t>染</w:t>
            </w:r>
          </w:p>
          <w:p>
            <w:pPr>
              <w:widowControl w:val="0"/>
              <w:spacing w:line="360" w:lineRule="auto"/>
              <w:jc w:val="left"/>
              <w:rPr>
                <w:rFonts w:ascii="Times New Roman" w:hAnsi="Times New Roman" w:eastAsia="宋体" w:cs="Times New Roman"/>
                <w:bCs/>
                <w:color w:val="auto"/>
                <w:kern w:val="2"/>
                <w:sz w:val="24"/>
                <w:szCs w:val="22"/>
                <w:highlight w:val="none"/>
                <w:lang w:val="en-US" w:eastAsia="zh-CN" w:bidi="ar-SA"/>
              </w:rPr>
            </w:pPr>
            <w:r>
              <w:rPr>
                <w:rFonts w:ascii="Times New Roman" w:hAnsi="Times New Roman" w:eastAsia="宋体" w:cs="Times New Roman"/>
                <w:bCs/>
                <w:color w:val="auto"/>
                <w:kern w:val="2"/>
                <w:sz w:val="24"/>
                <w:szCs w:val="22"/>
                <w:highlight w:val="none"/>
                <w:lang w:val="en-US" w:eastAsia="zh-CN" w:bidi="ar-SA"/>
              </w:rPr>
              <w:t>物</w:t>
            </w:r>
          </w:p>
          <w:p>
            <w:pPr>
              <w:widowControl w:val="0"/>
              <w:spacing w:line="360" w:lineRule="auto"/>
              <w:jc w:val="left"/>
              <w:rPr>
                <w:rFonts w:ascii="Times New Roman" w:hAnsi="Times New Roman" w:eastAsia="宋体" w:cs="Times New Roman"/>
                <w:bCs/>
                <w:color w:val="auto"/>
                <w:kern w:val="2"/>
                <w:sz w:val="24"/>
                <w:szCs w:val="22"/>
                <w:highlight w:val="none"/>
                <w:lang w:val="en-US" w:eastAsia="zh-CN" w:bidi="ar-SA"/>
              </w:rPr>
            </w:pPr>
            <w:r>
              <w:rPr>
                <w:rFonts w:ascii="Times New Roman" w:hAnsi="Times New Roman" w:eastAsia="宋体" w:cs="Times New Roman"/>
                <w:bCs/>
                <w:color w:val="auto"/>
                <w:kern w:val="2"/>
                <w:sz w:val="24"/>
                <w:szCs w:val="22"/>
                <w:highlight w:val="none"/>
                <w:lang w:val="en-US" w:eastAsia="zh-CN" w:bidi="ar-SA"/>
              </w:rPr>
              <w:t>排</w:t>
            </w:r>
          </w:p>
          <w:p>
            <w:pPr>
              <w:widowControl w:val="0"/>
              <w:spacing w:line="360" w:lineRule="auto"/>
              <w:jc w:val="left"/>
              <w:rPr>
                <w:rFonts w:ascii="Times New Roman" w:hAnsi="Times New Roman" w:eastAsia="宋体" w:cs="Times New Roman"/>
                <w:bCs/>
                <w:color w:val="auto"/>
                <w:kern w:val="2"/>
                <w:sz w:val="24"/>
                <w:szCs w:val="22"/>
                <w:highlight w:val="none"/>
                <w:lang w:val="en-US" w:eastAsia="zh-CN" w:bidi="ar-SA"/>
              </w:rPr>
            </w:pPr>
            <w:r>
              <w:rPr>
                <w:rFonts w:ascii="Times New Roman" w:hAnsi="Times New Roman" w:eastAsia="宋体" w:cs="Times New Roman"/>
                <w:bCs/>
                <w:color w:val="auto"/>
                <w:kern w:val="2"/>
                <w:sz w:val="24"/>
                <w:szCs w:val="22"/>
                <w:highlight w:val="none"/>
                <w:lang w:val="en-US" w:eastAsia="zh-CN" w:bidi="ar-SA"/>
              </w:rPr>
              <w:t>放</w:t>
            </w:r>
          </w:p>
          <w:p>
            <w:pPr>
              <w:widowControl w:val="0"/>
              <w:spacing w:line="360" w:lineRule="auto"/>
              <w:jc w:val="left"/>
              <w:rPr>
                <w:rFonts w:ascii="Times New Roman" w:hAnsi="Times New Roman" w:eastAsia="宋体" w:cs="Times New Roman"/>
                <w:bCs/>
                <w:color w:val="auto"/>
                <w:kern w:val="2"/>
                <w:sz w:val="24"/>
                <w:szCs w:val="22"/>
                <w:highlight w:val="none"/>
                <w:lang w:val="en-US" w:eastAsia="zh-CN" w:bidi="ar-SA"/>
              </w:rPr>
            </w:pPr>
            <w:r>
              <w:rPr>
                <w:rFonts w:ascii="Times New Roman" w:hAnsi="Times New Roman" w:eastAsia="宋体" w:cs="Times New Roman"/>
                <w:bCs/>
                <w:color w:val="auto"/>
                <w:kern w:val="2"/>
                <w:sz w:val="24"/>
                <w:szCs w:val="22"/>
                <w:highlight w:val="none"/>
                <w:lang w:val="en-US" w:eastAsia="zh-CN" w:bidi="ar-SA"/>
              </w:rPr>
              <w:t>控</w:t>
            </w:r>
          </w:p>
          <w:p>
            <w:pPr>
              <w:widowControl w:val="0"/>
              <w:spacing w:line="360" w:lineRule="auto"/>
              <w:jc w:val="left"/>
              <w:rPr>
                <w:rFonts w:ascii="Times New Roman" w:hAnsi="Times New Roman" w:eastAsia="宋体" w:cs="Times New Roman"/>
                <w:bCs/>
                <w:color w:val="auto"/>
                <w:kern w:val="2"/>
                <w:sz w:val="24"/>
                <w:szCs w:val="22"/>
                <w:highlight w:val="none"/>
                <w:lang w:val="en-US" w:eastAsia="zh-CN" w:bidi="ar-SA"/>
              </w:rPr>
            </w:pPr>
            <w:r>
              <w:rPr>
                <w:rFonts w:ascii="Times New Roman" w:hAnsi="Times New Roman" w:eastAsia="宋体" w:cs="Times New Roman"/>
                <w:bCs/>
                <w:color w:val="auto"/>
                <w:kern w:val="2"/>
                <w:sz w:val="24"/>
                <w:szCs w:val="22"/>
                <w:highlight w:val="none"/>
                <w:lang w:val="en-US" w:eastAsia="zh-CN" w:bidi="ar-SA"/>
              </w:rPr>
              <w:t>制</w:t>
            </w:r>
          </w:p>
          <w:p>
            <w:pPr>
              <w:widowControl w:val="0"/>
              <w:spacing w:line="360" w:lineRule="auto"/>
              <w:jc w:val="left"/>
              <w:rPr>
                <w:rFonts w:ascii="Times New Roman" w:hAnsi="Times New Roman" w:eastAsia="宋体" w:cs="Times New Roman"/>
                <w:bCs/>
                <w:color w:val="auto"/>
                <w:kern w:val="2"/>
                <w:sz w:val="24"/>
                <w:szCs w:val="22"/>
                <w:highlight w:val="none"/>
                <w:lang w:val="en-US" w:eastAsia="zh-CN" w:bidi="ar-SA"/>
              </w:rPr>
            </w:pPr>
            <w:r>
              <w:rPr>
                <w:rFonts w:ascii="Times New Roman" w:hAnsi="Times New Roman" w:eastAsia="宋体" w:cs="Times New Roman"/>
                <w:bCs/>
                <w:color w:val="auto"/>
                <w:kern w:val="2"/>
                <w:sz w:val="24"/>
                <w:szCs w:val="22"/>
                <w:highlight w:val="none"/>
                <w:lang w:val="en-US" w:eastAsia="zh-CN" w:bidi="ar-SA"/>
              </w:rPr>
              <w:t>标</w:t>
            </w:r>
          </w:p>
          <w:p>
            <w:pPr>
              <w:widowControl w:val="0"/>
              <w:spacing w:line="360" w:lineRule="auto"/>
              <w:jc w:val="left"/>
              <w:rPr>
                <w:sz w:val="21"/>
              </w:rPr>
            </w:pPr>
            <w:r>
              <w:rPr>
                <w:rFonts w:ascii="Times New Roman" w:hAnsi="Times New Roman" w:eastAsia="宋体" w:cs="Times New Roman"/>
                <w:bCs/>
                <w:color w:val="auto"/>
                <w:kern w:val="2"/>
                <w:sz w:val="24"/>
                <w:szCs w:val="22"/>
                <w:highlight w:val="none"/>
                <w:lang w:val="en-US" w:eastAsia="zh-CN" w:bidi="ar-SA"/>
              </w:rPr>
              <w:t xml:space="preserve">准 </w:t>
            </w:r>
          </w:p>
        </w:tc>
        <w:tc>
          <w:tcPr>
            <w:tcW w:w="8190" w:type="dxa"/>
            <w:tcBorders>
              <w:top w:val="single" w:color="000000" w:sz="4" w:space="0"/>
              <w:left w:val="single" w:color="000000" w:sz="4" w:space="0"/>
              <w:bottom w:val="single" w:color="000000" w:sz="4" w:space="0"/>
            </w:tcBorders>
          </w:tcPr>
          <w:p>
            <w:pPr>
              <w:pStyle w:val="15"/>
              <w:rPr>
                <w:rFonts w:ascii="黑体"/>
                <w:sz w:val="20"/>
              </w:rPr>
            </w:pPr>
          </w:p>
          <w:p>
            <w:pPr>
              <w:spacing w:line="360" w:lineRule="auto"/>
              <w:ind w:firstLine="482" w:firstLineChars="200"/>
              <w:rPr>
                <w:b/>
                <w:color w:val="auto"/>
                <w:sz w:val="24"/>
                <w:szCs w:val="22"/>
                <w:highlight w:val="none"/>
              </w:rPr>
            </w:pPr>
            <w:r>
              <w:rPr>
                <w:rFonts w:hint="eastAsia"/>
                <w:b/>
                <w:color w:val="auto"/>
                <w:sz w:val="24"/>
                <w:szCs w:val="22"/>
                <w:highlight w:val="none"/>
              </w:rPr>
              <w:t>1、</w:t>
            </w:r>
            <w:r>
              <w:rPr>
                <w:b/>
                <w:color w:val="auto"/>
                <w:sz w:val="24"/>
                <w:szCs w:val="22"/>
                <w:highlight w:val="none"/>
              </w:rPr>
              <w:t>大气污染物</w:t>
            </w:r>
          </w:p>
          <w:p>
            <w:pPr>
              <w:widowControl w:val="0"/>
              <w:spacing w:line="360" w:lineRule="auto"/>
              <w:ind w:firstLine="480" w:firstLineChars="200"/>
              <w:jc w:val="left"/>
              <w:rPr>
                <w:rFonts w:ascii="Times New Roman" w:hAnsi="Times New Roman" w:eastAsia="宋体" w:cs="Times New Roman"/>
                <w:bCs/>
                <w:color w:val="auto"/>
                <w:kern w:val="2"/>
                <w:sz w:val="24"/>
                <w:szCs w:val="22"/>
                <w:highlight w:val="none"/>
                <w:lang w:val="en-US" w:eastAsia="zh-CN" w:bidi="ar-SA"/>
              </w:rPr>
            </w:pPr>
            <w:r>
              <w:rPr>
                <w:rFonts w:ascii="Times New Roman" w:hAnsi="Times New Roman" w:eastAsia="宋体" w:cs="Times New Roman"/>
                <w:bCs/>
                <w:color w:val="auto"/>
                <w:kern w:val="2"/>
                <w:sz w:val="24"/>
                <w:szCs w:val="22"/>
                <w:highlight w:val="none"/>
                <w:lang w:val="en-US" w:eastAsia="zh-CN" w:bidi="ar-SA"/>
              </w:rPr>
              <w:t>项目沥青混凝土</w:t>
            </w:r>
            <w:r>
              <w:rPr>
                <w:rFonts w:hint="eastAsia" w:ascii="Times New Roman" w:hAnsi="Times New Roman" w:eastAsia="宋体" w:cs="Times New Roman"/>
                <w:bCs/>
                <w:color w:val="auto"/>
                <w:kern w:val="2"/>
                <w:sz w:val="24"/>
                <w:szCs w:val="22"/>
                <w:highlight w:val="none"/>
                <w:lang w:val="en-US" w:eastAsia="zh-CN" w:bidi="ar-SA"/>
              </w:rPr>
              <w:t>搅拌</w:t>
            </w:r>
            <w:r>
              <w:rPr>
                <w:rFonts w:ascii="Times New Roman" w:hAnsi="Times New Roman" w:eastAsia="宋体" w:cs="Times New Roman"/>
                <w:bCs/>
                <w:color w:val="auto"/>
                <w:kern w:val="2"/>
                <w:sz w:val="24"/>
                <w:szCs w:val="22"/>
                <w:highlight w:val="none"/>
                <w:lang w:val="en-US" w:eastAsia="zh-CN" w:bidi="ar-SA"/>
              </w:rPr>
              <w:t>料仓粉尘、沥青烟、苯并（a）芘</w:t>
            </w:r>
            <w:r>
              <w:rPr>
                <w:rFonts w:hint="eastAsia" w:ascii="Times New Roman" w:hAnsi="Times New Roman" w:eastAsia="宋体" w:cs="Times New Roman"/>
                <w:bCs/>
                <w:color w:val="auto"/>
                <w:kern w:val="2"/>
                <w:sz w:val="24"/>
                <w:szCs w:val="22"/>
                <w:highlight w:val="none"/>
                <w:lang w:val="en-US" w:eastAsia="zh-CN" w:bidi="ar-SA"/>
              </w:rPr>
              <w:t>、</w:t>
            </w:r>
            <w:r>
              <w:rPr>
                <w:rFonts w:ascii="Times New Roman" w:hAnsi="Times New Roman" w:eastAsia="宋体" w:cs="Times New Roman"/>
                <w:bCs/>
                <w:color w:val="auto"/>
                <w:kern w:val="2"/>
                <w:sz w:val="24"/>
                <w:szCs w:val="22"/>
                <w:highlight w:val="none"/>
                <w:lang w:val="en-US" w:eastAsia="zh-CN" w:bidi="ar-SA"/>
              </w:rPr>
              <w:t>非甲烷总烃均执行《大气污染物综合排放标准》（GB16297-1996）表2中二级标准及无组织排放浓度</w:t>
            </w:r>
            <w:r>
              <w:rPr>
                <w:rFonts w:hint="eastAsia" w:ascii="Times New Roman" w:hAnsi="Times New Roman" w:eastAsia="宋体" w:cs="Times New Roman"/>
                <w:bCs/>
                <w:color w:val="auto"/>
                <w:kern w:val="2"/>
                <w:sz w:val="24"/>
                <w:szCs w:val="22"/>
                <w:highlight w:val="none"/>
                <w:lang w:val="en-US" w:eastAsia="zh-CN" w:bidi="ar-SA"/>
              </w:rPr>
              <w:t>限值，VOCs执行</w:t>
            </w:r>
            <w:r>
              <w:rPr>
                <w:rFonts w:hint="eastAsia" w:ascii="Times New Roman" w:hAnsi="Times New Roman" w:eastAsia="宋体" w:cs="Times New Roman"/>
                <w:color w:val="auto"/>
                <w:kern w:val="2"/>
                <w:sz w:val="24"/>
                <w:szCs w:val="24"/>
                <w:highlight w:val="none"/>
                <w:lang w:val="en-US" w:eastAsia="zh-CN" w:bidi="ar-SA"/>
              </w:rPr>
              <w:t>《四川省固定污染源大气挥发性有机物排放标准》（DB51/2377-2017）和《挥发性有机物无组织排放控制标准》（GB37822-2019）标准</w:t>
            </w:r>
            <w:r>
              <w:rPr>
                <w:rFonts w:ascii="Times New Roman" w:hAnsi="Times New Roman" w:eastAsia="宋体" w:cs="Times New Roman"/>
                <w:bCs/>
                <w:color w:val="auto"/>
                <w:kern w:val="2"/>
                <w:sz w:val="24"/>
                <w:szCs w:val="22"/>
                <w:highlight w:val="none"/>
                <w:lang w:val="en-US" w:eastAsia="zh-CN" w:bidi="ar-SA"/>
              </w:rPr>
              <w:t>；燃油锅炉废气执行《锅炉大气污染物排放标准》（GB13271-2014）表2中燃油锅炉大气污染物排放浓度限制要求；烘干</w:t>
            </w:r>
            <w:r>
              <w:rPr>
                <w:rFonts w:hint="eastAsia" w:ascii="Times New Roman" w:hAnsi="Times New Roman" w:cs="Times New Roman"/>
                <w:bCs/>
                <w:color w:val="auto"/>
                <w:kern w:val="2"/>
                <w:sz w:val="24"/>
                <w:szCs w:val="22"/>
                <w:highlight w:val="none"/>
                <w:lang w:val="en-US" w:eastAsia="zh-CN" w:bidi="ar-SA"/>
              </w:rPr>
              <w:t xml:space="preserve"> </w:t>
            </w:r>
            <w:r>
              <w:rPr>
                <w:rFonts w:ascii="Times New Roman" w:hAnsi="Times New Roman" w:eastAsia="宋体" w:cs="Times New Roman"/>
                <w:bCs/>
                <w:color w:val="auto"/>
                <w:kern w:val="2"/>
                <w:sz w:val="24"/>
                <w:szCs w:val="22"/>
                <w:highlight w:val="none"/>
                <w:lang w:val="en-US" w:eastAsia="zh-CN" w:bidi="ar-SA"/>
              </w:rPr>
              <w:t>筒燃料废气执行《工业炉窑大气污染物排放标准》（GB9078-1996）表2中干燥炉窑二级标准限值。</w:t>
            </w:r>
          </w:p>
          <w:p>
            <w:pPr>
              <w:spacing w:line="360" w:lineRule="auto"/>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3-10</w:t>
            </w:r>
            <w:r>
              <w:rPr>
                <w:rFonts w:hint="eastAsia" w:ascii="Times New Roman" w:hAnsi="Times New Roman" w:eastAsia="宋体" w:cs="Times New Roman"/>
                <w:b/>
                <w:bCs/>
                <w:color w:val="auto"/>
                <w:sz w:val="21"/>
                <w:szCs w:val="21"/>
                <w:highlight w:val="none"/>
              </w:rPr>
              <w:t xml:space="preserve">   大气污染物综合排放标准（摘录）</w:t>
            </w:r>
          </w:p>
          <w:tbl>
            <w:tblPr>
              <w:tblStyle w:val="11"/>
              <w:tblW w:w="4787"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93"/>
              <w:gridCol w:w="1753"/>
              <w:gridCol w:w="1061"/>
              <w:gridCol w:w="1199"/>
              <w:gridCol w:w="231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4" w:hRule="atLeast"/>
                <w:jc w:val="center"/>
              </w:trPr>
              <w:tc>
                <w:tcPr>
                  <w:tcW w:w="955" w:type="pct"/>
                  <w:vMerge w:val="restart"/>
                  <w:noWrap w:val="0"/>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污染物</w:t>
                  </w:r>
                </w:p>
              </w:tc>
              <w:tc>
                <w:tcPr>
                  <w:tcW w:w="1120" w:type="pct"/>
                  <w:vMerge w:val="restart"/>
                  <w:noWrap w:val="0"/>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最高允许排放浓度（mg/m</w:t>
                  </w:r>
                  <w:r>
                    <w:rPr>
                      <w:rFonts w:ascii="Times New Roman" w:hAnsi="Times New Roman" w:eastAsia="宋体" w:cs="Times New Roman"/>
                      <w:color w:val="auto"/>
                      <w:szCs w:val="21"/>
                      <w:highlight w:val="none"/>
                      <w:vertAlign w:val="superscript"/>
                    </w:rPr>
                    <w:t>3</w:t>
                  </w:r>
                  <w:r>
                    <w:rPr>
                      <w:rFonts w:ascii="Times New Roman" w:hAnsi="Times New Roman" w:eastAsia="宋体" w:cs="Times New Roman"/>
                      <w:color w:val="auto"/>
                      <w:szCs w:val="21"/>
                      <w:highlight w:val="none"/>
                    </w:rPr>
                    <w:t>）</w:t>
                  </w:r>
                </w:p>
              </w:tc>
              <w:tc>
                <w:tcPr>
                  <w:tcW w:w="1444" w:type="pct"/>
                  <w:gridSpan w:val="2"/>
                  <w:noWrap w:val="0"/>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最高允许排放速率（kg/h）</w:t>
                  </w:r>
                </w:p>
              </w:tc>
              <w:tc>
                <w:tcPr>
                  <w:tcW w:w="1480" w:type="pct"/>
                  <w:vMerge w:val="restart"/>
                  <w:noWrap w:val="0"/>
                  <w:vAlign w:val="top"/>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无组织排放监控浓度限值mg/m</w:t>
                  </w:r>
                  <w:r>
                    <w:rPr>
                      <w:rFonts w:ascii="Times New Roman" w:hAnsi="Times New Roman" w:eastAsia="宋体" w:cs="Times New Roman"/>
                      <w:color w:val="auto"/>
                      <w:szCs w:val="21"/>
                      <w:highlight w:val="none"/>
                      <w:vertAlign w:val="superscript"/>
                    </w:rPr>
                    <w:t>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4" w:hRule="atLeast"/>
                <w:jc w:val="center"/>
              </w:trPr>
              <w:tc>
                <w:tcPr>
                  <w:tcW w:w="955" w:type="pct"/>
                  <w:vMerge w:val="continue"/>
                  <w:noWrap w:val="0"/>
                  <w:vAlign w:val="center"/>
                </w:tcPr>
                <w:p>
                  <w:pPr>
                    <w:jc w:val="center"/>
                    <w:rPr>
                      <w:rFonts w:ascii="Times New Roman" w:hAnsi="Times New Roman" w:eastAsia="宋体" w:cs="Times New Roman"/>
                      <w:color w:val="auto"/>
                      <w:szCs w:val="21"/>
                      <w:highlight w:val="none"/>
                    </w:rPr>
                  </w:pPr>
                </w:p>
              </w:tc>
              <w:tc>
                <w:tcPr>
                  <w:tcW w:w="1120" w:type="pct"/>
                  <w:vMerge w:val="continue"/>
                  <w:noWrap w:val="0"/>
                  <w:vAlign w:val="center"/>
                </w:tcPr>
                <w:p>
                  <w:pPr>
                    <w:jc w:val="center"/>
                    <w:rPr>
                      <w:rFonts w:ascii="Times New Roman" w:hAnsi="Times New Roman" w:eastAsia="宋体" w:cs="Times New Roman"/>
                      <w:color w:val="auto"/>
                      <w:szCs w:val="21"/>
                      <w:highlight w:val="none"/>
                    </w:rPr>
                  </w:pPr>
                </w:p>
              </w:tc>
              <w:tc>
                <w:tcPr>
                  <w:tcW w:w="678" w:type="pct"/>
                  <w:noWrap w:val="0"/>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排气筒（m）</w:t>
                  </w:r>
                </w:p>
              </w:tc>
              <w:tc>
                <w:tcPr>
                  <w:tcW w:w="766" w:type="pct"/>
                  <w:noWrap w:val="0"/>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二级</w:t>
                  </w:r>
                </w:p>
              </w:tc>
              <w:tc>
                <w:tcPr>
                  <w:tcW w:w="1480" w:type="pct"/>
                  <w:vMerge w:val="continue"/>
                  <w:noWrap w:val="0"/>
                  <w:vAlign w:val="top"/>
                </w:tcPr>
                <w:p>
                  <w:pPr>
                    <w:jc w:val="center"/>
                    <w:rPr>
                      <w:rFonts w:ascii="Times New Roman" w:hAnsi="Times New Roman" w:eastAsia="宋体" w:cs="Times New Roman"/>
                      <w:color w:val="auto"/>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4" w:hRule="atLeast"/>
                <w:jc w:val="center"/>
              </w:trPr>
              <w:tc>
                <w:tcPr>
                  <w:tcW w:w="955" w:type="pct"/>
                  <w:noWrap w:val="0"/>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pacing w:val="-6"/>
                      <w:highlight w:val="none"/>
                    </w:rPr>
                    <w:t>NO</w:t>
                  </w:r>
                  <w:r>
                    <w:rPr>
                      <w:rFonts w:ascii="Times New Roman" w:hAnsi="Times New Roman" w:eastAsia="宋体" w:cs="Times New Roman"/>
                      <w:color w:val="auto"/>
                      <w:spacing w:val="-6"/>
                      <w:highlight w:val="none"/>
                      <w:vertAlign w:val="subscript"/>
                    </w:rPr>
                    <w:t>x</w:t>
                  </w:r>
                </w:p>
              </w:tc>
              <w:tc>
                <w:tcPr>
                  <w:tcW w:w="1120" w:type="pct"/>
                  <w:noWrap w:val="0"/>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240</w:t>
                  </w:r>
                </w:p>
              </w:tc>
              <w:tc>
                <w:tcPr>
                  <w:tcW w:w="678" w:type="pct"/>
                  <w:noWrap w:val="0"/>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15</w:t>
                  </w:r>
                </w:p>
              </w:tc>
              <w:tc>
                <w:tcPr>
                  <w:tcW w:w="766" w:type="pct"/>
                  <w:noWrap w:val="0"/>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0.77</w:t>
                  </w:r>
                </w:p>
              </w:tc>
              <w:tc>
                <w:tcPr>
                  <w:tcW w:w="1480" w:type="pct"/>
                  <w:noWrap w:val="0"/>
                  <w:vAlign w:val="top"/>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0.12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4" w:hRule="atLeast"/>
                <w:jc w:val="center"/>
              </w:trPr>
              <w:tc>
                <w:tcPr>
                  <w:tcW w:w="955" w:type="pct"/>
                  <w:noWrap w:val="0"/>
                  <w:vAlign w:val="center"/>
                </w:tcPr>
                <w:p>
                  <w:pPr>
                    <w:jc w:val="center"/>
                    <w:rPr>
                      <w:rFonts w:ascii="Times New Roman" w:hAnsi="Times New Roman" w:eastAsia="宋体" w:cs="Times New Roman"/>
                      <w:color w:val="auto"/>
                      <w:spacing w:val="-6"/>
                      <w:highlight w:val="none"/>
                    </w:rPr>
                  </w:pPr>
                  <w:r>
                    <w:rPr>
                      <w:rFonts w:ascii="Times New Roman" w:hAnsi="Times New Roman" w:eastAsia="宋体" w:cs="Times New Roman"/>
                      <w:color w:val="auto"/>
                      <w:spacing w:val="-6"/>
                      <w:highlight w:val="none"/>
                    </w:rPr>
                    <w:t>SO</w:t>
                  </w:r>
                  <w:r>
                    <w:rPr>
                      <w:rFonts w:ascii="Times New Roman" w:hAnsi="Times New Roman" w:eastAsia="宋体" w:cs="Times New Roman"/>
                      <w:color w:val="auto"/>
                      <w:spacing w:val="-6"/>
                      <w:highlight w:val="none"/>
                      <w:vertAlign w:val="subscript"/>
                    </w:rPr>
                    <w:t>2</w:t>
                  </w:r>
                </w:p>
              </w:tc>
              <w:tc>
                <w:tcPr>
                  <w:tcW w:w="1120" w:type="pct"/>
                  <w:noWrap w:val="0"/>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550</w:t>
                  </w:r>
                </w:p>
              </w:tc>
              <w:tc>
                <w:tcPr>
                  <w:tcW w:w="678" w:type="pct"/>
                  <w:noWrap w:val="0"/>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15</w:t>
                  </w:r>
                </w:p>
              </w:tc>
              <w:tc>
                <w:tcPr>
                  <w:tcW w:w="766" w:type="pct"/>
                  <w:noWrap w:val="0"/>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2.60</w:t>
                  </w:r>
                </w:p>
              </w:tc>
              <w:tc>
                <w:tcPr>
                  <w:tcW w:w="1480" w:type="pct"/>
                  <w:noWrap w:val="0"/>
                  <w:vAlign w:val="top"/>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0.40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4" w:hRule="atLeast"/>
                <w:jc w:val="center"/>
              </w:trPr>
              <w:tc>
                <w:tcPr>
                  <w:tcW w:w="955" w:type="pct"/>
                  <w:noWrap w:val="0"/>
                  <w:vAlign w:val="center"/>
                </w:tcPr>
                <w:p>
                  <w:pPr>
                    <w:jc w:val="center"/>
                    <w:rPr>
                      <w:rFonts w:ascii="Times New Roman" w:hAnsi="Times New Roman" w:eastAsia="宋体" w:cs="Times New Roman"/>
                      <w:color w:val="auto"/>
                      <w:spacing w:val="-6"/>
                      <w:highlight w:val="none"/>
                    </w:rPr>
                  </w:pPr>
                  <w:r>
                    <w:rPr>
                      <w:rFonts w:ascii="Times New Roman" w:hAnsi="Times New Roman" w:eastAsia="宋体" w:cs="Times New Roman"/>
                      <w:color w:val="auto"/>
                      <w:spacing w:val="-6"/>
                      <w:highlight w:val="none"/>
                    </w:rPr>
                    <w:t>颗粒物</w:t>
                  </w:r>
                </w:p>
              </w:tc>
              <w:tc>
                <w:tcPr>
                  <w:tcW w:w="1120" w:type="pct"/>
                  <w:noWrap w:val="0"/>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120</w:t>
                  </w:r>
                </w:p>
              </w:tc>
              <w:tc>
                <w:tcPr>
                  <w:tcW w:w="678" w:type="pct"/>
                  <w:noWrap w:val="0"/>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15</w:t>
                  </w:r>
                </w:p>
              </w:tc>
              <w:tc>
                <w:tcPr>
                  <w:tcW w:w="766" w:type="pct"/>
                  <w:noWrap w:val="0"/>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3.5</w:t>
                  </w:r>
                </w:p>
              </w:tc>
              <w:tc>
                <w:tcPr>
                  <w:tcW w:w="1480" w:type="pct"/>
                  <w:noWrap w:val="0"/>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91" w:hRule="atLeast"/>
                <w:jc w:val="center"/>
              </w:trPr>
              <w:tc>
                <w:tcPr>
                  <w:tcW w:w="955" w:type="pct"/>
                  <w:noWrap w:val="0"/>
                  <w:vAlign w:val="center"/>
                </w:tcPr>
                <w:p>
                  <w:pPr>
                    <w:jc w:val="center"/>
                    <w:rPr>
                      <w:rFonts w:ascii="Times New Roman" w:hAnsi="Times New Roman" w:eastAsia="宋体" w:cs="Times New Roman"/>
                      <w:color w:val="auto"/>
                      <w:spacing w:val="-6"/>
                      <w:highlight w:val="none"/>
                    </w:rPr>
                  </w:pPr>
                  <w:r>
                    <w:rPr>
                      <w:rFonts w:ascii="Times New Roman" w:hAnsi="Times New Roman" w:eastAsia="宋体" w:cs="Times New Roman"/>
                      <w:color w:val="auto"/>
                      <w:spacing w:val="-6"/>
                      <w:highlight w:val="none"/>
                    </w:rPr>
                    <w:t>沥青烟</w:t>
                  </w:r>
                </w:p>
              </w:tc>
              <w:tc>
                <w:tcPr>
                  <w:tcW w:w="1120" w:type="pct"/>
                  <w:noWrap w:val="0"/>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75</w:t>
                  </w:r>
                </w:p>
              </w:tc>
              <w:tc>
                <w:tcPr>
                  <w:tcW w:w="678" w:type="pct"/>
                  <w:noWrap w:val="0"/>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15</w:t>
                  </w:r>
                </w:p>
              </w:tc>
              <w:tc>
                <w:tcPr>
                  <w:tcW w:w="766" w:type="pct"/>
                  <w:noWrap w:val="0"/>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0.18</w:t>
                  </w:r>
                </w:p>
              </w:tc>
              <w:tc>
                <w:tcPr>
                  <w:tcW w:w="1480" w:type="pct"/>
                  <w:noWrap w:val="0"/>
                  <w:vAlign w:val="top"/>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生产设备不得有明显的无组织排放存在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4" w:hRule="atLeast"/>
                <w:jc w:val="center"/>
              </w:trPr>
              <w:tc>
                <w:tcPr>
                  <w:tcW w:w="955" w:type="pct"/>
                  <w:noWrap w:val="0"/>
                  <w:vAlign w:val="center"/>
                </w:tcPr>
                <w:p>
                  <w:pPr>
                    <w:jc w:val="center"/>
                    <w:rPr>
                      <w:rFonts w:ascii="Times New Roman" w:hAnsi="Times New Roman" w:eastAsia="宋体" w:cs="Times New Roman"/>
                      <w:color w:val="auto"/>
                      <w:spacing w:val="-6"/>
                      <w:highlight w:val="none"/>
                    </w:rPr>
                  </w:pPr>
                  <w:r>
                    <w:rPr>
                      <w:rFonts w:ascii="Times New Roman" w:hAnsi="Times New Roman" w:eastAsia="宋体" w:cs="Times New Roman"/>
                      <w:color w:val="auto"/>
                      <w:szCs w:val="21"/>
                      <w:highlight w:val="none"/>
                    </w:rPr>
                    <w:t>苯并（a）芘</w:t>
                  </w:r>
                </w:p>
              </w:tc>
              <w:tc>
                <w:tcPr>
                  <w:tcW w:w="1120" w:type="pct"/>
                  <w:noWrap w:val="0"/>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0.30×10</w:t>
                  </w:r>
                  <w:r>
                    <w:rPr>
                      <w:rFonts w:ascii="Times New Roman" w:hAnsi="Times New Roman" w:eastAsia="宋体" w:cs="Times New Roman"/>
                      <w:color w:val="auto"/>
                      <w:szCs w:val="21"/>
                      <w:highlight w:val="none"/>
                      <w:vertAlign w:val="superscript"/>
                    </w:rPr>
                    <w:t>-3</w:t>
                  </w:r>
                </w:p>
              </w:tc>
              <w:tc>
                <w:tcPr>
                  <w:tcW w:w="678" w:type="pct"/>
                  <w:noWrap w:val="0"/>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15</w:t>
                  </w:r>
                </w:p>
              </w:tc>
              <w:tc>
                <w:tcPr>
                  <w:tcW w:w="766" w:type="pct"/>
                  <w:noWrap w:val="0"/>
                  <w:vAlign w:val="center"/>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0.050×10</w:t>
                  </w:r>
                  <w:r>
                    <w:rPr>
                      <w:rFonts w:ascii="Times New Roman" w:hAnsi="Times New Roman" w:eastAsia="宋体" w:cs="Times New Roman"/>
                      <w:color w:val="auto"/>
                      <w:szCs w:val="21"/>
                      <w:highlight w:val="none"/>
                      <w:vertAlign w:val="superscript"/>
                    </w:rPr>
                    <w:t>-3</w:t>
                  </w:r>
                </w:p>
              </w:tc>
              <w:tc>
                <w:tcPr>
                  <w:tcW w:w="1480" w:type="pct"/>
                  <w:noWrap w:val="0"/>
                  <w:vAlign w:val="top"/>
                </w:tcPr>
                <w:p>
                  <w:pPr>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8×10</w:t>
                  </w:r>
                  <w:r>
                    <w:rPr>
                      <w:rFonts w:ascii="Times New Roman" w:hAnsi="Times New Roman" w:eastAsia="宋体" w:cs="Times New Roman"/>
                      <w:color w:val="auto"/>
                      <w:szCs w:val="21"/>
                      <w:highlight w:val="none"/>
                      <w:vertAlign w:val="superscript"/>
                    </w:rPr>
                    <w:t>-6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4" w:hRule="atLeast"/>
                <w:jc w:val="center"/>
              </w:trPr>
              <w:tc>
                <w:tcPr>
                  <w:tcW w:w="955" w:type="pct"/>
                  <w:noWrap w:val="0"/>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非甲烷总烃</w:t>
                  </w:r>
                </w:p>
              </w:tc>
              <w:tc>
                <w:tcPr>
                  <w:tcW w:w="1120" w:type="pct"/>
                  <w:noWrap w:val="0"/>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120</w:t>
                  </w:r>
                </w:p>
              </w:tc>
              <w:tc>
                <w:tcPr>
                  <w:tcW w:w="678" w:type="pct"/>
                  <w:noWrap w:val="0"/>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15</w:t>
                  </w:r>
                </w:p>
              </w:tc>
              <w:tc>
                <w:tcPr>
                  <w:tcW w:w="766" w:type="pct"/>
                  <w:noWrap w:val="0"/>
                  <w:vAlign w:val="center"/>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10</w:t>
                  </w:r>
                </w:p>
              </w:tc>
              <w:tc>
                <w:tcPr>
                  <w:tcW w:w="1480" w:type="pct"/>
                  <w:noWrap w:val="0"/>
                  <w:vAlign w:val="top"/>
                </w:tcPr>
                <w:p>
                  <w:pPr>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4" w:hRule="atLeast"/>
                <w:jc w:val="center"/>
              </w:trPr>
              <w:tc>
                <w:tcPr>
                  <w:tcW w:w="955" w:type="pct"/>
                  <w:vMerge w:val="restar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VOCs</w:t>
                  </w:r>
                </w:p>
              </w:tc>
              <w:tc>
                <w:tcPr>
                  <w:tcW w:w="1120"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678"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6" w:type="pct"/>
                  <w:noWrap w:val="0"/>
                  <w:vAlign w:val="center"/>
                </w:tcPr>
                <w:p>
                  <w:pPr>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1480" w:type="pct"/>
                  <w:noWrap w:val="0"/>
                  <w:vAlign w:val="top"/>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8" w:hRule="atLeast"/>
                <w:jc w:val="center"/>
              </w:trPr>
              <w:tc>
                <w:tcPr>
                  <w:tcW w:w="955" w:type="pct"/>
                  <w:vMerge w:val="continue"/>
                  <w:noWrap w:val="0"/>
                  <w:vAlign w:val="center"/>
                </w:tcPr>
                <w:p>
                  <w:pPr>
                    <w:jc w:val="center"/>
                    <w:rPr>
                      <w:rFonts w:hint="eastAsia" w:ascii="Times New Roman" w:hAnsi="Times New Roman" w:eastAsia="宋体" w:cs="Times New Roman"/>
                      <w:color w:val="auto"/>
                      <w:szCs w:val="21"/>
                      <w:highlight w:val="none"/>
                      <w:lang w:val="en-US" w:eastAsia="zh-CN"/>
                    </w:rPr>
                  </w:pPr>
                </w:p>
              </w:tc>
              <w:tc>
                <w:tcPr>
                  <w:tcW w:w="1120"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678"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15</w:t>
                  </w:r>
                </w:p>
              </w:tc>
              <w:tc>
                <w:tcPr>
                  <w:tcW w:w="766" w:type="pct"/>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3.4</w:t>
                  </w:r>
                </w:p>
              </w:tc>
              <w:tc>
                <w:tcPr>
                  <w:tcW w:w="1480" w:type="pct"/>
                  <w:noWrap w:val="0"/>
                  <w:vAlign w:val="top"/>
                </w:tcPr>
                <w:p>
                  <w:pPr>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r>
          </w:tbl>
          <w:p>
            <w:pPr>
              <w:snapToGrid w:val="0"/>
              <w:spacing w:line="360" w:lineRule="auto"/>
              <w:jc w:val="center"/>
              <w:rPr>
                <w:rFonts w:hint="eastAsia" w:ascii="宋体" w:hAnsi="宋体" w:eastAsia="宋体" w:cs="宋体"/>
                <w:b/>
                <w:bCs/>
                <w:color w:val="auto"/>
                <w:sz w:val="21"/>
                <w:szCs w:val="21"/>
                <w:highlight w:val="none"/>
              </w:rPr>
            </w:pPr>
          </w:p>
          <w:p>
            <w:pPr>
              <w:snapToGrid w:val="0"/>
              <w:spacing w:line="360" w:lineRule="auto"/>
              <w:jc w:val="center"/>
              <w:rPr>
                <w:rFonts w:hint="eastAsia" w:ascii="宋体" w:hAnsi="宋体" w:eastAsia="宋体" w:cs="宋体"/>
                <w:b/>
                <w:bCs/>
                <w:color w:val="auto"/>
                <w:sz w:val="21"/>
                <w:szCs w:val="21"/>
                <w:highlight w:val="none"/>
              </w:rPr>
            </w:pPr>
            <w:r>
              <w:rPr>
                <w:rFonts w:hint="eastAsia"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3-11</w:t>
            </w:r>
            <w:r>
              <w:rPr>
                <w:rFonts w:hint="eastAsia" w:ascii="Times New Roman" w:hAnsi="Times New Roman" w:eastAsia="宋体" w:cs="Times New Roman"/>
                <w:b/>
                <w:bCs/>
                <w:color w:val="auto"/>
                <w:sz w:val="21"/>
                <w:szCs w:val="21"/>
                <w:highlight w:val="none"/>
              </w:rPr>
              <w:t xml:space="preserve">   新建锅炉大气污染物排放标准（摘录）   单位mg/</w:t>
            </w:r>
            <w:r>
              <w:rPr>
                <w:rFonts w:hint="eastAsia" w:ascii="宋体" w:hAnsi="宋体" w:eastAsia="宋体" w:cs="宋体"/>
                <w:b/>
                <w:bCs/>
                <w:color w:val="auto"/>
                <w:sz w:val="21"/>
                <w:szCs w:val="21"/>
                <w:highlight w:val="none"/>
              </w:rPr>
              <w:t>m</w:t>
            </w:r>
            <w:r>
              <w:rPr>
                <w:rFonts w:hint="eastAsia" w:ascii="宋体" w:hAnsi="宋体" w:eastAsia="宋体" w:cs="宋体"/>
                <w:b/>
                <w:bCs/>
                <w:color w:val="auto"/>
                <w:sz w:val="21"/>
                <w:szCs w:val="21"/>
                <w:highlight w:val="none"/>
                <w:vertAlign w:val="superscript"/>
              </w:rPr>
              <w:t>3</w:t>
            </w:r>
          </w:p>
          <w:tbl>
            <w:tblPr>
              <w:tblStyle w:val="11"/>
              <w:tblW w:w="473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735"/>
              <w:gridCol w:w="1337"/>
              <w:gridCol w:w="267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2411" w:type="pct"/>
                  <w:vMerge w:val="restart"/>
                  <w:tcBorders>
                    <w:top w:val="single" w:color="auto" w:sz="4" w:space="0"/>
                    <w:left w:val="single" w:color="auto" w:sz="0"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rPr>
                  </w:pPr>
                  <w:r>
                    <w:rPr>
                      <w:rFonts w:ascii="Times New Roman" w:hAnsi="Times New Roman" w:eastAsia="宋体"/>
                      <w:color w:val="auto"/>
                      <w:sz w:val="21"/>
                      <w:szCs w:val="21"/>
                      <w:highlight w:val="none"/>
                    </w:rPr>
                    <w:t>污染物</w:t>
                  </w:r>
                  <w:r>
                    <w:rPr>
                      <w:rFonts w:hint="eastAsia" w:ascii="Times New Roman" w:hAnsi="Times New Roman" w:eastAsia="宋体"/>
                      <w:color w:val="auto"/>
                      <w:sz w:val="21"/>
                      <w:szCs w:val="21"/>
                      <w:highlight w:val="none"/>
                    </w:rPr>
                    <w:t>项目</w:t>
                  </w:r>
                </w:p>
              </w:tc>
              <w:tc>
                <w:tcPr>
                  <w:tcW w:w="8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限值</w:t>
                  </w:r>
                </w:p>
              </w:tc>
              <w:tc>
                <w:tcPr>
                  <w:tcW w:w="172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污染物排放监控位置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2411"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highlight w:val="none"/>
                    </w:rPr>
                  </w:pPr>
                </w:p>
              </w:tc>
              <w:tc>
                <w:tcPr>
                  <w:tcW w:w="8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燃油锅炉</w:t>
                  </w:r>
                </w:p>
              </w:tc>
              <w:tc>
                <w:tcPr>
                  <w:tcW w:w="172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bCs/>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24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颗粒物</w:t>
                  </w:r>
                </w:p>
              </w:tc>
              <w:tc>
                <w:tcPr>
                  <w:tcW w:w="8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30</w:t>
                  </w:r>
                </w:p>
              </w:tc>
              <w:tc>
                <w:tcPr>
                  <w:tcW w:w="172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烟囱或烟道</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24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SO</w:t>
                  </w:r>
                  <w:r>
                    <w:rPr>
                      <w:rFonts w:hint="eastAsia" w:ascii="Times New Roman" w:hAnsi="Times New Roman" w:eastAsia="宋体"/>
                      <w:color w:val="auto"/>
                      <w:sz w:val="21"/>
                      <w:szCs w:val="21"/>
                      <w:highlight w:val="none"/>
                      <w:vertAlign w:val="subscript"/>
                    </w:rPr>
                    <w:t>2</w:t>
                  </w:r>
                </w:p>
              </w:tc>
              <w:tc>
                <w:tcPr>
                  <w:tcW w:w="8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200</w:t>
                  </w:r>
                </w:p>
              </w:tc>
              <w:tc>
                <w:tcPr>
                  <w:tcW w:w="172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bCs/>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2" w:hRule="atLeast"/>
                <w:jc w:val="center"/>
              </w:trPr>
              <w:tc>
                <w:tcPr>
                  <w:tcW w:w="24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highlight w:val="none"/>
                    </w:rPr>
                  </w:pPr>
                  <w:r>
                    <w:rPr>
                      <w:rFonts w:hint="eastAsia" w:ascii="Times New Roman" w:hAnsi="Times New Roman" w:eastAsia="宋体"/>
                      <w:color w:val="auto"/>
                      <w:spacing w:val="-6"/>
                      <w:sz w:val="21"/>
                      <w:highlight w:val="none"/>
                    </w:rPr>
                    <w:t>NO</w:t>
                  </w:r>
                  <w:r>
                    <w:rPr>
                      <w:rFonts w:hint="eastAsia" w:ascii="Times New Roman" w:hAnsi="Times New Roman" w:eastAsia="宋体"/>
                      <w:color w:val="auto"/>
                      <w:spacing w:val="-6"/>
                      <w:sz w:val="21"/>
                      <w:highlight w:val="none"/>
                      <w:vertAlign w:val="subscript"/>
                    </w:rPr>
                    <w:t>x</w:t>
                  </w:r>
                </w:p>
              </w:tc>
              <w:tc>
                <w:tcPr>
                  <w:tcW w:w="8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250</w:t>
                  </w:r>
                </w:p>
              </w:tc>
              <w:tc>
                <w:tcPr>
                  <w:tcW w:w="1724" w:type="pct"/>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ascii="Times New Roman" w:hAnsi="Times New Roman" w:eastAsia="宋体"/>
                      <w:bCs/>
                      <w:color w:val="auto"/>
                      <w:sz w:val="21"/>
                      <w:szCs w:val="21"/>
                      <w:highlight w:val="none"/>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1" w:hRule="atLeast"/>
                <w:jc w:val="center"/>
              </w:trPr>
              <w:tc>
                <w:tcPr>
                  <w:tcW w:w="241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烟气黑度（格林曼黑度，级）</w:t>
                  </w:r>
                </w:p>
              </w:tc>
              <w:tc>
                <w:tcPr>
                  <w:tcW w:w="86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olor w:val="auto"/>
                      <w:sz w:val="21"/>
                      <w:szCs w:val="21"/>
                      <w:highlight w:val="none"/>
                    </w:rPr>
                  </w:pPr>
                  <w:r>
                    <w:rPr>
                      <w:rFonts w:hint="eastAsia" w:ascii="Times New Roman" w:hAnsi="Times New Roman" w:eastAsia="宋体"/>
                      <w:bCs/>
                      <w:color w:val="auto"/>
                      <w:sz w:val="21"/>
                      <w:szCs w:val="21"/>
                      <w:highlight w:val="none"/>
                    </w:rPr>
                    <w:t>≤Ⅰ</w:t>
                  </w:r>
                </w:p>
              </w:tc>
              <w:tc>
                <w:tcPr>
                  <w:tcW w:w="172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烟囱排放口</w:t>
                  </w:r>
                </w:p>
              </w:tc>
            </w:tr>
          </w:tbl>
          <w:p>
            <w:pPr>
              <w:snapToGrid w:val="0"/>
              <w:spacing w:line="360" w:lineRule="auto"/>
              <w:jc w:val="center"/>
              <w:rPr>
                <w:rFonts w:hint="eastAsia" w:ascii="宋体" w:hAnsi="宋体" w:eastAsia="宋体" w:cs="宋体"/>
                <w:b/>
                <w:bCs/>
                <w:color w:val="auto"/>
                <w:sz w:val="21"/>
                <w:szCs w:val="21"/>
                <w:highlight w:val="none"/>
              </w:rPr>
            </w:pPr>
          </w:p>
          <w:p>
            <w:pPr>
              <w:snapToGrid w:val="0"/>
              <w:spacing w:line="360" w:lineRule="auto"/>
              <w:jc w:val="center"/>
              <w:rPr>
                <w:rFonts w:hint="eastAsia" w:ascii="宋体" w:hAnsi="宋体" w:eastAsia="宋体" w:cs="宋体"/>
                <w:b/>
                <w:bCs/>
                <w:color w:val="auto"/>
                <w:sz w:val="21"/>
                <w:szCs w:val="21"/>
                <w:highlight w:val="none"/>
              </w:rPr>
            </w:pPr>
          </w:p>
          <w:p>
            <w:pPr>
              <w:snapToGrid w:val="0"/>
              <w:spacing w:line="360" w:lineRule="auto"/>
              <w:jc w:val="center"/>
              <w:rPr>
                <w:rFonts w:hint="eastAsia" w:ascii="宋体" w:hAnsi="宋体" w:eastAsia="宋体" w:cs="宋体"/>
                <w:b/>
                <w:bCs/>
                <w:color w:val="auto"/>
                <w:sz w:val="21"/>
                <w:szCs w:val="21"/>
                <w:highlight w:val="none"/>
              </w:rPr>
            </w:pPr>
          </w:p>
          <w:p>
            <w:pPr>
              <w:snapToGrid w:val="0"/>
              <w:spacing w:line="360" w:lineRule="auto"/>
              <w:jc w:val="center"/>
              <w:rPr>
                <w:rFonts w:hint="eastAsia" w:ascii="宋体" w:hAnsi="宋体" w:eastAsia="宋体" w:cs="宋体"/>
                <w:b/>
                <w:bCs/>
                <w:color w:val="auto"/>
                <w:sz w:val="21"/>
                <w:szCs w:val="21"/>
                <w:highlight w:val="none"/>
              </w:rPr>
            </w:pPr>
          </w:p>
          <w:p>
            <w:pPr>
              <w:snapToGrid w:val="0"/>
              <w:spacing w:line="360" w:lineRule="auto"/>
              <w:jc w:val="center"/>
              <w:rPr>
                <w:rFonts w:hint="eastAsia" w:ascii="宋体" w:hAnsi="宋体" w:eastAsia="宋体" w:cs="宋体"/>
                <w:b/>
                <w:bCs/>
                <w:color w:val="auto"/>
                <w:sz w:val="21"/>
                <w:szCs w:val="21"/>
                <w:highlight w:val="none"/>
              </w:rPr>
            </w:pPr>
          </w:p>
          <w:p>
            <w:pPr>
              <w:spacing w:line="360" w:lineRule="auto"/>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3-12</w:t>
            </w:r>
            <w:r>
              <w:rPr>
                <w:rFonts w:hint="eastAsia" w:ascii="Times New Roman" w:hAnsi="Times New Roman" w:eastAsia="宋体" w:cs="Times New Roman"/>
                <w:b/>
                <w:bCs/>
                <w:color w:val="auto"/>
                <w:sz w:val="21"/>
                <w:szCs w:val="21"/>
                <w:highlight w:val="none"/>
              </w:rPr>
              <w:t xml:space="preserve">   工业炉窑大气污染物排放标准（摘录）   单位mg/m</w:t>
            </w:r>
            <w:r>
              <w:rPr>
                <w:rFonts w:hint="eastAsia" w:ascii="Times New Roman" w:hAnsi="Times New Roman" w:eastAsia="宋体" w:cs="Times New Roman"/>
                <w:b/>
                <w:bCs/>
                <w:color w:val="auto"/>
                <w:sz w:val="21"/>
                <w:szCs w:val="21"/>
                <w:highlight w:val="none"/>
                <w:vertAlign w:val="superscript"/>
              </w:rPr>
              <w:t>3</w:t>
            </w:r>
          </w:p>
          <w:tbl>
            <w:tblPr>
              <w:tblStyle w:val="11"/>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41"/>
              <w:gridCol w:w="1604"/>
              <w:gridCol w:w="1604"/>
              <w:gridCol w:w="2012"/>
              <w:gridCol w:w="119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4" w:hRule="atLeast"/>
                <w:jc w:val="center"/>
              </w:trPr>
              <w:tc>
                <w:tcPr>
                  <w:tcW w:w="1141" w:type="dxa"/>
                  <w:vMerge w:val="restart"/>
                  <w:tcBorders>
                    <w:top w:val="single" w:color="auto" w:sz="4" w:space="0"/>
                    <w:left w:val="single" w:color="auto" w:sz="4" w:space="0"/>
                    <w:right w:val="single" w:color="auto" w:sz="4" w:space="0"/>
                  </w:tcBorders>
                  <w:noWrap w:val="0"/>
                  <w:vAlign w:val="center"/>
                </w:tcPr>
                <w:p>
                  <w:pPr>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炉窑类别</w:t>
                  </w:r>
                </w:p>
              </w:tc>
              <w:tc>
                <w:tcPr>
                  <w:tcW w:w="6418" w:type="dxa"/>
                  <w:gridSpan w:val="4"/>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排放限值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38" w:hRule="atLeast"/>
                <w:jc w:val="center"/>
              </w:trPr>
              <w:tc>
                <w:tcPr>
                  <w:tcW w:w="1141"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olor w:val="auto"/>
                      <w:sz w:val="21"/>
                      <w:szCs w:val="21"/>
                      <w:highlight w:val="none"/>
                    </w:rPr>
                  </w:pPr>
                </w:p>
              </w:tc>
              <w:tc>
                <w:tcPr>
                  <w:tcW w:w="160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烟（粉）尘浓度</w:t>
                  </w:r>
                </w:p>
              </w:tc>
              <w:tc>
                <w:tcPr>
                  <w:tcW w:w="160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烟气黑度（林格曼级）</w:t>
                  </w:r>
                </w:p>
              </w:tc>
              <w:tc>
                <w:tcPr>
                  <w:tcW w:w="201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无组织排放烟（粉）尘最高允许排放浓度</w:t>
                  </w:r>
                </w:p>
              </w:tc>
              <w:tc>
                <w:tcPr>
                  <w:tcW w:w="1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沥青烟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7" w:hRule="atLeast"/>
                <w:jc w:val="center"/>
              </w:trPr>
              <w:tc>
                <w:tcPr>
                  <w:tcW w:w="1141" w:type="dxa"/>
                  <w:tcBorders>
                    <w:left w:val="single" w:color="auto" w:sz="4" w:space="0"/>
                    <w:bottom w:val="single" w:color="auto" w:sz="4" w:space="0"/>
                    <w:right w:val="single" w:color="auto" w:sz="4" w:space="0"/>
                  </w:tcBorders>
                  <w:noWrap w:val="0"/>
                  <w:vAlign w:val="center"/>
                </w:tcPr>
                <w:p>
                  <w:pPr>
                    <w:jc w:val="center"/>
                    <w:rPr>
                      <w:rFonts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干燥炉、窑</w:t>
                  </w:r>
                </w:p>
              </w:tc>
              <w:tc>
                <w:tcPr>
                  <w:tcW w:w="160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highlight w:val="none"/>
                    </w:rPr>
                  </w:pPr>
                  <w:r>
                    <w:rPr>
                      <w:rFonts w:hint="eastAsia" w:ascii="Times New Roman" w:hAnsi="Times New Roman" w:eastAsia="宋体"/>
                      <w:color w:val="auto"/>
                      <w:sz w:val="21"/>
                      <w:szCs w:val="21"/>
                      <w:highlight w:val="none"/>
                    </w:rPr>
                    <w:t>200</w:t>
                  </w:r>
                </w:p>
              </w:tc>
              <w:tc>
                <w:tcPr>
                  <w:tcW w:w="160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1</w:t>
                  </w:r>
                </w:p>
              </w:tc>
              <w:tc>
                <w:tcPr>
                  <w:tcW w:w="2012"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5</w:t>
                  </w:r>
                </w:p>
              </w:tc>
              <w:tc>
                <w:tcPr>
                  <w:tcW w:w="1198"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bCs/>
                      <w:color w:val="auto"/>
                      <w:sz w:val="21"/>
                      <w:szCs w:val="21"/>
                      <w:highlight w:val="none"/>
                    </w:rPr>
                  </w:pPr>
                  <w:r>
                    <w:rPr>
                      <w:rFonts w:hint="eastAsia" w:ascii="Times New Roman" w:hAnsi="Times New Roman" w:eastAsia="宋体"/>
                      <w:bCs/>
                      <w:color w:val="auto"/>
                      <w:sz w:val="21"/>
                      <w:szCs w:val="21"/>
                      <w:highlight w:val="none"/>
                    </w:rPr>
                    <w:t>50</w:t>
                  </w:r>
                </w:p>
              </w:tc>
            </w:tr>
          </w:tbl>
          <w:p>
            <w:pPr>
              <w:spacing w:line="360" w:lineRule="auto"/>
              <w:ind w:firstLine="482" w:firstLineChars="200"/>
              <w:rPr>
                <w:b/>
                <w:color w:val="auto"/>
                <w:sz w:val="24"/>
                <w:szCs w:val="22"/>
                <w:highlight w:val="none"/>
              </w:rPr>
            </w:pPr>
            <w:r>
              <w:rPr>
                <w:b/>
                <w:color w:val="auto"/>
                <w:sz w:val="24"/>
                <w:szCs w:val="22"/>
                <w:highlight w:val="none"/>
              </w:rPr>
              <w:t>2、水污染物</w:t>
            </w:r>
          </w:p>
          <w:p>
            <w:pPr>
              <w:spacing w:line="360" w:lineRule="auto"/>
              <w:ind w:firstLine="480" w:firstLineChars="200"/>
              <w:rPr>
                <w:bCs/>
                <w:color w:val="auto"/>
                <w:sz w:val="24"/>
                <w:szCs w:val="22"/>
                <w:highlight w:val="none"/>
              </w:rPr>
            </w:pPr>
            <w:r>
              <w:rPr>
                <w:rFonts w:hint="eastAsia"/>
                <w:bCs/>
                <w:color w:val="auto"/>
                <w:sz w:val="24"/>
                <w:szCs w:val="22"/>
                <w:highlight w:val="none"/>
              </w:rPr>
              <w:t>项目废水</w:t>
            </w:r>
            <w:r>
              <w:rPr>
                <w:bCs/>
                <w:color w:val="auto"/>
                <w:sz w:val="24"/>
                <w:szCs w:val="22"/>
                <w:highlight w:val="none"/>
              </w:rPr>
              <w:t>禁止外排。</w:t>
            </w:r>
          </w:p>
          <w:p>
            <w:pPr>
              <w:spacing w:line="360" w:lineRule="auto"/>
              <w:ind w:firstLine="482" w:firstLineChars="200"/>
              <w:rPr>
                <w:b/>
                <w:color w:val="auto"/>
                <w:sz w:val="24"/>
                <w:szCs w:val="22"/>
                <w:highlight w:val="none"/>
              </w:rPr>
            </w:pPr>
            <w:r>
              <w:rPr>
                <w:b/>
                <w:color w:val="auto"/>
                <w:sz w:val="24"/>
                <w:szCs w:val="22"/>
                <w:highlight w:val="none"/>
              </w:rPr>
              <w:t>3、噪声</w:t>
            </w:r>
          </w:p>
          <w:p>
            <w:pPr>
              <w:spacing w:line="360" w:lineRule="auto"/>
              <w:ind w:firstLine="480" w:firstLineChars="200"/>
              <w:rPr>
                <w:rFonts w:hint="default" w:ascii="Times New Roman" w:hAnsi="Times New Roman" w:cs="Times New Roman"/>
                <w:bCs/>
                <w:color w:val="auto"/>
                <w:sz w:val="24"/>
                <w:szCs w:val="22"/>
                <w:highlight w:val="none"/>
              </w:rPr>
            </w:pPr>
            <w:r>
              <w:rPr>
                <w:rFonts w:hint="default" w:ascii="Times New Roman" w:hAnsi="Times New Roman" w:cs="Times New Roman"/>
                <w:bCs/>
                <w:color w:val="auto"/>
                <w:sz w:val="24"/>
                <w:szCs w:val="22"/>
                <w:highlight w:val="none"/>
              </w:rPr>
              <w:t>施工期噪声执行《建筑施工场界环境噪声排放标准》（GB12523-2011）限值</w:t>
            </w:r>
            <w:r>
              <w:rPr>
                <w:rFonts w:hint="default" w:ascii="Times New Roman" w:hAnsi="Times New Roman" w:cs="Times New Roman"/>
                <w:bCs/>
                <w:color w:val="auto"/>
                <w:sz w:val="24"/>
                <w:szCs w:val="22"/>
                <w:highlight w:val="none"/>
                <w:lang w:eastAsia="zh-CN"/>
              </w:rPr>
              <w:t>，</w:t>
            </w:r>
            <w:r>
              <w:rPr>
                <w:rFonts w:hint="default" w:ascii="Times New Roman" w:hAnsi="Times New Roman" w:cs="Times New Roman"/>
                <w:bCs/>
                <w:color w:val="auto"/>
                <w:sz w:val="24"/>
                <w:szCs w:val="22"/>
                <w:highlight w:val="none"/>
                <w:lang w:val="en-US" w:eastAsia="zh-CN"/>
              </w:rPr>
              <w:t>排放限值</w:t>
            </w:r>
            <w:r>
              <w:rPr>
                <w:rFonts w:hint="default" w:ascii="Times New Roman" w:hAnsi="Times New Roman" w:cs="Times New Roman"/>
                <w:bCs/>
                <w:color w:val="auto"/>
                <w:sz w:val="24"/>
                <w:szCs w:val="22"/>
                <w:highlight w:val="none"/>
              </w:rPr>
              <w:t>见表</w:t>
            </w:r>
            <w:r>
              <w:rPr>
                <w:rFonts w:hint="default" w:ascii="Times New Roman" w:hAnsi="Times New Roman" w:cs="Times New Roman"/>
                <w:bCs/>
                <w:color w:val="auto"/>
                <w:sz w:val="24"/>
                <w:szCs w:val="22"/>
                <w:highlight w:val="none"/>
                <w:lang w:val="en-US" w:eastAsia="zh-CN"/>
              </w:rPr>
              <w:t>3-18</w:t>
            </w:r>
            <w:r>
              <w:rPr>
                <w:rFonts w:hint="default" w:ascii="Times New Roman" w:hAnsi="Times New Roman" w:cs="Times New Roman"/>
                <w:bCs/>
                <w:color w:val="auto"/>
                <w:sz w:val="24"/>
                <w:szCs w:val="22"/>
                <w:highlight w:val="none"/>
              </w:rPr>
              <w:t>：</w:t>
            </w:r>
          </w:p>
          <w:p>
            <w:pPr>
              <w:spacing w:line="360" w:lineRule="auto"/>
              <w:jc w:val="center"/>
              <w:rPr>
                <w:rFonts w:hint="default" w:ascii="Times New Roman" w:hAnsi="Times New Roman" w:eastAsia="黑体" w:cs="Times New Roman"/>
                <w:color w:val="auto"/>
                <w:sz w:val="24"/>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3-18</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cs="Times New Roman"/>
                <w:b/>
                <w:bCs/>
                <w:color w:val="auto"/>
                <w:sz w:val="21"/>
                <w:szCs w:val="21"/>
                <w:highlight w:val="none"/>
                <w:lang w:val="en-US" w:eastAsia="zh-CN"/>
              </w:rPr>
              <w:t>建筑施工场</w:t>
            </w:r>
            <w:r>
              <w:rPr>
                <w:rFonts w:hint="default" w:ascii="Times New Roman" w:hAnsi="Times New Roman" w:eastAsia="宋体" w:cs="Times New Roman"/>
                <w:b/>
                <w:bCs/>
                <w:color w:val="auto"/>
                <w:sz w:val="21"/>
                <w:szCs w:val="21"/>
                <w:highlight w:val="none"/>
              </w:rPr>
              <w:t>界环境噪声排放标准    单位：dB（A）</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29"/>
              <w:gridCol w:w="2625"/>
              <w:gridCol w:w="26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629" w:type="dxa"/>
                  <w:tcBorders>
                    <w:top w:val="single" w:color="auto" w:sz="4" w:space="0"/>
                    <w:left w:val="single" w:color="auto" w:sz="0" w:space="0"/>
                  </w:tcBorders>
                  <w:noWrap w:val="0"/>
                  <w:vAlign w:val="center"/>
                </w:tcPr>
                <w:p>
                  <w:pPr>
                    <w:adjustRightInd w:val="0"/>
                    <w:spacing w:line="312" w:lineRule="atLeast"/>
                    <w:jc w:val="center"/>
                    <w:textAlignment w:val="baseline"/>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时间段</w:t>
                  </w:r>
                </w:p>
              </w:tc>
              <w:tc>
                <w:tcPr>
                  <w:tcW w:w="2625" w:type="dxa"/>
                  <w:tcBorders>
                    <w:top w:val="single" w:color="auto" w:sz="4" w:space="0"/>
                  </w:tcBorders>
                  <w:noWrap w:val="0"/>
                  <w:vAlign w:val="center"/>
                </w:tcPr>
                <w:p>
                  <w:pPr>
                    <w:adjustRightInd w:val="0"/>
                    <w:spacing w:line="312" w:lineRule="atLeast"/>
                    <w:jc w:val="center"/>
                    <w:textAlignment w:val="baseline"/>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昼间</w:t>
                  </w:r>
                </w:p>
              </w:tc>
              <w:tc>
                <w:tcPr>
                  <w:tcW w:w="2624" w:type="dxa"/>
                  <w:tcBorders>
                    <w:top w:val="single" w:color="auto" w:sz="4" w:space="0"/>
                    <w:right w:val="single" w:color="auto" w:sz="4" w:space="0"/>
                  </w:tcBorders>
                  <w:noWrap w:val="0"/>
                  <w:vAlign w:val="center"/>
                </w:tcPr>
                <w:p>
                  <w:pPr>
                    <w:adjustRightInd w:val="0"/>
                    <w:spacing w:line="312" w:lineRule="atLeast"/>
                    <w:jc w:val="center"/>
                    <w:textAlignment w:val="baseline"/>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629" w:type="dxa"/>
                  <w:tcBorders>
                    <w:left w:val="single" w:color="auto" w:sz="4" w:space="0"/>
                    <w:bottom w:val="single" w:color="auto" w:sz="4" w:space="0"/>
                  </w:tcBorders>
                  <w:noWrap w:val="0"/>
                  <w:vAlign w:val="center"/>
                </w:tcPr>
                <w:p>
                  <w:pPr>
                    <w:adjustRightInd w:val="0"/>
                    <w:spacing w:line="312" w:lineRule="atLeast"/>
                    <w:jc w:val="center"/>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类声环境功能区</w:t>
                  </w:r>
                </w:p>
              </w:tc>
              <w:tc>
                <w:tcPr>
                  <w:tcW w:w="2625" w:type="dxa"/>
                  <w:tcBorders>
                    <w:bottom w:val="single" w:color="auto" w:sz="4" w:space="0"/>
                  </w:tcBorders>
                  <w:noWrap w:val="0"/>
                  <w:vAlign w:val="center"/>
                </w:tcPr>
                <w:p>
                  <w:pPr>
                    <w:adjustRightInd w:val="0"/>
                    <w:spacing w:line="312" w:lineRule="atLeast"/>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70</w:t>
                  </w:r>
                </w:p>
              </w:tc>
              <w:tc>
                <w:tcPr>
                  <w:tcW w:w="2624" w:type="dxa"/>
                  <w:tcBorders>
                    <w:bottom w:val="single" w:color="auto" w:sz="4" w:space="0"/>
                    <w:right w:val="single" w:color="auto" w:sz="4" w:space="0"/>
                  </w:tcBorders>
                  <w:noWrap w:val="0"/>
                  <w:vAlign w:val="center"/>
                </w:tcPr>
                <w:p>
                  <w:pPr>
                    <w:adjustRightInd w:val="0"/>
                    <w:spacing w:line="312" w:lineRule="atLeast"/>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55</w:t>
                  </w:r>
                </w:p>
              </w:tc>
            </w:tr>
          </w:tbl>
          <w:p>
            <w:pPr>
              <w:spacing w:line="360" w:lineRule="auto"/>
              <w:ind w:firstLine="480" w:firstLineChars="200"/>
              <w:rPr>
                <w:rFonts w:hint="default" w:ascii="Times New Roman" w:hAnsi="Times New Roman" w:eastAsia="宋体" w:cs="Times New Roman"/>
                <w:b/>
                <w:bCs/>
                <w:color w:val="auto"/>
                <w:sz w:val="21"/>
                <w:szCs w:val="21"/>
                <w:highlight w:val="none"/>
              </w:rPr>
            </w:pPr>
            <w:r>
              <w:rPr>
                <w:rFonts w:hint="default" w:ascii="Times New Roman" w:hAnsi="Times New Roman" w:cs="Times New Roman"/>
                <w:bCs/>
                <w:color w:val="auto"/>
                <w:sz w:val="24"/>
                <w:szCs w:val="22"/>
                <w:highlight w:val="none"/>
              </w:rPr>
              <w:t>营运期执行《工业企业厂界环境噪声排放标准》（GB12348-2008）中</w:t>
            </w:r>
            <w:r>
              <w:rPr>
                <w:rFonts w:hint="default" w:ascii="Times New Roman" w:hAnsi="Times New Roman" w:cs="Times New Roman"/>
                <w:bCs/>
                <w:color w:val="auto"/>
                <w:sz w:val="24"/>
                <w:szCs w:val="22"/>
                <w:highlight w:val="none"/>
                <w:lang w:val="en-US" w:eastAsia="zh-CN"/>
              </w:rPr>
              <w:t>2</w:t>
            </w:r>
            <w:r>
              <w:rPr>
                <w:rFonts w:hint="default" w:ascii="Times New Roman" w:hAnsi="Times New Roman" w:cs="Times New Roman"/>
                <w:bCs/>
                <w:color w:val="auto"/>
                <w:sz w:val="24"/>
                <w:szCs w:val="22"/>
                <w:highlight w:val="none"/>
              </w:rPr>
              <w:t>类标准，其标准限值见表</w:t>
            </w:r>
            <w:r>
              <w:rPr>
                <w:rFonts w:hint="default" w:ascii="Times New Roman" w:hAnsi="Times New Roman" w:cs="Times New Roman"/>
                <w:bCs/>
                <w:color w:val="auto"/>
                <w:sz w:val="24"/>
                <w:szCs w:val="22"/>
                <w:highlight w:val="none"/>
                <w:lang w:val="en-US" w:eastAsia="zh-CN"/>
              </w:rPr>
              <w:t>3-19</w:t>
            </w:r>
            <w:r>
              <w:rPr>
                <w:rFonts w:hint="default" w:ascii="Times New Roman" w:hAnsi="Times New Roman" w:cs="Times New Roman"/>
                <w:bCs/>
                <w:color w:val="auto"/>
                <w:sz w:val="24"/>
                <w:szCs w:val="22"/>
                <w:highlight w:val="none"/>
              </w:rPr>
              <w:t>：</w:t>
            </w:r>
          </w:p>
          <w:p>
            <w:pPr>
              <w:spacing w:line="360" w:lineRule="auto"/>
              <w:jc w:val="center"/>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3-19</w:t>
            </w:r>
            <w:r>
              <w:rPr>
                <w:rFonts w:hint="eastAsia" w:ascii="Times New Roman" w:hAnsi="Times New Roman" w:eastAsia="宋体" w:cs="Times New Roman"/>
                <w:b/>
                <w:bCs/>
                <w:color w:val="auto"/>
                <w:sz w:val="21"/>
                <w:szCs w:val="21"/>
                <w:highlight w:val="none"/>
              </w:rPr>
              <w:t xml:space="preserve">   工业企业厂界环境噪声排放标准    单位：dB（A）</w:t>
            </w:r>
          </w:p>
          <w:tbl>
            <w:tblPr>
              <w:tblStyle w:val="1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49"/>
              <w:gridCol w:w="2645"/>
              <w:gridCol w:w="26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649" w:type="dxa"/>
                  <w:tcBorders>
                    <w:top w:val="single" w:color="auto" w:sz="4" w:space="0"/>
                    <w:left w:val="single" w:color="auto" w:sz="0" w:space="0"/>
                  </w:tcBorders>
                  <w:noWrap w:val="0"/>
                  <w:vAlign w:val="center"/>
                </w:tcPr>
                <w:p>
                  <w:pPr>
                    <w:adjustRightInd w:val="0"/>
                    <w:spacing w:line="312" w:lineRule="atLeast"/>
                    <w:jc w:val="center"/>
                    <w:textAlignment w:val="baseline"/>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时间段</w:t>
                  </w:r>
                </w:p>
              </w:tc>
              <w:tc>
                <w:tcPr>
                  <w:tcW w:w="2645" w:type="dxa"/>
                  <w:tcBorders>
                    <w:top w:val="single" w:color="auto" w:sz="4" w:space="0"/>
                  </w:tcBorders>
                  <w:noWrap w:val="0"/>
                  <w:vAlign w:val="center"/>
                </w:tcPr>
                <w:p>
                  <w:pPr>
                    <w:adjustRightInd w:val="0"/>
                    <w:spacing w:line="312" w:lineRule="atLeast"/>
                    <w:jc w:val="center"/>
                    <w:textAlignment w:val="baseline"/>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昼间</w:t>
                  </w:r>
                </w:p>
              </w:tc>
              <w:tc>
                <w:tcPr>
                  <w:tcW w:w="2644" w:type="dxa"/>
                  <w:tcBorders>
                    <w:top w:val="single" w:color="auto" w:sz="4" w:space="0"/>
                    <w:right w:val="single" w:color="auto" w:sz="4" w:space="0"/>
                  </w:tcBorders>
                  <w:noWrap w:val="0"/>
                  <w:vAlign w:val="center"/>
                </w:tcPr>
                <w:p>
                  <w:pPr>
                    <w:adjustRightInd w:val="0"/>
                    <w:spacing w:line="312" w:lineRule="atLeast"/>
                    <w:jc w:val="center"/>
                    <w:textAlignment w:val="baseline"/>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2649" w:type="dxa"/>
                  <w:tcBorders>
                    <w:left w:val="single" w:color="auto" w:sz="4" w:space="0"/>
                    <w:bottom w:val="single" w:color="auto" w:sz="4" w:space="0"/>
                  </w:tcBorders>
                  <w:noWrap w:val="0"/>
                  <w:vAlign w:val="center"/>
                </w:tcPr>
                <w:p>
                  <w:pPr>
                    <w:adjustRightInd w:val="0"/>
                    <w:spacing w:line="312" w:lineRule="atLeast"/>
                    <w:jc w:val="center"/>
                    <w:textAlignment w:val="baseline"/>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类声环境功能区</w:t>
                  </w:r>
                </w:p>
              </w:tc>
              <w:tc>
                <w:tcPr>
                  <w:tcW w:w="2645" w:type="dxa"/>
                  <w:tcBorders>
                    <w:bottom w:val="single" w:color="auto" w:sz="4" w:space="0"/>
                  </w:tcBorders>
                  <w:noWrap w:val="0"/>
                  <w:vAlign w:val="center"/>
                </w:tcPr>
                <w:p>
                  <w:pPr>
                    <w:adjustRightInd w:val="0"/>
                    <w:spacing w:line="312" w:lineRule="atLeast"/>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2644" w:type="dxa"/>
                  <w:tcBorders>
                    <w:bottom w:val="single" w:color="auto" w:sz="4" w:space="0"/>
                    <w:right w:val="single" w:color="auto" w:sz="4" w:space="0"/>
                  </w:tcBorders>
                  <w:noWrap w:val="0"/>
                  <w:vAlign w:val="center"/>
                </w:tcPr>
                <w:p>
                  <w:pPr>
                    <w:adjustRightInd w:val="0"/>
                    <w:spacing w:line="312" w:lineRule="atLeast"/>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50</w:t>
                  </w:r>
                </w:p>
              </w:tc>
            </w:tr>
          </w:tbl>
          <w:p>
            <w:pPr>
              <w:spacing w:line="360" w:lineRule="auto"/>
              <w:ind w:firstLine="482" w:firstLineChars="200"/>
              <w:rPr>
                <w:b/>
                <w:color w:val="auto"/>
                <w:sz w:val="24"/>
                <w:szCs w:val="22"/>
                <w:highlight w:val="none"/>
              </w:rPr>
            </w:pPr>
            <w:r>
              <w:rPr>
                <w:b/>
                <w:color w:val="auto"/>
                <w:sz w:val="24"/>
                <w:szCs w:val="22"/>
                <w:highlight w:val="none"/>
              </w:rPr>
              <w:t>4、固体废弃物</w:t>
            </w:r>
          </w:p>
          <w:p>
            <w:pPr>
              <w:spacing w:line="360" w:lineRule="auto"/>
              <w:ind w:firstLine="480" w:firstLineChars="200"/>
              <w:rPr>
                <w:rFonts w:hint="default" w:ascii="Times New Roman" w:hAnsi="Times New Roman" w:cs="Times New Roman"/>
                <w:bCs/>
                <w:color w:val="auto"/>
                <w:sz w:val="24"/>
                <w:szCs w:val="22"/>
                <w:highlight w:val="none"/>
              </w:rPr>
            </w:pPr>
            <w:r>
              <w:rPr>
                <w:rFonts w:hint="default" w:ascii="Times New Roman" w:hAnsi="Times New Roman" w:cs="Times New Roman"/>
                <w:bCs/>
                <w:color w:val="auto"/>
                <w:sz w:val="24"/>
                <w:szCs w:val="22"/>
                <w:highlight w:val="none"/>
              </w:rPr>
              <w:t>一般固体废弃物执行《一般工业固体废物贮存、处置场污染控制标准》（GB18599-2001）中相关标准；危险废物执行《危险废物贮存污染控制标准》（GB18597-2001）中的相关标准。</w:t>
            </w:r>
          </w:p>
          <w:p>
            <w:pPr>
              <w:numPr>
                <w:ilvl w:val="0"/>
                <w:numId w:val="1"/>
              </w:numPr>
              <w:spacing w:line="360" w:lineRule="auto"/>
              <w:ind w:firstLine="482" w:firstLineChars="200"/>
              <w:rPr>
                <w:b/>
                <w:color w:val="auto"/>
                <w:sz w:val="24"/>
                <w:szCs w:val="22"/>
                <w:highlight w:val="none"/>
              </w:rPr>
            </w:pPr>
            <w:r>
              <w:rPr>
                <w:b/>
                <w:color w:val="auto"/>
                <w:sz w:val="24"/>
                <w:szCs w:val="22"/>
                <w:highlight w:val="none"/>
              </w:rPr>
              <w:t>生态环境</w:t>
            </w:r>
          </w:p>
          <w:p>
            <w:pPr>
              <w:pStyle w:val="15"/>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ascii="宋体" w:hAnsi="宋体" w:eastAsia="宋体" w:cs="宋体"/>
                <w:bCs/>
                <w:color w:val="auto"/>
                <w:sz w:val="24"/>
                <w:szCs w:val="22"/>
                <w:highlight w:val="none"/>
                <w:lang w:val="zh-CN" w:eastAsia="zh-CN" w:bidi="zh-CN"/>
              </w:rPr>
            </w:pPr>
            <w:r>
              <w:rPr>
                <w:rFonts w:hint="eastAsia" w:ascii="宋体" w:hAnsi="宋体" w:eastAsia="宋体" w:cs="宋体"/>
                <w:bCs/>
                <w:color w:val="auto"/>
                <w:sz w:val="24"/>
                <w:szCs w:val="22"/>
                <w:highlight w:val="none"/>
                <w:lang w:val="zh-CN" w:eastAsia="zh-CN" w:bidi="zh-CN"/>
              </w:rPr>
              <w:t>以不减少区域内动植物种类和不破坏生态系统完整性为目标；水土流失以不增加土壤侵蚀强度为标准，地质灾害以不产生新的地质灾害为标准。</w:t>
            </w:r>
          </w:p>
          <w:p>
            <w:pPr>
              <w:pStyle w:val="15"/>
              <w:spacing w:before="131"/>
              <w:ind w:right="3967"/>
              <w:jc w:val="both"/>
              <w:rPr>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31" w:hRule="atLeast"/>
        </w:trPr>
        <w:tc>
          <w:tcPr>
            <w:tcW w:w="799" w:type="dxa"/>
            <w:tcBorders>
              <w:top w:val="single" w:color="000000" w:sz="4" w:space="0"/>
              <w:right w:val="single" w:color="000000" w:sz="4" w:space="0"/>
            </w:tcBorders>
          </w:tcPr>
          <w:p>
            <w:pPr>
              <w:pStyle w:val="15"/>
              <w:rPr>
                <w:rFonts w:ascii="黑体"/>
                <w:sz w:val="20"/>
              </w:rPr>
            </w:pPr>
          </w:p>
          <w:p>
            <w:pPr>
              <w:pStyle w:val="15"/>
              <w:rPr>
                <w:rFonts w:ascii="黑体"/>
                <w:sz w:val="20"/>
              </w:rPr>
            </w:pPr>
          </w:p>
          <w:p>
            <w:pPr>
              <w:pStyle w:val="15"/>
              <w:rPr>
                <w:rFonts w:ascii="黑体"/>
                <w:sz w:val="20"/>
              </w:rPr>
            </w:pPr>
          </w:p>
          <w:p>
            <w:pPr>
              <w:pStyle w:val="15"/>
              <w:rPr>
                <w:rFonts w:ascii="黑体"/>
                <w:sz w:val="20"/>
              </w:rPr>
            </w:pPr>
          </w:p>
          <w:p>
            <w:pPr>
              <w:pStyle w:val="15"/>
              <w:spacing w:before="3"/>
              <w:rPr>
                <w:rFonts w:ascii="黑体"/>
                <w:sz w:val="18"/>
              </w:rPr>
            </w:pPr>
          </w:p>
          <w:p>
            <w:pPr>
              <w:pStyle w:val="15"/>
              <w:spacing w:line="242" w:lineRule="auto"/>
              <w:ind w:left="189" w:right="67"/>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总</w:t>
            </w:r>
          </w:p>
          <w:p>
            <w:pPr>
              <w:pStyle w:val="15"/>
              <w:spacing w:line="242" w:lineRule="auto"/>
              <w:ind w:left="189" w:right="67"/>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量</w:t>
            </w:r>
          </w:p>
          <w:p>
            <w:pPr>
              <w:pStyle w:val="15"/>
              <w:spacing w:line="242" w:lineRule="auto"/>
              <w:ind w:left="189" w:right="67"/>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控</w:t>
            </w:r>
          </w:p>
          <w:p>
            <w:pPr>
              <w:pStyle w:val="15"/>
              <w:spacing w:line="242" w:lineRule="auto"/>
              <w:ind w:left="189" w:right="67"/>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制</w:t>
            </w:r>
          </w:p>
          <w:p>
            <w:pPr>
              <w:pStyle w:val="15"/>
              <w:spacing w:line="242" w:lineRule="auto"/>
              <w:ind w:left="189" w:right="67"/>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指</w:t>
            </w:r>
          </w:p>
          <w:p>
            <w:pPr>
              <w:pStyle w:val="15"/>
              <w:spacing w:line="242" w:lineRule="auto"/>
              <w:ind w:left="189" w:right="67"/>
              <w:jc w:val="both"/>
              <w:rPr>
                <w:sz w:val="21"/>
              </w:rPr>
            </w:pPr>
            <w:r>
              <w:rPr>
                <w:rFonts w:hint="eastAsia" w:ascii="宋体" w:hAnsi="宋体" w:eastAsia="宋体" w:cs="宋体"/>
                <w:color w:val="auto"/>
                <w:kern w:val="0"/>
                <w:sz w:val="24"/>
                <w:szCs w:val="24"/>
                <w:lang w:val="en-US" w:eastAsia="zh-CN" w:bidi="ar"/>
              </w:rPr>
              <w:t xml:space="preserve">标 </w:t>
            </w:r>
          </w:p>
        </w:tc>
        <w:tc>
          <w:tcPr>
            <w:tcW w:w="8190" w:type="dxa"/>
            <w:tcBorders>
              <w:top w:val="single" w:color="000000" w:sz="4" w:space="0"/>
              <w:left w:val="single" w:color="000000" w:sz="4" w:space="0"/>
            </w:tcBorders>
          </w:tcPr>
          <w:p>
            <w:pPr>
              <w:pStyle w:val="15"/>
              <w:rPr>
                <w:rFonts w:ascii="黑体"/>
                <w:sz w:val="20"/>
              </w:rPr>
            </w:pP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本工程涉及的总量控制指标为粉尘、</w:t>
            </w:r>
            <w:r>
              <w:rPr>
                <w:rFonts w:hint="default" w:ascii="Times New Roman" w:hAnsi="Times New Roman" w:eastAsia="宋体" w:cs="Times New Roman"/>
                <w:color w:val="000000"/>
                <w:kern w:val="0"/>
                <w:sz w:val="24"/>
                <w:szCs w:val="24"/>
                <w:lang w:val="en-US" w:eastAsia="zh-CN" w:bidi="ar"/>
              </w:rPr>
              <w:t>NO</w:t>
            </w:r>
            <w:r>
              <w:rPr>
                <w:rFonts w:hint="default" w:ascii="Times New Roman" w:hAnsi="Times New Roman" w:eastAsia="宋体" w:cs="Times New Roman"/>
                <w:color w:val="000000"/>
                <w:kern w:val="0"/>
                <w:sz w:val="15"/>
                <w:szCs w:val="15"/>
                <w:lang w:val="en-US" w:eastAsia="zh-CN" w:bidi="ar"/>
              </w:rPr>
              <w:t>x</w:t>
            </w:r>
            <w:r>
              <w:rPr>
                <w:rFonts w:hint="eastAsia" w:ascii="宋体" w:hAnsi="宋体" w:eastAsia="宋体" w:cs="宋体"/>
                <w:color w:val="000000"/>
                <w:kern w:val="0"/>
                <w:sz w:val="24"/>
                <w:szCs w:val="24"/>
                <w:lang w:val="en-US" w:eastAsia="zh-CN" w:bidi="ar"/>
              </w:rPr>
              <w:t xml:space="preserve">和 </w:t>
            </w:r>
            <w:r>
              <w:rPr>
                <w:rFonts w:hint="default" w:ascii="Times New Roman" w:hAnsi="Times New Roman" w:eastAsia="宋体" w:cs="Times New Roman"/>
                <w:color w:val="000000"/>
                <w:kern w:val="0"/>
                <w:sz w:val="24"/>
                <w:szCs w:val="24"/>
                <w:lang w:val="en-US" w:eastAsia="zh-CN" w:bidi="ar"/>
              </w:rPr>
              <w:t>SO</w:t>
            </w:r>
            <w:r>
              <w:rPr>
                <w:rFonts w:hint="default" w:ascii="Times New Roman" w:hAnsi="Times New Roman" w:eastAsia="宋体" w:cs="Times New Roman"/>
                <w:color w:val="000000"/>
                <w:kern w:val="0"/>
                <w:sz w:val="15"/>
                <w:szCs w:val="15"/>
                <w:lang w:val="en-US" w:eastAsia="zh-CN" w:bidi="ar"/>
              </w:rPr>
              <w:t>2</w:t>
            </w:r>
            <w:r>
              <w:rPr>
                <w:rFonts w:hint="eastAsia" w:ascii="宋体" w:hAnsi="宋体" w:eastAsia="宋体" w:cs="宋体"/>
                <w:color w:val="000000"/>
                <w:kern w:val="0"/>
                <w:sz w:val="24"/>
                <w:szCs w:val="24"/>
                <w:lang w:val="en-US" w:eastAsia="zh-CN" w:bidi="ar"/>
              </w:rPr>
              <w:t>。结合当地的环境质量现状及建设项目污染物排放特征，按照最大限度减少污染物排放量及区域污染物排放总量原则，建议本项目将污染物排放总量控制因子确定为：</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粉尘：</w:t>
            </w:r>
            <w:r>
              <w:rPr>
                <w:rFonts w:hint="eastAsia" w:ascii="Times New Roman" w:hAnsi="Times New Roman" w:cs="Times New Roman"/>
                <w:color w:val="auto"/>
                <w:kern w:val="0"/>
                <w:sz w:val="24"/>
                <w:szCs w:val="24"/>
                <w:lang w:val="en-US" w:eastAsia="zh-CN" w:bidi="ar"/>
              </w:rPr>
              <w:t>1.0956</w:t>
            </w:r>
            <w:r>
              <w:rPr>
                <w:rFonts w:hint="default" w:ascii="Times New Roman" w:hAnsi="Times New Roman" w:eastAsia="宋体" w:cs="Times New Roman"/>
                <w:color w:val="auto"/>
                <w:kern w:val="0"/>
                <w:sz w:val="24"/>
                <w:szCs w:val="24"/>
                <w:lang w:val="en-US" w:eastAsia="zh-CN" w:bidi="ar"/>
              </w:rPr>
              <w:t>t</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NO</w:t>
            </w:r>
            <w:r>
              <w:rPr>
                <w:rFonts w:hint="default" w:ascii="Times New Roman" w:hAnsi="Times New Roman" w:eastAsia="宋体" w:cs="Times New Roman"/>
                <w:color w:val="auto"/>
                <w:kern w:val="0"/>
                <w:sz w:val="15"/>
                <w:szCs w:val="15"/>
                <w:lang w:val="en-US" w:eastAsia="zh-CN" w:bidi="ar"/>
              </w:rPr>
              <w:t>x</w:t>
            </w:r>
            <w:r>
              <w:rPr>
                <w:rFonts w:hint="eastAsia" w:ascii="宋体" w:hAnsi="宋体" w:eastAsia="宋体" w:cs="宋体"/>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1.137</w:t>
            </w:r>
            <w:r>
              <w:rPr>
                <w:rFonts w:hint="default" w:ascii="Times New Roman" w:hAnsi="Times New Roman" w:eastAsia="宋体" w:cs="Times New Roman"/>
                <w:color w:val="auto"/>
                <w:kern w:val="0"/>
                <w:sz w:val="24"/>
                <w:szCs w:val="24"/>
                <w:lang w:val="en-US" w:eastAsia="zh-CN" w:bidi="ar"/>
              </w:rPr>
              <w:t>t</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SO</w:t>
            </w:r>
            <w:r>
              <w:rPr>
                <w:rFonts w:hint="default" w:ascii="Times New Roman" w:hAnsi="Times New Roman" w:eastAsia="宋体" w:cs="Times New Roman"/>
                <w:color w:val="auto"/>
                <w:kern w:val="0"/>
                <w:sz w:val="15"/>
                <w:szCs w:val="15"/>
                <w:lang w:val="en-US" w:eastAsia="zh-CN" w:bidi="ar"/>
              </w:rPr>
              <w:t>2</w:t>
            </w:r>
            <w:r>
              <w:rPr>
                <w:rFonts w:hint="eastAsia" w:ascii="宋体" w:hAnsi="宋体" w:eastAsia="宋体" w:cs="宋体"/>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0.333</w:t>
            </w:r>
            <w:r>
              <w:rPr>
                <w:rFonts w:hint="default" w:ascii="Times New Roman" w:hAnsi="Times New Roman" w:eastAsia="宋体" w:cs="Times New Roman"/>
                <w:color w:val="auto"/>
                <w:kern w:val="0"/>
                <w:sz w:val="24"/>
                <w:szCs w:val="24"/>
                <w:lang w:val="en-US" w:eastAsia="zh-CN" w:bidi="ar"/>
              </w:rPr>
              <w:t>t</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特征污染因子：</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宋体" w:hAnsi="宋体" w:eastAsia="宋体" w:cs="宋体"/>
                <w:color w:val="auto"/>
                <w:kern w:val="0"/>
                <w:sz w:val="24"/>
                <w:szCs w:val="24"/>
                <w:lang w:val="en-US" w:eastAsia="zh-CN" w:bidi="ar"/>
              </w:rPr>
              <w:t>沥青烟：</w:t>
            </w:r>
            <w:r>
              <w:rPr>
                <w:rFonts w:hint="eastAsia" w:ascii="Times New Roman" w:hAnsi="Times New Roman" w:cs="Times New Roman"/>
                <w:color w:val="auto"/>
                <w:kern w:val="0"/>
                <w:sz w:val="24"/>
                <w:szCs w:val="24"/>
                <w:lang w:val="en-US" w:eastAsia="zh-CN" w:bidi="ar"/>
              </w:rPr>
              <w:t>0.0168</w:t>
            </w:r>
            <w:r>
              <w:rPr>
                <w:rFonts w:hint="default" w:ascii="Times New Roman" w:hAnsi="Times New Roman" w:eastAsia="宋体" w:cs="Times New Roman"/>
                <w:color w:val="auto"/>
                <w:kern w:val="0"/>
                <w:sz w:val="24"/>
                <w:szCs w:val="24"/>
                <w:lang w:val="en-US" w:eastAsia="zh-CN" w:bidi="ar"/>
              </w:rPr>
              <w:t>t</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宋体" w:hAnsi="宋体" w:eastAsia="宋体" w:cs="宋体"/>
                <w:color w:val="auto"/>
                <w:kern w:val="0"/>
                <w:sz w:val="24"/>
                <w:szCs w:val="24"/>
                <w:lang w:val="en-US" w:eastAsia="zh-CN" w:bidi="ar"/>
              </w:rPr>
              <w:t>苯并</w:t>
            </w:r>
            <w:r>
              <w:rPr>
                <w:rFonts w:hint="eastAsia" w:ascii="Times New Roman" w:hAnsi="Times New Roman"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a</w:t>
            </w:r>
            <w:r>
              <w:rPr>
                <w:rFonts w:hint="eastAsia" w:ascii="Times New Roman" w:hAnsi="Times New Roman" w:cs="Times New Roman"/>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芘：</w:t>
            </w:r>
            <w:r>
              <w:rPr>
                <w:rFonts w:hint="eastAsia" w:ascii="Times New Roman" w:hAnsi="Times New Roman" w:cs="Times New Roman"/>
                <w:color w:val="auto"/>
                <w:kern w:val="0"/>
                <w:sz w:val="24"/>
                <w:szCs w:val="24"/>
                <w:lang w:val="en-US" w:eastAsia="zh-CN" w:bidi="ar"/>
              </w:rPr>
              <w:t>6.33</w:t>
            </w:r>
            <w:r>
              <w:rPr>
                <w:rFonts w:hint="default" w:ascii="Times New Roman" w:hAnsi="Times New Roman" w:eastAsia="宋体" w:cs="Times New Roman"/>
                <w:color w:val="auto"/>
                <w:kern w:val="0"/>
                <w:sz w:val="24"/>
                <w:szCs w:val="24"/>
                <w:lang w:val="en-US" w:eastAsia="zh-CN" w:bidi="ar"/>
              </w:rPr>
              <w:t>×10</w:t>
            </w:r>
            <w:r>
              <w:rPr>
                <w:rFonts w:hint="eastAsia" w:ascii="Times New Roman" w:hAnsi="Times New Roman" w:cs="Times New Roman"/>
                <w:color w:val="auto"/>
                <w:kern w:val="0"/>
                <w:sz w:val="24"/>
                <w:szCs w:val="24"/>
                <w:vertAlign w:val="superscript"/>
                <w:lang w:val="en-US" w:eastAsia="zh-CN" w:bidi="ar"/>
              </w:rPr>
              <w:t>-6</w:t>
            </w:r>
            <w:r>
              <w:rPr>
                <w:rFonts w:hint="default" w:ascii="Times New Roman" w:hAnsi="Times New Roman" w:eastAsia="宋体" w:cs="Times New Roman"/>
                <w:color w:val="auto"/>
                <w:kern w:val="0"/>
                <w:sz w:val="24"/>
                <w:szCs w:val="24"/>
                <w:lang w:val="en-US" w:eastAsia="zh-CN" w:bidi="ar"/>
              </w:rPr>
              <w:t>t</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非甲烷总烃 </w:t>
            </w:r>
            <w:r>
              <w:rPr>
                <w:rFonts w:hint="eastAsia" w:ascii="Times New Roman" w:hAnsi="Times New Roman" w:cs="Times New Roman"/>
                <w:color w:val="auto"/>
                <w:kern w:val="0"/>
                <w:sz w:val="24"/>
                <w:szCs w:val="24"/>
                <w:lang w:val="en-US" w:eastAsia="zh-CN" w:bidi="ar"/>
              </w:rPr>
              <w:t>1.275</w:t>
            </w:r>
            <w:r>
              <w:rPr>
                <w:rFonts w:hint="default" w:ascii="Times New Roman" w:hAnsi="Times New Roman" w:eastAsia="宋体" w:cs="Times New Roman"/>
                <w:color w:val="auto"/>
                <w:kern w:val="0"/>
                <w:sz w:val="24"/>
                <w:szCs w:val="24"/>
                <w:lang w:val="en-US" w:eastAsia="zh-CN" w:bidi="ar"/>
              </w:rPr>
              <w:t>×10</w:t>
            </w:r>
            <w:r>
              <w:rPr>
                <w:rFonts w:hint="eastAsia" w:ascii="Times New Roman" w:hAnsi="Times New Roman" w:cs="Times New Roman"/>
                <w:color w:val="auto"/>
                <w:kern w:val="0"/>
                <w:sz w:val="24"/>
                <w:szCs w:val="24"/>
                <w:vertAlign w:val="superscript"/>
                <w:lang w:val="en-US" w:eastAsia="zh-CN" w:bidi="ar"/>
              </w:rPr>
              <w:t>-4</w:t>
            </w:r>
            <w:r>
              <w:rPr>
                <w:rFonts w:hint="default" w:ascii="Times New Roman" w:hAnsi="Times New Roman" w:eastAsia="宋体" w:cs="Times New Roman"/>
                <w:color w:val="auto"/>
                <w:kern w:val="0"/>
                <w:sz w:val="24"/>
                <w:szCs w:val="24"/>
                <w:lang w:val="en-US" w:eastAsia="zh-CN" w:bidi="ar"/>
              </w:rPr>
              <w:t>t</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20" w:firstLineChars="200"/>
              <w:jc w:val="left"/>
              <w:textAlignment w:val="auto"/>
              <w:rPr>
                <w:sz w:val="21"/>
              </w:rPr>
            </w:pPr>
          </w:p>
        </w:tc>
      </w:tr>
    </w:tbl>
    <w:p>
      <w:pPr>
        <w:spacing w:after="0"/>
        <w:jc w:val="right"/>
        <w:rPr>
          <w:sz w:val="21"/>
        </w:rPr>
        <w:sectPr>
          <w:footerReference r:id="rId9" w:type="default"/>
          <w:footerReference r:id="rId10" w:type="even"/>
          <w:pgSz w:w="11910" w:h="16850"/>
          <w:pgMar w:top="1600" w:right="1320" w:bottom="1000" w:left="1340" w:header="0" w:footer="817" w:gutter="0"/>
          <w:pgBorders>
            <w:top w:val="none" w:sz="0" w:space="0"/>
            <w:left w:val="none" w:sz="0" w:space="0"/>
            <w:bottom w:val="none" w:sz="0" w:space="0"/>
            <w:right w:val="none" w:sz="0" w:space="0"/>
          </w:pgBorders>
          <w:pgNumType w:fmt="decimal"/>
          <w:cols w:space="720" w:num="1"/>
        </w:sectPr>
      </w:pPr>
    </w:p>
    <w:p>
      <w:pPr>
        <w:pStyle w:val="7"/>
        <w:spacing w:before="58"/>
        <w:ind w:left="635" w:right="652"/>
        <w:jc w:val="center"/>
      </w:pPr>
      <w:r>
        <w:t>四、主要环境影响和保护措施</w:t>
      </w:r>
    </w:p>
    <w:p>
      <w:pPr>
        <w:pStyle w:val="7"/>
        <w:spacing w:before="11"/>
        <w:rPr>
          <w:sz w:val="21"/>
        </w:rPr>
      </w:pPr>
    </w:p>
    <w:tbl>
      <w:tblPr>
        <w:tblStyle w:val="11"/>
        <w:tblW w:w="0" w:type="auto"/>
        <w:tblInd w:w="17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46"/>
        <w:gridCol w:w="816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49" w:hRule="atLeast"/>
        </w:trPr>
        <w:tc>
          <w:tcPr>
            <w:tcW w:w="746" w:type="dxa"/>
            <w:tcBorders>
              <w:bottom w:val="single" w:color="000000" w:sz="4" w:space="0"/>
              <w:right w:val="single" w:color="000000" w:sz="4" w:space="0"/>
            </w:tcBorders>
          </w:tcPr>
          <w:p>
            <w:pPr>
              <w:pStyle w:val="15"/>
              <w:rPr>
                <w:rFonts w:ascii="黑体"/>
                <w:sz w:val="20"/>
              </w:rPr>
            </w:pPr>
          </w:p>
          <w:p>
            <w:pPr>
              <w:pStyle w:val="15"/>
              <w:rPr>
                <w:rFonts w:ascii="黑体"/>
                <w:sz w:val="20"/>
              </w:rPr>
            </w:pPr>
          </w:p>
          <w:p>
            <w:pPr>
              <w:pStyle w:val="15"/>
              <w:rPr>
                <w:rFonts w:ascii="黑体"/>
                <w:sz w:val="20"/>
              </w:rPr>
            </w:pPr>
          </w:p>
          <w:p>
            <w:pPr>
              <w:pStyle w:val="15"/>
              <w:rPr>
                <w:rFonts w:ascii="黑体"/>
                <w:sz w:val="20"/>
              </w:rPr>
            </w:pPr>
          </w:p>
          <w:p>
            <w:pPr>
              <w:pStyle w:val="15"/>
              <w:rPr>
                <w:rFonts w:ascii="黑体"/>
                <w:sz w:val="20"/>
              </w:rPr>
            </w:pPr>
          </w:p>
          <w:p>
            <w:pPr>
              <w:pStyle w:val="15"/>
              <w:rPr>
                <w:rFonts w:ascii="黑体"/>
                <w:sz w:val="20"/>
              </w:rPr>
            </w:pPr>
          </w:p>
          <w:p>
            <w:pPr>
              <w:pStyle w:val="15"/>
              <w:spacing w:before="157" w:line="242" w:lineRule="auto"/>
              <w:ind w:left="160" w:right="43"/>
              <w:jc w:val="both"/>
              <w:rPr>
                <w:rFonts w:ascii="宋体" w:hAnsi="宋体" w:eastAsia="宋体" w:cs="宋体"/>
                <w:sz w:val="24"/>
                <w:szCs w:val="24"/>
                <w:lang w:val="zh-CN" w:eastAsia="zh-CN" w:bidi="zh-CN"/>
              </w:rPr>
            </w:pPr>
            <w:r>
              <w:rPr>
                <w:rFonts w:ascii="宋体" w:hAnsi="宋体" w:eastAsia="宋体" w:cs="宋体"/>
                <w:sz w:val="24"/>
                <w:szCs w:val="24"/>
                <w:lang w:val="zh-CN" w:eastAsia="zh-CN" w:bidi="zh-CN"/>
              </w:rPr>
              <w:t>施</w:t>
            </w:r>
          </w:p>
          <w:p>
            <w:pPr>
              <w:pStyle w:val="15"/>
              <w:spacing w:before="157" w:line="242" w:lineRule="auto"/>
              <w:ind w:left="160" w:right="43"/>
              <w:jc w:val="both"/>
              <w:rPr>
                <w:rFonts w:ascii="宋体" w:hAnsi="宋体" w:eastAsia="宋体" w:cs="宋体"/>
                <w:sz w:val="24"/>
                <w:szCs w:val="24"/>
                <w:lang w:val="zh-CN" w:eastAsia="zh-CN" w:bidi="zh-CN"/>
              </w:rPr>
            </w:pPr>
            <w:r>
              <w:rPr>
                <w:rFonts w:ascii="宋体" w:hAnsi="宋体" w:eastAsia="宋体" w:cs="宋体"/>
                <w:sz w:val="24"/>
                <w:szCs w:val="24"/>
                <w:lang w:val="zh-CN" w:eastAsia="zh-CN" w:bidi="zh-CN"/>
              </w:rPr>
              <w:t>工</w:t>
            </w:r>
          </w:p>
          <w:p>
            <w:pPr>
              <w:pStyle w:val="15"/>
              <w:spacing w:before="157" w:line="242" w:lineRule="auto"/>
              <w:ind w:left="160" w:right="43"/>
              <w:jc w:val="both"/>
              <w:rPr>
                <w:rFonts w:ascii="宋体" w:hAnsi="宋体" w:eastAsia="宋体" w:cs="宋体"/>
                <w:sz w:val="24"/>
                <w:szCs w:val="24"/>
                <w:lang w:val="zh-CN" w:eastAsia="zh-CN" w:bidi="zh-CN"/>
              </w:rPr>
            </w:pPr>
            <w:r>
              <w:rPr>
                <w:rFonts w:ascii="宋体" w:hAnsi="宋体" w:eastAsia="宋体" w:cs="宋体"/>
                <w:sz w:val="24"/>
                <w:szCs w:val="24"/>
                <w:lang w:val="zh-CN" w:eastAsia="zh-CN" w:bidi="zh-CN"/>
              </w:rPr>
              <w:t>期</w:t>
            </w:r>
          </w:p>
          <w:p>
            <w:pPr>
              <w:pStyle w:val="15"/>
              <w:spacing w:before="157" w:line="242" w:lineRule="auto"/>
              <w:ind w:left="160" w:right="43"/>
              <w:jc w:val="both"/>
              <w:rPr>
                <w:rFonts w:ascii="宋体" w:hAnsi="宋体" w:eastAsia="宋体" w:cs="宋体"/>
                <w:sz w:val="24"/>
                <w:szCs w:val="24"/>
                <w:lang w:val="zh-CN" w:eastAsia="zh-CN" w:bidi="zh-CN"/>
              </w:rPr>
            </w:pPr>
            <w:r>
              <w:rPr>
                <w:rFonts w:ascii="宋体" w:hAnsi="宋体" w:eastAsia="宋体" w:cs="宋体"/>
                <w:sz w:val="24"/>
                <w:szCs w:val="24"/>
                <w:lang w:val="zh-CN" w:eastAsia="zh-CN" w:bidi="zh-CN"/>
              </w:rPr>
              <w:t>环</w:t>
            </w:r>
          </w:p>
          <w:p>
            <w:pPr>
              <w:pStyle w:val="15"/>
              <w:spacing w:before="157" w:line="242" w:lineRule="auto"/>
              <w:ind w:left="160" w:right="43"/>
              <w:jc w:val="both"/>
              <w:rPr>
                <w:rFonts w:ascii="宋体" w:hAnsi="宋体" w:eastAsia="宋体" w:cs="宋体"/>
                <w:sz w:val="24"/>
                <w:szCs w:val="24"/>
                <w:lang w:val="zh-CN" w:eastAsia="zh-CN" w:bidi="zh-CN"/>
              </w:rPr>
            </w:pPr>
            <w:r>
              <w:rPr>
                <w:rFonts w:ascii="宋体" w:hAnsi="宋体" w:eastAsia="宋体" w:cs="宋体"/>
                <w:sz w:val="24"/>
                <w:szCs w:val="24"/>
                <w:lang w:val="zh-CN" w:eastAsia="zh-CN" w:bidi="zh-CN"/>
              </w:rPr>
              <w:t>境</w:t>
            </w:r>
          </w:p>
          <w:p>
            <w:pPr>
              <w:pStyle w:val="15"/>
              <w:spacing w:before="157" w:line="242" w:lineRule="auto"/>
              <w:ind w:left="160" w:right="43"/>
              <w:jc w:val="both"/>
              <w:rPr>
                <w:rFonts w:ascii="宋体" w:hAnsi="宋体" w:eastAsia="宋体" w:cs="宋体"/>
                <w:sz w:val="24"/>
                <w:szCs w:val="24"/>
                <w:lang w:val="zh-CN" w:eastAsia="zh-CN" w:bidi="zh-CN"/>
              </w:rPr>
            </w:pPr>
            <w:r>
              <w:rPr>
                <w:rFonts w:ascii="宋体" w:hAnsi="宋体" w:eastAsia="宋体" w:cs="宋体"/>
                <w:sz w:val="24"/>
                <w:szCs w:val="24"/>
                <w:lang w:val="zh-CN" w:eastAsia="zh-CN" w:bidi="zh-CN"/>
              </w:rPr>
              <w:t>保</w:t>
            </w:r>
          </w:p>
          <w:p>
            <w:pPr>
              <w:pStyle w:val="15"/>
              <w:spacing w:before="157" w:line="242" w:lineRule="auto"/>
              <w:ind w:left="160" w:right="43"/>
              <w:jc w:val="both"/>
              <w:rPr>
                <w:rFonts w:ascii="宋体" w:hAnsi="宋体" w:eastAsia="宋体" w:cs="宋体"/>
                <w:sz w:val="24"/>
                <w:szCs w:val="24"/>
                <w:lang w:val="zh-CN" w:eastAsia="zh-CN" w:bidi="zh-CN"/>
              </w:rPr>
            </w:pPr>
            <w:r>
              <w:rPr>
                <w:rFonts w:ascii="宋体" w:hAnsi="宋体" w:eastAsia="宋体" w:cs="宋体"/>
                <w:sz w:val="24"/>
                <w:szCs w:val="24"/>
                <w:lang w:val="zh-CN" w:eastAsia="zh-CN" w:bidi="zh-CN"/>
              </w:rPr>
              <w:t>护</w:t>
            </w:r>
          </w:p>
          <w:p>
            <w:pPr>
              <w:pStyle w:val="15"/>
              <w:spacing w:before="157" w:line="242" w:lineRule="auto"/>
              <w:ind w:left="160" w:right="43"/>
              <w:jc w:val="both"/>
              <w:rPr>
                <w:rFonts w:ascii="宋体" w:hAnsi="宋体" w:eastAsia="宋体" w:cs="宋体"/>
                <w:sz w:val="24"/>
                <w:szCs w:val="24"/>
                <w:lang w:val="zh-CN" w:eastAsia="zh-CN" w:bidi="zh-CN"/>
              </w:rPr>
            </w:pPr>
            <w:r>
              <w:rPr>
                <w:rFonts w:ascii="宋体" w:hAnsi="宋体" w:eastAsia="宋体" w:cs="宋体"/>
                <w:sz w:val="24"/>
                <w:szCs w:val="24"/>
                <w:lang w:val="zh-CN" w:eastAsia="zh-CN" w:bidi="zh-CN"/>
              </w:rPr>
              <w:t>措</w:t>
            </w:r>
          </w:p>
          <w:p>
            <w:pPr>
              <w:pStyle w:val="15"/>
              <w:spacing w:before="157" w:line="242" w:lineRule="auto"/>
              <w:ind w:left="160" w:right="43"/>
              <w:jc w:val="both"/>
              <w:rPr>
                <w:sz w:val="21"/>
              </w:rPr>
            </w:pPr>
            <w:r>
              <w:rPr>
                <w:rFonts w:ascii="宋体" w:hAnsi="宋体" w:eastAsia="宋体" w:cs="宋体"/>
                <w:sz w:val="24"/>
                <w:szCs w:val="24"/>
                <w:lang w:val="zh-CN" w:eastAsia="zh-CN" w:bidi="zh-CN"/>
              </w:rPr>
              <w:t xml:space="preserve">施 </w:t>
            </w:r>
          </w:p>
        </w:tc>
        <w:tc>
          <w:tcPr>
            <w:tcW w:w="8161" w:type="dxa"/>
            <w:tcBorders>
              <w:left w:val="single" w:color="000000" w:sz="4" w:space="0"/>
              <w:bottom w:val="single" w:color="000000" w:sz="4" w:space="0"/>
            </w:tcBorders>
          </w:tcPr>
          <w:p>
            <w:pPr>
              <w:pStyle w:val="15"/>
              <w:rPr>
                <w:rFonts w:ascii="黑体"/>
                <w:sz w:val="20"/>
              </w:rPr>
            </w:pPr>
          </w:p>
          <w:p>
            <w:pPr>
              <w:spacing w:line="360" w:lineRule="auto"/>
              <w:rPr>
                <w:rFonts w:hint="eastAsia"/>
                <w:b/>
                <w:sz w:val="28"/>
              </w:rPr>
            </w:pPr>
            <w:r>
              <w:rPr>
                <w:rFonts w:hint="eastAsia"/>
                <w:b/>
                <w:sz w:val="28"/>
              </w:rPr>
              <w:t>施工期污染物</w:t>
            </w:r>
            <w:r>
              <w:rPr>
                <w:b/>
                <w:sz w:val="28"/>
              </w:rPr>
              <w:t>治理及排放</w:t>
            </w:r>
          </w:p>
          <w:p>
            <w:pPr>
              <w:pStyle w:val="5"/>
              <w:spacing w:before="0" w:after="0"/>
              <w:ind w:firstLine="482" w:firstLineChars="200"/>
              <w:jc w:val="left"/>
              <w:rPr>
                <w:rFonts w:ascii="Times New Roman" w:hAnsi="Times New Roman"/>
                <w:sz w:val="24"/>
              </w:rPr>
            </w:pPr>
            <w:r>
              <w:rPr>
                <w:rFonts w:ascii="Times New Roman" w:hAnsi="Times New Roman"/>
                <w:sz w:val="24"/>
              </w:rPr>
              <w:t>1、施工期大气污染物治理措施</w:t>
            </w:r>
          </w:p>
          <w:p>
            <w:pPr>
              <w:adjustRightInd w:val="0"/>
              <w:snapToGrid w:val="0"/>
              <w:spacing w:line="360" w:lineRule="auto"/>
              <w:ind w:firstLine="442" w:firstLineChars="200"/>
              <w:jc w:val="left"/>
              <w:rPr>
                <w:w w:val="100"/>
                <w:sz w:val="21"/>
              </w:rPr>
            </w:pPr>
            <w:r>
              <w:rPr>
                <w:b/>
              </w:rPr>
              <w:t>（1）扬尘</w:t>
            </w:r>
          </w:p>
          <w:p>
            <w:pPr>
              <w:pStyle w:val="26"/>
              <w:ind w:firstLine="480" w:firstLineChars="200"/>
              <w:jc w:val="left"/>
              <w:rPr>
                <w:rFonts w:hint="default" w:ascii="Times New Roman" w:hAnsi="Times New Roman" w:eastAsia="宋体" w:cs="Times New Roman"/>
                <w:szCs w:val="24"/>
              </w:rPr>
            </w:pPr>
            <w:r>
              <w:rPr>
                <w:szCs w:val="24"/>
              </w:rPr>
              <w:t>项目在建设施工过程中的大气污染主要来自于施工场地的扬尘。在整个施工期，产生扬尘的作业有土地平整、露天堆放、装卸等过程，如遇干旱无雨季节，加上大风，施工扬尘将更严重。根据国家环保总局和建设部《关于有效控制城市扬尘污染的通知》精神，</w:t>
            </w:r>
            <w:r>
              <w:rPr>
                <w:rFonts w:hint="default" w:ascii="Times New Roman" w:hAnsi="Times New Roman" w:eastAsia="宋体" w:cs="Times New Roman"/>
                <w:szCs w:val="24"/>
              </w:rPr>
              <w:t>参照《防治城市扬尘污染技术规范》（HJ/T393-2007），对项目采取的防止扬尘措施要求如下：</w:t>
            </w:r>
          </w:p>
          <w:p>
            <w:pPr>
              <w:pStyle w:val="26"/>
              <w:ind w:firstLine="480" w:firstLineChars="200"/>
              <w:jc w:val="left"/>
              <w:rPr>
                <w:rFonts w:hint="default" w:ascii="Times New Roman" w:hAnsi="Times New Roman" w:eastAsia="宋体" w:cs="Times New Roman"/>
                <w:szCs w:val="24"/>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 1 \* GB3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4"/>
              </w:rPr>
              <w:t>①</w:t>
            </w:r>
            <w:r>
              <w:rPr>
                <w:rFonts w:hint="default" w:ascii="Times New Roman" w:hAnsi="Times New Roman" w:eastAsia="宋体" w:cs="Times New Roman"/>
                <w:szCs w:val="24"/>
              </w:rPr>
              <w:fldChar w:fldCharType="end"/>
            </w:r>
            <w:r>
              <w:rPr>
                <w:rFonts w:hint="default" w:ascii="Times New Roman" w:hAnsi="Times New Roman" w:eastAsia="宋体" w:cs="Times New Roman"/>
                <w:szCs w:val="24"/>
              </w:rPr>
              <w:t>施工单位应严格按照国家和当地的有关要求，应做到科学施工、文明施工，定期对地面洒水严格控制扬尘，对运送易产生扬尘物质的车辆实行密封运输等，并对撒落在路面的渣土尽快清除，清理阶段做到先洒水后清扫，避免产生扬尘对周围环境造成污染性影响；</w:t>
            </w:r>
          </w:p>
          <w:p>
            <w:pPr>
              <w:pStyle w:val="26"/>
              <w:ind w:firstLine="480" w:firstLineChars="200"/>
              <w:jc w:val="left"/>
              <w:rPr>
                <w:rFonts w:hint="default" w:ascii="Times New Roman" w:hAnsi="Times New Roman" w:eastAsia="宋体" w:cs="Times New Roman"/>
                <w:szCs w:val="24"/>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 2 \* GB3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4"/>
              </w:rPr>
              <w:t>②</w:t>
            </w:r>
            <w:r>
              <w:rPr>
                <w:rFonts w:hint="default" w:ascii="Times New Roman" w:hAnsi="Times New Roman" w:eastAsia="宋体" w:cs="Times New Roman"/>
                <w:szCs w:val="24"/>
              </w:rPr>
              <w:fldChar w:fldCharType="end"/>
            </w:r>
            <w:r>
              <w:rPr>
                <w:rFonts w:hint="default" w:ascii="Times New Roman" w:hAnsi="Times New Roman" w:eastAsia="宋体" w:cs="Times New Roman"/>
                <w:szCs w:val="24"/>
              </w:rPr>
              <w:t>施工过程中使用的水泥、石灰、沙石等易起尘的建筑材料应设置围挡或堆砌围墙或者采用防尘布覆盖，最好是密闭存储，风速大于3m/s时应停止施工；</w:t>
            </w:r>
          </w:p>
          <w:p>
            <w:pPr>
              <w:pStyle w:val="26"/>
              <w:ind w:firstLine="480" w:firstLineChars="200"/>
              <w:jc w:val="left"/>
              <w:rPr>
                <w:rFonts w:hint="default" w:ascii="Times New Roman" w:hAnsi="Times New Roman" w:eastAsia="宋体" w:cs="Times New Roman"/>
                <w:szCs w:val="24"/>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 3 \* GB3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4"/>
              </w:rPr>
              <w:t>③</w:t>
            </w:r>
            <w:r>
              <w:rPr>
                <w:rFonts w:hint="default" w:ascii="Times New Roman" w:hAnsi="Times New Roman" w:eastAsia="宋体" w:cs="Times New Roman"/>
                <w:szCs w:val="24"/>
              </w:rPr>
              <w:fldChar w:fldCharType="end"/>
            </w:r>
            <w:r>
              <w:rPr>
                <w:rFonts w:hint="default" w:ascii="Times New Roman" w:hAnsi="Times New Roman" w:eastAsia="宋体" w:cs="Times New Roman"/>
                <w:szCs w:val="24"/>
              </w:rPr>
              <w:t>由于道路和扬尘量与车辆的行驶速度有关，速度越快，扬尘量越大，因此，在施工场地对施工车辆必须实施限速行驶，同时施工现场主要运输道路尽量采用硬化路面并进行洒水抑尘；在施工场地出口放置防尘垫，对运输车辆现场设置洗车场，用水清洗车体和轮胎；自卸车、垃圾运输车等运输车辆不允许超载，选择对周围环境影响较小的运输路线，定时对运输路线进行清扫，运输车辆出场时必须封闭，避免在运输过程中的抛洒现象；</w:t>
            </w:r>
          </w:p>
          <w:p>
            <w:pPr>
              <w:pStyle w:val="26"/>
              <w:ind w:firstLine="480" w:firstLineChars="200"/>
              <w:jc w:val="left"/>
              <w:rPr>
                <w:rFonts w:hint="eastAsia" w:eastAsia="宋体"/>
                <w:b w:val="0"/>
                <w:bCs/>
                <w:color w:val="FF0000"/>
                <w:szCs w:val="24"/>
                <w:lang w:eastAsia="zh-CN"/>
              </w:rPr>
            </w:pPr>
            <w:r>
              <w:rPr>
                <w:rFonts w:hint="default" w:ascii="Times New Roman" w:hAnsi="Times New Roman" w:eastAsia="宋体" w:cs="Times New Roman"/>
                <w:szCs w:val="24"/>
              </w:rPr>
              <w:fldChar w:fldCharType="begin"/>
            </w:r>
            <w:r>
              <w:rPr>
                <w:rFonts w:hint="default" w:ascii="Times New Roman" w:hAnsi="Times New Roman" w:eastAsia="宋体" w:cs="Times New Roman"/>
                <w:szCs w:val="24"/>
              </w:rPr>
              <w:instrText xml:space="preserve"> = 4 \* GB3 </w:instrText>
            </w:r>
            <w:r>
              <w:rPr>
                <w:rFonts w:hint="default" w:ascii="Times New Roman" w:hAnsi="Times New Roman" w:eastAsia="宋体" w:cs="Times New Roman"/>
                <w:szCs w:val="24"/>
              </w:rPr>
              <w:fldChar w:fldCharType="separate"/>
            </w:r>
            <w:r>
              <w:rPr>
                <w:rFonts w:hint="default" w:ascii="Times New Roman" w:hAnsi="Times New Roman" w:eastAsia="宋体" w:cs="Times New Roman"/>
                <w:szCs w:val="24"/>
              </w:rPr>
              <w:t>④</w:t>
            </w:r>
            <w:r>
              <w:rPr>
                <w:rFonts w:hint="default" w:ascii="Times New Roman" w:hAnsi="Times New Roman" w:eastAsia="宋体" w:cs="Times New Roman"/>
                <w:szCs w:val="24"/>
              </w:rPr>
              <w:fldChar w:fldCharType="end"/>
            </w:r>
            <w:r>
              <w:rPr>
                <w:rFonts w:hint="default" w:ascii="Times New Roman" w:hAnsi="Times New Roman" w:eastAsia="宋体" w:cs="Times New Roman"/>
                <w:b w:val="0"/>
                <w:bCs/>
                <w:szCs w:val="24"/>
              </w:rPr>
              <w:t>在建设工地现场要严格按照《四川省人民政府办公厅关于加强灰霾污染防治的通知》（川办发</w:t>
            </w:r>
            <w:r>
              <w:rPr>
                <w:rFonts w:hint="default" w:ascii="Times New Roman" w:hAnsi="Times New Roman" w:eastAsia="宋体" w:cs="Times New Roman"/>
                <w:b w:val="0"/>
                <w:bCs/>
                <w:szCs w:val="24"/>
                <w:lang w:eastAsia="zh-CN"/>
              </w:rPr>
              <w:t>〔</w:t>
            </w:r>
            <w:r>
              <w:rPr>
                <w:rFonts w:hint="default" w:ascii="Times New Roman" w:hAnsi="Times New Roman" w:eastAsia="宋体" w:cs="Times New Roman"/>
                <w:b w:val="0"/>
                <w:bCs/>
                <w:szCs w:val="24"/>
              </w:rPr>
              <w:t>2013</w:t>
            </w:r>
            <w:r>
              <w:rPr>
                <w:rFonts w:hint="default" w:ascii="Times New Roman" w:hAnsi="Times New Roman" w:eastAsia="宋体" w:cs="Times New Roman"/>
                <w:b w:val="0"/>
                <w:bCs/>
                <w:szCs w:val="24"/>
                <w:lang w:eastAsia="zh-CN"/>
              </w:rPr>
              <w:t>〕</w:t>
            </w:r>
            <w:r>
              <w:rPr>
                <w:rFonts w:hint="default" w:ascii="Times New Roman" w:hAnsi="Times New Roman" w:eastAsia="宋体" w:cs="Times New Roman"/>
                <w:b w:val="0"/>
                <w:bCs/>
                <w:szCs w:val="24"/>
              </w:rPr>
              <w:t>32号）及《四川省灰霾污染防治实施方案》中的要求加强施工场地扬尘的控制，同时全面落实成都市建设委员会（成建委发</w:t>
            </w:r>
            <w:r>
              <w:rPr>
                <w:rFonts w:hint="default" w:ascii="Times New Roman" w:hAnsi="Times New Roman" w:eastAsia="宋体" w:cs="Times New Roman"/>
                <w:b w:val="0"/>
                <w:bCs/>
                <w:szCs w:val="24"/>
                <w:lang w:eastAsia="zh-CN"/>
              </w:rPr>
              <w:t>〔</w:t>
            </w:r>
            <w:r>
              <w:rPr>
                <w:rFonts w:hint="default" w:ascii="Times New Roman" w:hAnsi="Times New Roman" w:eastAsia="宋体" w:cs="Times New Roman"/>
                <w:b w:val="0"/>
                <w:bCs/>
                <w:szCs w:val="24"/>
              </w:rPr>
              <w:t>2008</w:t>
            </w:r>
            <w:r>
              <w:rPr>
                <w:rFonts w:hint="default" w:ascii="Times New Roman" w:hAnsi="Times New Roman" w:eastAsia="宋体" w:cs="Times New Roman"/>
                <w:b w:val="0"/>
                <w:bCs/>
                <w:szCs w:val="24"/>
                <w:lang w:eastAsia="zh-CN"/>
              </w:rPr>
              <w:t>〕</w:t>
            </w:r>
            <w:r>
              <w:rPr>
                <w:rFonts w:hint="default" w:ascii="Times New Roman" w:hAnsi="Times New Roman" w:eastAsia="宋体" w:cs="Times New Roman"/>
                <w:b w:val="0"/>
                <w:bCs/>
                <w:szCs w:val="24"/>
              </w:rPr>
              <w:t>93号）关于扬尘整治</w:t>
            </w:r>
            <w:r>
              <w:rPr>
                <w:rFonts w:hint="eastAsia" w:ascii="宋体" w:hAnsi="宋体" w:eastAsia="宋体" w:cs="宋体"/>
                <w:b w:val="0"/>
                <w:bCs/>
                <w:szCs w:val="24"/>
              </w:rPr>
              <w:t>的“六必须”、“六不准”，</w:t>
            </w:r>
            <w:r>
              <w:rPr>
                <w:rFonts w:hint="default" w:ascii="Times New Roman" w:hAnsi="Times New Roman" w:eastAsia="宋体" w:cs="Times New Roman"/>
                <w:b w:val="0"/>
                <w:bCs/>
                <w:szCs w:val="24"/>
              </w:rPr>
              <w:t>即：必须打围作业、必须硬化道路、必须设置冲洗设施、必须湿法作业、必须配齐保洁人员、必须定时清扫施工现场；不准车辆带泥出门，</w:t>
            </w:r>
            <w:r>
              <w:rPr>
                <w:b w:val="0"/>
                <w:bCs/>
                <w:szCs w:val="24"/>
              </w:rPr>
              <w:t>不准运渣车辆冒顶装载、不准高空抛撒建渣、不准现场搅拌混凝土、不准场地积水、不准现场焚烧废弃物。要加强对建设工地的监督检查，督促建设单位落实降尘、压尘和抑尘</w:t>
            </w:r>
            <w:r>
              <w:rPr>
                <w:b w:val="0"/>
                <w:bCs/>
                <w:color w:val="auto"/>
                <w:szCs w:val="24"/>
              </w:rPr>
              <w:t>措施</w:t>
            </w:r>
            <w:r>
              <w:rPr>
                <w:rFonts w:hint="eastAsia"/>
                <w:b w:val="0"/>
                <w:bCs/>
                <w:color w:val="auto"/>
                <w:szCs w:val="24"/>
                <w:lang w:eastAsia="zh-CN"/>
              </w:rPr>
              <w:t>。</w:t>
            </w:r>
          </w:p>
          <w:p>
            <w:pPr>
              <w:pStyle w:val="27"/>
              <w:jc w:val="left"/>
              <w:rPr>
                <w:rFonts w:hint="default" w:ascii="Times New Roman" w:hAnsi="Times New Roman" w:cs="Times New Roman"/>
                <w:w w:val="100"/>
                <w:sz w:val="21"/>
              </w:rPr>
            </w:pPr>
            <w:r>
              <w:rPr>
                <w:rFonts w:hint="default" w:ascii="Times New Roman" w:hAnsi="Times New Roman" w:cs="Times New Roman"/>
              </w:rPr>
              <w:t>⑤施工弃渣外运时，应合理规划运输路线，避免减少穿越居民集中区；同时运输车辆必须加盖帆布，严禁建筑垃圾运输车超载、冒载沿途撒漏。</w:t>
            </w:r>
          </w:p>
          <w:p>
            <w:pPr>
              <w:tabs>
                <w:tab w:val="left" w:pos="1260"/>
              </w:tabs>
              <w:spacing w:line="360" w:lineRule="auto"/>
              <w:ind w:firstLine="480" w:firstLineChars="200"/>
              <w:jc w:val="left"/>
              <w:rPr>
                <w:rFonts w:hint="default" w:ascii="Times New Roman" w:hAnsi="Times New Roman" w:cs="Times New Roman"/>
                <w:b w:val="0"/>
                <w:bCs/>
                <w:sz w:val="24"/>
              </w:rPr>
            </w:pPr>
            <w:r>
              <w:rPr>
                <w:rFonts w:hint="default" w:ascii="Times New Roman" w:hAnsi="Times New Roman" w:cs="Times New Roman"/>
                <w:b w:val="0"/>
                <w:bCs/>
                <w:sz w:val="24"/>
              </w:rPr>
              <w:t>b）施工机械废气</w:t>
            </w:r>
          </w:p>
          <w:p>
            <w:pPr>
              <w:tabs>
                <w:tab w:val="left" w:pos="1260"/>
              </w:tabs>
              <w:spacing w:line="360" w:lineRule="auto"/>
              <w:ind w:firstLine="480" w:firstLineChars="200"/>
              <w:jc w:val="left"/>
              <w:rPr>
                <w:rFonts w:hint="default" w:ascii="Times New Roman" w:hAnsi="Times New Roman" w:cs="Times New Roman"/>
                <w:w w:val="100"/>
                <w:sz w:val="21"/>
              </w:rPr>
            </w:pPr>
            <w:r>
              <w:rPr>
                <w:rFonts w:hint="default" w:ascii="Times New Roman" w:hAnsi="Times New Roman" w:cs="Times New Roman"/>
                <w:sz w:val="24"/>
              </w:rPr>
              <w:t>施工期间，使用机动车运送原材料、设备和建筑机械设备的运转，均会排放一定量的CO、NOx以及未完全燃烧的HC等，其特点是排放量小，且属间断性无组织排放，因此对其不加处理也可达到相应的排放标准。在施工期内应多加注意施工设备的维护，使其能够正常的运行，提高设备原料的利用率。</w:t>
            </w:r>
          </w:p>
          <w:p>
            <w:pPr>
              <w:tabs>
                <w:tab w:val="left" w:pos="1260"/>
              </w:tabs>
              <w:spacing w:line="360" w:lineRule="auto"/>
              <w:ind w:firstLine="482" w:firstLineChars="200"/>
              <w:jc w:val="left"/>
              <w:rPr>
                <w:b/>
                <w:sz w:val="24"/>
              </w:rPr>
            </w:pPr>
            <w:r>
              <w:rPr>
                <w:b/>
                <w:sz w:val="24"/>
              </w:rPr>
              <w:t>2、施工期水污染物排放及治理措施</w:t>
            </w:r>
          </w:p>
          <w:p>
            <w:pPr>
              <w:snapToGrid w:val="0"/>
              <w:spacing w:line="360" w:lineRule="auto"/>
              <w:ind w:firstLine="480" w:firstLineChars="200"/>
              <w:jc w:val="left"/>
              <w:rPr>
                <w:rFonts w:hint="default" w:ascii="Times New Roman" w:hAnsi="Times New Roman" w:cs="Times New Roman"/>
                <w:sz w:val="24"/>
                <w:highlight w:val="none"/>
              </w:rPr>
            </w:pPr>
            <w:r>
              <w:rPr>
                <w:rFonts w:hint="default" w:ascii="Times New Roman" w:hAnsi="Times New Roman" w:cs="Times New Roman"/>
                <w:sz w:val="24"/>
                <w:highlight w:val="none"/>
              </w:rPr>
              <w:t>（1）排放源</w:t>
            </w:r>
          </w:p>
          <w:p>
            <w:pPr>
              <w:pStyle w:val="26"/>
              <w:ind w:firstLine="480" w:firstLineChars="200"/>
              <w:jc w:val="left"/>
              <w:rPr>
                <w:rFonts w:hint="default" w:ascii="Times New Roman" w:hAnsi="Times New Roman" w:cs="Times New Roman"/>
                <w:szCs w:val="24"/>
                <w:highlight w:val="none"/>
              </w:rPr>
            </w:pPr>
            <w:r>
              <w:rPr>
                <w:rFonts w:hint="default" w:ascii="Times New Roman" w:hAnsi="Times New Roman" w:cs="Times New Roman"/>
                <w:szCs w:val="24"/>
                <w:highlight w:val="none"/>
              </w:rPr>
              <w:t>施工期废水主要是工地施工废水和施工人员产生的生活污水。</w:t>
            </w:r>
          </w:p>
          <w:p>
            <w:pPr>
              <w:pStyle w:val="26"/>
              <w:ind w:firstLineChars="200"/>
              <w:jc w:val="left"/>
              <w:rPr>
                <w:rFonts w:hint="default" w:ascii="Times New Roman" w:hAnsi="Times New Roman" w:cs="Times New Roman"/>
                <w:szCs w:val="24"/>
                <w:highlight w:val="none"/>
              </w:rPr>
            </w:pPr>
            <w:r>
              <w:rPr>
                <w:rFonts w:hint="default" w:ascii="Times New Roman" w:hAnsi="Times New Roman" w:cs="Times New Roman"/>
                <w:b/>
                <w:szCs w:val="24"/>
                <w:highlight w:val="none"/>
              </w:rPr>
              <w:t>施工废水</w:t>
            </w:r>
            <w:r>
              <w:rPr>
                <w:rFonts w:hint="default" w:ascii="Times New Roman" w:hAnsi="Times New Roman" w:cs="Times New Roman"/>
                <w:szCs w:val="24"/>
                <w:highlight w:val="none"/>
              </w:rPr>
              <w:t>：施工期间运输车辆冲洗建（构）筑物的冲洗、打磨等作业会产生的少量施工废水，主要污染物为SS。废水排放量为1m</w:t>
            </w:r>
            <w:r>
              <w:rPr>
                <w:rFonts w:hint="default" w:ascii="Times New Roman" w:hAnsi="Times New Roman" w:cs="Times New Roman"/>
                <w:szCs w:val="24"/>
                <w:highlight w:val="none"/>
                <w:vertAlign w:val="superscript"/>
              </w:rPr>
              <w:t>3</w:t>
            </w:r>
            <w:r>
              <w:rPr>
                <w:rFonts w:hint="default" w:ascii="Times New Roman" w:hAnsi="Times New Roman" w:cs="Times New Roman"/>
                <w:szCs w:val="24"/>
                <w:highlight w:val="none"/>
              </w:rPr>
              <w:t>/d。</w:t>
            </w:r>
          </w:p>
          <w:p>
            <w:pPr>
              <w:pStyle w:val="3"/>
              <w:ind w:firstLine="480"/>
              <w:rPr>
                <w:rFonts w:hint="default" w:ascii="Times New Roman" w:hAnsi="Times New Roman" w:cs="Times New Roman"/>
              </w:rPr>
            </w:pPr>
            <w:r>
              <w:rPr>
                <w:rFonts w:hint="default" w:ascii="Times New Roman" w:hAnsi="Times New Roman" w:cs="Times New Roman"/>
                <w:b/>
                <w:sz w:val="24"/>
                <w:highlight w:val="none"/>
              </w:rPr>
              <w:t>生活污水</w:t>
            </w:r>
            <w:r>
              <w:rPr>
                <w:rFonts w:hint="default" w:ascii="Times New Roman" w:hAnsi="Times New Roman" w:cs="Times New Roman"/>
                <w:sz w:val="24"/>
                <w:highlight w:val="none"/>
              </w:rPr>
              <w:t>：施工期间施工人员将产生少量生活污水，按施工人员1</w:t>
            </w:r>
            <w:r>
              <w:rPr>
                <w:rFonts w:hint="default" w:ascii="Times New Roman" w:hAnsi="Times New Roman" w:cs="Times New Roman"/>
                <w:sz w:val="24"/>
                <w:highlight w:val="none"/>
                <w:lang w:val="en-US" w:eastAsia="zh-CN"/>
              </w:rPr>
              <w:t>0</w:t>
            </w:r>
            <w:r>
              <w:rPr>
                <w:rFonts w:hint="default" w:ascii="Times New Roman" w:hAnsi="Times New Roman" w:cs="Times New Roman"/>
                <w:sz w:val="24"/>
                <w:highlight w:val="none"/>
              </w:rPr>
              <w:t>人，</w:t>
            </w:r>
            <w:r>
              <w:rPr>
                <w:rFonts w:hint="default" w:ascii="Times New Roman" w:hAnsi="Times New Roman" w:cs="Times New Roman"/>
                <w:sz w:val="24"/>
                <w:highlight w:val="none"/>
                <w:lang w:val="en-US" w:eastAsia="zh-CN"/>
              </w:rPr>
              <w:t>用</w:t>
            </w:r>
            <w:r>
              <w:rPr>
                <w:rFonts w:hint="default" w:ascii="Times New Roman" w:hAnsi="Times New Roman" w:cs="Times New Roman"/>
                <w:sz w:val="24"/>
                <w:highlight w:val="none"/>
              </w:rPr>
              <w:t>水量</w:t>
            </w:r>
            <w:r>
              <w:rPr>
                <w:rFonts w:hint="default" w:ascii="Times New Roman" w:hAnsi="Times New Roman" w:cs="Times New Roman"/>
                <w:sz w:val="24"/>
                <w:highlight w:val="none"/>
                <w:lang w:val="en-US" w:eastAsia="zh-CN"/>
              </w:rPr>
              <w:t>10</w:t>
            </w:r>
            <w:r>
              <w:rPr>
                <w:rFonts w:hint="default" w:ascii="Times New Roman" w:hAnsi="Times New Roman" w:cs="Times New Roman"/>
                <w:sz w:val="24"/>
                <w:highlight w:val="none"/>
              </w:rPr>
              <w:t>0L/天·人计，</w:t>
            </w:r>
            <w:r>
              <w:rPr>
                <w:rFonts w:hint="default" w:ascii="Times New Roman" w:hAnsi="Times New Roman" w:cs="Times New Roman"/>
              </w:rPr>
              <w:t>生活污水排放系数取0.85，则污水总排放量为0.85m</w:t>
            </w:r>
            <w:r>
              <w:rPr>
                <w:rFonts w:hint="default" w:ascii="Times New Roman" w:hAnsi="Times New Roman" w:cs="Times New Roman"/>
                <w:vertAlign w:val="superscript"/>
              </w:rPr>
              <w:t>3</w:t>
            </w:r>
            <w:r>
              <w:rPr>
                <w:rFonts w:hint="default" w:ascii="Times New Roman" w:hAnsi="Times New Roman" w:cs="Times New Roman"/>
              </w:rPr>
              <w:t>/d。</w:t>
            </w:r>
          </w:p>
          <w:p>
            <w:pPr>
              <w:snapToGrid w:val="0"/>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（2）治理措施</w:t>
            </w:r>
          </w:p>
          <w:p>
            <w:pPr>
              <w:snapToGrid w:val="0"/>
              <w:spacing w:line="360" w:lineRule="auto"/>
              <w:ind w:firstLine="480" w:firstLineChars="200"/>
              <w:jc w:val="left"/>
              <w:rPr>
                <w:rFonts w:hint="default" w:ascii="Times New Roman" w:hAnsi="Times New Roman" w:cs="Times New Roman"/>
                <w:spacing w:val="-12"/>
                <w:sz w:val="24"/>
              </w:rPr>
            </w:pPr>
            <w:r>
              <w:rPr>
                <w:rFonts w:hint="default" w:ascii="Times New Roman" w:hAnsi="Times New Roman" w:cs="Times New Roman"/>
                <w:sz w:val="24"/>
              </w:rPr>
              <w:t>施工期优先完成施工区内外雨水截流沟，使场内外雨水分流。</w:t>
            </w:r>
          </w:p>
          <w:p>
            <w:pPr>
              <w:tabs>
                <w:tab w:val="left" w:pos="1260"/>
              </w:tabs>
              <w:spacing w:line="360" w:lineRule="auto"/>
              <w:ind w:firstLine="482" w:firstLineChars="200"/>
              <w:jc w:val="left"/>
              <w:rPr>
                <w:rFonts w:hint="default" w:ascii="Times New Roman" w:hAnsi="Times New Roman" w:eastAsia="宋体" w:cs="Times New Roman"/>
                <w:sz w:val="24"/>
              </w:rPr>
            </w:pPr>
            <w:r>
              <w:rPr>
                <w:rFonts w:hint="default" w:ascii="Times New Roman" w:hAnsi="Times New Roman" w:cs="Times New Roman"/>
                <w:b/>
                <w:sz w:val="24"/>
              </w:rPr>
              <w:t>施工废水</w:t>
            </w:r>
            <w:r>
              <w:rPr>
                <w:rFonts w:hint="default" w:ascii="Times New Roman" w:hAnsi="Times New Roman" w:cs="Times New Roman"/>
                <w:sz w:val="24"/>
              </w:rPr>
              <w:t>：施工期间产生的施工废水，主要污染物为SS。这些废水中含有泥</w:t>
            </w:r>
            <w:r>
              <w:rPr>
                <w:rFonts w:hint="default" w:ascii="Times New Roman" w:hAnsi="Times New Roman" w:eastAsia="宋体" w:cs="Times New Roman"/>
                <w:sz w:val="24"/>
              </w:rPr>
              <w:t>沙和固体废料，为了减少施工废水中的悬浮物浓度，需在施工工地设置</w:t>
            </w:r>
            <w:r>
              <w:rPr>
                <w:rFonts w:hint="default" w:ascii="Times New Roman" w:hAnsi="Times New Roman" w:cs="Times New Roman"/>
                <w:sz w:val="24"/>
                <w:lang w:val="en-US" w:eastAsia="zh-CN"/>
              </w:rPr>
              <w:t>三级</w:t>
            </w:r>
            <w:r>
              <w:rPr>
                <w:rFonts w:hint="default" w:ascii="Times New Roman" w:hAnsi="Times New Roman" w:eastAsia="宋体" w:cs="Times New Roman"/>
                <w:sz w:val="24"/>
              </w:rPr>
              <w:t>沉淀池，经沉淀池处理后上层清夜尽量回用或用于周围洒水降尘。同时，施工废水在进入临时沉淀池处理之前应针对不同的废水采取不同的防治措施。</w:t>
            </w:r>
          </w:p>
          <w:p>
            <w:pPr>
              <w:tabs>
                <w:tab w:val="left" w:pos="1260"/>
              </w:tabs>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①混凝土养护废水：混凝土养护可以直接用薄膜或塑料溶液喷刷在混凝土表面，待溶液挥发后，与混凝土表面结合成一层塑料薄膜，使混凝土与空气隔离，封闭混凝土中水分不再蒸发外逸，水泥依靠混凝土中水分完成水化作用。其多余废水经临时沉淀处理后，上清液回用。</w:t>
            </w:r>
          </w:p>
          <w:p>
            <w:pPr>
              <w:tabs>
                <w:tab w:val="left" w:pos="1260"/>
              </w:tabs>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②机械和车辆冲洗废水：主要为含油废水和部分悬浮物。</w:t>
            </w:r>
            <w:r>
              <w:rPr>
                <w:rFonts w:hint="default" w:ascii="Times New Roman" w:hAnsi="Times New Roman" w:cs="Times New Roman"/>
                <w:sz w:val="24"/>
                <w:lang w:val="en-US" w:eastAsia="zh-CN"/>
              </w:rPr>
              <w:t>本项目位于九龙县崩崩冲村，距离九龙县城约8公里，交通方便，车辆修理问题需要到九龙县修理厂进行修理，</w:t>
            </w:r>
            <w:r>
              <w:rPr>
                <w:rFonts w:hint="default" w:ascii="Times New Roman" w:hAnsi="Times New Roman" w:eastAsia="宋体" w:cs="Times New Roman"/>
                <w:color w:val="auto"/>
                <w:sz w:val="24"/>
              </w:rPr>
              <w:t>严禁在施</w:t>
            </w:r>
            <w:r>
              <w:rPr>
                <w:rFonts w:hint="default" w:ascii="Times New Roman" w:hAnsi="Times New Roman" w:eastAsia="宋体" w:cs="Times New Roman"/>
                <w:sz w:val="24"/>
              </w:rPr>
              <w:t>工现场设汽车修理区。目前项目施工区</w:t>
            </w:r>
            <w:r>
              <w:rPr>
                <w:rFonts w:hint="default" w:ascii="Times New Roman" w:hAnsi="Times New Roman" w:cs="Times New Roman"/>
                <w:sz w:val="24"/>
                <w:lang w:val="en-US" w:eastAsia="zh-CN"/>
              </w:rPr>
              <w:t>需</w:t>
            </w:r>
            <w:r>
              <w:rPr>
                <w:rFonts w:hint="default" w:ascii="Times New Roman" w:hAnsi="Times New Roman" w:eastAsia="宋体" w:cs="Times New Roman"/>
                <w:sz w:val="24"/>
              </w:rPr>
              <w:t>设置清洗设施及冲洗池，清洗和修理的施工机械、车辆所产生的含油废水或废弃物，不得随意弃置和倾流，可用容器收集，以防止油污染。机械保养冲洗水、含油污水不得随意排放，要建排水沟和小型隔油池，经相应隔油处理后循环使用，不得随意排放。</w:t>
            </w:r>
          </w:p>
          <w:p>
            <w:pPr>
              <w:tabs>
                <w:tab w:val="left" w:pos="1260"/>
              </w:tabs>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在施工中，应注意以下几点：</w:t>
            </w:r>
          </w:p>
          <w:p>
            <w:pPr>
              <w:tabs>
                <w:tab w:val="left" w:pos="1260"/>
              </w:tabs>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①若现场存放油料，必须对库房进行防渗处理，储存和使用都要采取措施，防止油料跑、冒、滴、漏等，污染水体。</w:t>
            </w:r>
          </w:p>
          <w:p>
            <w:pPr>
              <w:tabs>
                <w:tab w:val="left" w:pos="1260"/>
              </w:tabs>
              <w:spacing w:line="360" w:lineRule="auto"/>
              <w:ind w:firstLine="480" w:firstLineChars="200"/>
              <w:jc w:val="left"/>
              <w:rPr>
                <w:rFonts w:hint="default" w:ascii="Times New Roman" w:hAnsi="Times New Roman" w:cs="Times New Roman"/>
                <w:w w:val="100"/>
                <w:sz w:val="21"/>
              </w:rPr>
            </w:pPr>
            <w:r>
              <w:rPr>
                <w:rFonts w:hint="default" w:ascii="Times New Roman" w:hAnsi="Times New Roman" w:eastAsia="宋体" w:cs="Times New Roman"/>
                <w:sz w:val="24"/>
              </w:rPr>
              <w:t>②生活垃圾暂存间按相关要求采取防渗、防流失措施，防止污水、渗滤液等下渗污染地下水。</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default" w:ascii="Times New Roman" w:hAnsi="Times New Roman" w:cs="Times New Roman"/>
                <w:sz w:val="24"/>
                <w:highlight w:val="none"/>
              </w:rPr>
            </w:pPr>
            <w:r>
              <w:rPr>
                <w:rFonts w:hint="default" w:ascii="Times New Roman" w:hAnsi="Times New Roman" w:cs="Times New Roman"/>
                <w:b/>
                <w:sz w:val="24"/>
                <w:highlight w:val="none"/>
              </w:rPr>
              <w:t>生活污水</w:t>
            </w:r>
            <w:r>
              <w:rPr>
                <w:rFonts w:hint="default" w:ascii="Times New Roman" w:hAnsi="Times New Roman" w:cs="Times New Roman"/>
                <w:sz w:val="24"/>
                <w:highlight w:val="none"/>
              </w:rPr>
              <w:t>：项目拟租用东南侧</w:t>
            </w:r>
            <w:r>
              <w:rPr>
                <w:rFonts w:hint="default" w:ascii="Times New Roman" w:hAnsi="Times New Roman" w:cs="Times New Roman"/>
                <w:sz w:val="24"/>
                <w:highlight w:val="none"/>
                <w:lang w:val="en-US" w:eastAsia="zh-CN"/>
              </w:rPr>
              <w:t>约20</w:t>
            </w:r>
            <w:r>
              <w:rPr>
                <w:rFonts w:hint="default" w:ascii="Times New Roman" w:hAnsi="Times New Roman" w:cs="Times New Roman"/>
                <w:sz w:val="24"/>
                <w:highlight w:val="none"/>
              </w:rPr>
              <w:t>0m</w:t>
            </w:r>
            <w:r>
              <w:rPr>
                <w:rFonts w:hint="default" w:ascii="Times New Roman" w:hAnsi="Times New Roman" w:cs="Times New Roman"/>
                <w:sz w:val="24"/>
                <w:highlight w:val="none"/>
                <w:lang w:eastAsia="zh-CN"/>
              </w:rPr>
              <w:t>。</w:t>
            </w:r>
            <w:r>
              <w:rPr>
                <w:rFonts w:hint="default" w:ascii="Times New Roman" w:hAnsi="Times New Roman" w:cs="Times New Roman"/>
                <w:sz w:val="24"/>
                <w:highlight w:val="none"/>
              </w:rPr>
              <w:t>闲置民房作为本次施工人员的施工营地。闲置</w:t>
            </w:r>
            <w:r>
              <w:rPr>
                <w:rFonts w:hint="eastAsia" w:ascii="Times New Roman" w:hAnsi="Times New Roman" w:cs="Times New Roman"/>
                <w:sz w:val="24"/>
                <w:highlight w:val="none"/>
                <w:lang w:val="en-US" w:eastAsia="zh-CN"/>
              </w:rPr>
              <w:t>板</w:t>
            </w:r>
            <w:r>
              <w:rPr>
                <w:rFonts w:hint="default" w:ascii="Times New Roman" w:hAnsi="Times New Roman" w:cs="Times New Roman"/>
                <w:sz w:val="24"/>
                <w:highlight w:val="none"/>
              </w:rPr>
              <w:t>房内现设置有</w:t>
            </w:r>
            <w:r>
              <w:rPr>
                <w:rFonts w:hint="eastAsia" w:ascii="Times New Roman" w:hAnsi="Times New Roman" w:cs="Times New Roman"/>
                <w:sz w:val="24"/>
                <w:highlight w:val="none"/>
                <w:lang w:val="en-US" w:eastAsia="zh-CN"/>
              </w:rPr>
              <w:t>旱厕</w:t>
            </w:r>
            <w:r>
              <w:rPr>
                <w:rFonts w:hint="default" w:ascii="Times New Roman" w:hAnsi="Times New Roman" w:cs="Times New Roman"/>
                <w:sz w:val="24"/>
                <w:highlight w:val="none"/>
              </w:rPr>
              <w:t>，施工人员产生的少量生活污水，可利用</w:t>
            </w:r>
            <w:r>
              <w:rPr>
                <w:rFonts w:hint="eastAsia" w:ascii="Times New Roman" w:hAnsi="Times New Roman" w:cs="Times New Roman"/>
                <w:sz w:val="24"/>
                <w:highlight w:val="none"/>
                <w:lang w:val="en-US" w:eastAsia="zh-CN"/>
              </w:rPr>
              <w:t>旱厕</w:t>
            </w:r>
            <w:r>
              <w:rPr>
                <w:rFonts w:hint="default" w:ascii="Times New Roman" w:hAnsi="Times New Roman" w:cs="Times New Roman"/>
                <w:sz w:val="24"/>
                <w:highlight w:val="none"/>
              </w:rPr>
              <w:t>处理后进行林灌，不外排。</w:t>
            </w:r>
          </w:p>
          <w:p>
            <w:pPr>
              <w:pStyle w:val="17"/>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cs="Times New Roman"/>
                <w:highlight w:val="none"/>
              </w:rPr>
            </w:pPr>
            <w:r>
              <w:rPr>
                <w:rFonts w:hint="default" w:ascii="Times New Roman" w:hAnsi="Times New Roman" w:cs="Times New Roman"/>
                <w:highlight w:val="none"/>
              </w:rPr>
              <w:t>项目</w:t>
            </w:r>
            <w:r>
              <w:rPr>
                <w:rFonts w:hint="default" w:ascii="Times New Roman" w:hAnsi="Times New Roman" w:cs="Times New Roman"/>
                <w:highlight w:val="none"/>
                <w:lang w:val="en-US" w:eastAsia="zh-CN"/>
              </w:rPr>
              <w:t>东</w:t>
            </w:r>
            <w:r>
              <w:rPr>
                <w:rFonts w:hint="default" w:ascii="Times New Roman" w:hAnsi="Times New Roman" w:cs="Times New Roman"/>
                <w:highlight w:val="none"/>
              </w:rPr>
              <w:t>侧</w:t>
            </w:r>
            <w:r>
              <w:rPr>
                <w:rFonts w:hint="default" w:ascii="Times New Roman" w:hAnsi="Times New Roman" w:cs="Times New Roman"/>
                <w:highlight w:val="none"/>
                <w:lang w:val="en-US" w:eastAsia="zh-CN"/>
              </w:rPr>
              <w:t>80</w:t>
            </w:r>
            <w:r>
              <w:rPr>
                <w:rFonts w:hint="default" w:ascii="Times New Roman" w:hAnsi="Times New Roman" w:cs="Times New Roman"/>
                <w:highlight w:val="none"/>
              </w:rPr>
              <w:t>m处即为</w:t>
            </w:r>
            <w:r>
              <w:rPr>
                <w:rFonts w:hint="default" w:ascii="Times New Roman" w:hAnsi="Times New Roman" w:cs="Times New Roman"/>
                <w:highlight w:val="none"/>
                <w:lang w:val="en-US" w:eastAsia="zh-CN"/>
              </w:rPr>
              <w:t>九龙</w:t>
            </w:r>
            <w:r>
              <w:rPr>
                <w:rFonts w:hint="default" w:ascii="Times New Roman" w:hAnsi="Times New Roman" w:cs="Times New Roman"/>
                <w:highlight w:val="none"/>
              </w:rPr>
              <w:t>河，项目施工过程破坏原有的地表植被，形成厂区范围内的开挖填筑裸露面，在厂区内设置临时性堆土场所，在雨水的冲刷下易引发水土流失。为了尽量减小水土流失对</w:t>
            </w:r>
            <w:r>
              <w:rPr>
                <w:rFonts w:hint="default" w:ascii="Times New Roman" w:hAnsi="Times New Roman" w:cs="Times New Roman"/>
                <w:highlight w:val="none"/>
                <w:lang w:val="en-US" w:eastAsia="zh-CN"/>
              </w:rPr>
              <w:t>九龙</w:t>
            </w:r>
            <w:r>
              <w:rPr>
                <w:rFonts w:hint="default" w:ascii="Times New Roman" w:hAnsi="Times New Roman" w:cs="Times New Roman"/>
                <w:highlight w:val="none"/>
              </w:rPr>
              <w:t>河的影响，本项目拟采取如下防治措施：</w:t>
            </w:r>
          </w:p>
          <w:p>
            <w:pPr>
              <w:pStyle w:val="17"/>
              <w:ind w:firstLine="480"/>
              <w:rPr>
                <w:rFonts w:hint="default" w:ascii="Times New Roman" w:hAnsi="Times New Roman" w:cs="Times New Roman"/>
              </w:rPr>
            </w:pPr>
            <w:r>
              <w:rPr>
                <w:rFonts w:hint="default" w:ascii="Times New Roman" w:hAnsi="Times New Roman" w:cs="Times New Roman"/>
              </w:rPr>
              <w:t>①在开挖建设中，应尽量避开雨季；</w:t>
            </w:r>
          </w:p>
          <w:p>
            <w:pPr>
              <w:pStyle w:val="17"/>
              <w:ind w:firstLine="480"/>
              <w:rPr>
                <w:rFonts w:hint="default" w:ascii="Times New Roman" w:hAnsi="Times New Roman" w:cs="Times New Roman"/>
              </w:rPr>
            </w:pPr>
            <w:r>
              <w:rPr>
                <w:rFonts w:hint="default" w:ascii="Times New Roman" w:hAnsi="Times New Roman" w:cs="Times New Roman"/>
              </w:rPr>
              <w:t>②场地平整前沿厂区四周布设临时排水沟，在地标径流汇集、转弯等处设置临时沉砂池；</w:t>
            </w:r>
          </w:p>
          <w:p>
            <w:pPr>
              <w:pStyle w:val="17"/>
              <w:ind w:firstLine="480"/>
              <w:rPr>
                <w:rFonts w:hint="default" w:ascii="Times New Roman" w:hAnsi="Times New Roman" w:cs="Times New Roman"/>
              </w:rPr>
            </w:pPr>
            <w:r>
              <w:rPr>
                <w:rFonts w:hint="default" w:ascii="Times New Roman" w:hAnsi="Times New Roman" w:cs="Times New Roman"/>
              </w:rPr>
              <w:t>③工程施工中做好土石方平衡工作，开挖的土方尽量作为施工场地平整回填之用；施工期间产生的弃土和建筑材料应及时清运，建筑材料及未及时清运的弃方在大风大雨天气要用篷布遮盖；</w:t>
            </w:r>
          </w:p>
          <w:p>
            <w:pPr>
              <w:pStyle w:val="17"/>
              <w:ind w:firstLine="480"/>
              <w:rPr>
                <w:rFonts w:hint="default" w:ascii="Times New Roman" w:hAnsi="Times New Roman" w:cs="Times New Roman"/>
              </w:rPr>
            </w:pPr>
            <w:r>
              <w:rPr>
                <w:rFonts w:hint="default" w:ascii="Times New Roman" w:hAnsi="Times New Roman" w:cs="Times New Roman"/>
              </w:rPr>
              <w:t>④工程施工尽量缩短暴露时间，减少水土流失；</w:t>
            </w:r>
          </w:p>
          <w:p>
            <w:pPr>
              <w:pStyle w:val="17"/>
              <w:ind w:firstLine="480"/>
              <w:rPr>
                <w:rFonts w:hint="default" w:ascii="Times New Roman" w:hAnsi="Times New Roman" w:cs="Times New Roman"/>
              </w:rPr>
            </w:pPr>
            <w:r>
              <w:rPr>
                <w:rFonts w:hint="default" w:ascii="Times New Roman" w:hAnsi="Times New Roman" w:cs="Times New Roman"/>
              </w:rPr>
              <w:t>⑤施工场地内严格控制临时堆方堆置地点，场地内靠</w:t>
            </w:r>
            <w:r>
              <w:rPr>
                <w:rFonts w:hint="default" w:ascii="Times New Roman" w:hAnsi="Times New Roman" w:cs="Times New Roman"/>
                <w:lang w:val="en-US" w:eastAsia="zh-CN"/>
              </w:rPr>
              <w:t>九龙</w:t>
            </w:r>
            <w:r>
              <w:rPr>
                <w:rFonts w:hint="default" w:ascii="Times New Roman" w:hAnsi="Times New Roman" w:cs="Times New Roman"/>
              </w:rPr>
              <w:t>河一侧不得堆放土方及建筑弃渣，靠近河道面需加装挡泥板，尽量避免土方流入</w:t>
            </w:r>
            <w:r>
              <w:rPr>
                <w:rFonts w:hint="default" w:ascii="Times New Roman" w:hAnsi="Times New Roman" w:cs="Times New Roman"/>
                <w:lang w:val="en-US" w:eastAsia="zh-CN"/>
              </w:rPr>
              <w:t>九龙</w:t>
            </w:r>
            <w:r>
              <w:rPr>
                <w:rFonts w:hint="default" w:ascii="Times New Roman" w:hAnsi="Times New Roman" w:cs="Times New Roman"/>
              </w:rPr>
              <w:t>河，施工完成后及时恢复施工迹地。</w:t>
            </w:r>
          </w:p>
          <w:p>
            <w:pPr>
              <w:spacing w:line="360" w:lineRule="auto"/>
              <w:ind w:firstLine="482" w:firstLineChars="200"/>
              <w:jc w:val="left"/>
              <w:rPr>
                <w:sz w:val="24"/>
              </w:rPr>
            </w:pPr>
            <w:r>
              <w:rPr>
                <w:b/>
                <w:sz w:val="24"/>
              </w:rPr>
              <w:t>3、施工期噪声排放治理措施</w:t>
            </w:r>
          </w:p>
          <w:p>
            <w:pPr>
              <w:pStyle w:val="26"/>
              <w:ind w:firstLine="480" w:firstLineChars="200"/>
              <w:jc w:val="left"/>
              <w:rPr>
                <w:szCs w:val="24"/>
              </w:rPr>
            </w:pPr>
            <w:r>
              <w:rPr>
                <w:szCs w:val="24"/>
              </w:rPr>
              <w:t>（1）噪声排放源</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color w:val="auto"/>
                <w:lang w:val="en-US"/>
              </w:rPr>
            </w:pPr>
            <w:bookmarkStart w:id="5" w:name="_Ref359511669"/>
            <w:r>
              <w:rPr>
                <w:rFonts w:hint="eastAsia" w:ascii="宋体" w:hAnsi="宋体" w:eastAsia="宋体" w:cs="宋体"/>
                <w:color w:val="000000"/>
                <w:kern w:val="0"/>
                <w:sz w:val="24"/>
                <w:szCs w:val="24"/>
                <w:lang w:val="en-US" w:eastAsia="zh-CN" w:bidi="ar"/>
              </w:rPr>
              <w:t>施工期噪声包括各种建筑机械和运输车辆噪声，其中建筑机械作用产生的噪声是主要噪声源，由《建筑声学设计手册》（中国建筑工业出版社）并经类比得到主要噪声源声级值</w:t>
            </w:r>
            <w:r>
              <w:rPr>
                <w:rFonts w:hint="eastAsia" w:ascii="宋体" w:hAnsi="宋体" w:eastAsia="宋体" w:cs="宋体"/>
                <w:color w:val="auto"/>
                <w:kern w:val="0"/>
                <w:sz w:val="24"/>
                <w:szCs w:val="24"/>
                <w:lang w:val="en-US" w:eastAsia="zh-CN" w:bidi="ar"/>
              </w:rPr>
              <w:t xml:space="preserve">见表 </w:t>
            </w:r>
            <w:r>
              <w:rPr>
                <w:rFonts w:hint="eastAsia" w:ascii="Times New Roman" w:hAnsi="Times New Roman"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 xml:space="preserve">；交通噪声主要为大型载重车、混凝土运输车、轻型载重卡车等产生的噪声，主要噪声源声级值见表 </w:t>
            </w:r>
            <w:r>
              <w:rPr>
                <w:rFonts w:hint="eastAsia" w:ascii="Times New Roman" w:hAnsi="Times New Roman" w:cs="Times New Roman"/>
                <w:color w:val="auto"/>
                <w:kern w:val="0"/>
                <w:sz w:val="24"/>
                <w:szCs w:val="24"/>
                <w:lang w:val="en-US" w:eastAsia="zh-CN" w:bidi="ar"/>
              </w:rPr>
              <w:t>4-2</w:t>
            </w:r>
          </w:p>
          <w:p>
            <w:pPr>
              <w:snapToGrid w:val="0"/>
              <w:spacing w:line="360" w:lineRule="auto"/>
              <w:jc w:val="center"/>
              <w:rPr>
                <w:rFonts w:hint="eastAsia" w:ascii="Times New Roman" w:hAnsi="Times New Roman" w:eastAsia="宋体" w:cs="Times New Roman"/>
                <w:b/>
                <w:bCs/>
                <w:color w:val="auto"/>
                <w:sz w:val="21"/>
                <w:szCs w:val="21"/>
                <w:highlight w:val="none"/>
              </w:rPr>
            </w:pPr>
          </w:p>
          <w:p>
            <w:pPr>
              <w:snapToGrid w:val="0"/>
              <w:spacing w:line="360" w:lineRule="auto"/>
              <w:jc w:val="center"/>
              <w:rPr>
                <w:rFonts w:hint="eastAsia" w:ascii="宋体" w:hAnsi="宋体" w:eastAsia="宋体" w:cs="宋体"/>
                <w:b/>
                <w:bCs/>
                <w:color w:val="auto"/>
                <w:sz w:val="21"/>
                <w:szCs w:val="21"/>
                <w:highlight w:val="none"/>
              </w:rPr>
            </w:pPr>
            <w:r>
              <w:rPr>
                <w:rFonts w:hint="eastAsia"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4-1</w:t>
            </w:r>
            <w:r>
              <w:rPr>
                <w:rFonts w:hint="eastAsia" w:ascii="Times New Roman" w:hAnsi="Times New Roman" w:eastAsia="宋体" w:cs="Times New Roman"/>
                <w:b/>
                <w:bCs/>
                <w:color w:val="auto"/>
                <w:sz w:val="21"/>
                <w:szCs w:val="21"/>
                <w:highlight w:val="none"/>
              </w:rPr>
              <w:t xml:space="preserve">   施工</w:t>
            </w:r>
            <w:r>
              <w:rPr>
                <w:rFonts w:hint="eastAsia" w:ascii="宋体" w:hAnsi="宋体" w:eastAsia="宋体" w:cs="宋体"/>
                <w:b/>
                <w:bCs/>
                <w:color w:val="auto"/>
                <w:sz w:val="21"/>
                <w:szCs w:val="21"/>
                <w:highlight w:val="none"/>
              </w:rPr>
              <w:t>机械噪声源强表</w:t>
            </w:r>
            <w:bookmarkEnd w:id="5"/>
          </w:p>
          <w:tbl>
            <w:tblPr>
              <w:tblStyle w:val="11"/>
              <w:tblW w:w="0" w:type="auto"/>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108" w:type="dxa"/>
                <w:bottom w:w="0" w:type="dxa"/>
                <w:right w:w="108" w:type="dxa"/>
              </w:tblCellMar>
            </w:tblPr>
            <w:tblGrid>
              <w:gridCol w:w="1365"/>
              <w:gridCol w:w="3301"/>
              <w:gridCol w:w="2873"/>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31" w:hRule="atLeast"/>
                <w:jc w:val="center"/>
              </w:trPr>
              <w:tc>
                <w:tcPr>
                  <w:tcW w:w="1365" w:type="dxa"/>
                  <w:vMerge w:val="restart"/>
                  <w:noWrap w:val="0"/>
                  <w:vAlign w:val="center"/>
                </w:tcPr>
                <w:p>
                  <w:pPr>
                    <w:adjustRightInd w:val="0"/>
                    <w:snapToGrid w:val="0"/>
                    <w:spacing w:line="240" w:lineRule="atLeast"/>
                    <w:ind w:firstLine="422"/>
                    <w:jc w:val="center"/>
                    <w:rPr>
                      <w:rFonts w:hint="eastAsia" w:ascii="Times New Roman" w:hAnsi="Times New Roman" w:eastAsia="宋体"/>
                      <w:sz w:val="21"/>
                      <w:szCs w:val="21"/>
                    </w:rPr>
                  </w:pPr>
                  <w:r>
                    <w:rPr>
                      <w:rFonts w:hint="eastAsia" w:ascii="Times New Roman" w:hAnsi="Times New Roman" w:eastAsia="宋体"/>
                      <w:sz w:val="21"/>
                      <w:szCs w:val="21"/>
                    </w:rPr>
                    <w:t>序号</w:t>
                  </w:r>
                </w:p>
              </w:tc>
              <w:tc>
                <w:tcPr>
                  <w:tcW w:w="3301" w:type="dxa"/>
                  <w:vMerge w:val="restart"/>
                  <w:noWrap w:val="0"/>
                  <w:vAlign w:val="center"/>
                </w:tcPr>
                <w:p>
                  <w:pPr>
                    <w:adjustRightInd w:val="0"/>
                    <w:snapToGrid w:val="0"/>
                    <w:spacing w:line="240" w:lineRule="atLeast"/>
                    <w:ind w:firstLine="422"/>
                    <w:jc w:val="center"/>
                    <w:rPr>
                      <w:rFonts w:ascii="Times New Roman" w:hAnsi="Times New Roman" w:eastAsia="宋体"/>
                      <w:sz w:val="21"/>
                      <w:szCs w:val="21"/>
                    </w:rPr>
                  </w:pPr>
                  <w:r>
                    <w:rPr>
                      <w:rFonts w:ascii="Times New Roman" w:hAnsi="Times New Roman" w:eastAsia="宋体"/>
                      <w:sz w:val="21"/>
                      <w:szCs w:val="21"/>
                    </w:rPr>
                    <w:t>声源</w:t>
                  </w:r>
                </w:p>
              </w:tc>
              <w:tc>
                <w:tcPr>
                  <w:tcW w:w="2873" w:type="dxa"/>
                  <w:vMerge w:val="restart"/>
                  <w:noWrap w:val="0"/>
                  <w:vAlign w:val="center"/>
                </w:tcPr>
                <w:p>
                  <w:pPr>
                    <w:adjustRightInd w:val="0"/>
                    <w:snapToGrid w:val="0"/>
                    <w:spacing w:line="240" w:lineRule="atLeast"/>
                    <w:ind w:firstLine="422"/>
                    <w:jc w:val="center"/>
                    <w:rPr>
                      <w:rFonts w:hint="eastAsia" w:ascii="Times New Roman" w:hAnsi="Times New Roman" w:eastAsia="宋体"/>
                      <w:sz w:val="21"/>
                      <w:szCs w:val="21"/>
                      <w:lang w:eastAsia="zh-CN"/>
                    </w:rPr>
                  </w:pPr>
                  <w:r>
                    <w:rPr>
                      <w:rFonts w:ascii="Times New Roman" w:hAnsi="Times New Roman" w:eastAsia="宋体"/>
                      <w:sz w:val="21"/>
                      <w:szCs w:val="21"/>
                    </w:rPr>
                    <w:t>声源强度</w:t>
                  </w:r>
                  <w:r>
                    <w:rPr>
                      <w:rFonts w:hint="eastAsia" w:ascii="Times New Roman" w:hAnsi="Times New Roman"/>
                      <w:sz w:val="21"/>
                      <w:szCs w:val="21"/>
                      <w:lang w:eastAsia="zh-CN"/>
                    </w:rPr>
                    <w:t>〔</w:t>
                  </w:r>
                  <w:r>
                    <w:rPr>
                      <w:rFonts w:ascii="Times New Roman" w:hAnsi="Times New Roman" w:eastAsia="宋体"/>
                      <w:sz w:val="21"/>
                      <w:szCs w:val="21"/>
                    </w:rPr>
                    <w:t>dB(A)</w:t>
                  </w:r>
                  <w:r>
                    <w:rPr>
                      <w:rFonts w:hint="eastAsia" w:ascii="Times New Roman" w:hAnsi="Times New Roman"/>
                      <w:sz w:val="21"/>
                      <w:szCs w:val="21"/>
                      <w:lang w:eastAsia="zh-CN"/>
                    </w:rPr>
                    <w:t>〕</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312" w:hRule="atLeast"/>
                <w:jc w:val="center"/>
              </w:trPr>
              <w:tc>
                <w:tcPr>
                  <w:tcW w:w="1365" w:type="dxa"/>
                  <w:vMerge w:val="continue"/>
                  <w:noWrap w:val="0"/>
                  <w:vAlign w:val="center"/>
                </w:tcPr>
                <w:p>
                  <w:pPr>
                    <w:adjustRightInd w:val="0"/>
                    <w:snapToGrid w:val="0"/>
                    <w:ind w:firstLine="422"/>
                    <w:jc w:val="center"/>
                    <w:rPr>
                      <w:rFonts w:ascii="Times New Roman" w:hAnsi="Times New Roman" w:eastAsia="宋体"/>
                      <w:sz w:val="21"/>
                      <w:szCs w:val="21"/>
                    </w:rPr>
                  </w:pPr>
                </w:p>
              </w:tc>
              <w:tc>
                <w:tcPr>
                  <w:tcW w:w="3301" w:type="dxa"/>
                  <w:vMerge w:val="continue"/>
                  <w:noWrap w:val="0"/>
                  <w:vAlign w:val="center"/>
                </w:tcPr>
                <w:p>
                  <w:pPr>
                    <w:adjustRightInd w:val="0"/>
                    <w:snapToGrid w:val="0"/>
                    <w:ind w:firstLine="422"/>
                    <w:jc w:val="center"/>
                    <w:rPr>
                      <w:rFonts w:ascii="Times New Roman" w:hAnsi="Times New Roman" w:eastAsia="宋体"/>
                      <w:sz w:val="21"/>
                      <w:szCs w:val="21"/>
                    </w:rPr>
                  </w:pPr>
                </w:p>
              </w:tc>
              <w:tc>
                <w:tcPr>
                  <w:tcW w:w="2873" w:type="dxa"/>
                  <w:vMerge w:val="continue"/>
                  <w:noWrap w:val="0"/>
                  <w:vAlign w:val="center"/>
                </w:tcPr>
                <w:p>
                  <w:pPr>
                    <w:adjustRightInd w:val="0"/>
                    <w:snapToGrid w:val="0"/>
                    <w:ind w:firstLine="422"/>
                    <w:jc w:val="center"/>
                    <w:rPr>
                      <w:rFonts w:ascii="Times New Roman" w:hAnsi="Times New Roman" w:eastAsia="宋体"/>
                      <w:sz w:val="21"/>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71" w:hRule="atLeast"/>
                <w:jc w:val="center"/>
              </w:trPr>
              <w:tc>
                <w:tcPr>
                  <w:tcW w:w="1365" w:type="dxa"/>
                  <w:noWrap w:val="0"/>
                  <w:vAlign w:val="center"/>
                </w:tcPr>
                <w:p>
                  <w:pPr>
                    <w:adjustRightInd w:val="0"/>
                    <w:snapToGrid w:val="0"/>
                    <w:ind w:firstLine="422"/>
                    <w:jc w:val="center"/>
                    <w:rPr>
                      <w:rFonts w:ascii="Times New Roman" w:hAnsi="Times New Roman" w:eastAsia="宋体"/>
                      <w:sz w:val="21"/>
                      <w:szCs w:val="21"/>
                    </w:rPr>
                  </w:pPr>
                  <w:r>
                    <w:rPr>
                      <w:rFonts w:hint="eastAsia" w:ascii="Times New Roman" w:hAnsi="Times New Roman" w:eastAsia="宋体"/>
                      <w:sz w:val="21"/>
                      <w:szCs w:val="21"/>
                    </w:rPr>
                    <w:t>1</w:t>
                  </w:r>
                </w:p>
              </w:tc>
              <w:tc>
                <w:tcPr>
                  <w:tcW w:w="3301" w:type="dxa"/>
                  <w:noWrap w:val="0"/>
                  <w:vAlign w:val="center"/>
                </w:tcPr>
                <w:p>
                  <w:pPr>
                    <w:adjustRightInd w:val="0"/>
                    <w:snapToGrid w:val="0"/>
                    <w:ind w:firstLine="422"/>
                    <w:jc w:val="center"/>
                    <w:rPr>
                      <w:rFonts w:hint="eastAsia" w:ascii="Times New Roman" w:hAnsi="Times New Roman" w:eastAsia="宋体"/>
                      <w:sz w:val="21"/>
                      <w:szCs w:val="21"/>
                    </w:rPr>
                  </w:pPr>
                  <w:r>
                    <w:rPr>
                      <w:rFonts w:hint="eastAsia" w:ascii="Times New Roman" w:hAnsi="Times New Roman" w:eastAsia="宋体"/>
                      <w:sz w:val="21"/>
                      <w:szCs w:val="21"/>
                    </w:rPr>
                    <w:t>挖土机</w:t>
                  </w:r>
                  <w:r>
                    <w:rPr>
                      <w:rFonts w:ascii="Times New Roman" w:hAnsi="Times New Roman" w:eastAsia="宋体"/>
                      <w:sz w:val="21"/>
                      <w:szCs w:val="21"/>
                    </w:rPr>
                    <w:t>、装载机</w:t>
                  </w:r>
                </w:p>
              </w:tc>
              <w:tc>
                <w:tcPr>
                  <w:tcW w:w="2873" w:type="dxa"/>
                  <w:noWrap w:val="0"/>
                  <w:vAlign w:val="center"/>
                </w:tcPr>
                <w:p>
                  <w:pPr>
                    <w:adjustRightInd w:val="0"/>
                    <w:snapToGrid w:val="0"/>
                    <w:ind w:firstLine="422"/>
                    <w:jc w:val="center"/>
                    <w:rPr>
                      <w:rFonts w:ascii="Times New Roman" w:hAnsi="Times New Roman" w:eastAsia="宋体"/>
                      <w:sz w:val="21"/>
                      <w:szCs w:val="21"/>
                    </w:rPr>
                  </w:pPr>
                  <w:r>
                    <w:rPr>
                      <w:rFonts w:ascii="Times New Roman" w:hAnsi="Times New Roman" w:eastAsia="宋体"/>
                      <w:sz w:val="21"/>
                      <w:szCs w:val="21"/>
                    </w:rPr>
                    <w:t>78～96</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71" w:hRule="atLeast"/>
                <w:jc w:val="center"/>
              </w:trPr>
              <w:tc>
                <w:tcPr>
                  <w:tcW w:w="1365" w:type="dxa"/>
                  <w:noWrap w:val="0"/>
                  <w:vAlign w:val="center"/>
                </w:tcPr>
                <w:p>
                  <w:pPr>
                    <w:adjustRightInd w:val="0"/>
                    <w:snapToGrid w:val="0"/>
                    <w:ind w:firstLine="422"/>
                    <w:jc w:val="center"/>
                    <w:rPr>
                      <w:rFonts w:ascii="Times New Roman" w:hAnsi="Times New Roman" w:eastAsia="宋体"/>
                      <w:sz w:val="21"/>
                      <w:szCs w:val="21"/>
                    </w:rPr>
                  </w:pPr>
                  <w:r>
                    <w:rPr>
                      <w:rFonts w:hint="eastAsia" w:ascii="Times New Roman" w:hAnsi="Times New Roman" w:eastAsia="宋体"/>
                      <w:sz w:val="21"/>
                      <w:szCs w:val="21"/>
                    </w:rPr>
                    <w:t>2</w:t>
                  </w:r>
                </w:p>
              </w:tc>
              <w:tc>
                <w:tcPr>
                  <w:tcW w:w="3301" w:type="dxa"/>
                  <w:noWrap w:val="0"/>
                  <w:vAlign w:val="center"/>
                </w:tcPr>
                <w:p>
                  <w:pPr>
                    <w:adjustRightInd w:val="0"/>
                    <w:snapToGrid w:val="0"/>
                    <w:ind w:firstLine="422"/>
                    <w:jc w:val="center"/>
                    <w:rPr>
                      <w:rFonts w:ascii="Times New Roman" w:hAnsi="Times New Roman" w:eastAsia="宋体"/>
                      <w:sz w:val="21"/>
                      <w:szCs w:val="21"/>
                    </w:rPr>
                  </w:pPr>
                  <w:r>
                    <w:rPr>
                      <w:rFonts w:hint="eastAsia" w:ascii="Times New Roman" w:hAnsi="Times New Roman" w:eastAsia="宋体"/>
                      <w:sz w:val="21"/>
                      <w:szCs w:val="21"/>
                    </w:rPr>
                    <w:t>电锯</w:t>
                  </w:r>
                </w:p>
              </w:tc>
              <w:tc>
                <w:tcPr>
                  <w:tcW w:w="2873" w:type="dxa"/>
                  <w:noWrap w:val="0"/>
                  <w:vAlign w:val="center"/>
                </w:tcPr>
                <w:p>
                  <w:pPr>
                    <w:adjustRightInd w:val="0"/>
                    <w:snapToGrid w:val="0"/>
                    <w:ind w:firstLine="422"/>
                    <w:jc w:val="center"/>
                    <w:rPr>
                      <w:rFonts w:ascii="Times New Roman" w:hAnsi="Times New Roman" w:eastAsia="宋体"/>
                      <w:sz w:val="21"/>
                      <w:szCs w:val="21"/>
                    </w:rPr>
                  </w:pPr>
                  <w:r>
                    <w:rPr>
                      <w:rFonts w:hint="eastAsia" w:ascii="Times New Roman" w:hAnsi="Times New Roman" w:eastAsia="宋体"/>
                      <w:sz w:val="21"/>
                      <w:szCs w:val="21"/>
                    </w:rPr>
                    <w:t>100</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71" w:hRule="atLeast"/>
                <w:jc w:val="center"/>
              </w:trPr>
              <w:tc>
                <w:tcPr>
                  <w:tcW w:w="1365" w:type="dxa"/>
                  <w:noWrap w:val="0"/>
                  <w:vAlign w:val="center"/>
                </w:tcPr>
                <w:p>
                  <w:pPr>
                    <w:adjustRightInd w:val="0"/>
                    <w:snapToGrid w:val="0"/>
                    <w:ind w:firstLine="422"/>
                    <w:jc w:val="center"/>
                    <w:rPr>
                      <w:rFonts w:ascii="Times New Roman" w:hAnsi="Times New Roman" w:eastAsia="宋体"/>
                      <w:sz w:val="21"/>
                      <w:szCs w:val="21"/>
                    </w:rPr>
                  </w:pPr>
                  <w:r>
                    <w:rPr>
                      <w:rFonts w:hint="eastAsia" w:ascii="Times New Roman" w:hAnsi="Times New Roman" w:eastAsia="宋体"/>
                      <w:sz w:val="21"/>
                      <w:szCs w:val="21"/>
                    </w:rPr>
                    <w:t>3</w:t>
                  </w:r>
                </w:p>
              </w:tc>
              <w:tc>
                <w:tcPr>
                  <w:tcW w:w="3301" w:type="dxa"/>
                  <w:noWrap w:val="0"/>
                  <w:vAlign w:val="center"/>
                </w:tcPr>
                <w:p>
                  <w:pPr>
                    <w:adjustRightInd w:val="0"/>
                    <w:snapToGrid w:val="0"/>
                    <w:ind w:firstLine="422"/>
                    <w:jc w:val="center"/>
                    <w:rPr>
                      <w:rFonts w:hint="eastAsia" w:ascii="Times New Roman" w:hAnsi="Times New Roman" w:eastAsia="宋体"/>
                      <w:sz w:val="21"/>
                      <w:szCs w:val="21"/>
                    </w:rPr>
                  </w:pPr>
                  <w:r>
                    <w:rPr>
                      <w:rFonts w:hint="eastAsia" w:ascii="Times New Roman" w:hAnsi="Times New Roman" w:eastAsia="宋体"/>
                      <w:sz w:val="21"/>
                      <w:szCs w:val="21"/>
                    </w:rPr>
                    <w:t>轻型汽车</w:t>
                  </w:r>
                </w:p>
              </w:tc>
              <w:tc>
                <w:tcPr>
                  <w:tcW w:w="2873" w:type="dxa"/>
                  <w:noWrap w:val="0"/>
                  <w:vAlign w:val="center"/>
                </w:tcPr>
                <w:p>
                  <w:pPr>
                    <w:adjustRightInd w:val="0"/>
                    <w:snapToGrid w:val="0"/>
                    <w:ind w:firstLine="422"/>
                    <w:jc w:val="center"/>
                    <w:rPr>
                      <w:rFonts w:ascii="Times New Roman" w:hAnsi="Times New Roman" w:eastAsia="宋体"/>
                      <w:sz w:val="21"/>
                      <w:szCs w:val="21"/>
                    </w:rPr>
                  </w:pPr>
                  <w:r>
                    <w:rPr>
                      <w:rFonts w:hint="eastAsia" w:ascii="Times New Roman" w:hAnsi="Times New Roman" w:eastAsia="宋体"/>
                      <w:sz w:val="21"/>
                      <w:szCs w:val="21"/>
                    </w:rPr>
                    <w:t>79～85</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cantSplit/>
                <w:trHeight w:val="275" w:hRule="atLeast"/>
                <w:jc w:val="center"/>
              </w:trPr>
              <w:tc>
                <w:tcPr>
                  <w:tcW w:w="1365" w:type="dxa"/>
                  <w:noWrap w:val="0"/>
                  <w:vAlign w:val="center"/>
                </w:tcPr>
                <w:p>
                  <w:pPr>
                    <w:adjustRightInd w:val="0"/>
                    <w:snapToGrid w:val="0"/>
                    <w:ind w:firstLine="422"/>
                    <w:jc w:val="center"/>
                    <w:rPr>
                      <w:rFonts w:ascii="Times New Roman" w:hAnsi="Times New Roman" w:eastAsia="宋体"/>
                      <w:sz w:val="21"/>
                      <w:szCs w:val="21"/>
                    </w:rPr>
                  </w:pPr>
                  <w:r>
                    <w:rPr>
                      <w:rFonts w:hint="eastAsia" w:ascii="Times New Roman" w:hAnsi="Times New Roman" w:eastAsia="宋体"/>
                      <w:sz w:val="21"/>
                      <w:szCs w:val="21"/>
                    </w:rPr>
                    <w:t>4</w:t>
                  </w:r>
                </w:p>
              </w:tc>
              <w:tc>
                <w:tcPr>
                  <w:tcW w:w="3301" w:type="dxa"/>
                  <w:noWrap w:val="0"/>
                  <w:vAlign w:val="center"/>
                </w:tcPr>
                <w:p>
                  <w:pPr>
                    <w:adjustRightInd w:val="0"/>
                    <w:snapToGrid w:val="0"/>
                    <w:ind w:firstLine="422"/>
                    <w:jc w:val="center"/>
                    <w:rPr>
                      <w:rFonts w:hint="eastAsia" w:ascii="Times New Roman" w:hAnsi="Times New Roman" w:eastAsia="宋体"/>
                      <w:sz w:val="21"/>
                      <w:szCs w:val="21"/>
                    </w:rPr>
                  </w:pPr>
                  <w:r>
                    <w:rPr>
                      <w:rFonts w:hint="eastAsia" w:ascii="Times New Roman" w:hAnsi="Times New Roman" w:eastAsia="宋体"/>
                      <w:sz w:val="21"/>
                      <w:szCs w:val="21"/>
                    </w:rPr>
                    <w:t>电钻</w:t>
                  </w:r>
                  <w:r>
                    <w:rPr>
                      <w:rFonts w:ascii="Times New Roman" w:hAnsi="Times New Roman" w:eastAsia="宋体"/>
                      <w:sz w:val="21"/>
                      <w:szCs w:val="21"/>
                    </w:rPr>
                    <w:t>、手工钻</w:t>
                  </w:r>
                </w:p>
              </w:tc>
              <w:tc>
                <w:tcPr>
                  <w:tcW w:w="2873" w:type="dxa"/>
                  <w:noWrap w:val="0"/>
                  <w:vAlign w:val="center"/>
                </w:tcPr>
                <w:p>
                  <w:pPr>
                    <w:adjustRightInd w:val="0"/>
                    <w:snapToGrid w:val="0"/>
                    <w:ind w:firstLine="422"/>
                    <w:jc w:val="center"/>
                    <w:rPr>
                      <w:rFonts w:ascii="Times New Roman" w:hAnsi="Times New Roman" w:eastAsia="宋体"/>
                      <w:sz w:val="21"/>
                      <w:szCs w:val="21"/>
                    </w:rPr>
                  </w:pPr>
                  <w:r>
                    <w:rPr>
                      <w:rFonts w:hint="eastAsia" w:ascii="Times New Roman" w:hAnsi="Times New Roman" w:eastAsia="宋体"/>
                      <w:sz w:val="21"/>
                      <w:szCs w:val="21"/>
                    </w:rPr>
                    <w:t>100～105</w:t>
                  </w:r>
                </w:p>
              </w:tc>
            </w:tr>
          </w:tbl>
          <w:p>
            <w:pPr>
              <w:snapToGrid w:val="0"/>
              <w:spacing w:line="360" w:lineRule="auto"/>
              <w:jc w:val="center"/>
              <w:rPr>
                <w:rFonts w:hint="eastAsia" w:ascii="宋体" w:hAnsi="宋体" w:eastAsia="宋体" w:cs="宋体"/>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 4-2  交通</w:t>
            </w:r>
            <w:r>
              <w:rPr>
                <w:rFonts w:hint="eastAsia" w:ascii="宋体" w:hAnsi="宋体" w:eastAsia="宋体" w:cs="宋体"/>
                <w:b/>
                <w:bCs/>
                <w:color w:val="auto"/>
                <w:sz w:val="21"/>
                <w:szCs w:val="21"/>
                <w:highlight w:val="none"/>
                <w:lang w:val="en-US" w:eastAsia="zh-CN"/>
              </w:rPr>
              <w:t>运输噪音源强  单位</w:t>
            </w:r>
            <w:r>
              <w:rPr>
                <w:rFonts w:hint="eastAsia" w:cs="宋体"/>
                <w:b/>
                <w:bCs/>
                <w:color w:val="auto"/>
                <w:sz w:val="21"/>
                <w:szCs w:val="21"/>
                <w:highlight w:val="none"/>
                <w:lang w:eastAsia="zh-CN"/>
              </w:rPr>
              <w:t>〔</w:t>
            </w:r>
            <w:r>
              <w:rPr>
                <w:rFonts w:hint="eastAsia" w:ascii="宋体" w:hAnsi="宋体" w:eastAsia="宋体" w:cs="宋体"/>
                <w:b/>
                <w:bCs/>
                <w:color w:val="auto"/>
                <w:sz w:val="21"/>
                <w:szCs w:val="21"/>
                <w:highlight w:val="none"/>
              </w:rPr>
              <w:t>dB(A)</w:t>
            </w:r>
            <w:r>
              <w:rPr>
                <w:rFonts w:hint="eastAsia" w:cs="宋体"/>
                <w:b/>
                <w:bCs/>
                <w:color w:val="auto"/>
                <w:sz w:val="21"/>
                <w:szCs w:val="21"/>
                <w:highlight w:val="none"/>
                <w:lang w:eastAsia="zh-CN"/>
              </w:rPr>
              <w:t>〕</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9"/>
              <w:gridCol w:w="2559"/>
              <w:gridCol w:w="2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2559" w:type="dxa"/>
                </w:tcPr>
                <w:p>
                  <w:pPr>
                    <w:adjustRightInd w:val="0"/>
                    <w:snapToGrid w:val="0"/>
                    <w:ind w:firstLine="422"/>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施工阶段</w:t>
                  </w:r>
                </w:p>
              </w:tc>
              <w:tc>
                <w:tcPr>
                  <w:tcW w:w="2559" w:type="dxa"/>
                </w:tcPr>
                <w:p>
                  <w:pPr>
                    <w:adjustRightInd w:val="0"/>
                    <w:snapToGrid w:val="0"/>
                    <w:ind w:firstLine="422"/>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土方阶段</w:t>
                  </w:r>
                </w:p>
              </w:tc>
              <w:tc>
                <w:tcPr>
                  <w:tcW w:w="2560" w:type="dxa"/>
                </w:tcPr>
                <w:p>
                  <w:pPr>
                    <w:adjustRightInd w:val="0"/>
                    <w:snapToGrid w:val="0"/>
                    <w:ind w:firstLine="422"/>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结构阶段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2559" w:type="dxa"/>
                </w:tcPr>
                <w:p>
                  <w:pPr>
                    <w:adjustRightInd w:val="0"/>
                    <w:snapToGrid w:val="0"/>
                    <w:ind w:firstLine="422"/>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车辆类型</w:t>
                  </w:r>
                </w:p>
              </w:tc>
              <w:tc>
                <w:tcPr>
                  <w:tcW w:w="2559" w:type="dxa"/>
                </w:tcPr>
                <w:p>
                  <w:pPr>
                    <w:adjustRightInd w:val="0"/>
                    <w:snapToGrid w:val="0"/>
                    <w:ind w:firstLine="422"/>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大型载重车</w:t>
                  </w:r>
                </w:p>
              </w:tc>
              <w:tc>
                <w:tcPr>
                  <w:tcW w:w="2560" w:type="dxa"/>
                </w:tcPr>
                <w:p>
                  <w:pPr>
                    <w:adjustRightInd w:val="0"/>
                    <w:snapToGrid w:val="0"/>
                    <w:ind w:firstLine="422"/>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混凝土罐车、载重车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59" w:type="dxa"/>
                </w:tcPr>
                <w:p>
                  <w:pPr>
                    <w:adjustRightInd w:val="0"/>
                    <w:snapToGrid w:val="0"/>
                    <w:ind w:firstLine="422"/>
                    <w:jc w:val="center"/>
                    <w:rPr>
                      <w:rFonts w:hint="eastAsia" w:ascii="Times New Roman" w:hAnsi="Times New Roman" w:eastAsia="宋体"/>
                      <w:sz w:val="21"/>
                      <w:szCs w:val="21"/>
                      <w:lang w:val="en-US" w:eastAsia="zh-CN"/>
                    </w:rPr>
                  </w:pPr>
                  <w:r>
                    <w:rPr>
                      <w:rFonts w:hint="eastAsia" w:ascii="Times New Roman" w:hAnsi="Times New Roman" w:eastAsia="宋体"/>
                      <w:sz w:val="21"/>
                      <w:szCs w:val="21"/>
                      <w:lang w:val="en-US" w:eastAsia="zh-CN"/>
                    </w:rPr>
                    <w:t>噪音</w:t>
                  </w:r>
                  <w:r>
                    <w:rPr>
                      <w:rFonts w:hint="eastAsia" w:ascii="Times New Roman" w:hAnsi="Times New Roman" w:eastAsia="宋体"/>
                      <w:sz w:val="21"/>
                      <w:szCs w:val="21"/>
                    </w:rPr>
                    <w:t>dB(A)</w:t>
                  </w:r>
                </w:p>
              </w:tc>
              <w:tc>
                <w:tcPr>
                  <w:tcW w:w="2559" w:type="dxa"/>
                </w:tcPr>
                <w:p>
                  <w:pPr>
                    <w:adjustRightInd w:val="0"/>
                    <w:snapToGrid w:val="0"/>
                    <w:ind w:firstLine="422"/>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90</w:t>
                  </w:r>
                </w:p>
              </w:tc>
              <w:tc>
                <w:tcPr>
                  <w:tcW w:w="2560" w:type="dxa"/>
                </w:tcPr>
                <w:p>
                  <w:pPr>
                    <w:adjustRightInd w:val="0"/>
                    <w:snapToGrid w:val="0"/>
                    <w:ind w:firstLine="422"/>
                    <w:jc w:val="center"/>
                    <w:rPr>
                      <w:rFonts w:hint="default" w:ascii="Times New Roman" w:hAnsi="Times New Roman" w:eastAsia="宋体"/>
                      <w:sz w:val="21"/>
                      <w:szCs w:val="21"/>
                      <w:lang w:val="en-US" w:eastAsia="zh-CN"/>
                    </w:rPr>
                  </w:pPr>
                  <w:r>
                    <w:rPr>
                      <w:rFonts w:hint="eastAsia" w:ascii="Times New Roman" w:hAnsi="Times New Roman" w:eastAsia="宋体"/>
                      <w:sz w:val="21"/>
                      <w:szCs w:val="21"/>
                      <w:lang w:val="en-US" w:eastAsia="zh-CN"/>
                    </w:rPr>
                    <w:t>80-85</w:t>
                  </w:r>
                </w:p>
              </w:tc>
            </w:tr>
          </w:tbl>
          <w:p>
            <w:pPr>
              <w:spacing w:line="360" w:lineRule="auto"/>
              <w:ind w:firstLine="480" w:firstLineChars="200"/>
              <w:jc w:val="left"/>
              <w:rPr>
                <w:sz w:val="24"/>
              </w:rPr>
            </w:pPr>
            <w:r>
              <w:rPr>
                <w:rFonts w:hint="default" w:ascii="Times New Roman" w:hAnsi="Times New Roman" w:cs="Times New Roman"/>
                <w:sz w:val="24"/>
              </w:rPr>
              <w:t>（2）治理措</w:t>
            </w:r>
            <w:r>
              <w:rPr>
                <w:sz w:val="24"/>
              </w:rPr>
              <w:t>施</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建设单位已加强对运输过程粉尘量的控制，对运输道路路线进行硬化，同时加大对地面的清扫频率，保持地面清洁，并定期对场地进行洒水降尘；降低车辆的行驶速度，以进一步降低路面扬尘的产生量。</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环评建议：加强地面清扫，增加洒水频次，限制车速等措施，实现达标排放。</w:t>
            </w:r>
          </w:p>
          <w:p>
            <w:pPr>
              <w:spacing w:line="360" w:lineRule="auto"/>
              <w:ind w:firstLine="482" w:firstLineChars="200"/>
              <w:jc w:val="left"/>
              <w:rPr>
                <w:sz w:val="24"/>
              </w:rPr>
            </w:pPr>
            <w:r>
              <w:rPr>
                <w:b/>
                <w:sz w:val="24"/>
              </w:rPr>
              <w:t>4、施工期固体废弃物排放及治理措施</w:t>
            </w:r>
          </w:p>
          <w:p>
            <w:pPr>
              <w:pStyle w:val="27"/>
              <w:jc w:val="left"/>
            </w:pPr>
            <w:r>
              <w:t>施工期固体废物主要包括开挖弃土、建筑垃圾、装修垃圾和施工人员生活垃圾。</w:t>
            </w:r>
          </w:p>
          <w:p>
            <w:pPr>
              <w:tabs>
                <w:tab w:val="left" w:pos="7992"/>
              </w:tabs>
              <w:spacing w:line="360" w:lineRule="auto"/>
              <w:ind w:firstLine="482" w:firstLineChars="200"/>
              <w:jc w:val="left"/>
              <w:rPr>
                <w:sz w:val="24"/>
              </w:rPr>
            </w:pPr>
            <w:r>
              <w:rPr>
                <w:b/>
                <w:sz w:val="24"/>
              </w:rPr>
              <w:t>弃土</w:t>
            </w:r>
            <w:r>
              <w:rPr>
                <w:sz w:val="24"/>
              </w:rPr>
              <w:t>：</w:t>
            </w:r>
            <w:r>
              <w:rPr>
                <w:rFonts w:hint="eastAsia"/>
                <w:sz w:val="24"/>
              </w:rPr>
              <w:t>项目</w:t>
            </w:r>
            <w:r>
              <w:rPr>
                <w:sz w:val="24"/>
              </w:rPr>
              <w:t>利用原</w:t>
            </w:r>
            <w:r>
              <w:rPr>
                <w:rFonts w:hint="eastAsia"/>
                <w:sz w:val="24"/>
              </w:rPr>
              <w:t>工程建设用地</w:t>
            </w:r>
            <w:r>
              <w:rPr>
                <w:sz w:val="24"/>
              </w:rPr>
              <w:t>进行再生产，施工开挖</w:t>
            </w:r>
            <w:r>
              <w:rPr>
                <w:rFonts w:hint="eastAsia"/>
                <w:sz w:val="24"/>
              </w:rPr>
              <w:t>工程量</w:t>
            </w:r>
            <w:r>
              <w:rPr>
                <w:sz w:val="24"/>
              </w:rPr>
              <w:t>相对较小，产生的</w:t>
            </w:r>
            <w:r>
              <w:rPr>
                <w:rFonts w:hint="eastAsia"/>
                <w:sz w:val="24"/>
              </w:rPr>
              <w:t>弃土</w:t>
            </w:r>
            <w:r>
              <w:rPr>
                <w:sz w:val="24"/>
              </w:rPr>
              <w:t>较少，全部用于项目基础回填，不外运。</w:t>
            </w:r>
          </w:p>
          <w:p>
            <w:pPr>
              <w:tabs>
                <w:tab w:val="left" w:pos="7992"/>
              </w:tabs>
              <w:spacing w:line="360" w:lineRule="auto"/>
              <w:ind w:firstLine="482" w:firstLineChars="200"/>
              <w:jc w:val="left"/>
              <w:rPr>
                <w:b/>
                <w:sz w:val="24"/>
              </w:rPr>
            </w:pPr>
            <w:r>
              <w:rPr>
                <w:b/>
                <w:sz w:val="24"/>
              </w:rPr>
              <w:t>建筑垃圾：</w:t>
            </w:r>
            <w:r>
              <w:rPr>
                <w:sz w:val="24"/>
              </w:rPr>
              <w:t>项目施工期将产生废弃建筑材料（包括砼砌块、废钢筋、绑扎丝、砖块、废管材）和废包装材料。根据工程内容及统计资料</w:t>
            </w:r>
            <w:r>
              <w:rPr>
                <w:sz w:val="24"/>
                <w:highlight w:val="none"/>
              </w:rPr>
              <w:t>，</w:t>
            </w:r>
            <w:r>
              <w:rPr>
                <w:rFonts w:hint="eastAsia"/>
                <w:sz w:val="24"/>
                <w:highlight w:val="none"/>
              </w:rPr>
              <w:t>经类比</w:t>
            </w:r>
            <w:r>
              <w:rPr>
                <w:sz w:val="24"/>
                <w:highlight w:val="none"/>
              </w:rPr>
              <w:t>，工程施工将产生的施工废料约为0.5t。对施工期产生的废弃建筑</w:t>
            </w:r>
            <w:r>
              <w:rPr>
                <w:sz w:val="24"/>
              </w:rPr>
              <w:t>材料和废包装材料加强收集和管理，将建筑垃圾和能回收的废材料、废包装袋分别收集堆放，废材料、废包装袋及时出售给废品回收公司处理；对不能回收的建筑垃圾，如混凝土废料、含砖、石、砂的杂土等应集中堆放，定时清运到指定地点，严禁随意倾倒、填埋，造成二次污染。运输时应选择对城市环境影响最小的运输路线，用运输车集中运输。</w:t>
            </w:r>
          </w:p>
          <w:p>
            <w:pPr>
              <w:spacing w:line="360" w:lineRule="auto"/>
              <w:ind w:firstLine="482" w:firstLineChars="200"/>
              <w:jc w:val="left"/>
              <w:rPr>
                <w:rFonts w:hint="eastAsia" w:ascii="宋体" w:hAnsi="宋体" w:eastAsia="宋体" w:cs="宋体"/>
                <w:sz w:val="24"/>
                <w:highlight w:val="yellow"/>
              </w:rPr>
            </w:pPr>
            <w:r>
              <w:rPr>
                <w:b/>
                <w:sz w:val="24"/>
              </w:rPr>
              <w:t>生活垃圾：</w:t>
            </w:r>
            <w:r>
              <w:rPr>
                <w:rFonts w:hint="eastAsia" w:ascii="Times New Roman" w:hAnsi="Times New Roman" w:eastAsia="宋体" w:cs="宋体"/>
                <w:sz w:val="24"/>
                <w:highlight w:val="none"/>
              </w:rPr>
              <w:t>施工期高峰期施工人员约1</w:t>
            </w:r>
            <w:r>
              <w:rPr>
                <w:rFonts w:hint="eastAsia" w:ascii="Times New Roman" w:hAnsi="Times New Roman" w:cs="宋体"/>
                <w:sz w:val="24"/>
                <w:highlight w:val="none"/>
                <w:lang w:val="en-US" w:eastAsia="zh-CN"/>
              </w:rPr>
              <w:t>0</w:t>
            </w:r>
            <w:r>
              <w:rPr>
                <w:rFonts w:hint="eastAsia" w:ascii="Times New Roman" w:hAnsi="Times New Roman" w:eastAsia="宋体" w:cs="宋体"/>
                <w:sz w:val="24"/>
                <w:highlight w:val="none"/>
              </w:rPr>
              <w:t>人，生活垃圾按0.5kg/d.人计，产生量为</w:t>
            </w:r>
            <w:r>
              <w:rPr>
                <w:rFonts w:hint="eastAsia" w:ascii="Times New Roman" w:hAnsi="Times New Roman" w:cs="宋体"/>
                <w:sz w:val="24"/>
                <w:highlight w:val="none"/>
                <w:lang w:val="en-US" w:eastAsia="zh-CN"/>
              </w:rPr>
              <w:t>5</w:t>
            </w:r>
            <w:r>
              <w:rPr>
                <w:rFonts w:hint="eastAsia" w:ascii="Times New Roman" w:hAnsi="Times New Roman" w:eastAsia="宋体" w:cs="宋体"/>
                <w:sz w:val="24"/>
                <w:highlight w:val="none"/>
              </w:rPr>
              <w:t>kg/d。施工人员每日产生的生活垃圾应经过袋装收集后，由环卫部门统一收集处理，不可就地填埋，以避免对居住区环境空气和水环境质量构成潜在的影响因素。</w:t>
            </w:r>
          </w:p>
          <w:p>
            <w:pPr>
              <w:spacing w:line="360" w:lineRule="auto"/>
              <w:ind w:firstLine="482" w:firstLineChars="200"/>
              <w:jc w:val="left"/>
              <w:rPr>
                <w:b/>
                <w:sz w:val="24"/>
              </w:rPr>
            </w:pPr>
            <w:r>
              <w:rPr>
                <w:b/>
                <w:sz w:val="24"/>
              </w:rPr>
              <w:t>5、</w:t>
            </w:r>
            <w:r>
              <w:rPr>
                <w:rFonts w:hint="eastAsia"/>
                <w:b/>
                <w:sz w:val="24"/>
              </w:rPr>
              <w:t>生态环境</w:t>
            </w:r>
          </w:p>
          <w:p>
            <w:pPr>
              <w:spacing w:line="360" w:lineRule="auto"/>
              <w:ind w:firstLine="480" w:firstLineChars="200"/>
              <w:jc w:val="left"/>
              <w:rPr>
                <w:sz w:val="24"/>
              </w:rPr>
            </w:pPr>
            <w:r>
              <w:rPr>
                <w:rFonts w:hint="eastAsia"/>
                <w:sz w:val="24"/>
              </w:rPr>
              <w:t>本项目</w:t>
            </w:r>
            <w:r>
              <w:rPr>
                <w:sz w:val="24"/>
              </w:rPr>
              <w:t>的建设对生态环境</w:t>
            </w:r>
            <w:r>
              <w:rPr>
                <w:rFonts w:hint="eastAsia"/>
                <w:sz w:val="24"/>
              </w:rPr>
              <w:t>的</w:t>
            </w:r>
            <w:r>
              <w:rPr>
                <w:sz w:val="24"/>
              </w:rPr>
              <w:t>影响主要表现为</w:t>
            </w:r>
            <w:r>
              <w:rPr>
                <w:rFonts w:hint="eastAsia"/>
                <w:sz w:val="24"/>
              </w:rPr>
              <w:t>施工期</w:t>
            </w:r>
            <w:r>
              <w:rPr>
                <w:sz w:val="24"/>
              </w:rPr>
              <w:t>土地开挖，渣土堆放等引发的</w:t>
            </w:r>
            <w:r>
              <w:rPr>
                <w:rFonts w:hint="eastAsia"/>
                <w:sz w:val="24"/>
              </w:rPr>
              <w:t>水土流失现象</w:t>
            </w:r>
            <w:r>
              <w:rPr>
                <w:sz w:val="24"/>
              </w:rPr>
              <w:t>。由于</w:t>
            </w:r>
            <w:r>
              <w:rPr>
                <w:rFonts w:hint="eastAsia"/>
                <w:sz w:val="24"/>
              </w:rPr>
              <w:t>地面</w:t>
            </w:r>
            <w:r>
              <w:rPr>
                <w:sz w:val="24"/>
              </w:rPr>
              <w:t>没有大量松散土长久存在，加上地面较为平缓，不会产生明显</w:t>
            </w:r>
            <w:r>
              <w:rPr>
                <w:rFonts w:hint="eastAsia"/>
                <w:sz w:val="24"/>
              </w:rPr>
              <w:t>土壤侵蚀</w:t>
            </w:r>
            <w:r>
              <w:rPr>
                <w:sz w:val="24"/>
              </w:rPr>
              <w:t>流失，因而水土流失相对较轻；且项目施工期较短，水土流失时间短，可</w:t>
            </w:r>
            <w:r>
              <w:rPr>
                <w:rFonts w:hint="eastAsia"/>
                <w:sz w:val="24"/>
              </w:rPr>
              <w:t>使</w:t>
            </w:r>
            <w:r>
              <w:rPr>
                <w:sz w:val="24"/>
              </w:rPr>
              <w:t>土壤迅速恢复到正常状态。</w:t>
            </w:r>
          </w:p>
          <w:p>
            <w:pPr>
              <w:pStyle w:val="17"/>
              <w:ind w:firstLine="480"/>
              <w:rPr>
                <w:rFonts w:hint="eastAsia"/>
              </w:rPr>
            </w:pPr>
            <w:r>
              <w:rPr>
                <w:rFonts w:hint="eastAsia"/>
              </w:rPr>
              <w:t>为减小</w:t>
            </w:r>
            <w:r>
              <w:t>施工期</w:t>
            </w:r>
            <w:r>
              <w:rPr>
                <w:rFonts w:hint="eastAsia"/>
              </w:rPr>
              <w:t>水土流失</w:t>
            </w:r>
            <w:r>
              <w:t>，评价提出</w:t>
            </w:r>
            <w:r>
              <w:rPr>
                <w:rFonts w:hint="eastAsia"/>
              </w:rPr>
              <w:t>如下</w:t>
            </w:r>
            <w:r>
              <w:t>几点要求：</w:t>
            </w:r>
          </w:p>
          <w:p>
            <w:pPr>
              <w:spacing w:line="360" w:lineRule="auto"/>
              <w:ind w:firstLine="480" w:firstLineChars="200"/>
              <w:jc w:val="left"/>
              <w:rPr>
                <w:rFonts w:hint="eastAsia"/>
                <w:sz w:val="24"/>
              </w:rPr>
            </w:pPr>
            <w:r>
              <w:rPr>
                <w:rFonts w:hint="eastAsia" w:ascii="宋体" w:hAnsi="宋体" w:cs="宋体"/>
                <w:sz w:val="24"/>
              </w:rPr>
              <w:t>①工地周围</w:t>
            </w:r>
            <w:r>
              <w:rPr>
                <w:rFonts w:ascii="宋体" w:hAnsi="宋体" w:cs="宋体"/>
                <w:sz w:val="24"/>
              </w:rPr>
              <w:t>应设围栏，对开挖裸露面等要及时</w:t>
            </w:r>
            <w:r>
              <w:rPr>
                <w:rFonts w:hint="eastAsia" w:ascii="宋体" w:hAnsi="宋体" w:cs="宋体"/>
                <w:sz w:val="24"/>
              </w:rPr>
              <w:t>进行植被恢复</w:t>
            </w:r>
            <w:r>
              <w:rPr>
                <w:rFonts w:ascii="宋体" w:hAnsi="宋体" w:cs="宋体"/>
                <w:sz w:val="24"/>
              </w:rPr>
              <w:t>，临时堆放场要设置围墙，做好防护工作，以减少水土流失；</w:t>
            </w:r>
          </w:p>
          <w:p>
            <w:pPr>
              <w:spacing w:line="360" w:lineRule="auto"/>
              <w:ind w:firstLine="480" w:firstLineChars="200"/>
              <w:jc w:val="left"/>
              <w:rPr>
                <w:rFonts w:ascii="宋体" w:hAnsi="宋体" w:cs="宋体"/>
                <w:sz w:val="24"/>
              </w:rPr>
            </w:pPr>
            <w:r>
              <w:rPr>
                <w:rFonts w:hint="eastAsia" w:ascii="宋体" w:hAnsi="宋体" w:cs="宋体"/>
                <w:sz w:val="24"/>
              </w:rPr>
              <w:t>②雨季施工时</w:t>
            </w:r>
            <w:r>
              <w:rPr>
                <w:rFonts w:ascii="宋体" w:hAnsi="宋体" w:cs="宋体"/>
                <w:sz w:val="24"/>
              </w:rPr>
              <w:t>，应备有工程帆布覆盖，防止汛期造成水土大量流失，平时尽量保持表面平整，减少雨水冲刷，保持排水系统通畅；</w:t>
            </w:r>
          </w:p>
          <w:p>
            <w:pPr>
              <w:spacing w:line="360" w:lineRule="auto"/>
              <w:ind w:firstLine="480" w:firstLineChars="200"/>
              <w:jc w:val="left"/>
              <w:rPr>
                <w:rFonts w:hint="eastAsia"/>
                <w:sz w:val="24"/>
              </w:rPr>
            </w:pPr>
            <w:r>
              <w:rPr>
                <w:rFonts w:hint="eastAsia" w:ascii="宋体" w:hAnsi="宋体" w:cs="宋体"/>
                <w:sz w:val="24"/>
              </w:rPr>
              <w:t>③施工时</w:t>
            </w:r>
            <w:r>
              <w:rPr>
                <w:rFonts w:ascii="宋体" w:hAnsi="宋体" w:cs="宋体"/>
                <w:sz w:val="24"/>
              </w:rPr>
              <w:t>施工机械和施工人员按照</w:t>
            </w:r>
            <w:r>
              <w:rPr>
                <w:rFonts w:hint="eastAsia" w:ascii="宋体" w:hAnsi="宋体" w:cs="宋体"/>
                <w:sz w:val="24"/>
              </w:rPr>
              <w:t>规划</w:t>
            </w:r>
            <w:r>
              <w:rPr>
                <w:rFonts w:ascii="宋体" w:hAnsi="宋体" w:cs="宋体"/>
                <w:sz w:val="24"/>
              </w:rPr>
              <w:t>的施工平面布置进行操作</w:t>
            </w:r>
            <w:r>
              <w:rPr>
                <w:rFonts w:hint="eastAsia"/>
                <w:sz w:val="24"/>
              </w:rPr>
              <w:t>；</w:t>
            </w:r>
          </w:p>
          <w:p>
            <w:pPr>
              <w:spacing w:line="360" w:lineRule="auto"/>
              <w:ind w:firstLine="480" w:firstLineChars="200"/>
              <w:jc w:val="left"/>
              <w:rPr>
                <w:sz w:val="24"/>
              </w:rPr>
            </w:pPr>
            <w:r>
              <w:rPr>
                <w:rFonts w:hint="eastAsia" w:ascii="宋体" w:hAnsi="宋体" w:cs="宋体"/>
                <w:sz w:val="24"/>
                <w:lang w:eastAsia="ja-JP"/>
              </w:rPr>
              <w:t>④</w:t>
            </w:r>
            <w:r>
              <w:rPr>
                <w:sz w:val="24"/>
              </w:rPr>
              <w:t>施工结束后及时进行植被恢复</w:t>
            </w:r>
            <w:r>
              <w:rPr>
                <w:rFonts w:hint="eastAsia"/>
                <w:sz w:val="24"/>
              </w:rPr>
              <w:t>。</w:t>
            </w:r>
          </w:p>
          <w:p>
            <w:pPr>
              <w:pStyle w:val="3"/>
              <w:ind w:firstLine="480"/>
              <w:rPr>
                <w:rFonts w:hint="eastAsia"/>
                <w:szCs w:val="24"/>
              </w:rPr>
            </w:pPr>
            <w:r>
              <w:rPr>
                <w:rFonts w:hint="eastAsia"/>
                <w:szCs w:val="24"/>
              </w:rPr>
              <w:t>施工期间局部生态环境</w:t>
            </w:r>
            <w:r>
              <w:rPr>
                <w:szCs w:val="24"/>
              </w:rPr>
              <w:t>破坏、水土流失均属少量、局部、暂时、可逆转的生态影响，只要在施工中采用以上生态保护措施，项目施工建设对生态环境</w:t>
            </w:r>
            <w:r>
              <w:rPr>
                <w:rFonts w:hint="eastAsia"/>
                <w:szCs w:val="24"/>
              </w:rPr>
              <w:t>影响很小</w:t>
            </w:r>
            <w:r>
              <w:rPr>
                <w:szCs w:val="24"/>
              </w:rPr>
              <w:t>。</w:t>
            </w:r>
          </w:p>
          <w:p>
            <w:pPr>
              <w:pStyle w:val="15"/>
              <w:rPr>
                <w:rFonts w:ascii="黑体"/>
                <w:sz w:val="20"/>
              </w:rPr>
            </w:pPr>
          </w:p>
          <w:p>
            <w:pPr>
              <w:pStyle w:val="15"/>
              <w:rPr>
                <w:rFonts w:ascii="黑体"/>
                <w:sz w:val="20"/>
              </w:rPr>
            </w:pPr>
          </w:p>
          <w:p>
            <w:pPr>
              <w:pStyle w:val="15"/>
              <w:rPr>
                <w:rFonts w:ascii="黑体"/>
                <w:sz w:val="20"/>
              </w:rPr>
            </w:pPr>
          </w:p>
          <w:p>
            <w:pPr>
              <w:pStyle w:val="15"/>
              <w:rPr>
                <w:rFonts w:ascii="黑体"/>
                <w:sz w:val="20"/>
              </w:rPr>
            </w:pPr>
          </w:p>
          <w:p>
            <w:pPr>
              <w:pStyle w:val="15"/>
              <w:rPr>
                <w:rFonts w:ascii="黑体"/>
                <w:sz w:val="20"/>
              </w:rPr>
            </w:pPr>
          </w:p>
          <w:p>
            <w:pPr>
              <w:pStyle w:val="15"/>
              <w:rPr>
                <w:rFonts w:ascii="黑体"/>
                <w:sz w:val="20"/>
              </w:rPr>
            </w:pPr>
          </w:p>
          <w:p>
            <w:pPr>
              <w:pStyle w:val="15"/>
              <w:rPr>
                <w:rFonts w:ascii="黑体"/>
                <w:sz w:val="20"/>
              </w:rPr>
            </w:pPr>
          </w:p>
          <w:p>
            <w:pPr>
              <w:pStyle w:val="15"/>
              <w:spacing w:before="11"/>
              <w:rPr>
                <w:rFonts w:ascii="黑体"/>
                <w:sz w:val="14"/>
              </w:rPr>
            </w:pPr>
          </w:p>
          <w:p>
            <w:pPr>
              <w:pStyle w:val="15"/>
              <w:ind w:left="110"/>
              <w:rPr>
                <w:sz w:val="21"/>
              </w:rPr>
            </w:pPr>
            <w:r>
              <w:rPr>
                <w:w w:val="100"/>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811" w:hRule="atLeast"/>
        </w:trPr>
        <w:tc>
          <w:tcPr>
            <w:tcW w:w="746" w:type="dxa"/>
            <w:tcBorders>
              <w:top w:val="single" w:color="000000" w:sz="4" w:space="0"/>
              <w:right w:val="single" w:color="000000" w:sz="4" w:space="0"/>
            </w:tcBorders>
          </w:tcPr>
          <w:p>
            <w:pPr>
              <w:pStyle w:val="15"/>
              <w:rPr>
                <w:rFonts w:ascii="黑体"/>
                <w:sz w:val="20"/>
              </w:rPr>
            </w:pPr>
          </w:p>
          <w:p>
            <w:pPr>
              <w:pStyle w:val="15"/>
              <w:rPr>
                <w:rFonts w:ascii="黑体"/>
                <w:sz w:val="20"/>
              </w:rPr>
            </w:pPr>
          </w:p>
          <w:p>
            <w:pPr>
              <w:pStyle w:val="15"/>
              <w:rPr>
                <w:rFonts w:ascii="黑体"/>
                <w:sz w:val="20"/>
              </w:rPr>
            </w:pPr>
          </w:p>
          <w:p>
            <w:pPr>
              <w:pStyle w:val="15"/>
              <w:rPr>
                <w:rFonts w:ascii="黑体"/>
                <w:sz w:val="20"/>
              </w:rPr>
            </w:pPr>
          </w:p>
          <w:p>
            <w:pPr>
              <w:pStyle w:val="15"/>
              <w:rPr>
                <w:rFonts w:ascii="黑体"/>
                <w:sz w:val="20"/>
              </w:rPr>
            </w:pPr>
          </w:p>
          <w:p>
            <w:pPr>
              <w:pStyle w:val="15"/>
              <w:rPr>
                <w:rFonts w:ascii="黑体"/>
                <w:sz w:val="20"/>
              </w:rPr>
            </w:pPr>
          </w:p>
          <w:p>
            <w:pPr>
              <w:pStyle w:val="15"/>
              <w:rPr>
                <w:rFonts w:ascii="黑体"/>
                <w:sz w:val="20"/>
              </w:rPr>
            </w:pPr>
          </w:p>
          <w:p>
            <w:pPr>
              <w:pStyle w:val="15"/>
              <w:rPr>
                <w:rFonts w:ascii="黑体"/>
                <w:sz w:val="20"/>
              </w:rPr>
            </w:pPr>
          </w:p>
          <w:p>
            <w:pPr>
              <w:pStyle w:val="15"/>
              <w:rPr>
                <w:rFonts w:ascii="黑体"/>
                <w:sz w:val="20"/>
              </w:rPr>
            </w:pPr>
          </w:p>
          <w:p>
            <w:pPr>
              <w:pStyle w:val="15"/>
              <w:spacing w:before="2"/>
              <w:rPr>
                <w:rFonts w:ascii="黑体"/>
                <w:sz w:val="22"/>
              </w:rPr>
            </w:pPr>
          </w:p>
          <w:p>
            <w:pPr>
              <w:pStyle w:val="15"/>
              <w:spacing w:before="1" w:line="242" w:lineRule="auto"/>
              <w:ind w:left="160" w:right="43"/>
              <w:jc w:val="both"/>
              <w:rPr>
                <w:rFonts w:ascii="Times New Roman" w:hAnsi="Times New Roman" w:eastAsia="宋体" w:cs="宋体"/>
                <w:sz w:val="24"/>
                <w:szCs w:val="28"/>
                <w:lang w:val="zh-CN" w:eastAsia="zh-CN" w:bidi="zh-CN"/>
              </w:rPr>
            </w:pPr>
            <w:r>
              <w:rPr>
                <w:rFonts w:ascii="Times New Roman" w:hAnsi="Times New Roman" w:eastAsia="宋体" w:cs="宋体"/>
                <w:sz w:val="24"/>
                <w:szCs w:val="28"/>
                <w:lang w:val="zh-CN" w:eastAsia="zh-CN" w:bidi="zh-CN"/>
              </w:rPr>
              <w:t>运</w:t>
            </w:r>
          </w:p>
          <w:p>
            <w:pPr>
              <w:pStyle w:val="15"/>
              <w:spacing w:before="1" w:line="242" w:lineRule="auto"/>
              <w:ind w:left="160" w:right="43"/>
              <w:jc w:val="both"/>
              <w:rPr>
                <w:rFonts w:ascii="Times New Roman" w:hAnsi="Times New Roman" w:eastAsia="宋体" w:cs="宋体"/>
                <w:sz w:val="24"/>
                <w:szCs w:val="28"/>
                <w:lang w:val="zh-CN" w:eastAsia="zh-CN" w:bidi="zh-CN"/>
              </w:rPr>
            </w:pPr>
            <w:r>
              <w:rPr>
                <w:rFonts w:ascii="Times New Roman" w:hAnsi="Times New Roman" w:eastAsia="宋体" w:cs="宋体"/>
                <w:sz w:val="24"/>
                <w:szCs w:val="28"/>
                <w:lang w:val="zh-CN" w:eastAsia="zh-CN" w:bidi="zh-CN"/>
              </w:rPr>
              <w:t>营</w:t>
            </w:r>
          </w:p>
          <w:p>
            <w:pPr>
              <w:pStyle w:val="15"/>
              <w:spacing w:before="1" w:line="242" w:lineRule="auto"/>
              <w:ind w:left="160" w:right="43"/>
              <w:jc w:val="both"/>
              <w:rPr>
                <w:rFonts w:ascii="Times New Roman" w:hAnsi="Times New Roman" w:eastAsia="宋体" w:cs="宋体"/>
                <w:sz w:val="24"/>
                <w:szCs w:val="28"/>
                <w:lang w:val="zh-CN" w:eastAsia="zh-CN" w:bidi="zh-CN"/>
              </w:rPr>
            </w:pPr>
            <w:r>
              <w:rPr>
                <w:rFonts w:ascii="Times New Roman" w:hAnsi="Times New Roman" w:eastAsia="宋体" w:cs="宋体"/>
                <w:sz w:val="24"/>
                <w:szCs w:val="28"/>
                <w:lang w:val="zh-CN" w:eastAsia="zh-CN" w:bidi="zh-CN"/>
              </w:rPr>
              <w:t>期</w:t>
            </w:r>
          </w:p>
          <w:p>
            <w:pPr>
              <w:pStyle w:val="15"/>
              <w:spacing w:before="1" w:line="242" w:lineRule="auto"/>
              <w:ind w:left="160" w:right="43"/>
              <w:jc w:val="both"/>
              <w:rPr>
                <w:rFonts w:ascii="Times New Roman" w:hAnsi="Times New Roman" w:eastAsia="宋体" w:cs="宋体"/>
                <w:sz w:val="24"/>
                <w:szCs w:val="28"/>
                <w:lang w:val="zh-CN" w:eastAsia="zh-CN" w:bidi="zh-CN"/>
              </w:rPr>
            </w:pPr>
            <w:r>
              <w:rPr>
                <w:rFonts w:ascii="Times New Roman" w:hAnsi="Times New Roman" w:eastAsia="宋体" w:cs="宋体"/>
                <w:sz w:val="24"/>
                <w:szCs w:val="28"/>
                <w:lang w:val="zh-CN" w:eastAsia="zh-CN" w:bidi="zh-CN"/>
              </w:rPr>
              <w:t>环</w:t>
            </w:r>
          </w:p>
          <w:p>
            <w:pPr>
              <w:pStyle w:val="15"/>
              <w:spacing w:before="1" w:line="242" w:lineRule="auto"/>
              <w:ind w:left="160" w:right="43"/>
              <w:jc w:val="both"/>
              <w:rPr>
                <w:rFonts w:ascii="Times New Roman" w:hAnsi="Times New Roman" w:eastAsia="宋体" w:cs="宋体"/>
                <w:sz w:val="24"/>
                <w:szCs w:val="28"/>
                <w:lang w:val="zh-CN" w:eastAsia="zh-CN" w:bidi="zh-CN"/>
              </w:rPr>
            </w:pPr>
            <w:r>
              <w:rPr>
                <w:rFonts w:ascii="Times New Roman" w:hAnsi="Times New Roman" w:eastAsia="宋体" w:cs="宋体"/>
                <w:sz w:val="24"/>
                <w:szCs w:val="28"/>
                <w:lang w:val="zh-CN" w:eastAsia="zh-CN" w:bidi="zh-CN"/>
              </w:rPr>
              <w:t>境</w:t>
            </w:r>
          </w:p>
          <w:p>
            <w:pPr>
              <w:pStyle w:val="15"/>
              <w:spacing w:before="1" w:line="242" w:lineRule="auto"/>
              <w:ind w:left="160" w:right="43"/>
              <w:jc w:val="both"/>
              <w:rPr>
                <w:rFonts w:ascii="Times New Roman" w:hAnsi="Times New Roman" w:eastAsia="宋体" w:cs="宋体"/>
                <w:sz w:val="24"/>
                <w:szCs w:val="28"/>
                <w:lang w:val="zh-CN" w:eastAsia="zh-CN" w:bidi="zh-CN"/>
              </w:rPr>
            </w:pPr>
            <w:r>
              <w:rPr>
                <w:rFonts w:ascii="Times New Roman" w:hAnsi="Times New Roman" w:eastAsia="宋体" w:cs="宋体"/>
                <w:sz w:val="24"/>
                <w:szCs w:val="28"/>
                <w:lang w:val="zh-CN" w:eastAsia="zh-CN" w:bidi="zh-CN"/>
              </w:rPr>
              <w:t>影</w:t>
            </w:r>
          </w:p>
          <w:p>
            <w:pPr>
              <w:pStyle w:val="15"/>
              <w:spacing w:before="1" w:line="242" w:lineRule="auto"/>
              <w:ind w:left="160" w:right="43"/>
              <w:jc w:val="both"/>
              <w:rPr>
                <w:rFonts w:ascii="Times New Roman" w:hAnsi="Times New Roman" w:eastAsia="宋体" w:cs="宋体"/>
                <w:sz w:val="24"/>
                <w:szCs w:val="28"/>
                <w:lang w:val="zh-CN" w:eastAsia="zh-CN" w:bidi="zh-CN"/>
              </w:rPr>
            </w:pPr>
            <w:r>
              <w:rPr>
                <w:rFonts w:ascii="Times New Roman" w:hAnsi="Times New Roman" w:eastAsia="宋体" w:cs="宋体"/>
                <w:sz w:val="24"/>
                <w:szCs w:val="28"/>
                <w:lang w:val="zh-CN" w:eastAsia="zh-CN" w:bidi="zh-CN"/>
              </w:rPr>
              <w:t>响</w:t>
            </w:r>
          </w:p>
          <w:p>
            <w:pPr>
              <w:pStyle w:val="15"/>
              <w:spacing w:before="1" w:line="242" w:lineRule="auto"/>
              <w:ind w:left="160" w:right="43"/>
              <w:jc w:val="both"/>
              <w:rPr>
                <w:rFonts w:ascii="Times New Roman" w:hAnsi="Times New Roman" w:eastAsia="宋体" w:cs="宋体"/>
                <w:sz w:val="24"/>
                <w:szCs w:val="28"/>
                <w:lang w:val="zh-CN" w:eastAsia="zh-CN" w:bidi="zh-CN"/>
              </w:rPr>
            </w:pPr>
            <w:r>
              <w:rPr>
                <w:rFonts w:ascii="Times New Roman" w:hAnsi="Times New Roman" w:eastAsia="宋体" w:cs="宋体"/>
                <w:sz w:val="24"/>
                <w:szCs w:val="28"/>
                <w:lang w:val="zh-CN" w:eastAsia="zh-CN" w:bidi="zh-CN"/>
              </w:rPr>
              <w:t>和</w:t>
            </w:r>
          </w:p>
          <w:p>
            <w:pPr>
              <w:pStyle w:val="15"/>
              <w:spacing w:before="1" w:line="242" w:lineRule="auto"/>
              <w:ind w:left="160" w:right="43"/>
              <w:jc w:val="both"/>
              <w:rPr>
                <w:rFonts w:ascii="Times New Roman" w:hAnsi="Times New Roman" w:eastAsia="宋体" w:cs="宋体"/>
                <w:sz w:val="24"/>
                <w:szCs w:val="28"/>
                <w:lang w:val="zh-CN" w:eastAsia="zh-CN" w:bidi="zh-CN"/>
              </w:rPr>
            </w:pPr>
            <w:r>
              <w:rPr>
                <w:rFonts w:ascii="Times New Roman" w:hAnsi="Times New Roman" w:eastAsia="宋体" w:cs="宋体"/>
                <w:sz w:val="24"/>
                <w:szCs w:val="28"/>
                <w:lang w:val="zh-CN" w:eastAsia="zh-CN" w:bidi="zh-CN"/>
              </w:rPr>
              <w:t>保</w:t>
            </w:r>
          </w:p>
          <w:p>
            <w:pPr>
              <w:pStyle w:val="15"/>
              <w:spacing w:before="1" w:line="242" w:lineRule="auto"/>
              <w:ind w:left="160" w:right="43"/>
              <w:jc w:val="both"/>
              <w:rPr>
                <w:rFonts w:ascii="Times New Roman" w:hAnsi="Times New Roman" w:eastAsia="宋体" w:cs="宋体"/>
                <w:sz w:val="24"/>
                <w:szCs w:val="28"/>
                <w:lang w:val="zh-CN" w:eastAsia="zh-CN" w:bidi="zh-CN"/>
              </w:rPr>
            </w:pPr>
            <w:r>
              <w:rPr>
                <w:rFonts w:ascii="Times New Roman" w:hAnsi="Times New Roman" w:eastAsia="宋体" w:cs="宋体"/>
                <w:sz w:val="24"/>
                <w:szCs w:val="28"/>
                <w:lang w:val="zh-CN" w:eastAsia="zh-CN" w:bidi="zh-CN"/>
              </w:rPr>
              <w:t>护</w:t>
            </w:r>
          </w:p>
          <w:p>
            <w:pPr>
              <w:pStyle w:val="15"/>
              <w:spacing w:before="1" w:line="242" w:lineRule="auto"/>
              <w:ind w:left="160" w:right="43"/>
              <w:jc w:val="both"/>
              <w:rPr>
                <w:rFonts w:ascii="Times New Roman" w:hAnsi="Times New Roman" w:eastAsia="宋体" w:cs="宋体"/>
                <w:sz w:val="24"/>
                <w:szCs w:val="28"/>
                <w:lang w:val="zh-CN" w:eastAsia="zh-CN" w:bidi="zh-CN"/>
              </w:rPr>
            </w:pPr>
            <w:r>
              <w:rPr>
                <w:rFonts w:ascii="Times New Roman" w:hAnsi="Times New Roman" w:eastAsia="宋体" w:cs="宋体"/>
                <w:sz w:val="24"/>
                <w:szCs w:val="28"/>
                <w:lang w:val="zh-CN" w:eastAsia="zh-CN" w:bidi="zh-CN"/>
              </w:rPr>
              <w:t>措</w:t>
            </w:r>
          </w:p>
          <w:p>
            <w:pPr>
              <w:pStyle w:val="15"/>
              <w:spacing w:before="1" w:line="242" w:lineRule="auto"/>
              <w:ind w:left="160" w:right="43"/>
              <w:jc w:val="both"/>
              <w:rPr>
                <w:sz w:val="21"/>
              </w:rPr>
            </w:pPr>
            <w:r>
              <w:rPr>
                <w:rFonts w:ascii="Times New Roman" w:hAnsi="Times New Roman" w:eastAsia="宋体" w:cs="宋体"/>
                <w:sz w:val="24"/>
                <w:szCs w:val="28"/>
                <w:lang w:val="zh-CN" w:eastAsia="zh-CN" w:bidi="zh-CN"/>
              </w:rPr>
              <w:t>施</w:t>
            </w:r>
            <w:r>
              <w:rPr>
                <w:sz w:val="21"/>
              </w:rPr>
              <w:t xml:space="preserve"> </w:t>
            </w:r>
          </w:p>
        </w:tc>
        <w:tc>
          <w:tcPr>
            <w:tcW w:w="8161" w:type="dxa"/>
            <w:tcBorders>
              <w:top w:val="single" w:color="000000" w:sz="4" w:space="0"/>
              <w:left w:val="single" w:color="000000" w:sz="4" w:space="0"/>
            </w:tcBorders>
          </w:tcPr>
          <w:p>
            <w:pPr>
              <w:pStyle w:val="15"/>
              <w:rPr>
                <w:rFonts w:ascii="黑体"/>
                <w:sz w:val="20"/>
              </w:rPr>
            </w:pPr>
          </w:p>
          <w:p>
            <w:pPr>
              <w:pStyle w:val="3"/>
              <w:ind w:firstLine="480"/>
              <w:rPr>
                <w:rFonts w:hint="eastAsia"/>
              </w:rPr>
            </w:pPr>
            <w:r>
              <w:rPr>
                <w:b/>
                <w:bCs/>
              </w:rPr>
              <w:t>1</w:t>
            </w:r>
            <w:r>
              <w:rPr>
                <w:rFonts w:hint="eastAsia"/>
                <w:b/>
                <w:bCs/>
              </w:rPr>
              <w:t>、废水</w:t>
            </w:r>
            <w:r>
              <w:rPr>
                <w:b/>
                <w:bCs/>
              </w:rPr>
              <w:t>污染物产生及治理措施</w:t>
            </w:r>
          </w:p>
          <w:p>
            <w:pPr>
              <w:pStyle w:val="3"/>
              <w:ind w:firstLine="480"/>
              <w:rPr>
                <w:rFonts w:hint="eastAsia"/>
              </w:rPr>
            </w:pPr>
            <w:r>
              <w:rPr>
                <w:rFonts w:hint="eastAsia"/>
              </w:rPr>
              <w:t>（1）生活污水</w:t>
            </w:r>
          </w:p>
          <w:p>
            <w:pPr>
              <w:pStyle w:val="3"/>
              <w:ind w:firstLine="480"/>
            </w:pPr>
            <w:r>
              <w:rPr>
                <w:rFonts w:hint="eastAsia"/>
              </w:rPr>
              <w:t>本项目</w:t>
            </w:r>
            <w:r>
              <w:t>运营过程中无生产废水产生，主要为员工生活污水</w:t>
            </w:r>
            <w:r>
              <w:rPr>
                <w:rFonts w:hint="eastAsia"/>
                <w:highlight w:val="none"/>
              </w:rPr>
              <w:t>。项目</w:t>
            </w:r>
            <w:r>
              <w:rPr>
                <w:highlight w:val="none"/>
              </w:rPr>
              <w:t>租用</w:t>
            </w:r>
            <w:r>
              <w:rPr>
                <w:rFonts w:hint="eastAsia"/>
                <w:highlight w:val="none"/>
                <w:lang w:val="en-US" w:eastAsia="zh-CN"/>
              </w:rPr>
              <w:t>崩崩冲村集体建设用地</w:t>
            </w:r>
            <w:r>
              <w:rPr>
                <w:rFonts w:hint="eastAsia"/>
                <w:highlight w:val="none"/>
              </w:rPr>
              <w:t>。</w:t>
            </w:r>
            <w:r>
              <w:rPr>
                <w:highlight w:val="none"/>
              </w:rPr>
              <w:t>项</w:t>
            </w:r>
            <w:r>
              <w:t>目</w:t>
            </w:r>
            <w:r>
              <w:rPr>
                <w:rFonts w:hint="eastAsia"/>
              </w:rPr>
              <w:t>建成后劳动定员10人</w:t>
            </w:r>
            <w:r>
              <w:t>，</w:t>
            </w:r>
            <w:r>
              <w:rPr>
                <w:rFonts w:hint="eastAsia"/>
              </w:rPr>
              <w:t>均在租用</w:t>
            </w:r>
            <w:r>
              <w:t>的</w:t>
            </w:r>
            <w:r>
              <w:rPr>
                <w:rFonts w:hint="eastAsia"/>
                <w:lang w:val="en-US" w:eastAsia="zh-CN"/>
              </w:rPr>
              <w:t>生活</w:t>
            </w:r>
            <w:r>
              <w:t>营地内</w:t>
            </w:r>
            <w:r>
              <w:rPr>
                <w:rFonts w:hint="eastAsia"/>
              </w:rPr>
              <w:t>食</w:t>
            </w:r>
            <w:r>
              <w:rPr>
                <w:rFonts w:hint="eastAsia"/>
                <w:highlight w:val="none"/>
              </w:rPr>
              <w:t>宿</w:t>
            </w:r>
            <w:r>
              <w:rPr>
                <w:highlight w:val="none"/>
              </w:rPr>
              <w:t>，</w:t>
            </w:r>
            <w:r>
              <w:rPr>
                <w:rFonts w:hint="eastAsia"/>
                <w:highlight w:val="none"/>
              </w:rPr>
              <w:t>参照《</w:t>
            </w:r>
            <w:r>
              <w:rPr>
                <w:rFonts w:hint="eastAsia"/>
              </w:rPr>
              <w:t>四川省</w:t>
            </w:r>
            <w:r>
              <w:t>地方</w:t>
            </w:r>
            <w:r>
              <w:rPr>
                <w:rFonts w:hint="eastAsia"/>
              </w:rPr>
              <w:t>标准</w:t>
            </w:r>
            <w:r>
              <w:t>用水定额</w:t>
            </w:r>
            <w:r>
              <w:rPr>
                <w:rFonts w:hint="eastAsia"/>
              </w:rPr>
              <w:t>》（DB51/T2138-2016）并</w:t>
            </w:r>
            <w:r>
              <w:t>结合实际情况，员工生活用水定额按</w:t>
            </w:r>
            <w:r>
              <w:rPr>
                <w:rFonts w:hint="eastAsia"/>
              </w:rPr>
              <w:t>100</w:t>
            </w:r>
            <w:r>
              <w:t>L/</w:t>
            </w:r>
            <w:r>
              <w:rPr>
                <w:rFonts w:hint="eastAsia"/>
              </w:rPr>
              <w:t>人</w:t>
            </w:r>
            <w:r>
              <w:t>·d</w:t>
            </w:r>
            <w:r>
              <w:rPr>
                <w:rFonts w:hint="eastAsia"/>
              </w:rPr>
              <w:t>计</w:t>
            </w:r>
            <w:r>
              <w:t>，</w:t>
            </w:r>
            <w:r>
              <w:rPr>
                <w:rFonts w:hint="eastAsia"/>
              </w:rPr>
              <w:t>项目</w:t>
            </w:r>
            <w:r>
              <w:t>生活用水</w:t>
            </w:r>
            <w:r>
              <w:rPr>
                <w:rFonts w:hint="eastAsia"/>
              </w:rPr>
              <w:t>量</w:t>
            </w:r>
            <w:r>
              <w:t>为</w:t>
            </w:r>
            <w:r>
              <w:rPr>
                <w:rFonts w:hint="eastAsia"/>
              </w:rPr>
              <w:t>1.0m</w:t>
            </w:r>
            <w:r>
              <w:rPr>
                <w:rFonts w:hint="eastAsia"/>
                <w:vertAlign w:val="superscript"/>
              </w:rPr>
              <w:t>3</w:t>
            </w:r>
            <w:r>
              <w:rPr>
                <w:rFonts w:hint="eastAsia"/>
              </w:rPr>
              <w:t>/d（</w:t>
            </w:r>
            <w:r>
              <w:rPr>
                <w:rFonts w:hint="eastAsia"/>
                <w:lang w:val="en-US" w:eastAsia="zh-CN"/>
              </w:rPr>
              <w:t>18</w:t>
            </w:r>
            <w:r>
              <w:rPr>
                <w:rFonts w:hint="eastAsia"/>
              </w:rPr>
              <w:t>0m</w:t>
            </w:r>
            <w:r>
              <w:rPr>
                <w:rFonts w:hint="eastAsia"/>
                <w:vertAlign w:val="superscript"/>
              </w:rPr>
              <w:t>3</w:t>
            </w:r>
            <w:r>
              <w:rPr>
                <w:rFonts w:hint="eastAsia"/>
              </w:rPr>
              <w:t>）。生活污水</w:t>
            </w:r>
            <w:r>
              <w:t>排放系数区</w:t>
            </w:r>
            <w:r>
              <w:rPr>
                <w:rFonts w:hint="eastAsia"/>
              </w:rPr>
              <w:t>0.85，</w:t>
            </w:r>
            <w:r>
              <w:t>则生活污水排放量为</w:t>
            </w:r>
            <w:r>
              <w:rPr>
                <w:rFonts w:hint="eastAsia"/>
              </w:rPr>
              <w:t>0.85m</w:t>
            </w:r>
            <w:r>
              <w:rPr>
                <w:rFonts w:hint="eastAsia"/>
                <w:vertAlign w:val="superscript"/>
              </w:rPr>
              <w:t>3</w:t>
            </w:r>
            <w:r>
              <w:rPr>
                <w:rFonts w:hint="eastAsia"/>
              </w:rPr>
              <w:t>/d，</w:t>
            </w:r>
            <w:r>
              <w:rPr>
                <w:rFonts w:hint="eastAsia"/>
                <w:lang w:val="en-US" w:eastAsia="zh-CN"/>
              </w:rPr>
              <w:t>153</w:t>
            </w:r>
            <w:r>
              <w:rPr>
                <w:rFonts w:hint="eastAsia"/>
              </w:rPr>
              <w:t>m</w:t>
            </w:r>
            <w:r>
              <w:rPr>
                <w:rFonts w:hint="eastAsia"/>
                <w:vertAlign w:val="superscript"/>
              </w:rPr>
              <w:t>3</w:t>
            </w:r>
            <w:r>
              <w:rPr>
                <w:rFonts w:hint="eastAsia"/>
              </w:rPr>
              <w:t>。</w:t>
            </w:r>
          </w:p>
          <w:p>
            <w:pPr>
              <w:pStyle w:val="3"/>
              <w:ind w:firstLine="480"/>
            </w:pPr>
            <w:r>
              <w:rPr>
                <w:rFonts w:hint="eastAsia"/>
              </w:rPr>
              <w:t>治理措施</w:t>
            </w:r>
            <w:r>
              <w:t>：生活污水</w:t>
            </w:r>
            <w:r>
              <w:rPr>
                <w:rFonts w:hint="eastAsia"/>
              </w:rPr>
              <w:t>直接</w:t>
            </w:r>
            <w:r>
              <w:t>进入</w:t>
            </w:r>
            <w:r>
              <w:rPr>
                <w:rFonts w:hint="eastAsia"/>
                <w:lang w:val="en-US" w:eastAsia="zh-CN"/>
              </w:rPr>
              <w:t>旱厕</w:t>
            </w:r>
            <w:r>
              <w:t>处理。依托</w:t>
            </w:r>
            <w:r>
              <w:rPr>
                <w:rFonts w:hint="eastAsia"/>
              </w:rPr>
              <w:t>的</w:t>
            </w:r>
            <w:r>
              <w:t>施工营地内现有</w:t>
            </w:r>
            <w:r>
              <w:rPr>
                <w:rFonts w:hint="eastAsia"/>
                <w:lang w:val="en-US" w:eastAsia="zh-CN"/>
              </w:rPr>
              <w:t>5</w:t>
            </w:r>
            <w:r>
              <w:rPr>
                <w:rFonts w:hint="eastAsia"/>
              </w:rPr>
              <w:t>m</w:t>
            </w:r>
            <w:r>
              <w:rPr>
                <w:rFonts w:hint="eastAsia"/>
                <w:vertAlign w:val="superscript"/>
              </w:rPr>
              <w:t>3</w:t>
            </w:r>
            <w:r>
              <w:t>的</w:t>
            </w:r>
            <w:r>
              <w:rPr>
                <w:rFonts w:hint="eastAsia"/>
                <w:lang w:val="en-US" w:eastAsia="zh-CN"/>
              </w:rPr>
              <w:t>旱厕</w:t>
            </w:r>
            <w:r>
              <w:rPr>
                <w:rFonts w:hint="eastAsia"/>
              </w:rPr>
              <w:t>，</w:t>
            </w:r>
            <w:r>
              <w:t>本项目生活污水</w:t>
            </w:r>
            <w:r>
              <w:rPr>
                <w:rFonts w:hint="eastAsia"/>
              </w:rPr>
              <w:t>可直接依托利用</w:t>
            </w:r>
            <w:r>
              <w:t>。处理后</w:t>
            </w:r>
            <w:r>
              <w:rPr>
                <w:rFonts w:hint="eastAsia"/>
              </w:rPr>
              <w:t>的</w:t>
            </w:r>
            <w:r>
              <w:t>生活污水进行</w:t>
            </w:r>
            <w:r>
              <w:rPr>
                <w:rFonts w:hint="eastAsia"/>
              </w:rPr>
              <w:t>林灌</w:t>
            </w:r>
            <w:r>
              <w:t>，不外排</w:t>
            </w:r>
            <w:r>
              <w:rPr>
                <w:rFonts w:hint="eastAsia"/>
              </w:rPr>
              <w:t>。</w:t>
            </w:r>
          </w:p>
          <w:p>
            <w:pPr>
              <w:pStyle w:val="3"/>
              <w:ind w:firstLine="480"/>
              <w:rPr>
                <w:color w:val="auto"/>
              </w:rPr>
            </w:pPr>
            <w:r>
              <w:rPr>
                <w:rFonts w:hint="eastAsia"/>
                <w:color w:val="auto"/>
              </w:rPr>
              <w:t>（2）初期雨水</w:t>
            </w:r>
          </w:p>
          <w:p>
            <w:pPr>
              <w:pStyle w:val="3"/>
              <w:ind w:firstLine="480"/>
              <w:rPr>
                <w:rFonts w:hint="eastAsia"/>
                <w:color w:val="auto"/>
              </w:rPr>
            </w:pPr>
            <w:r>
              <w:rPr>
                <w:rFonts w:hint="eastAsia"/>
                <w:color w:val="auto"/>
              </w:rPr>
              <w:t>初期雨水冲刷地面</w:t>
            </w:r>
            <w:r>
              <w:rPr>
                <w:color w:val="auto"/>
              </w:rPr>
              <w:t>，</w:t>
            </w:r>
            <w:r>
              <w:rPr>
                <w:rFonts w:hint="eastAsia"/>
                <w:color w:val="auto"/>
              </w:rPr>
              <w:t>其中含有</w:t>
            </w:r>
            <w:r>
              <w:rPr>
                <w:color w:val="auto"/>
              </w:rPr>
              <w:t>悬浮物，直接排放</w:t>
            </w:r>
            <w:r>
              <w:rPr>
                <w:rFonts w:hint="eastAsia"/>
                <w:color w:val="auto"/>
              </w:rPr>
              <w:t>入</w:t>
            </w:r>
            <w:r>
              <w:rPr>
                <w:color w:val="auto"/>
              </w:rPr>
              <w:t>沟渠，易造成</w:t>
            </w:r>
            <w:r>
              <w:rPr>
                <w:rFonts w:hint="eastAsia"/>
                <w:color w:val="auto"/>
              </w:rPr>
              <w:t>周边水体</w:t>
            </w:r>
            <w:r>
              <w:rPr>
                <w:color w:val="auto"/>
              </w:rPr>
              <w:t>悬浮物含量突增，影响</w:t>
            </w:r>
            <w:r>
              <w:rPr>
                <w:rFonts w:hint="eastAsia"/>
                <w:color w:val="auto"/>
              </w:rPr>
              <w:t>水体</w:t>
            </w:r>
            <w:r>
              <w:rPr>
                <w:color w:val="auto"/>
              </w:rPr>
              <w:t>环境质量。</w:t>
            </w:r>
            <w:r>
              <w:rPr>
                <w:rFonts w:hint="eastAsia"/>
                <w:color w:val="auto"/>
              </w:rPr>
              <w:t>环评建议</w:t>
            </w:r>
            <w:r>
              <w:rPr>
                <w:color w:val="auto"/>
              </w:rPr>
              <w:t>，对初期雨水进行收集，在厂区内修建</w:t>
            </w:r>
            <w:r>
              <w:rPr>
                <w:rFonts w:hint="eastAsia"/>
                <w:color w:val="auto"/>
                <w:lang w:val="en-US" w:eastAsia="zh-CN"/>
              </w:rPr>
              <w:t>三级</w:t>
            </w:r>
            <w:r>
              <w:rPr>
                <w:rFonts w:hint="eastAsia"/>
                <w:color w:val="auto"/>
              </w:rPr>
              <w:t>沉淀池，</w:t>
            </w:r>
            <w:r>
              <w:rPr>
                <w:color w:val="auto"/>
              </w:rPr>
              <w:t>初期雨水经收集沉淀后</w:t>
            </w:r>
            <w:r>
              <w:rPr>
                <w:rFonts w:hint="eastAsia"/>
                <w:color w:val="auto"/>
              </w:rPr>
              <w:t>产生</w:t>
            </w:r>
            <w:r>
              <w:rPr>
                <w:color w:val="auto"/>
              </w:rPr>
              <w:t>的清净雨水可</w:t>
            </w:r>
            <w:r>
              <w:rPr>
                <w:rFonts w:hint="eastAsia"/>
                <w:color w:val="auto"/>
                <w:lang w:val="en-US" w:eastAsia="zh-CN"/>
              </w:rPr>
              <w:t>用于场地洒水防尘</w:t>
            </w:r>
            <w:r>
              <w:rPr>
                <w:color w:val="auto"/>
              </w:rPr>
              <w:t>。</w:t>
            </w:r>
          </w:p>
          <w:p>
            <w:pPr>
              <w:pStyle w:val="3"/>
              <w:ind w:firstLine="480"/>
              <w:rPr>
                <w:rFonts w:hint="eastAsia"/>
                <w:b/>
                <w:bCs/>
              </w:rPr>
            </w:pPr>
            <w:r>
              <w:rPr>
                <w:rFonts w:hint="eastAsia"/>
                <w:b/>
                <w:bCs/>
              </w:rPr>
              <w:t>2、</w:t>
            </w:r>
            <w:r>
              <w:rPr>
                <w:b/>
                <w:bCs/>
              </w:rPr>
              <w:t>大气污染物产生及治理措施</w:t>
            </w:r>
          </w:p>
          <w:p>
            <w:pPr>
              <w:pStyle w:val="3"/>
              <w:ind w:firstLine="480"/>
              <w:rPr>
                <w:color w:val="auto"/>
              </w:rPr>
            </w:pPr>
            <w:r>
              <w:rPr>
                <w:rFonts w:hint="eastAsia"/>
                <w:color w:val="auto"/>
              </w:rPr>
              <w:t>（</w:t>
            </w:r>
            <w:r>
              <w:rPr>
                <w:rFonts w:hint="eastAsia"/>
                <w:color w:val="auto"/>
                <w:lang w:val="en-US" w:eastAsia="zh-CN"/>
              </w:rPr>
              <w:t>1</w:t>
            </w:r>
            <w:r>
              <w:rPr>
                <w:rFonts w:hint="eastAsia"/>
                <w:color w:val="auto"/>
              </w:rPr>
              <w:t>）骨料堆场、冷料仓上料粉尘G</w:t>
            </w:r>
            <w:r>
              <w:rPr>
                <w:rFonts w:hint="eastAsia"/>
                <w:color w:val="auto"/>
                <w:lang w:val="en-US" w:eastAsia="zh-CN"/>
              </w:rPr>
              <w:t>1</w:t>
            </w:r>
            <w:r>
              <w:rPr>
                <w:rFonts w:hint="eastAsia"/>
                <w:color w:val="auto"/>
              </w:rPr>
              <w:t>（无组织排放）</w:t>
            </w:r>
          </w:p>
          <w:p>
            <w:pPr>
              <w:pStyle w:val="3"/>
              <w:ind w:firstLine="480"/>
              <w:rPr>
                <w:rFonts w:hint="eastAsia"/>
                <w:color w:val="auto"/>
              </w:rPr>
            </w:pPr>
            <w:r>
              <w:rPr>
                <w:rFonts w:hint="eastAsia"/>
                <w:color w:val="auto"/>
              </w:rPr>
              <w:t>项目</w:t>
            </w:r>
            <w:r>
              <w:rPr>
                <w:color w:val="auto"/>
              </w:rPr>
              <w:t>原料仓在</w:t>
            </w:r>
            <w:r>
              <w:rPr>
                <w:rFonts w:hint="eastAsia"/>
                <w:color w:val="auto"/>
              </w:rPr>
              <w:t>碎石</w:t>
            </w:r>
            <w:r>
              <w:rPr>
                <w:color w:val="auto"/>
              </w:rPr>
              <w:t>、砂等</w:t>
            </w:r>
            <w:r>
              <w:rPr>
                <w:rFonts w:hint="eastAsia"/>
                <w:color w:val="auto"/>
              </w:rPr>
              <w:t>卸料</w:t>
            </w:r>
            <w:r>
              <w:rPr>
                <w:color w:val="auto"/>
              </w:rPr>
              <w:t>、</w:t>
            </w:r>
            <w:r>
              <w:rPr>
                <w:rFonts w:hint="eastAsia"/>
                <w:color w:val="auto"/>
              </w:rPr>
              <w:t>堆放</w:t>
            </w:r>
            <w:r>
              <w:rPr>
                <w:color w:val="auto"/>
              </w:rPr>
              <w:t>及</w:t>
            </w:r>
            <w:r>
              <w:rPr>
                <w:rFonts w:hint="eastAsia"/>
                <w:color w:val="auto"/>
              </w:rPr>
              <w:t>上料过程中</w:t>
            </w:r>
            <w:r>
              <w:rPr>
                <w:color w:val="auto"/>
              </w:rPr>
              <w:t>产生无组织排放粉尘</w:t>
            </w:r>
            <w:r>
              <w:rPr>
                <w:rFonts w:hint="eastAsia"/>
                <w:color w:val="auto"/>
              </w:rPr>
              <w:t>。项目</w:t>
            </w:r>
            <w:r>
              <w:rPr>
                <w:color w:val="auto"/>
              </w:rPr>
              <w:t>砂、碎石原料由设置篷布的运输车运至厂区内</w:t>
            </w:r>
            <w:r>
              <w:rPr>
                <w:rFonts w:hint="eastAsia"/>
                <w:color w:val="auto"/>
              </w:rPr>
              <w:t>卸入</w:t>
            </w:r>
            <w:r>
              <w:rPr>
                <w:color w:val="auto"/>
              </w:rPr>
              <w:t>原料仓</w:t>
            </w:r>
            <w:r>
              <w:rPr>
                <w:rFonts w:hint="eastAsia"/>
                <w:color w:val="auto"/>
              </w:rPr>
              <w:t>，</w:t>
            </w:r>
            <w:r>
              <w:rPr>
                <w:color w:val="auto"/>
              </w:rPr>
              <w:t>由</w:t>
            </w:r>
            <w:r>
              <w:rPr>
                <w:rFonts w:hint="eastAsia"/>
                <w:color w:val="auto"/>
              </w:rPr>
              <w:t>小型铲车</w:t>
            </w:r>
            <w:r>
              <w:rPr>
                <w:color w:val="auto"/>
              </w:rPr>
              <w:t>从原料仓运输至</w:t>
            </w:r>
            <w:r>
              <w:rPr>
                <w:rFonts w:hint="eastAsia"/>
                <w:color w:val="auto"/>
              </w:rPr>
              <w:t>沥青</w:t>
            </w:r>
            <w:r>
              <w:rPr>
                <w:color w:val="auto"/>
              </w:rPr>
              <w:t>搅拌设备</w:t>
            </w:r>
            <w:r>
              <w:rPr>
                <w:rFonts w:hint="eastAsia"/>
                <w:color w:val="auto"/>
              </w:rPr>
              <w:t>冷料仓，</w:t>
            </w:r>
            <w:r>
              <w:rPr>
                <w:color w:val="auto"/>
              </w:rPr>
              <w:t>然后经全封闭皮带输送机</w:t>
            </w:r>
            <w:r>
              <w:rPr>
                <w:rFonts w:hint="eastAsia"/>
                <w:color w:val="auto"/>
              </w:rPr>
              <w:t>输送至烘干滚筒</w:t>
            </w:r>
            <w:r>
              <w:rPr>
                <w:color w:val="auto"/>
              </w:rPr>
              <w:t>。此过程</w:t>
            </w:r>
            <w:r>
              <w:rPr>
                <w:rFonts w:hint="eastAsia"/>
                <w:color w:val="auto"/>
              </w:rPr>
              <w:t>无组织</w:t>
            </w:r>
            <w:r>
              <w:rPr>
                <w:color w:val="auto"/>
              </w:rPr>
              <w:t>产尘点为：</w:t>
            </w:r>
            <w:r>
              <w:rPr>
                <w:rFonts w:hint="eastAsia"/>
                <w:color w:val="auto"/>
              </w:rPr>
              <w:t>骨料</w:t>
            </w:r>
            <w:r>
              <w:rPr>
                <w:color w:val="auto"/>
              </w:rPr>
              <w:t>卸车、</w:t>
            </w:r>
            <w:r>
              <w:rPr>
                <w:rFonts w:hint="eastAsia"/>
                <w:color w:val="auto"/>
              </w:rPr>
              <w:t>骨料堆放</w:t>
            </w:r>
            <w:r>
              <w:rPr>
                <w:color w:val="auto"/>
              </w:rPr>
              <w:t>、小型铲车运输过程</w:t>
            </w:r>
            <w:r>
              <w:rPr>
                <w:rFonts w:hint="eastAsia"/>
                <w:color w:val="auto"/>
              </w:rPr>
              <w:t>及</w:t>
            </w:r>
            <w:r>
              <w:rPr>
                <w:color w:val="auto"/>
              </w:rPr>
              <w:t>上料过程中。由于</w:t>
            </w:r>
            <w:r>
              <w:rPr>
                <w:rFonts w:hint="eastAsia"/>
                <w:color w:val="auto"/>
              </w:rPr>
              <w:t>此部分</w:t>
            </w:r>
            <w:r>
              <w:rPr>
                <w:color w:val="auto"/>
              </w:rPr>
              <w:t>运输主要为比重较大的碎石和砂，粉尘量相对较</w:t>
            </w:r>
            <w:r>
              <w:rPr>
                <w:rFonts w:hint="eastAsia"/>
                <w:color w:val="auto"/>
              </w:rPr>
              <w:t>少</w:t>
            </w:r>
            <w:r>
              <w:rPr>
                <w:color w:val="auto"/>
              </w:rPr>
              <w:t>，类比同类型项目</w:t>
            </w:r>
            <w:r>
              <w:rPr>
                <w:rFonts w:hint="eastAsia"/>
                <w:color w:val="auto"/>
                <w:highlight w:val="none"/>
              </w:rPr>
              <w:t>，</w:t>
            </w:r>
            <w:r>
              <w:rPr>
                <w:color w:val="auto"/>
                <w:highlight w:val="none"/>
              </w:rPr>
              <w:t>粉尘产生量约为原料总量的</w:t>
            </w:r>
            <w:r>
              <w:rPr>
                <w:rFonts w:hint="eastAsia"/>
                <w:color w:val="auto"/>
                <w:highlight w:val="none"/>
              </w:rPr>
              <w:t>0.0</w:t>
            </w:r>
            <w:r>
              <w:rPr>
                <w:rFonts w:hint="eastAsia"/>
                <w:color w:val="auto"/>
                <w:highlight w:val="none"/>
                <w:lang w:val="en-US" w:eastAsia="zh-CN"/>
              </w:rPr>
              <w:t>05</w:t>
            </w:r>
            <w:r>
              <w:rPr>
                <w:color w:val="auto"/>
                <w:highlight w:val="none"/>
              </w:rPr>
              <w:t>%。本项目</w:t>
            </w:r>
            <w:r>
              <w:rPr>
                <w:rFonts w:hint="eastAsia"/>
                <w:color w:val="auto"/>
                <w:highlight w:val="none"/>
              </w:rPr>
              <w:t>年</w:t>
            </w:r>
            <w:r>
              <w:rPr>
                <w:color w:val="auto"/>
                <w:highlight w:val="none"/>
              </w:rPr>
              <w:t>使用</w:t>
            </w:r>
            <w:r>
              <w:rPr>
                <w:rFonts w:hint="eastAsia"/>
                <w:color w:val="auto"/>
                <w:highlight w:val="none"/>
              </w:rPr>
              <w:t>碎石</w:t>
            </w:r>
            <w:r>
              <w:rPr>
                <w:color w:val="auto"/>
                <w:highlight w:val="none"/>
              </w:rPr>
              <w:t>、砂原料为</w:t>
            </w:r>
            <w:r>
              <w:rPr>
                <w:rFonts w:hint="eastAsia"/>
                <w:color w:val="auto"/>
                <w:highlight w:val="none"/>
                <w:lang w:val="en-US" w:eastAsia="zh-CN"/>
              </w:rPr>
              <w:t>129239.72</w:t>
            </w:r>
            <w:r>
              <w:rPr>
                <w:rFonts w:hint="eastAsia"/>
                <w:color w:val="auto"/>
                <w:highlight w:val="none"/>
              </w:rPr>
              <w:t>吨</w:t>
            </w:r>
            <w:r>
              <w:rPr>
                <w:color w:val="auto"/>
                <w:highlight w:val="none"/>
              </w:rPr>
              <w:t>，即粉尘产生量</w:t>
            </w:r>
            <w:r>
              <w:rPr>
                <w:rFonts w:hint="eastAsia"/>
                <w:color w:val="auto"/>
                <w:highlight w:val="none"/>
              </w:rPr>
              <w:t>约为</w:t>
            </w:r>
            <w:r>
              <w:rPr>
                <w:rFonts w:hint="eastAsia"/>
                <w:color w:val="auto"/>
                <w:highlight w:val="none"/>
                <w:lang w:val="en-US" w:eastAsia="zh-CN"/>
              </w:rPr>
              <w:t>6.46</w:t>
            </w:r>
            <w:r>
              <w:rPr>
                <w:rFonts w:hint="eastAsia"/>
                <w:color w:val="auto"/>
                <w:highlight w:val="none"/>
              </w:rPr>
              <w:t>t。</w:t>
            </w:r>
          </w:p>
          <w:p>
            <w:pPr>
              <w:pStyle w:val="3"/>
              <w:ind w:firstLine="482"/>
              <w:rPr>
                <w:rFonts w:hint="eastAsia"/>
                <w:color w:val="auto"/>
              </w:rPr>
            </w:pPr>
            <w:r>
              <w:rPr>
                <w:rFonts w:hint="eastAsia"/>
                <w:b/>
                <w:color w:val="auto"/>
              </w:rPr>
              <w:t>治理措施</w:t>
            </w:r>
            <w:r>
              <w:rPr>
                <w:b/>
                <w:color w:val="auto"/>
              </w:rPr>
              <w:t>：</w:t>
            </w:r>
            <w:r>
              <w:rPr>
                <w:rFonts w:hint="eastAsia"/>
                <w:color w:val="auto"/>
              </w:rPr>
              <w:t>项目使用砂、</w:t>
            </w:r>
            <w:r>
              <w:rPr>
                <w:color w:val="auto"/>
              </w:rPr>
              <w:t>碎石原材料采用设置篷布的运输车辆运送至厂区内原料仓</w:t>
            </w:r>
            <w:r>
              <w:rPr>
                <w:rFonts w:hint="eastAsia"/>
                <w:color w:val="auto"/>
              </w:rPr>
              <w:t>内</w:t>
            </w:r>
            <w:r>
              <w:rPr>
                <w:color w:val="auto"/>
              </w:rPr>
              <w:t>暂存，原料仓</w:t>
            </w:r>
            <w:r>
              <w:rPr>
                <w:rFonts w:hint="eastAsia"/>
                <w:color w:val="auto"/>
              </w:rPr>
              <w:t>采用</w:t>
            </w:r>
            <w:r>
              <w:rPr>
                <w:color w:val="auto"/>
              </w:rPr>
              <w:t>封闭的钢架结构，缝隙采用聚氨酯泡沫填充剂填充，设置一个进出料口，出入口安装可移动彩钢卷帘门并在出口设置喷淋装置，</w:t>
            </w:r>
            <w:r>
              <w:rPr>
                <w:rFonts w:hint="eastAsia"/>
                <w:color w:val="auto"/>
              </w:rPr>
              <w:t>减少</w:t>
            </w:r>
            <w:r>
              <w:rPr>
                <w:color w:val="auto"/>
              </w:rPr>
              <w:t>风吹扬尘</w:t>
            </w:r>
            <w:r>
              <w:rPr>
                <w:rFonts w:hint="eastAsia"/>
                <w:color w:val="auto"/>
              </w:rPr>
              <w:t>。原料</w:t>
            </w:r>
            <w:r>
              <w:rPr>
                <w:color w:val="auto"/>
              </w:rPr>
              <w:t>在厂区内使用时采用小型装卸车运送至生产区冷料仓进行上料</w:t>
            </w:r>
            <w:r>
              <w:rPr>
                <w:rFonts w:hint="eastAsia"/>
                <w:color w:val="auto"/>
              </w:rPr>
              <w:t>，冷料仓</w:t>
            </w:r>
            <w:r>
              <w:rPr>
                <w:color w:val="auto"/>
              </w:rPr>
              <w:t>为三面封闭结构，冷料仓内</w:t>
            </w:r>
            <w:r>
              <w:rPr>
                <w:rFonts w:hint="eastAsia"/>
                <w:color w:val="auto"/>
              </w:rPr>
              <w:t>骨料</w:t>
            </w:r>
            <w:r>
              <w:rPr>
                <w:color w:val="auto"/>
              </w:rPr>
              <w:t>采用全封闭的集料皮带输送机进入烘干滚筒内。</w:t>
            </w:r>
            <w:r>
              <w:rPr>
                <w:rFonts w:hint="eastAsia"/>
                <w:color w:val="auto"/>
              </w:rPr>
              <w:t>控制</w:t>
            </w:r>
            <w:r>
              <w:rPr>
                <w:color w:val="auto"/>
              </w:rPr>
              <w:t>小型装卸车</w:t>
            </w:r>
            <w:r>
              <w:rPr>
                <w:rFonts w:hint="eastAsia"/>
                <w:color w:val="auto"/>
              </w:rPr>
              <w:t>每次</w:t>
            </w:r>
            <w:r>
              <w:rPr>
                <w:color w:val="auto"/>
              </w:rPr>
              <w:t>装载量，避免装载过多引起洒落，同时限制装卸车</w:t>
            </w:r>
            <w:r>
              <w:rPr>
                <w:rFonts w:hint="eastAsia"/>
                <w:color w:val="auto"/>
              </w:rPr>
              <w:t>车速</w:t>
            </w:r>
            <w:r>
              <w:rPr>
                <w:color w:val="auto"/>
              </w:rPr>
              <w:t>。</w:t>
            </w:r>
          </w:p>
          <w:p>
            <w:pPr>
              <w:pStyle w:val="3"/>
              <w:ind w:firstLine="482"/>
              <w:rPr>
                <w:rFonts w:hint="eastAsia" w:eastAsia="宋体"/>
                <w:color w:val="auto"/>
                <w:lang w:val="en-US" w:eastAsia="zh-CN"/>
              </w:rPr>
            </w:pPr>
            <w:r>
              <w:rPr>
                <w:rFonts w:hint="eastAsia"/>
                <w:b/>
                <w:color w:val="auto"/>
              </w:rPr>
              <w:t>治理后</w:t>
            </w:r>
            <w:r>
              <w:rPr>
                <w:b/>
                <w:color w:val="auto"/>
              </w:rPr>
              <w:t>排放情况：</w:t>
            </w:r>
            <w:r>
              <w:rPr>
                <w:rFonts w:hint="eastAsia"/>
                <w:color w:val="auto"/>
              </w:rPr>
              <w:t>采取</w:t>
            </w:r>
            <w:r>
              <w:rPr>
                <w:color w:val="auto"/>
              </w:rPr>
              <w:t>上述措施后，降尘</w:t>
            </w:r>
            <w:r>
              <w:rPr>
                <w:rFonts w:hint="eastAsia"/>
                <w:color w:val="auto"/>
              </w:rPr>
              <w:t>率</w:t>
            </w:r>
            <w:r>
              <w:rPr>
                <w:color w:val="auto"/>
              </w:rPr>
              <w:t>达到</w:t>
            </w:r>
            <w:r>
              <w:rPr>
                <w:rFonts w:hint="eastAsia"/>
                <w:color w:val="auto"/>
              </w:rPr>
              <w:t>9</w:t>
            </w:r>
            <w:r>
              <w:rPr>
                <w:rFonts w:hint="eastAsia"/>
                <w:color w:val="auto"/>
                <w:lang w:val="en-US" w:eastAsia="zh-CN"/>
              </w:rPr>
              <w:t>9</w:t>
            </w:r>
            <w:r>
              <w:rPr>
                <w:color w:val="auto"/>
              </w:rPr>
              <w:t>%，</w:t>
            </w:r>
            <w:r>
              <w:rPr>
                <w:rFonts w:hint="eastAsia"/>
                <w:color w:val="auto"/>
              </w:rPr>
              <w:t>则骨料堆场、冷料仓上料粉尘排放量</w:t>
            </w:r>
            <w:r>
              <w:rPr>
                <w:color w:val="auto"/>
              </w:rPr>
              <w:t>约为</w:t>
            </w:r>
            <w:r>
              <w:rPr>
                <w:rFonts w:hint="eastAsia"/>
                <w:color w:val="auto"/>
                <w:lang w:val="en-US" w:eastAsia="zh-CN"/>
              </w:rPr>
              <w:t>0.0646</w:t>
            </w:r>
            <w:r>
              <w:rPr>
                <w:rFonts w:hint="eastAsia"/>
                <w:color w:val="auto"/>
              </w:rPr>
              <w:t>t</w:t>
            </w:r>
            <w:r>
              <w:rPr>
                <w:rFonts w:hint="eastAsia"/>
                <w:color w:val="auto"/>
                <w:lang w:val="en-US" w:eastAsia="zh-CN"/>
              </w:rPr>
              <w:t xml:space="preserve"> </w:t>
            </w:r>
            <w:r>
              <w:rPr>
                <w:rFonts w:hint="eastAsia"/>
                <w:color w:val="auto"/>
              </w:rPr>
              <w:t>，排放速率为</w:t>
            </w:r>
            <w:r>
              <w:rPr>
                <w:rFonts w:hint="eastAsia"/>
                <w:color w:val="auto"/>
                <w:lang w:val="en-US" w:eastAsia="zh-CN"/>
              </w:rPr>
              <w:t>0.045</w:t>
            </w:r>
            <w:r>
              <w:rPr>
                <w:rFonts w:hint="eastAsia"/>
                <w:color w:val="auto"/>
              </w:rPr>
              <w:t>kg/h。</w:t>
            </w:r>
            <w:r>
              <w:rPr>
                <w:rFonts w:hint="eastAsia"/>
                <w:color w:val="auto"/>
                <w:lang w:val="en-US" w:eastAsia="zh-CN"/>
              </w:rPr>
              <w:t xml:space="preserve"> </w:t>
            </w:r>
          </w:p>
          <w:p>
            <w:pPr>
              <w:pStyle w:val="3"/>
              <w:ind w:firstLine="482"/>
              <w:rPr>
                <w:rFonts w:hint="eastAsia" w:ascii="Times New Roman" w:hAnsi="Times New Roman"/>
                <w:color w:val="auto"/>
                <w:lang w:val="en-US" w:eastAsia="zh-CN"/>
              </w:rPr>
            </w:pPr>
            <w:r>
              <w:rPr>
                <w:rFonts w:hint="eastAsia" w:ascii="Times New Roman" w:hAnsi="Times New Roman"/>
                <w:color w:val="auto"/>
                <w:lang w:val="en-US" w:eastAsia="zh-CN"/>
              </w:rPr>
              <w:t>（2）粉料仓呼吸孔粉尘G2（无组织排放）</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Times New Roman" w:hAnsi="Times New Roman" w:eastAsia="宋体" w:cs="Times New Roman"/>
                <w:color w:val="000000"/>
                <w:kern w:val="0"/>
                <w:sz w:val="24"/>
                <w:szCs w:val="24"/>
                <w:lang w:val="en-US" w:eastAsia="zh-CN" w:bidi="ar"/>
              </w:rPr>
              <w:t>粉料通过粉粒运输车辆自备的空压机由管道输送进粉料仓，在输送的过程中在空气压力的作用下粉料仓里将会产生较大浓度的粉尘。项目在粉料筒顶部设有排气筒，在气流的作用下，会有部分粉尘向外排放，本项目矿粉用量为</w:t>
            </w:r>
            <w:r>
              <w:rPr>
                <w:rFonts w:hint="eastAsia" w:ascii="Times New Roman" w:hAnsi="Times New Roman" w:cs="Times New Roman"/>
                <w:color w:val="000000"/>
                <w:kern w:val="0"/>
                <w:sz w:val="24"/>
                <w:szCs w:val="24"/>
                <w:lang w:val="en-US" w:eastAsia="zh-CN" w:bidi="ar"/>
              </w:rPr>
              <w:t>79</w:t>
            </w:r>
            <w:r>
              <w:rPr>
                <w:rFonts w:hint="eastAsia" w:ascii="Times New Roman" w:hAnsi="Times New Roman" w:eastAsia="宋体" w:cs="Times New Roman"/>
                <w:color w:val="000000"/>
                <w:kern w:val="0"/>
                <w:sz w:val="24"/>
                <w:szCs w:val="24"/>
                <w:lang w:val="en-US" w:eastAsia="zh-CN" w:bidi="ar"/>
              </w:rPr>
              <w:t>89.78t，矿粉罐车单次运输量为20t，则运输次数为40</w:t>
            </w:r>
            <w:r>
              <w:rPr>
                <w:rFonts w:hint="eastAsia" w:ascii="Times New Roman" w:hAnsi="Times New Roman" w:cs="Times New Roman"/>
                <w:color w:val="000000"/>
                <w:kern w:val="0"/>
                <w:sz w:val="24"/>
                <w:szCs w:val="24"/>
                <w:lang w:val="en-US" w:eastAsia="zh-CN" w:bidi="ar"/>
              </w:rPr>
              <w:t>0</w:t>
            </w:r>
            <w:r>
              <w:rPr>
                <w:rFonts w:hint="eastAsia" w:ascii="Times New Roman" w:hAnsi="Times New Roman" w:eastAsia="宋体" w:cs="Times New Roman"/>
                <w:color w:val="000000"/>
                <w:kern w:val="0"/>
                <w:sz w:val="24"/>
                <w:szCs w:val="24"/>
                <w:lang w:val="en-US" w:eastAsia="zh-CN" w:bidi="ar"/>
              </w:rPr>
              <w:t xml:space="preserve">次，项目运输车辆装卸时间需要约 </w:t>
            </w:r>
            <w:r>
              <w:rPr>
                <w:rFonts w:hint="default" w:ascii="Times New Roman" w:hAnsi="Times New Roman" w:eastAsia="宋体" w:cs="Times New Roman"/>
                <w:color w:val="000000"/>
                <w:kern w:val="0"/>
                <w:sz w:val="24"/>
                <w:szCs w:val="24"/>
                <w:lang w:val="en-US" w:eastAsia="zh-CN" w:bidi="ar"/>
              </w:rPr>
              <w:t>30min</w:t>
            </w:r>
            <w:r>
              <w:rPr>
                <w:rFonts w:hint="eastAsia" w:ascii="Times New Roman" w:hAnsi="Times New Roman" w:eastAsia="宋体" w:cs="Times New Roman"/>
                <w:color w:val="000000"/>
                <w:kern w:val="0"/>
                <w:sz w:val="24"/>
                <w:szCs w:val="24"/>
                <w:lang w:val="en-US" w:eastAsia="zh-CN" w:bidi="ar"/>
              </w:rPr>
              <w:t>，</w:t>
            </w:r>
            <w:r>
              <w:rPr>
                <w:rFonts w:hint="eastAsia" w:ascii="Times New Roman" w:hAnsi="Times New Roman" w:cs="Times New Roman"/>
                <w:color w:val="000000"/>
                <w:kern w:val="0"/>
                <w:sz w:val="24"/>
                <w:szCs w:val="24"/>
                <w:lang w:val="en-US" w:eastAsia="zh-CN" w:bidi="ar"/>
              </w:rPr>
              <w:t>装卸时间共200h，</w:t>
            </w:r>
            <w:r>
              <w:rPr>
                <w:rFonts w:hint="eastAsia" w:ascii="Times New Roman" w:hAnsi="Times New Roman" w:eastAsia="宋体" w:cs="Times New Roman"/>
                <w:color w:val="000000"/>
                <w:kern w:val="0"/>
                <w:sz w:val="24"/>
                <w:szCs w:val="24"/>
                <w:lang w:val="en-US" w:eastAsia="zh-CN" w:bidi="ar"/>
              </w:rPr>
              <w:t>项目设</w:t>
            </w:r>
            <w:r>
              <w:rPr>
                <w:rFonts w:hint="default" w:ascii="Times New Roman" w:hAnsi="Times New Roman" w:eastAsia="宋体" w:cs="Times New Roman"/>
                <w:color w:val="000000"/>
                <w:kern w:val="0"/>
                <w:sz w:val="24"/>
                <w:szCs w:val="24"/>
                <w:lang w:val="en-US" w:eastAsia="zh-CN" w:bidi="ar"/>
              </w:rPr>
              <w:t>1</w:t>
            </w:r>
            <w:r>
              <w:rPr>
                <w:rFonts w:hint="eastAsia" w:ascii="Times New Roman" w:hAnsi="Times New Roman" w:eastAsia="宋体" w:cs="Times New Roman"/>
                <w:color w:val="000000"/>
                <w:kern w:val="0"/>
                <w:sz w:val="24"/>
                <w:szCs w:val="24"/>
                <w:lang w:val="en-US" w:eastAsia="zh-CN" w:bidi="ar"/>
              </w:rPr>
              <w:t>个</w:t>
            </w:r>
            <w:r>
              <w:rPr>
                <w:rFonts w:hint="default" w:ascii="Times New Roman" w:hAnsi="Times New Roman" w:eastAsia="宋体" w:cs="Times New Roman"/>
                <w:color w:val="000000"/>
                <w:kern w:val="0"/>
                <w:sz w:val="24"/>
                <w:szCs w:val="24"/>
                <w:lang w:val="en-US" w:eastAsia="zh-CN" w:bidi="ar"/>
              </w:rPr>
              <w:t>30t</w:t>
            </w:r>
            <w:r>
              <w:rPr>
                <w:rFonts w:hint="eastAsia" w:ascii="Times New Roman" w:hAnsi="Times New Roman" w:eastAsia="宋体" w:cs="Times New Roman"/>
                <w:color w:val="000000"/>
                <w:kern w:val="0"/>
                <w:sz w:val="24"/>
                <w:szCs w:val="24"/>
                <w:lang w:val="en-US" w:eastAsia="zh-CN" w:bidi="ar"/>
              </w:rPr>
              <w:t>的粉料筒，每天约 4</w:t>
            </w:r>
            <w:r>
              <w:rPr>
                <w:rFonts w:hint="default" w:ascii="Times New Roman" w:hAnsi="Times New Roman" w:eastAsia="宋体" w:cs="Times New Roman"/>
                <w:color w:val="000000"/>
                <w:kern w:val="0"/>
                <w:sz w:val="24"/>
                <w:szCs w:val="24"/>
                <w:lang w:val="en-US" w:eastAsia="zh-CN" w:bidi="ar"/>
              </w:rPr>
              <w:t xml:space="preserve"> </w:t>
            </w:r>
            <w:r>
              <w:rPr>
                <w:rFonts w:hint="eastAsia" w:ascii="Times New Roman" w:hAnsi="Times New Roman" w:eastAsia="宋体" w:cs="Times New Roman"/>
                <w:color w:val="000000"/>
                <w:kern w:val="0"/>
                <w:sz w:val="24"/>
                <w:szCs w:val="24"/>
                <w:lang w:val="en-US" w:eastAsia="zh-CN" w:bidi="ar"/>
              </w:rPr>
              <w:t>次装卸，</w:t>
            </w:r>
            <w:r>
              <w:rPr>
                <w:rFonts w:hint="eastAsia" w:ascii="宋体" w:hAnsi="宋体" w:eastAsia="宋体" w:cs="宋体"/>
                <w:color w:val="000000"/>
                <w:kern w:val="0"/>
                <w:sz w:val="24"/>
                <w:szCs w:val="24"/>
                <w:lang w:val="en-US" w:eastAsia="zh-CN" w:bidi="ar"/>
              </w:rPr>
              <w:t xml:space="preserve">项目每天装卸时间约 </w:t>
            </w:r>
            <w:r>
              <w:rPr>
                <w:rFonts w:hint="eastAsia" w:ascii="Times New Roman" w:hAnsi="Times New Roman" w:eastAsia="宋体"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h</w:t>
            </w:r>
            <w:r>
              <w:rPr>
                <w:rFonts w:hint="eastAsia" w:ascii="宋体" w:hAnsi="宋体" w:eastAsia="宋体" w:cs="宋体"/>
                <w:color w:val="000000"/>
                <w:kern w:val="0"/>
                <w:sz w:val="24"/>
                <w:szCs w:val="24"/>
                <w:lang w:val="en-US" w:eastAsia="zh-CN" w:bidi="ar"/>
              </w:rPr>
              <w:t>，粉料运输车辆自备的空压机产生的气量</w:t>
            </w:r>
            <w:r>
              <w:rPr>
                <w:rFonts w:hint="default" w:ascii="Times New Roman" w:hAnsi="Times New Roman" w:eastAsia="宋体" w:cs="Times New Roman"/>
                <w:color w:val="000000"/>
                <w:kern w:val="0"/>
                <w:sz w:val="24"/>
                <w:szCs w:val="24"/>
                <w:lang w:val="en-US" w:eastAsia="zh-CN" w:bidi="ar"/>
              </w:rPr>
              <w:t>1500m</w:t>
            </w:r>
            <w:r>
              <w:rPr>
                <w:rFonts w:hint="default"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/h</w:t>
            </w:r>
            <w:r>
              <w:rPr>
                <w:rFonts w:hint="eastAsia" w:ascii="宋体" w:hAnsi="宋体" w:eastAsia="宋体" w:cs="宋体"/>
                <w:color w:val="000000"/>
                <w:kern w:val="0"/>
                <w:sz w:val="24"/>
                <w:szCs w:val="24"/>
                <w:lang w:val="en-US" w:eastAsia="zh-CN" w:bidi="ar"/>
              </w:rPr>
              <w:t xml:space="preserve">，送料时产生的粉尘浓度约 </w:t>
            </w:r>
            <w:r>
              <w:rPr>
                <w:rFonts w:hint="default" w:ascii="Times New Roman" w:hAnsi="Times New Roman" w:eastAsia="宋体" w:cs="Times New Roman"/>
                <w:color w:val="000000"/>
                <w:kern w:val="0"/>
                <w:sz w:val="24"/>
                <w:szCs w:val="24"/>
                <w:lang w:val="en-US" w:eastAsia="zh-CN" w:bidi="ar"/>
              </w:rPr>
              <w:t>2000mg/m</w:t>
            </w:r>
            <w:r>
              <w:rPr>
                <w:rFonts w:hint="default" w:ascii="Times New Roman" w:hAnsi="Times New Roman" w:eastAsia="宋体" w:cs="Times New Roman"/>
                <w:color w:val="000000"/>
                <w:kern w:val="0"/>
                <w:sz w:val="24"/>
                <w:szCs w:val="24"/>
                <w:vertAlign w:val="superscript"/>
                <w:lang w:val="en-US" w:eastAsia="zh-CN" w:bidi="ar"/>
              </w:rPr>
              <w:t>3</w:t>
            </w:r>
            <w:r>
              <w:rPr>
                <w:rFonts w:hint="eastAsia" w:ascii="宋体" w:hAnsi="宋体" w:eastAsia="宋体" w:cs="宋体"/>
                <w:color w:val="000000"/>
                <w:kern w:val="0"/>
                <w:sz w:val="24"/>
                <w:szCs w:val="24"/>
                <w:lang w:val="en-US" w:eastAsia="zh-CN" w:bidi="ar"/>
              </w:rPr>
              <w:t>，粉尘产生量为</w:t>
            </w:r>
            <w:r>
              <w:rPr>
                <w:rFonts w:hint="default" w:ascii="Times New Roman" w:hAnsi="Times New Roman" w:eastAsia="宋体" w:cs="Times New Roman"/>
                <w:color w:val="000000"/>
                <w:kern w:val="0"/>
                <w:sz w:val="24"/>
                <w:szCs w:val="24"/>
                <w:lang w:val="en-US" w:eastAsia="zh-CN" w:bidi="ar"/>
              </w:rPr>
              <w:t>3kg/h</w:t>
            </w:r>
            <w:r>
              <w:rPr>
                <w:rFonts w:hint="eastAsia" w:ascii="宋体" w:hAnsi="宋体" w:eastAsia="宋体" w:cs="宋体"/>
                <w:color w:val="000000"/>
                <w:kern w:val="0"/>
                <w:sz w:val="24"/>
                <w:szCs w:val="24"/>
                <w:lang w:val="en-US" w:eastAsia="zh-CN" w:bidi="ar"/>
              </w:rPr>
              <w:t>，即为0.6t。</w:t>
            </w:r>
          </w:p>
          <w:p>
            <w:pPr>
              <w:pStyle w:val="3"/>
              <w:ind w:firstLine="480"/>
              <w:rPr>
                <w:rFonts w:hint="eastAsia" w:ascii="Times New Roman" w:hAnsi="Times New Roman" w:eastAsia="宋体" w:cs="Times New Roman"/>
                <w:color w:val="000000"/>
                <w:kern w:val="0"/>
                <w:sz w:val="24"/>
                <w:szCs w:val="24"/>
                <w:lang w:val="en-US" w:eastAsia="zh-CN" w:bidi="ar"/>
              </w:rPr>
            </w:pPr>
            <w:r>
              <w:rPr>
                <w:rFonts w:hint="eastAsia"/>
                <w:b/>
                <w:color w:val="auto"/>
              </w:rPr>
              <w:t>治理措施：</w:t>
            </w:r>
            <w:r>
              <w:rPr>
                <w:rFonts w:hint="eastAsia" w:ascii="Times New Roman" w:hAnsi="Times New Roman" w:eastAsia="宋体" w:cs="Times New Roman"/>
                <w:color w:val="000000"/>
                <w:kern w:val="0"/>
                <w:sz w:val="24"/>
                <w:szCs w:val="24"/>
                <w:lang w:val="en-US" w:eastAsia="zh-CN" w:bidi="ar"/>
              </w:rPr>
              <w:t xml:space="preserve">粉料仓呼吸孔粉尘经过筒顶脉冲布袋除尘器处理后由粉仓顶 </w:t>
            </w:r>
            <w:r>
              <w:rPr>
                <w:rFonts w:hint="default" w:ascii="Times New Roman" w:hAnsi="Times New Roman" w:eastAsia="宋体" w:cs="Times New Roman"/>
                <w:color w:val="000000"/>
                <w:kern w:val="0"/>
                <w:sz w:val="24"/>
                <w:szCs w:val="24"/>
                <w:lang w:val="en-US" w:eastAsia="zh-CN" w:bidi="ar"/>
              </w:rPr>
              <w:t xml:space="preserve">15m </w:t>
            </w:r>
            <w:r>
              <w:rPr>
                <w:rFonts w:hint="eastAsia" w:ascii="Times New Roman" w:hAnsi="Times New Roman" w:eastAsia="宋体" w:cs="Times New Roman"/>
                <w:color w:val="000000"/>
                <w:kern w:val="0"/>
                <w:sz w:val="24"/>
                <w:szCs w:val="24"/>
                <w:lang w:val="en-US" w:eastAsia="zh-CN" w:bidi="ar"/>
              </w:rPr>
              <w:t xml:space="preserve">高排气筒排放，除尘器除尘率为 </w:t>
            </w:r>
            <w:r>
              <w:rPr>
                <w:rFonts w:hint="default" w:ascii="Times New Roman" w:hAnsi="Times New Roman" w:eastAsia="宋体" w:cs="Times New Roman"/>
                <w:color w:val="000000"/>
                <w:kern w:val="0"/>
                <w:sz w:val="24"/>
                <w:szCs w:val="24"/>
                <w:lang w:val="en-US" w:eastAsia="zh-CN" w:bidi="ar"/>
              </w:rPr>
              <w:t>99%</w:t>
            </w:r>
            <w:r>
              <w:rPr>
                <w:rFonts w:hint="eastAsia" w:ascii="Times New Roman" w:hAnsi="Times New Roman" w:eastAsia="宋体" w:cs="Times New Roman"/>
                <w:color w:val="000000"/>
                <w:kern w:val="0"/>
                <w:sz w:val="24"/>
                <w:szCs w:val="24"/>
                <w:lang w:val="en-US" w:eastAsia="zh-CN" w:bidi="ar"/>
              </w:rPr>
              <w:t xml:space="preserve">以上，处理后的粉尘排放量 </w:t>
            </w:r>
            <w:r>
              <w:rPr>
                <w:rFonts w:hint="default" w:ascii="Times New Roman" w:hAnsi="Times New Roman" w:eastAsia="宋体" w:cs="Times New Roman"/>
                <w:color w:val="000000"/>
                <w:kern w:val="0"/>
                <w:sz w:val="24"/>
                <w:szCs w:val="24"/>
                <w:lang w:val="en-US" w:eastAsia="zh-CN" w:bidi="ar"/>
              </w:rPr>
              <w:t>0.00</w:t>
            </w:r>
            <w:r>
              <w:rPr>
                <w:rFonts w:hint="eastAsia" w:cs="Times New Roman"/>
                <w:color w:val="000000"/>
                <w:kern w:val="0"/>
                <w:sz w:val="24"/>
                <w:szCs w:val="24"/>
                <w:lang w:val="en-US" w:eastAsia="zh-CN" w:bidi="ar"/>
              </w:rPr>
              <w:t>6</w:t>
            </w:r>
            <w:r>
              <w:rPr>
                <w:rFonts w:hint="default" w:ascii="Times New Roman" w:hAnsi="Times New Roman" w:eastAsia="宋体" w:cs="Times New Roman"/>
                <w:color w:val="000000"/>
                <w:kern w:val="0"/>
                <w:sz w:val="24"/>
                <w:szCs w:val="24"/>
                <w:lang w:val="en-US" w:eastAsia="zh-CN" w:bidi="ar"/>
              </w:rPr>
              <w:t>t</w:t>
            </w:r>
            <w:r>
              <w:rPr>
                <w:rFonts w:hint="eastAsia" w:ascii="Times New Roman" w:hAnsi="Times New Roman" w:eastAsia="宋体" w:cs="Times New Roman"/>
                <w:color w:val="000000"/>
                <w:kern w:val="0"/>
                <w:sz w:val="24"/>
                <w:szCs w:val="24"/>
                <w:lang w:val="en-US" w:eastAsia="zh-CN" w:bidi="ar"/>
              </w:rPr>
              <w:t xml:space="preserve">，排放速率为 </w:t>
            </w:r>
            <w:r>
              <w:rPr>
                <w:rFonts w:hint="default" w:ascii="Times New Roman" w:hAnsi="Times New Roman" w:eastAsia="宋体" w:cs="Times New Roman"/>
                <w:color w:val="000000"/>
                <w:kern w:val="0"/>
                <w:sz w:val="24"/>
                <w:szCs w:val="24"/>
                <w:lang w:val="en-US" w:eastAsia="zh-CN" w:bidi="ar"/>
              </w:rPr>
              <w:t>0.03kg/h</w:t>
            </w:r>
            <w:r>
              <w:rPr>
                <w:rFonts w:hint="eastAsia" w:ascii="Times New Roman" w:hAnsi="Times New Roman" w:eastAsia="宋体" w:cs="Times New Roman"/>
                <w:color w:val="000000"/>
                <w:kern w:val="0"/>
                <w:sz w:val="24"/>
                <w:szCs w:val="24"/>
                <w:lang w:val="en-US" w:eastAsia="zh-CN" w:bidi="ar"/>
              </w:rPr>
              <w:t xml:space="preserve">，排放浓度为 </w:t>
            </w:r>
            <w:r>
              <w:rPr>
                <w:rFonts w:hint="default" w:ascii="Times New Roman" w:hAnsi="Times New Roman" w:eastAsia="宋体" w:cs="Times New Roman"/>
                <w:color w:val="000000"/>
                <w:kern w:val="0"/>
                <w:sz w:val="24"/>
                <w:szCs w:val="24"/>
                <w:lang w:val="en-US" w:eastAsia="zh-CN" w:bidi="ar"/>
              </w:rPr>
              <w:t>20mg/m</w:t>
            </w:r>
            <w:r>
              <w:rPr>
                <w:rFonts w:hint="default" w:ascii="Times New Roman" w:hAnsi="Times New Roman" w:eastAsia="宋体" w:cs="Times New Roman"/>
                <w:color w:val="000000"/>
                <w:kern w:val="0"/>
                <w:sz w:val="24"/>
                <w:szCs w:val="24"/>
                <w:vertAlign w:val="superscript"/>
                <w:lang w:val="en-US" w:eastAsia="zh-CN" w:bidi="ar"/>
              </w:rPr>
              <w:t>3</w:t>
            </w:r>
            <w:r>
              <w:rPr>
                <w:rFonts w:hint="eastAsia" w:ascii="Times New Roman" w:hAnsi="Times New Roman" w:eastAsia="宋体" w:cs="Times New Roman"/>
                <w:color w:val="000000"/>
                <w:kern w:val="0"/>
                <w:sz w:val="24"/>
                <w:szCs w:val="24"/>
                <w:lang w:val="en-US" w:eastAsia="zh-CN" w:bidi="ar"/>
              </w:rPr>
              <w:t>。</w:t>
            </w:r>
          </w:p>
          <w:p>
            <w:pPr>
              <w:tabs>
                <w:tab w:val="left" w:pos="851"/>
              </w:tabs>
              <w:adjustRightInd w:val="0"/>
              <w:snapToGrid w:val="0"/>
              <w:ind w:firstLine="480"/>
              <w:jc w:val="center"/>
              <w:rPr>
                <w:rFonts w:hint="eastAsia" w:ascii="宋体" w:hAnsi="宋体" w:eastAsia="宋体" w:cs="宋体"/>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表4-3  粉</w:t>
            </w:r>
            <w:r>
              <w:rPr>
                <w:rFonts w:hint="eastAsia" w:ascii="宋体" w:hAnsi="宋体" w:eastAsia="宋体" w:cs="宋体"/>
                <w:b/>
                <w:bCs/>
                <w:color w:val="auto"/>
                <w:sz w:val="21"/>
                <w:szCs w:val="21"/>
                <w:highlight w:val="none"/>
                <w:lang w:val="en-US" w:eastAsia="zh-CN"/>
              </w:rPr>
              <w:t>料仓呼吸孔粉尘排放情况一览表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
              <w:gridCol w:w="913"/>
              <w:gridCol w:w="1024"/>
              <w:gridCol w:w="1011"/>
              <w:gridCol w:w="1040"/>
              <w:gridCol w:w="969"/>
              <w:gridCol w:w="1054"/>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844" w:type="dxa"/>
                  <w:vAlign w:val="top"/>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cs="Times New Roman"/>
                      <w:color w:val="000000"/>
                      <w:kern w:val="0"/>
                      <w:sz w:val="21"/>
                      <w:szCs w:val="21"/>
                      <w:vertAlign w:val="baseline"/>
                      <w:lang w:val="en-US" w:eastAsia="zh-CN" w:bidi="ar"/>
                    </w:rPr>
                    <w:t>污染物名称</w:t>
                  </w:r>
                </w:p>
              </w:tc>
              <w:tc>
                <w:tcPr>
                  <w:tcW w:w="913" w:type="dxa"/>
                  <w:vAlign w:val="top"/>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cs="Times New Roman"/>
                      <w:color w:val="000000"/>
                      <w:kern w:val="0"/>
                      <w:sz w:val="21"/>
                      <w:szCs w:val="21"/>
                      <w:vertAlign w:val="baseline"/>
                      <w:lang w:val="en-US" w:eastAsia="zh-CN" w:bidi="ar"/>
                    </w:rPr>
                    <w:t>产生环节</w:t>
                  </w:r>
                </w:p>
              </w:tc>
              <w:tc>
                <w:tcPr>
                  <w:tcW w:w="3075" w:type="dxa"/>
                  <w:gridSpan w:val="3"/>
                </w:tcPr>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cs="Times New Roman"/>
                      <w:color w:val="000000"/>
                      <w:kern w:val="0"/>
                      <w:sz w:val="21"/>
                      <w:szCs w:val="21"/>
                      <w:vertAlign w:val="baseline"/>
                      <w:lang w:val="en-US" w:eastAsia="zh-CN" w:bidi="ar"/>
                    </w:rPr>
                    <w:t>产生情况</w:t>
                  </w:r>
                </w:p>
              </w:tc>
              <w:tc>
                <w:tcPr>
                  <w:tcW w:w="2986" w:type="dxa"/>
                  <w:gridSpan w:val="3"/>
                </w:tcPr>
                <w:p>
                  <w:pPr>
                    <w:keepNext w:val="0"/>
                    <w:keepLines w:val="0"/>
                    <w:pageBreakBefore w:val="0"/>
                    <w:widowControl/>
                    <w:suppressLineNumbers w:val="0"/>
                    <w:kinsoku/>
                    <w:wordWrap/>
                    <w:overflowPunct/>
                    <w:topLinePunct w:val="0"/>
                    <w:autoSpaceDE w:val="0"/>
                    <w:autoSpaceDN w:val="0"/>
                    <w:bidi w:val="0"/>
                    <w:adjustRightInd/>
                    <w:snapToGrid/>
                    <w:spacing w:line="360" w:lineRule="auto"/>
                    <w:jc w:val="center"/>
                    <w:textAlignment w:val="auto"/>
                    <w:rPr>
                      <w:rFonts w:hint="eastAsia"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cs="Times New Roman"/>
                      <w:color w:val="000000"/>
                      <w:kern w:val="0"/>
                      <w:sz w:val="21"/>
                      <w:szCs w:val="21"/>
                      <w:vertAlign w:val="baseline"/>
                      <w:lang w:val="en-US" w:eastAsia="zh-CN" w:bidi="ar"/>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844" w:type="dxa"/>
                  <w:vMerge w:val="restart"/>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color w:val="000000"/>
                      <w:kern w:val="0"/>
                      <w:sz w:val="21"/>
                      <w:szCs w:val="21"/>
                      <w:vertAlign w:val="baseline"/>
                      <w:lang w:val="en-US" w:eastAsia="zh-CN" w:bidi="ar"/>
                    </w:rPr>
                  </w:pPr>
                  <w:r>
                    <w:rPr>
                      <w:rFonts w:hint="eastAsia" w:ascii="Times New Roman" w:hAnsi="Times New Roman" w:cs="Times New Roman"/>
                      <w:color w:val="000000"/>
                      <w:kern w:val="0"/>
                      <w:sz w:val="21"/>
                      <w:szCs w:val="21"/>
                      <w:vertAlign w:val="baseline"/>
                      <w:lang w:val="en-US" w:eastAsia="zh-CN" w:bidi="ar"/>
                    </w:rPr>
                    <w:t>粉尘</w:t>
                  </w:r>
                </w:p>
              </w:tc>
              <w:tc>
                <w:tcPr>
                  <w:tcW w:w="913" w:type="dxa"/>
                  <w:vMerge w:val="restart"/>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color w:val="000000"/>
                      <w:kern w:val="0"/>
                      <w:sz w:val="21"/>
                      <w:szCs w:val="21"/>
                      <w:vertAlign w:val="baseline"/>
                      <w:lang w:val="en-US" w:eastAsia="zh-CN" w:bidi="ar"/>
                    </w:rPr>
                  </w:pPr>
                  <w:r>
                    <w:rPr>
                      <w:rFonts w:hint="eastAsia" w:ascii="Times New Roman" w:hAnsi="Times New Roman" w:cs="Times New Roman"/>
                      <w:color w:val="000000"/>
                      <w:kern w:val="0"/>
                      <w:sz w:val="21"/>
                      <w:szCs w:val="21"/>
                      <w:vertAlign w:val="baseline"/>
                      <w:lang w:val="en-US" w:eastAsia="zh-CN" w:bidi="ar"/>
                    </w:rPr>
                    <w:t>粉料仓</w:t>
                  </w:r>
                </w:p>
              </w:tc>
              <w:tc>
                <w:tcPr>
                  <w:tcW w:w="1024" w:type="dxa"/>
                  <w:vAlign w:val="top"/>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Times New Roman" w:hAnsi="Times New Roman" w:cs="Times New Roman"/>
                      <w:color w:val="000000"/>
                      <w:kern w:val="0"/>
                      <w:sz w:val="21"/>
                      <w:szCs w:val="21"/>
                      <w:vertAlign w:val="baseline"/>
                      <w:lang w:val="en-US" w:eastAsia="zh-CN" w:bidi="ar"/>
                    </w:rPr>
                  </w:pPr>
                  <w:r>
                    <w:rPr>
                      <w:rFonts w:hint="eastAsia" w:ascii="Times New Roman" w:hAnsi="Times New Roman" w:cs="Times New Roman"/>
                      <w:color w:val="000000"/>
                      <w:kern w:val="0"/>
                      <w:sz w:val="21"/>
                      <w:szCs w:val="21"/>
                      <w:vertAlign w:val="baseline"/>
                      <w:lang w:val="en-US" w:eastAsia="zh-CN" w:bidi="ar"/>
                    </w:rPr>
                    <w:t>产生量t</w:t>
                  </w:r>
                </w:p>
              </w:tc>
              <w:tc>
                <w:tcPr>
                  <w:tcW w:w="1011" w:type="dxa"/>
                  <w:vAlign w:val="top"/>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Times New Roman" w:hAnsi="Times New Roman" w:cs="Times New Roman"/>
                      <w:color w:val="000000"/>
                      <w:kern w:val="0"/>
                      <w:sz w:val="21"/>
                      <w:szCs w:val="21"/>
                      <w:vertAlign w:val="baseline"/>
                      <w:lang w:val="en-US" w:eastAsia="zh-CN" w:bidi="ar"/>
                    </w:rPr>
                  </w:pPr>
                  <w:r>
                    <w:rPr>
                      <w:rFonts w:hint="eastAsia" w:ascii="Times New Roman" w:hAnsi="Times New Roman" w:cs="Times New Roman"/>
                      <w:color w:val="000000"/>
                      <w:kern w:val="0"/>
                      <w:sz w:val="21"/>
                      <w:szCs w:val="21"/>
                      <w:vertAlign w:val="baseline"/>
                      <w:lang w:val="en-US" w:eastAsia="zh-CN" w:bidi="ar"/>
                    </w:rPr>
                    <w:t>产生速率kg/h</w:t>
                  </w:r>
                </w:p>
              </w:tc>
              <w:tc>
                <w:tcPr>
                  <w:tcW w:w="1040" w:type="dxa"/>
                  <w:vAlign w:val="top"/>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Times New Roman" w:hAnsi="Times New Roman" w:cs="Times New Roman"/>
                      <w:color w:val="000000"/>
                      <w:kern w:val="0"/>
                      <w:sz w:val="21"/>
                      <w:szCs w:val="21"/>
                      <w:vertAlign w:val="baseline"/>
                      <w:lang w:val="en-US" w:eastAsia="zh-CN" w:bidi="ar"/>
                    </w:rPr>
                  </w:pPr>
                  <w:r>
                    <w:rPr>
                      <w:rFonts w:hint="eastAsia" w:ascii="Times New Roman" w:hAnsi="Times New Roman" w:cs="Times New Roman"/>
                      <w:color w:val="000000"/>
                      <w:kern w:val="0"/>
                      <w:sz w:val="21"/>
                      <w:szCs w:val="21"/>
                      <w:vertAlign w:val="baseline"/>
                      <w:lang w:val="en-US" w:eastAsia="zh-CN" w:bidi="ar"/>
                    </w:rPr>
                    <w:t>产生浓度mg/m</w:t>
                  </w:r>
                  <w:r>
                    <w:rPr>
                      <w:rFonts w:hint="eastAsia" w:ascii="Times New Roman" w:hAnsi="Times New Roman" w:cs="Times New Roman"/>
                      <w:color w:val="000000"/>
                      <w:kern w:val="0"/>
                      <w:sz w:val="21"/>
                      <w:szCs w:val="21"/>
                      <w:vertAlign w:val="superscript"/>
                      <w:lang w:val="en-US" w:eastAsia="zh-CN" w:bidi="ar"/>
                    </w:rPr>
                    <w:t>3</w:t>
                  </w:r>
                </w:p>
              </w:tc>
              <w:tc>
                <w:tcPr>
                  <w:tcW w:w="969" w:type="dxa"/>
                  <w:vAlign w:val="top"/>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cs="Times New Roman"/>
                      <w:color w:val="000000"/>
                      <w:kern w:val="0"/>
                      <w:sz w:val="21"/>
                      <w:szCs w:val="21"/>
                      <w:vertAlign w:val="baseline"/>
                      <w:lang w:val="en-US" w:eastAsia="zh-CN" w:bidi="ar"/>
                    </w:rPr>
                    <w:t>排放量t</w:t>
                  </w:r>
                </w:p>
              </w:tc>
              <w:tc>
                <w:tcPr>
                  <w:tcW w:w="1054" w:type="dxa"/>
                  <w:vAlign w:val="top"/>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cs="Times New Roman"/>
                      <w:color w:val="000000"/>
                      <w:kern w:val="0"/>
                      <w:sz w:val="21"/>
                      <w:szCs w:val="21"/>
                      <w:vertAlign w:val="baseline"/>
                      <w:lang w:val="en-US" w:eastAsia="zh-CN" w:bidi="ar"/>
                    </w:rPr>
                    <w:t>排放速率kg/h</w:t>
                  </w:r>
                </w:p>
              </w:tc>
              <w:tc>
                <w:tcPr>
                  <w:tcW w:w="963" w:type="dxa"/>
                  <w:vAlign w:val="top"/>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Times New Roman" w:hAnsi="Times New Roman" w:eastAsia="宋体" w:cs="Times New Roman"/>
                      <w:color w:val="000000"/>
                      <w:kern w:val="0"/>
                      <w:sz w:val="21"/>
                      <w:szCs w:val="21"/>
                      <w:vertAlign w:val="baseline"/>
                      <w:lang w:val="en-US" w:eastAsia="zh-CN" w:bidi="ar"/>
                    </w:rPr>
                  </w:pPr>
                  <w:r>
                    <w:rPr>
                      <w:rFonts w:hint="eastAsia" w:ascii="Times New Roman" w:hAnsi="Times New Roman" w:cs="Times New Roman"/>
                      <w:color w:val="000000"/>
                      <w:kern w:val="0"/>
                      <w:sz w:val="21"/>
                      <w:szCs w:val="21"/>
                      <w:vertAlign w:val="baseline"/>
                      <w:lang w:val="en-US" w:eastAsia="zh-CN" w:bidi="ar"/>
                    </w:rPr>
                    <w:t>排放浓度mg/m</w:t>
                  </w:r>
                  <w:r>
                    <w:rPr>
                      <w:rFonts w:hint="eastAsia" w:ascii="Times New Roman" w:hAnsi="Times New Roman" w:cs="Times New Roman"/>
                      <w:color w:val="000000"/>
                      <w:kern w:val="0"/>
                      <w:sz w:val="21"/>
                      <w:szCs w:val="21"/>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844" w:type="dxa"/>
                  <w:vMerge w:val="continue"/>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Times New Roman" w:hAnsi="Times New Roman" w:cs="Times New Roman"/>
                      <w:color w:val="000000"/>
                      <w:kern w:val="0"/>
                      <w:sz w:val="21"/>
                      <w:szCs w:val="21"/>
                      <w:vertAlign w:val="baseline"/>
                      <w:lang w:val="en-US" w:eastAsia="zh-CN" w:bidi="ar"/>
                    </w:rPr>
                  </w:pPr>
                </w:p>
              </w:tc>
              <w:tc>
                <w:tcPr>
                  <w:tcW w:w="913" w:type="dxa"/>
                  <w:vMerge w:val="continue"/>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Times New Roman" w:hAnsi="Times New Roman" w:cs="Times New Roman"/>
                      <w:color w:val="000000"/>
                      <w:kern w:val="0"/>
                      <w:sz w:val="21"/>
                      <w:szCs w:val="21"/>
                      <w:vertAlign w:val="baseline"/>
                      <w:lang w:val="en-US" w:eastAsia="zh-CN" w:bidi="ar"/>
                    </w:rPr>
                  </w:pPr>
                </w:p>
              </w:tc>
              <w:tc>
                <w:tcPr>
                  <w:tcW w:w="1024" w:type="dxa"/>
                  <w:vAlign w:val="top"/>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color w:val="000000"/>
                      <w:kern w:val="0"/>
                      <w:sz w:val="21"/>
                      <w:szCs w:val="21"/>
                      <w:vertAlign w:val="baseline"/>
                      <w:lang w:val="en-US" w:eastAsia="zh-CN" w:bidi="ar"/>
                    </w:rPr>
                  </w:pPr>
                  <w:r>
                    <w:rPr>
                      <w:rFonts w:hint="eastAsia" w:ascii="Times New Roman" w:hAnsi="Times New Roman" w:cs="Times New Roman"/>
                      <w:color w:val="000000"/>
                      <w:kern w:val="0"/>
                      <w:sz w:val="21"/>
                      <w:szCs w:val="21"/>
                      <w:vertAlign w:val="baseline"/>
                      <w:lang w:val="en-US" w:eastAsia="zh-CN" w:bidi="ar"/>
                    </w:rPr>
                    <w:t>0.6</w:t>
                  </w:r>
                </w:p>
              </w:tc>
              <w:tc>
                <w:tcPr>
                  <w:tcW w:w="1011" w:type="dxa"/>
                  <w:vAlign w:val="top"/>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color w:val="000000"/>
                      <w:kern w:val="0"/>
                      <w:sz w:val="21"/>
                      <w:szCs w:val="21"/>
                      <w:vertAlign w:val="baseline"/>
                      <w:lang w:val="en-US" w:eastAsia="zh-CN" w:bidi="ar"/>
                    </w:rPr>
                  </w:pPr>
                  <w:r>
                    <w:rPr>
                      <w:rFonts w:hint="eastAsia" w:ascii="Times New Roman" w:hAnsi="Times New Roman" w:cs="Times New Roman"/>
                      <w:color w:val="000000"/>
                      <w:kern w:val="0"/>
                      <w:sz w:val="21"/>
                      <w:szCs w:val="21"/>
                      <w:vertAlign w:val="baseline"/>
                      <w:lang w:val="en-US" w:eastAsia="zh-CN" w:bidi="ar"/>
                    </w:rPr>
                    <w:t>3</w:t>
                  </w:r>
                </w:p>
              </w:tc>
              <w:tc>
                <w:tcPr>
                  <w:tcW w:w="1040" w:type="dxa"/>
                  <w:vAlign w:val="top"/>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color w:val="000000"/>
                      <w:kern w:val="0"/>
                      <w:sz w:val="21"/>
                      <w:szCs w:val="21"/>
                      <w:vertAlign w:val="baseline"/>
                      <w:lang w:val="en-US" w:eastAsia="zh-CN" w:bidi="ar"/>
                    </w:rPr>
                  </w:pPr>
                  <w:r>
                    <w:rPr>
                      <w:rFonts w:hint="eastAsia" w:ascii="Times New Roman" w:hAnsi="Times New Roman" w:cs="Times New Roman"/>
                      <w:color w:val="000000"/>
                      <w:kern w:val="0"/>
                      <w:sz w:val="21"/>
                      <w:szCs w:val="21"/>
                      <w:vertAlign w:val="baseline"/>
                      <w:lang w:val="en-US" w:eastAsia="zh-CN" w:bidi="ar"/>
                    </w:rPr>
                    <w:t>2000</w:t>
                  </w:r>
                </w:p>
              </w:tc>
              <w:tc>
                <w:tcPr>
                  <w:tcW w:w="969" w:type="dxa"/>
                  <w:vAlign w:val="top"/>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color w:val="000000"/>
                      <w:kern w:val="0"/>
                      <w:sz w:val="21"/>
                      <w:szCs w:val="21"/>
                      <w:vertAlign w:val="baseline"/>
                      <w:lang w:val="en-US" w:eastAsia="zh-CN" w:bidi="ar"/>
                    </w:rPr>
                  </w:pPr>
                  <w:r>
                    <w:rPr>
                      <w:rFonts w:hint="eastAsia" w:ascii="Times New Roman" w:hAnsi="Times New Roman" w:cs="Times New Roman"/>
                      <w:color w:val="000000"/>
                      <w:kern w:val="0"/>
                      <w:sz w:val="21"/>
                      <w:szCs w:val="21"/>
                      <w:vertAlign w:val="baseline"/>
                      <w:lang w:val="en-US" w:eastAsia="zh-CN" w:bidi="ar"/>
                    </w:rPr>
                    <w:t>0.009</w:t>
                  </w:r>
                </w:p>
              </w:tc>
              <w:tc>
                <w:tcPr>
                  <w:tcW w:w="1054" w:type="dxa"/>
                  <w:vAlign w:val="top"/>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color w:val="000000"/>
                      <w:kern w:val="0"/>
                      <w:sz w:val="21"/>
                      <w:szCs w:val="21"/>
                      <w:vertAlign w:val="baseline"/>
                      <w:lang w:val="en-US" w:eastAsia="zh-CN" w:bidi="ar"/>
                    </w:rPr>
                  </w:pPr>
                  <w:r>
                    <w:rPr>
                      <w:rFonts w:hint="eastAsia" w:ascii="Times New Roman" w:hAnsi="Times New Roman" w:cs="Times New Roman"/>
                      <w:color w:val="000000"/>
                      <w:kern w:val="0"/>
                      <w:sz w:val="21"/>
                      <w:szCs w:val="21"/>
                      <w:vertAlign w:val="baseline"/>
                      <w:lang w:val="en-US" w:eastAsia="zh-CN" w:bidi="ar"/>
                    </w:rPr>
                    <w:t>0.03</w:t>
                  </w:r>
                </w:p>
              </w:tc>
              <w:tc>
                <w:tcPr>
                  <w:tcW w:w="963" w:type="dxa"/>
                  <w:vAlign w:val="top"/>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color w:val="000000"/>
                      <w:kern w:val="0"/>
                      <w:sz w:val="21"/>
                      <w:szCs w:val="21"/>
                      <w:vertAlign w:val="baseline"/>
                      <w:lang w:val="en-US" w:eastAsia="zh-CN" w:bidi="ar"/>
                    </w:rPr>
                  </w:pPr>
                  <w:r>
                    <w:rPr>
                      <w:rFonts w:hint="eastAsia" w:ascii="Times New Roman" w:hAnsi="Times New Roman" w:cs="Times New Roman"/>
                      <w:color w:val="000000"/>
                      <w:kern w:val="0"/>
                      <w:sz w:val="21"/>
                      <w:szCs w:val="21"/>
                      <w:vertAlign w:val="baseli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4832" w:type="dxa"/>
                  <w:gridSpan w:val="5"/>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Times New Roman" w:hAnsi="Times New Roman" w:cs="Times New Roman"/>
                      <w:color w:val="000000"/>
                      <w:kern w:val="0"/>
                      <w:sz w:val="21"/>
                      <w:szCs w:val="21"/>
                      <w:vertAlign w:val="baseline"/>
                      <w:lang w:val="en-US" w:eastAsia="zh-CN" w:bidi="ar"/>
                    </w:rPr>
                  </w:pPr>
                  <w:r>
                    <w:rPr>
                      <w:rFonts w:hint="eastAsia" w:ascii="Times New Roman" w:hAnsi="Times New Roman" w:cs="Times New Roman"/>
                      <w:color w:val="000000"/>
                      <w:kern w:val="0"/>
                      <w:sz w:val="21"/>
                      <w:szCs w:val="21"/>
                      <w:vertAlign w:val="baseline"/>
                      <w:lang w:val="en-US" w:eastAsia="zh-CN" w:bidi="ar"/>
                    </w:rPr>
                    <w:t>《大气污染物综合排放标准》（</w:t>
                  </w:r>
                  <w:r>
                    <w:rPr>
                      <w:rFonts w:hint="default" w:ascii="Times New Roman" w:hAnsi="Times New Roman" w:cs="Times New Roman"/>
                      <w:color w:val="000000"/>
                      <w:kern w:val="0"/>
                      <w:sz w:val="21"/>
                      <w:szCs w:val="21"/>
                      <w:vertAlign w:val="baseline"/>
                      <w:lang w:val="en-US" w:eastAsia="zh-CN" w:bidi="ar"/>
                    </w:rPr>
                    <w:t>GB16297-1996</w:t>
                  </w:r>
                  <w:r>
                    <w:rPr>
                      <w:rFonts w:hint="eastAsia" w:ascii="Times New Roman" w:hAnsi="Times New Roman" w:cs="Times New Roman"/>
                      <w:color w:val="000000"/>
                      <w:kern w:val="0"/>
                      <w:sz w:val="21"/>
                      <w:szCs w:val="21"/>
                      <w:vertAlign w:val="baseline"/>
                      <w:lang w:val="en-US" w:eastAsia="zh-CN" w:bidi="ar"/>
                    </w:rPr>
                    <w:t xml:space="preserve">）表 </w:t>
                  </w:r>
                  <w:r>
                    <w:rPr>
                      <w:rFonts w:hint="default" w:ascii="Times New Roman" w:hAnsi="Times New Roman" w:cs="Times New Roman"/>
                      <w:color w:val="000000"/>
                      <w:kern w:val="0"/>
                      <w:sz w:val="21"/>
                      <w:szCs w:val="21"/>
                      <w:vertAlign w:val="baseline"/>
                      <w:lang w:val="en-US" w:eastAsia="zh-CN" w:bidi="ar"/>
                    </w:rPr>
                    <w:t>2</w:t>
                  </w:r>
                  <w:r>
                    <w:rPr>
                      <w:rFonts w:hint="eastAsia" w:ascii="Times New Roman" w:hAnsi="Times New Roman" w:cs="Times New Roman"/>
                      <w:color w:val="000000"/>
                      <w:kern w:val="0"/>
                      <w:sz w:val="21"/>
                      <w:szCs w:val="21"/>
                      <w:vertAlign w:val="baseline"/>
                      <w:lang w:val="en-US" w:eastAsia="zh-CN" w:bidi="ar"/>
                    </w:rPr>
                    <w:t>中的二级标准要求。</w:t>
                  </w:r>
                </w:p>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Times New Roman" w:hAnsi="Times New Roman" w:cs="Times New Roman"/>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Times New Roman" w:hAnsi="Times New Roman" w:cs="Times New Roman"/>
                      <w:color w:val="000000"/>
                      <w:kern w:val="0"/>
                      <w:sz w:val="21"/>
                      <w:szCs w:val="21"/>
                      <w:vertAlign w:val="baseline"/>
                      <w:lang w:val="en-US" w:eastAsia="zh-CN" w:bidi="ar"/>
                    </w:rPr>
                  </w:pPr>
                </w:p>
              </w:tc>
              <w:tc>
                <w:tcPr>
                  <w:tcW w:w="969" w:type="dxa"/>
                  <w:vAlign w:val="top"/>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Times New Roman" w:hAnsi="Times New Roman" w:cs="Times New Roman"/>
                      <w:color w:val="000000"/>
                      <w:kern w:val="0"/>
                      <w:sz w:val="21"/>
                      <w:szCs w:val="21"/>
                      <w:vertAlign w:val="baseline"/>
                      <w:lang w:val="en-US" w:eastAsia="zh-CN" w:bidi="ar"/>
                    </w:rPr>
                  </w:pPr>
                  <w:r>
                    <w:rPr>
                      <w:rFonts w:hint="eastAsia" w:ascii="Times New Roman" w:hAnsi="Times New Roman" w:cs="Times New Roman"/>
                      <w:color w:val="000000"/>
                      <w:kern w:val="0"/>
                      <w:sz w:val="21"/>
                      <w:szCs w:val="21"/>
                      <w:vertAlign w:val="baseline"/>
                      <w:lang w:val="en-US" w:eastAsia="zh-CN" w:bidi="ar"/>
                    </w:rPr>
                    <w:t>最低允许</w:t>
                  </w:r>
                </w:p>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Times New Roman" w:hAnsi="Times New Roman" w:cs="Times New Roman"/>
                      <w:color w:val="000000"/>
                      <w:kern w:val="0"/>
                      <w:sz w:val="21"/>
                      <w:szCs w:val="21"/>
                      <w:vertAlign w:val="baseline"/>
                      <w:lang w:val="en-US" w:eastAsia="zh-CN" w:bidi="ar"/>
                    </w:rPr>
                  </w:pPr>
                  <w:r>
                    <w:rPr>
                      <w:rFonts w:hint="eastAsia" w:ascii="Times New Roman" w:hAnsi="Times New Roman" w:cs="Times New Roman"/>
                      <w:color w:val="000000"/>
                      <w:kern w:val="0"/>
                      <w:sz w:val="21"/>
                      <w:szCs w:val="21"/>
                      <w:vertAlign w:val="baseline"/>
                      <w:lang w:val="en-US" w:eastAsia="zh-CN" w:bidi="ar"/>
                    </w:rPr>
                    <w:t xml:space="preserve">高度 </w:t>
                  </w:r>
                  <w:r>
                    <w:rPr>
                      <w:rFonts w:hint="default" w:ascii="Times New Roman" w:hAnsi="Times New Roman" w:cs="Times New Roman"/>
                      <w:color w:val="000000"/>
                      <w:kern w:val="0"/>
                      <w:sz w:val="21"/>
                      <w:szCs w:val="21"/>
                      <w:vertAlign w:val="baseline"/>
                      <w:lang w:val="en-US" w:eastAsia="zh-CN" w:bidi="ar"/>
                    </w:rPr>
                    <w:t>15m</w:t>
                  </w:r>
                </w:p>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Times New Roman" w:hAnsi="Times New Roman" w:cs="Times New Roman"/>
                      <w:color w:val="000000"/>
                      <w:kern w:val="0"/>
                      <w:sz w:val="21"/>
                      <w:szCs w:val="21"/>
                      <w:vertAlign w:val="baseline"/>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eastAsia" w:ascii="Times New Roman" w:hAnsi="Times New Roman" w:cs="Times New Roman"/>
                      <w:color w:val="000000"/>
                      <w:kern w:val="0"/>
                      <w:sz w:val="21"/>
                      <w:szCs w:val="21"/>
                      <w:vertAlign w:val="baseline"/>
                      <w:lang w:val="en-US" w:eastAsia="zh-CN" w:bidi="ar"/>
                    </w:rPr>
                  </w:pPr>
                </w:p>
              </w:tc>
              <w:tc>
                <w:tcPr>
                  <w:tcW w:w="1054" w:type="dxa"/>
                  <w:vAlign w:val="top"/>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color w:val="000000"/>
                      <w:kern w:val="0"/>
                      <w:sz w:val="21"/>
                      <w:szCs w:val="21"/>
                      <w:vertAlign w:val="baseline"/>
                      <w:lang w:val="en-US" w:eastAsia="zh-CN" w:bidi="ar"/>
                    </w:rPr>
                  </w:pPr>
                  <w:r>
                    <w:rPr>
                      <w:rFonts w:hint="eastAsia" w:ascii="Times New Roman" w:hAnsi="Times New Roman" w:cs="Times New Roman"/>
                      <w:color w:val="000000"/>
                      <w:kern w:val="0"/>
                      <w:sz w:val="21"/>
                      <w:szCs w:val="21"/>
                      <w:vertAlign w:val="baseline"/>
                      <w:lang w:val="en-US" w:eastAsia="zh-CN" w:bidi="ar"/>
                    </w:rPr>
                    <w:t>3.5</w:t>
                  </w:r>
                </w:p>
              </w:tc>
              <w:tc>
                <w:tcPr>
                  <w:tcW w:w="963" w:type="dxa"/>
                  <w:vAlign w:val="top"/>
                </w:tcPr>
                <w:p>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leftChars="0" w:right="0" w:rightChars="0"/>
                    <w:jc w:val="center"/>
                    <w:textAlignment w:val="auto"/>
                    <w:rPr>
                      <w:rFonts w:hint="default" w:ascii="Times New Roman" w:hAnsi="Times New Roman" w:cs="Times New Roman"/>
                      <w:color w:val="000000"/>
                      <w:kern w:val="0"/>
                      <w:sz w:val="21"/>
                      <w:szCs w:val="21"/>
                      <w:vertAlign w:val="baseline"/>
                      <w:lang w:val="en-US" w:eastAsia="zh-CN" w:bidi="ar"/>
                    </w:rPr>
                  </w:pPr>
                  <w:r>
                    <w:rPr>
                      <w:rFonts w:hint="eastAsia" w:ascii="Times New Roman" w:hAnsi="Times New Roman" w:cs="Times New Roman"/>
                      <w:color w:val="000000"/>
                      <w:kern w:val="0"/>
                      <w:sz w:val="21"/>
                      <w:szCs w:val="21"/>
                      <w:vertAlign w:val="baseline"/>
                      <w:lang w:val="en-US" w:eastAsia="zh-CN" w:bidi="ar"/>
                    </w:rPr>
                    <w:t>150</w:t>
                  </w:r>
                </w:p>
              </w:tc>
            </w:tr>
          </w:tbl>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Times New Roman" w:hAnsi="Times New Roman"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粉料仓呼吸孔粉尘经处理后满足《大气污染物综合排放标准》（</w:t>
            </w:r>
            <w:r>
              <w:rPr>
                <w:rFonts w:hint="default" w:ascii="Times New Roman" w:hAnsi="Times New Roman" w:eastAsia="宋体" w:cs="Times New Roman"/>
                <w:color w:val="000000"/>
                <w:kern w:val="0"/>
                <w:sz w:val="24"/>
                <w:szCs w:val="24"/>
                <w:lang w:val="en-US" w:eastAsia="zh-CN" w:bidi="ar"/>
              </w:rPr>
              <w:t>GB16297-1996</w:t>
            </w:r>
            <w:r>
              <w:rPr>
                <w:rFonts w:hint="eastAsia" w:ascii="Times New Roman" w:hAnsi="Times New Roman" w:eastAsia="宋体" w:cs="Times New Roman"/>
                <w:color w:val="000000"/>
                <w:kern w:val="0"/>
                <w:sz w:val="24"/>
                <w:szCs w:val="24"/>
                <w:lang w:val="en-US" w:eastAsia="zh-CN" w:bidi="ar"/>
              </w:rPr>
              <w:t xml:space="preserve">）表 </w:t>
            </w:r>
            <w:r>
              <w:rPr>
                <w:rFonts w:hint="default" w:ascii="Times New Roman" w:hAnsi="Times New Roman" w:eastAsia="宋体" w:cs="Times New Roman"/>
                <w:color w:val="000000"/>
                <w:kern w:val="0"/>
                <w:sz w:val="24"/>
                <w:szCs w:val="24"/>
                <w:lang w:val="en-US" w:eastAsia="zh-CN" w:bidi="ar"/>
              </w:rPr>
              <w:t xml:space="preserve">2 </w:t>
            </w:r>
            <w:r>
              <w:rPr>
                <w:rFonts w:hint="eastAsia" w:ascii="Times New Roman" w:hAnsi="Times New Roman" w:eastAsia="宋体" w:cs="Times New Roman"/>
                <w:color w:val="000000"/>
                <w:kern w:val="0"/>
                <w:sz w:val="24"/>
                <w:szCs w:val="24"/>
                <w:lang w:val="en-US" w:eastAsia="zh-CN" w:bidi="ar"/>
              </w:rPr>
              <w:t>中的二级标准要求</w:t>
            </w:r>
            <w:r>
              <w:rPr>
                <w:rFonts w:hint="eastAsia" w:ascii="Times New Roman" w:hAnsi="Times New Roman" w:cs="Times New Roman"/>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kern w:val="0"/>
                <w:sz w:val="24"/>
                <w:szCs w:val="24"/>
                <w:lang w:val="en-US" w:eastAsia="zh-CN" w:bidi="ar"/>
              </w:rPr>
            </w:pPr>
            <w:r>
              <w:rPr>
                <w:rFonts w:hint="default" w:ascii="Times New Roman" w:hAnsi="Times New Roman" w:eastAsia="宋体" w:cs="Times New Roman"/>
                <w:b w:val="0"/>
                <w:bCs w:val="0"/>
                <w:color w:val="000000"/>
                <w:kern w:val="0"/>
                <w:sz w:val="24"/>
                <w:szCs w:val="24"/>
                <w:lang w:val="en-US" w:eastAsia="zh-CN" w:bidi="ar"/>
              </w:rPr>
              <w:t>（3）烘干及筛分粉尘G3（有组织排放）</w:t>
            </w:r>
          </w:p>
          <w:p>
            <w:pPr>
              <w:pStyle w:val="3"/>
              <w:ind w:firstLine="480"/>
              <w:rPr>
                <w:rFonts w:hint="default"/>
                <w:color w:val="auto"/>
                <w:lang w:val="en-US"/>
              </w:rPr>
            </w:pPr>
            <w:r>
              <w:rPr>
                <w:rFonts w:hint="default" w:ascii="Times New Roman" w:hAnsi="Times New Roman" w:cs="Times New Roman"/>
                <w:color w:val="auto"/>
              </w:rPr>
              <w:t>本项目骨料在进入搅拌缸之前需要经过烘干</w:t>
            </w:r>
            <w:r>
              <w:rPr>
                <w:rFonts w:hint="eastAsia"/>
                <w:color w:val="auto"/>
              </w:rPr>
              <w:t>处理，骨料烘干后需进行筛分，骨料烘干及筛分过程中会产生粉尘。类比同类项目，</w:t>
            </w:r>
            <w:r>
              <w:rPr>
                <w:color w:val="auto"/>
              </w:rPr>
              <w:t>烘干机筛分</w:t>
            </w:r>
            <w:r>
              <w:rPr>
                <w:rFonts w:hint="eastAsia"/>
                <w:color w:val="auto"/>
              </w:rPr>
              <w:t>粉尘</w:t>
            </w:r>
            <w:r>
              <w:rPr>
                <w:color w:val="auto"/>
              </w:rPr>
              <w:t>产生量为骨料总量的</w:t>
            </w:r>
            <w:r>
              <w:rPr>
                <w:rFonts w:hint="eastAsia"/>
                <w:color w:val="auto"/>
              </w:rPr>
              <w:t>0.15</w:t>
            </w:r>
            <w:r>
              <w:rPr>
                <w:color w:val="auto"/>
              </w:rPr>
              <w:t>%，项目</w:t>
            </w:r>
            <w:r>
              <w:rPr>
                <w:rFonts w:hint="eastAsia"/>
                <w:color w:val="auto"/>
              </w:rPr>
              <w:t>骨料</w:t>
            </w:r>
            <w:r>
              <w:rPr>
                <w:color w:val="auto"/>
              </w:rPr>
              <w:t>总消耗量为</w:t>
            </w:r>
            <w:r>
              <w:rPr>
                <w:rFonts w:hint="eastAsia"/>
                <w:color w:val="auto"/>
                <w:highlight w:val="none"/>
                <w:lang w:val="en-US" w:eastAsia="zh-CN"/>
              </w:rPr>
              <w:t>129239.72</w:t>
            </w:r>
            <w:r>
              <w:rPr>
                <w:rFonts w:hint="eastAsia"/>
                <w:color w:val="auto"/>
              </w:rPr>
              <w:t>t，</w:t>
            </w:r>
            <w:r>
              <w:rPr>
                <w:color w:val="auto"/>
              </w:rPr>
              <w:t>则粉尘产生量为</w:t>
            </w:r>
            <w:r>
              <w:rPr>
                <w:rFonts w:hint="eastAsia"/>
                <w:color w:val="auto"/>
                <w:lang w:val="en-US" w:eastAsia="zh-CN"/>
              </w:rPr>
              <w:t>193.86t</w:t>
            </w:r>
          </w:p>
          <w:p>
            <w:pPr>
              <w:pStyle w:val="3"/>
              <w:ind w:firstLine="480"/>
              <w:rPr>
                <w:color w:val="auto"/>
              </w:rPr>
            </w:pPr>
            <w:r>
              <w:rPr>
                <w:rFonts w:hint="eastAsia"/>
                <w:color w:val="auto"/>
              </w:rPr>
              <w:t>（</w:t>
            </w:r>
            <w:r>
              <w:rPr>
                <w:rFonts w:hint="eastAsia"/>
                <w:color w:val="auto"/>
                <w:lang w:val="en-US" w:eastAsia="zh-CN"/>
              </w:rPr>
              <w:t>4</w:t>
            </w:r>
            <w:r>
              <w:rPr>
                <w:rFonts w:hint="eastAsia"/>
                <w:color w:val="auto"/>
              </w:rPr>
              <w:t>）烘干滚筒燃烧器燃烧废气G</w:t>
            </w:r>
            <w:r>
              <w:rPr>
                <w:rFonts w:hint="eastAsia"/>
                <w:color w:val="auto"/>
                <w:lang w:val="en-US" w:eastAsia="zh-CN"/>
              </w:rPr>
              <w:t>4</w:t>
            </w:r>
            <w:r>
              <w:rPr>
                <w:rFonts w:hint="eastAsia"/>
                <w:color w:val="auto"/>
              </w:rPr>
              <w:t>（有组织排放）</w:t>
            </w:r>
          </w:p>
          <w:p>
            <w:pPr>
              <w:pStyle w:val="3"/>
              <w:ind w:firstLine="480"/>
              <w:rPr>
                <w:color w:val="auto"/>
                <w:highlight w:val="none"/>
              </w:rPr>
            </w:pPr>
            <w:r>
              <w:rPr>
                <w:color w:val="auto"/>
                <w:highlight w:val="none"/>
              </w:rPr>
              <w:t>本项目采用燃烧器向烘干滚筒加热方式对骨料加热。燃烧器以</w:t>
            </w:r>
            <w:r>
              <w:rPr>
                <w:rFonts w:hint="eastAsia"/>
                <w:color w:val="auto"/>
                <w:highlight w:val="none"/>
                <w:lang w:val="en-US" w:eastAsia="zh-CN"/>
              </w:rPr>
              <w:t>柴</w:t>
            </w:r>
            <w:r>
              <w:rPr>
                <w:color w:val="auto"/>
                <w:highlight w:val="none"/>
              </w:rPr>
              <w:t>油为燃料，</w:t>
            </w:r>
            <w:r>
              <w:rPr>
                <w:rFonts w:hint="eastAsia"/>
                <w:color w:val="auto"/>
                <w:highlight w:val="none"/>
                <w:lang w:val="en-US" w:eastAsia="zh-CN"/>
              </w:rPr>
              <w:t>柴油</w:t>
            </w:r>
            <w:r>
              <w:rPr>
                <w:color w:val="auto"/>
                <w:highlight w:val="none"/>
              </w:rPr>
              <w:t>油燃烧会产生燃烧废气。项目年使用</w:t>
            </w:r>
            <w:r>
              <w:rPr>
                <w:rFonts w:hint="eastAsia"/>
                <w:color w:val="auto"/>
                <w:highlight w:val="none"/>
                <w:lang w:val="en-US" w:eastAsia="zh-CN"/>
              </w:rPr>
              <w:t>柴</w:t>
            </w:r>
            <w:r>
              <w:rPr>
                <w:color w:val="auto"/>
                <w:highlight w:val="none"/>
              </w:rPr>
              <w:t>油</w:t>
            </w:r>
            <w:r>
              <w:rPr>
                <w:rFonts w:hint="eastAsia"/>
                <w:color w:val="auto"/>
                <w:highlight w:val="none"/>
                <w:lang w:val="en-US" w:eastAsia="zh-CN"/>
              </w:rPr>
              <w:t>300</w:t>
            </w:r>
            <w:r>
              <w:rPr>
                <w:color w:val="auto"/>
                <w:highlight w:val="none"/>
              </w:rPr>
              <w:t>t，燃油全硫分含量约为</w:t>
            </w:r>
            <w:r>
              <w:rPr>
                <w:rFonts w:hint="eastAsia"/>
                <w:color w:val="auto"/>
                <w:highlight w:val="none"/>
              </w:rPr>
              <w:t>0.035</w:t>
            </w:r>
            <w:r>
              <w:rPr>
                <w:color w:val="auto"/>
                <w:highlight w:val="none"/>
              </w:rPr>
              <w:t>%。根据《</w:t>
            </w:r>
            <w:r>
              <w:rPr>
                <w:rFonts w:hint="eastAsia"/>
                <w:color w:val="auto"/>
                <w:highlight w:val="none"/>
              </w:rPr>
              <w:t>第二次全国污染源普查产排污核算系数手册（试用版）</w:t>
            </w:r>
            <w:r>
              <w:rPr>
                <w:color w:val="auto"/>
                <w:highlight w:val="none"/>
              </w:rPr>
              <w:t>》（国务院第</w:t>
            </w:r>
            <w:r>
              <w:rPr>
                <w:rFonts w:hint="eastAsia"/>
                <w:color w:val="auto"/>
                <w:highlight w:val="none"/>
                <w:lang w:val="en-US" w:eastAsia="zh-CN"/>
              </w:rPr>
              <w:t>二</w:t>
            </w:r>
            <w:r>
              <w:rPr>
                <w:color w:val="auto"/>
                <w:highlight w:val="none"/>
              </w:rPr>
              <w:t>次全国污染源普查领导小组办公室）中</w:t>
            </w:r>
            <w:r>
              <w:rPr>
                <w:rFonts w:hint="eastAsia" w:ascii="宋体" w:hAnsi="宋体" w:eastAsia="宋体" w:cs="宋体"/>
                <w:color w:val="auto"/>
                <w:highlight w:val="none"/>
              </w:rPr>
              <w:t>“</w:t>
            </w:r>
            <w:r>
              <w:rPr>
                <w:rFonts w:hint="eastAsia"/>
                <w:color w:val="auto"/>
                <w:highlight w:val="none"/>
              </w:rPr>
              <w:t>4430工业锅炉（热力生产和供应行业）行业系数手册</w:t>
            </w:r>
            <w:r>
              <w:rPr>
                <w:rFonts w:hint="eastAsia" w:ascii="宋体" w:hAnsi="宋体" w:eastAsia="宋体" w:cs="宋体"/>
                <w:color w:val="auto"/>
                <w:highlight w:val="none"/>
              </w:rPr>
              <w:t>”</w:t>
            </w:r>
            <w:r>
              <w:rPr>
                <w:color w:val="auto"/>
                <w:highlight w:val="none"/>
              </w:rPr>
              <w:t>，二氧化硫量、烟尘量、氮氧化物量即为各自的产污系数乘以燃料油消耗量，产污系数见表</w:t>
            </w:r>
            <w:r>
              <w:rPr>
                <w:rFonts w:hint="eastAsia"/>
                <w:color w:val="auto"/>
                <w:highlight w:val="none"/>
                <w:lang w:val="en-US" w:eastAsia="zh-CN"/>
              </w:rPr>
              <w:t>4</w:t>
            </w:r>
            <w:r>
              <w:rPr>
                <w:color w:val="auto"/>
                <w:highlight w:val="none"/>
              </w:rPr>
              <w:t>-4。</w:t>
            </w:r>
          </w:p>
          <w:p>
            <w:pPr>
              <w:tabs>
                <w:tab w:val="left" w:pos="851"/>
              </w:tabs>
              <w:adjustRightInd w:val="0"/>
              <w:snapToGrid w:val="0"/>
              <w:ind w:firstLine="480"/>
              <w:jc w:val="center"/>
              <w:rPr>
                <w:rFonts w:hint="eastAsia" w:ascii="宋体" w:hAnsi="宋体" w:eastAsia="宋体" w:cs="宋体"/>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表4-4   热</w:t>
            </w:r>
            <w:r>
              <w:rPr>
                <w:rFonts w:hint="eastAsia" w:ascii="宋体" w:hAnsi="宋体" w:eastAsia="宋体" w:cs="宋体"/>
                <w:b/>
                <w:bCs/>
                <w:color w:val="auto"/>
                <w:sz w:val="21"/>
                <w:szCs w:val="21"/>
                <w:highlight w:val="none"/>
                <w:lang w:val="en-US" w:eastAsia="zh-CN"/>
              </w:rPr>
              <w:t>力生产和供应行业（包括工业锅炉）产排污系数表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918"/>
              <w:gridCol w:w="919"/>
              <w:gridCol w:w="919"/>
              <w:gridCol w:w="1145"/>
              <w:gridCol w:w="1595"/>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67"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产品名称</w:t>
                  </w:r>
                </w:p>
              </w:tc>
              <w:tc>
                <w:tcPr>
                  <w:tcW w:w="918"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原料名称</w:t>
                  </w:r>
                </w:p>
              </w:tc>
              <w:tc>
                <w:tcPr>
                  <w:tcW w:w="919"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工艺名称</w:t>
                  </w:r>
                </w:p>
              </w:tc>
              <w:tc>
                <w:tcPr>
                  <w:tcW w:w="919"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规模等级</w:t>
                  </w:r>
                </w:p>
              </w:tc>
              <w:tc>
                <w:tcPr>
                  <w:tcW w:w="1145"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污染物指标</w:t>
                  </w:r>
                </w:p>
              </w:tc>
              <w:tc>
                <w:tcPr>
                  <w:tcW w:w="1595"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974"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6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蒸汽/热水/其他</w:t>
                  </w:r>
                </w:p>
              </w:tc>
              <w:tc>
                <w:tcPr>
                  <w:tcW w:w="91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柴</w:t>
                  </w:r>
                  <w:r>
                    <w:rPr>
                      <w:rFonts w:hint="default" w:ascii="Times New Roman" w:hAnsi="Times New Roman" w:cs="Times New Roman"/>
                      <w:color w:val="auto"/>
                      <w:sz w:val="21"/>
                      <w:szCs w:val="21"/>
                      <w:highlight w:val="none"/>
                    </w:rPr>
                    <w:t>油</w:t>
                  </w:r>
                </w:p>
              </w:tc>
              <w:tc>
                <w:tcPr>
                  <w:tcW w:w="91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室燃炉</w:t>
                  </w:r>
                </w:p>
              </w:tc>
              <w:tc>
                <w:tcPr>
                  <w:tcW w:w="919"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所有规模</w:t>
                  </w:r>
                </w:p>
              </w:tc>
              <w:tc>
                <w:tcPr>
                  <w:tcW w:w="1145"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工业废气量</w:t>
                  </w:r>
                </w:p>
              </w:tc>
              <w:tc>
                <w:tcPr>
                  <w:tcW w:w="1595"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标立方米/吨-原料</w:t>
                  </w:r>
                </w:p>
              </w:tc>
              <w:tc>
                <w:tcPr>
                  <w:tcW w:w="974"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17804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91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91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91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1145"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二氧化硫</w:t>
                  </w:r>
                </w:p>
              </w:tc>
              <w:tc>
                <w:tcPr>
                  <w:tcW w:w="1595"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千克/吨-原料</w:t>
                  </w:r>
                </w:p>
              </w:tc>
              <w:tc>
                <w:tcPr>
                  <w:tcW w:w="974"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91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91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91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1145"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烟尘</w:t>
                  </w:r>
                </w:p>
              </w:tc>
              <w:tc>
                <w:tcPr>
                  <w:tcW w:w="1595"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千克/吨-原料</w:t>
                  </w:r>
                </w:p>
              </w:tc>
              <w:tc>
                <w:tcPr>
                  <w:tcW w:w="974"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67"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91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91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919"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p>
              </w:tc>
              <w:tc>
                <w:tcPr>
                  <w:tcW w:w="1145"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氮氧化物</w:t>
                  </w:r>
                </w:p>
              </w:tc>
              <w:tc>
                <w:tcPr>
                  <w:tcW w:w="1595"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千克/吨-原料</w:t>
                  </w:r>
                </w:p>
              </w:tc>
              <w:tc>
                <w:tcPr>
                  <w:tcW w:w="974" w:type="dxa"/>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3.03</w:t>
                  </w:r>
                </w:p>
              </w:tc>
            </w:tr>
          </w:tbl>
          <w:p>
            <w:pPr>
              <w:pStyle w:val="3"/>
              <w:spacing w:line="240" w:lineRule="auto"/>
              <w:ind w:firstLine="422"/>
              <w:rPr>
                <w:rFonts w:hint="eastAsia"/>
                <w:b/>
                <w:color w:val="FF0000"/>
                <w:sz w:val="21"/>
                <w:szCs w:val="21"/>
              </w:rPr>
            </w:pPr>
            <w:r>
              <w:rPr>
                <w:color w:val="auto"/>
                <w:sz w:val="21"/>
                <w:szCs w:val="21"/>
                <w:highlight w:val="none"/>
              </w:rPr>
              <w:t>注：产排污系数表中二氧化硫的产排污系数是以含硫量（S%）的形式表示的，其中含硫量（S%）是指燃油收到基硫分含量，以质量百分数的形式表示。</w:t>
            </w:r>
          </w:p>
          <w:p>
            <w:pPr>
              <w:pStyle w:val="3"/>
              <w:ind w:firstLine="480"/>
              <w:rPr>
                <w:color w:val="auto"/>
              </w:rPr>
            </w:pPr>
            <w:r>
              <w:rPr>
                <w:rFonts w:hint="eastAsia"/>
                <w:color w:val="auto"/>
              </w:rPr>
              <w:t>经计算</w:t>
            </w:r>
            <w:r>
              <w:rPr>
                <w:color w:val="auto"/>
              </w:rPr>
              <w:t>，</w:t>
            </w:r>
            <w:r>
              <w:rPr>
                <w:rFonts w:hint="eastAsia"/>
                <w:color w:val="auto"/>
                <w:lang w:val="en-US" w:eastAsia="zh-CN"/>
              </w:rPr>
              <w:t>工业产生废气量534.12</w:t>
            </w:r>
            <w:r>
              <w:rPr>
                <w:rFonts w:hint="eastAsia"/>
                <w:color w:val="auto"/>
                <w:highlight w:val="none"/>
                <w:lang w:val="en-US" w:eastAsia="zh-CN"/>
              </w:rPr>
              <w:t>万</w:t>
            </w:r>
            <w:r>
              <w:rPr>
                <w:rFonts w:hint="eastAsia"/>
                <w:color w:val="auto"/>
                <w:highlight w:val="none"/>
              </w:rPr>
              <w:t>m</w:t>
            </w:r>
            <w:r>
              <w:rPr>
                <w:rFonts w:hint="eastAsia"/>
                <w:color w:val="auto"/>
                <w:highlight w:val="none"/>
                <w:vertAlign w:val="superscript"/>
              </w:rPr>
              <w:t>3</w:t>
            </w:r>
            <w:r>
              <w:rPr>
                <w:rFonts w:hint="eastAsia"/>
                <w:color w:val="auto"/>
                <w:highlight w:val="none"/>
                <w:vertAlign w:val="baseline"/>
                <w:lang w:eastAsia="zh-CN"/>
              </w:rPr>
              <w:t>，</w:t>
            </w:r>
            <w:r>
              <w:rPr>
                <w:rFonts w:hint="eastAsia"/>
                <w:color w:val="auto"/>
              </w:rPr>
              <w:t>SO</w:t>
            </w:r>
            <w:r>
              <w:rPr>
                <w:rFonts w:hint="eastAsia"/>
                <w:color w:val="auto"/>
                <w:vertAlign w:val="subscript"/>
              </w:rPr>
              <w:t>2</w:t>
            </w:r>
            <w:r>
              <w:rPr>
                <w:rFonts w:hint="eastAsia"/>
                <w:color w:val="auto"/>
              </w:rPr>
              <w:t>产生量</w:t>
            </w:r>
            <w:r>
              <w:rPr>
                <w:color w:val="auto"/>
              </w:rPr>
              <w:t>为</w:t>
            </w:r>
            <w:r>
              <w:rPr>
                <w:rFonts w:hint="eastAsia"/>
                <w:color w:val="auto"/>
                <w:lang w:val="en-US" w:eastAsia="zh-CN"/>
              </w:rPr>
              <w:t>0.2</w:t>
            </w:r>
            <w:r>
              <w:rPr>
                <w:rFonts w:hint="eastAsia"/>
                <w:color w:val="auto"/>
              </w:rPr>
              <w:t>t，</w:t>
            </w:r>
            <w:r>
              <w:rPr>
                <w:color w:val="auto"/>
              </w:rPr>
              <w:t>烟尘产生量为</w:t>
            </w:r>
            <w:r>
              <w:rPr>
                <w:rFonts w:hint="eastAsia"/>
                <w:color w:val="auto"/>
                <w:lang w:val="en-US" w:eastAsia="zh-CN"/>
              </w:rPr>
              <w:t>0.078</w:t>
            </w:r>
            <w:r>
              <w:rPr>
                <w:rFonts w:hint="eastAsia"/>
                <w:color w:val="auto"/>
              </w:rPr>
              <w:t>t，</w:t>
            </w:r>
            <w:r>
              <w:rPr>
                <w:color w:val="auto"/>
              </w:rPr>
              <w:t>氮氧化物产生量为</w:t>
            </w:r>
            <w:r>
              <w:rPr>
                <w:rFonts w:hint="eastAsia"/>
                <w:color w:val="auto"/>
                <w:lang w:val="en-US" w:eastAsia="zh-CN"/>
              </w:rPr>
              <w:t>0.909</w:t>
            </w:r>
            <w:r>
              <w:rPr>
                <w:rFonts w:hint="eastAsia"/>
                <w:color w:val="auto"/>
              </w:rPr>
              <w:t>t。</w:t>
            </w:r>
          </w:p>
          <w:p>
            <w:pPr>
              <w:pStyle w:val="3"/>
              <w:ind w:firstLine="482"/>
              <w:rPr>
                <w:b/>
                <w:color w:val="auto"/>
              </w:rPr>
            </w:pPr>
            <w:r>
              <w:rPr>
                <w:b/>
                <w:color w:val="auto"/>
              </w:rPr>
              <w:t>G</w:t>
            </w:r>
            <w:r>
              <w:rPr>
                <w:rFonts w:hint="eastAsia"/>
                <w:b/>
                <w:color w:val="auto"/>
                <w:lang w:val="en-US" w:eastAsia="zh-CN"/>
              </w:rPr>
              <w:t>3</w:t>
            </w:r>
            <w:r>
              <w:rPr>
                <w:rFonts w:hint="eastAsia"/>
                <w:b/>
                <w:color w:val="auto"/>
              </w:rPr>
              <w:t>、G</w:t>
            </w:r>
            <w:r>
              <w:rPr>
                <w:rFonts w:hint="eastAsia"/>
                <w:b/>
                <w:color w:val="auto"/>
                <w:lang w:val="en-US" w:eastAsia="zh-CN"/>
              </w:rPr>
              <w:t>4</w:t>
            </w:r>
            <w:r>
              <w:rPr>
                <w:rFonts w:hint="eastAsia"/>
                <w:b/>
                <w:color w:val="auto"/>
              </w:rPr>
              <w:t>治理措施</w:t>
            </w:r>
            <w:r>
              <w:rPr>
                <w:b/>
                <w:color w:val="auto"/>
              </w:rPr>
              <w:t>：</w:t>
            </w:r>
          </w:p>
          <w:p>
            <w:pPr>
              <w:pStyle w:val="3"/>
              <w:ind w:firstLine="482"/>
              <w:rPr>
                <w:color w:val="auto"/>
              </w:rPr>
            </w:pPr>
            <w:r>
              <w:rPr>
                <w:rFonts w:hint="eastAsia"/>
                <w:color w:val="auto"/>
              </w:rPr>
              <w:t>烘干筛分过程、烘干滚筒燃烧器燃烧工序产生的所有废气经同一套废气处理系统处理。项目</w:t>
            </w:r>
            <w:r>
              <w:rPr>
                <w:color w:val="auto"/>
              </w:rPr>
              <w:t>烘干滚筒为密闭形式，</w:t>
            </w:r>
            <w:r>
              <w:rPr>
                <w:rFonts w:hint="eastAsia"/>
                <w:color w:val="auto"/>
              </w:rPr>
              <w:t>滚筒尾端</w:t>
            </w:r>
            <w:r>
              <w:rPr>
                <w:color w:val="auto"/>
              </w:rPr>
              <w:t>配备有</w:t>
            </w:r>
            <w:r>
              <w:rPr>
                <w:rFonts w:hint="eastAsia"/>
                <w:color w:val="auto"/>
                <w:lang w:val="en-US" w:eastAsia="zh-CN"/>
              </w:rPr>
              <w:t>一级蜗牛惯性</w:t>
            </w:r>
            <w:r>
              <w:rPr>
                <w:rFonts w:hint="eastAsia"/>
                <w:color w:val="auto"/>
              </w:rPr>
              <w:t>除尘（除尘效率50%）和一台</w:t>
            </w:r>
            <w:r>
              <w:rPr>
                <w:rFonts w:hint="eastAsia"/>
                <w:color w:val="auto"/>
                <w:lang w:val="en-US" w:eastAsia="zh-CN"/>
              </w:rPr>
              <w:t>二级</w:t>
            </w:r>
            <w:r>
              <w:rPr>
                <w:rFonts w:hint="eastAsia"/>
                <w:color w:val="auto"/>
              </w:rPr>
              <w:t>布袋除尘装置（除尘效率99%），</w:t>
            </w:r>
            <w:r>
              <w:rPr>
                <w:color w:val="auto"/>
              </w:rPr>
              <w:t>对</w:t>
            </w:r>
            <w:r>
              <w:rPr>
                <w:rFonts w:hint="eastAsia"/>
                <w:color w:val="auto"/>
              </w:rPr>
              <w:t>烘干筛分及</w:t>
            </w:r>
            <w:r>
              <w:rPr>
                <w:color w:val="auto"/>
              </w:rPr>
              <w:t>燃烧器燃烧废气进行</w:t>
            </w:r>
            <w:r>
              <w:rPr>
                <w:rFonts w:hint="eastAsia"/>
                <w:color w:val="auto"/>
              </w:rPr>
              <w:t>联合</w:t>
            </w:r>
            <w:r>
              <w:rPr>
                <w:color w:val="auto"/>
              </w:rPr>
              <w:t>除尘处理后，尾气经一根15</w:t>
            </w:r>
            <w:r>
              <w:rPr>
                <w:rFonts w:hint="eastAsia"/>
                <w:color w:val="auto"/>
              </w:rPr>
              <w:t>m高</w:t>
            </w:r>
            <w:r>
              <w:rPr>
                <w:color w:val="auto"/>
              </w:rPr>
              <w:t>的排气筒</w:t>
            </w:r>
            <w:r>
              <w:rPr>
                <w:rFonts w:hint="eastAsia"/>
                <w:color w:val="auto"/>
              </w:rPr>
              <w:t>（1</w:t>
            </w:r>
            <w:r>
              <w:rPr>
                <w:color w:val="auto"/>
              </w:rPr>
              <w:t>#</w:t>
            </w:r>
            <w:r>
              <w:rPr>
                <w:rFonts w:hint="eastAsia"/>
                <w:color w:val="auto"/>
              </w:rPr>
              <w:t>）排放</w:t>
            </w:r>
            <w:r>
              <w:rPr>
                <w:color w:val="auto"/>
              </w:rPr>
              <w:t>。根据</w:t>
            </w:r>
            <w:r>
              <w:rPr>
                <w:rFonts w:hint="eastAsia"/>
                <w:color w:val="auto"/>
              </w:rPr>
              <w:t>厂家</w:t>
            </w:r>
            <w:r>
              <w:rPr>
                <w:color w:val="auto"/>
              </w:rPr>
              <w:t>提供的设计资料，除尘器</w:t>
            </w:r>
            <w:r>
              <w:rPr>
                <w:rFonts w:hint="eastAsia"/>
                <w:color w:val="auto"/>
                <w:lang w:val="en-US" w:eastAsia="zh-CN"/>
              </w:rPr>
              <w:t>蜗牛惯性</w:t>
            </w:r>
            <w:r>
              <w:rPr>
                <w:color w:val="auto"/>
              </w:rPr>
              <w:t>除尘</w:t>
            </w:r>
            <w:r>
              <w:rPr>
                <w:rFonts w:hint="eastAsia"/>
                <w:color w:val="auto"/>
                <w:lang w:val="en-US" w:eastAsia="zh-CN"/>
              </w:rPr>
              <w:t>器</w:t>
            </w:r>
            <w:r>
              <w:rPr>
                <w:color w:val="auto"/>
              </w:rPr>
              <w:t>和</w:t>
            </w:r>
            <w:r>
              <w:rPr>
                <w:rFonts w:hint="eastAsia"/>
                <w:color w:val="auto"/>
                <w:lang w:val="en-US" w:eastAsia="zh-CN"/>
              </w:rPr>
              <w:t>二级袋式除尘器</w:t>
            </w:r>
            <w:r>
              <w:rPr>
                <w:color w:val="auto"/>
              </w:rPr>
              <w:t>联合使用，</w:t>
            </w:r>
            <w:r>
              <w:rPr>
                <w:color w:val="auto"/>
                <w:highlight w:val="none"/>
              </w:rPr>
              <w:t>引风机的风量为</w:t>
            </w:r>
            <w:r>
              <w:rPr>
                <w:rFonts w:hint="eastAsia"/>
                <w:color w:val="auto"/>
                <w:highlight w:val="none"/>
                <w:lang w:val="en-US" w:eastAsia="zh-CN"/>
              </w:rPr>
              <w:t>4000</w:t>
            </w:r>
            <w:r>
              <w:rPr>
                <w:rFonts w:hint="eastAsia"/>
                <w:color w:val="auto"/>
                <w:highlight w:val="none"/>
              </w:rPr>
              <w:t>m</w:t>
            </w:r>
            <w:r>
              <w:rPr>
                <w:rFonts w:hint="eastAsia"/>
                <w:color w:val="auto"/>
                <w:highlight w:val="none"/>
                <w:vertAlign w:val="superscript"/>
              </w:rPr>
              <w:t>3</w:t>
            </w:r>
            <w:r>
              <w:rPr>
                <w:rFonts w:hint="eastAsia"/>
                <w:color w:val="auto"/>
                <w:highlight w:val="none"/>
              </w:rPr>
              <w:t>/</w:t>
            </w:r>
            <w:r>
              <w:rPr>
                <w:color w:val="auto"/>
                <w:highlight w:val="none"/>
              </w:rPr>
              <w:t>h</w:t>
            </w:r>
            <w:r>
              <w:rPr>
                <w:rFonts w:hint="eastAsia"/>
                <w:color w:val="auto"/>
                <w:highlight w:val="none"/>
              </w:rPr>
              <w:t>（</w:t>
            </w:r>
            <w:r>
              <w:rPr>
                <w:color w:val="auto"/>
                <w:highlight w:val="none"/>
              </w:rPr>
              <w:t>生产</w:t>
            </w:r>
            <w:r>
              <w:rPr>
                <w:rFonts w:hint="eastAsia"/>
                <w:color w:val="auto"/>
                <w:lang w:val="en-US" w:eastAsia="zh-CN"/>
              </w:rPr>
              <w:t>期180</w:t>
            </w:r>
            <w:r>
              <w:rPr>
                <w:color w:val="auto"/>
              </w:rPr>
              <w:t>d，每天工作</w:t>
            </w:r>
            <w:r>
              <w:rPr>
                <w:rFonts w:hint="eastAsia"/>
                <w:color w:val="auto"/>
              </w:rPr>
              <w:t>8</w:t>
            </w:r>
            <w:r>
              <w:rPr>
                <w:color w:val="auto"/>
              </w:rPr>
              <w:t>h</w:t>
            </w:r>
            <w:r>
              <w:rPr>
                <w:rFonts w:hint="eastAsia"/>
                <w:color w:val="auto"/>
              </w:rPr>
              <w:t>），</w:t>
            </w:r>
            <w:r>
              <w:rPr>
                <w:color w:val="auto"/>
              </w:rPr>
              <w:t>该套联合除尘</w:t>
            </w:r>
            <w:r>
              <w:rPr>
                <w:rFonts w:hint="eastAsia"/>
                <w:color w:val="auto"/>
              </w:rPr>
              <w:t>装置</w:t>
            </w:r>
            <w:r>
              <w:rPr>
                <w:color w:val="auto"/>
              </w:rPr>
              <w:t>对粉尘的除尘效率在</w:t>
            </w:r>
            <w:r>
              <w:rPr>
                <w:rFonts w:hint="eastAsia"/>
                <w:color w:val="auto"/>
              </w:rPr>
              <w:t>99.5</w:t>
            </w:r>
            <w:r>
              <w:rPr>
                <w:color w:val="auto"/>
              </w:rPr>
              <w:t>%以上，对</w:t>
            </w:r>
            <w:r>
              <w:rPr>
                <w:rFonts w:hint="eastAsia"/>
                <w:color w:val="auto"/>
              </w:rPr>
              <w:t>SO</w:t>
            </w:r>
            <w:r>
              <w:rPr>
                <w:rFonts w:hint="eastAsia"/>
                <w:color w:val="auto"/>
                <w:vertAlign w:val="subscript"/>
              </w:rPr>
              <w:t>2</w:t>
            </w:r>
            <w:r>
              <w:rPr>
                <w:rFonts w:hint="eastAsia"/>
                <w:color w:val="auto"/>
              </w:rPr>
              <w:t>、NO</w:t>
            </w:r>
            <w:r>
              <w:rPr>
                <w:color w:val="auto"/>
              </w:rPr>
              <w:t>x</w:t>
            </w:r>
            <w:r>
              <w:rPr>
                <w:rFonts w:hint="eastAsia"/>
                <w:color w:val="auto"/>
              </w:rPr>
              <w:t>基本</w:t>
            </w:r>
            <w:r>
              <w:rPr>
                <w:color w:val="auto"/>
              </w:rPr>
              <w:t>无去除效率。</w:t>
            </w:r>
          </w:p>
          <w:p>
            <w:pPr>
              <w:pStyle w:val="3"/>
              <w:ind w:firstLine="480"/>
              <w:rPr>
                <w:rFonts w:hint="eastAsia" w:ascii="宋体" w:hAnsi="宋体" w:eastAsia="宋体" w:cs="宋体"/>
                <w:b/>
                <w:bCs/>
                <w:color w:val="auto"/>
                <w:sz w:val="21"/>
                <w:szCs w:val="21"/>
                <w:highlight w:val="none"/>
                <w:lang w:val="zh-CN" w:eastAsia="zh-CN" w:bidi="zh-CN"/>
              </w:rPr>
            </w:pPr>
            <w:r>
              <w:rPr>
                <w:rFonts w:hint="eastAsia"/>
                <w:color w:val="auto"/>
              </w:rPr>
              <w:t>烘干筛分过程、烘干滚筒燃烧器燃烧工序产生的所有废气产生量</w:t>
            </w:r>
            <w:r>
              <w:rPr>
                <w:color w:val="auto"/>
              </w:rPr>
              <w:t>及治理后排放量</w:t>
            </w:r>
            <w:r>
              <w:rPr>
                <w:rFonts w:hint="eastAsia"/>
                <w:color w:val="auto"/>
              </w:rPr>
              <w:t>见</w:t>
            </w:r>
            <w:r>
              <w:rPr>
                <w:color w:val="auto"/>
              </w:rPr>
              <w:t>表</w:t>
            </w:r>
            <w:r>
              <w:rPr>
                <w:rFonts w:hint="eastAsia"/>
                <w:color w:val="auto"/>
                <w:lang w:val="en-US" w:eastAsia="zh-CN"/>
              </w:rPr>
              <w:t>4</w:t>
            </w:r>
            <w:r>
              <w:rPr>
                <w:rFonts w:hint="eastAsia"/>
                <w:color w:val="auto"/>
              </w:rPr>
              <w:t>-</w:t>
            </w:r>
            <w:r>
              <w:rPr>
                <w:color w:val="auto"/>
              </w:rPr>
              <w:t>5</w:t>
            </w:r>
            <w:r>
              <w:rPr>
                <w:rFonts w:hint="eastAsia"/>
                <w:color w:val="auto"/>
              </w:rPr>
              <w:t>。</w:t>
            </w:r>
          </w:p>
          <w:p>
            <w:pPr>
              <w:pStyle w:val="3"/>
              <w:ind w:firstLine="480"/>
              <w:jc w:val="center"/>
              <w:rPr>
                <w:rFonts w:hint="eastAsia"/>
                <w:color w:val="FF0000"/>
              </w:rPr>
            </w:pPr>
            <w:r>
              <w:rPr>
                <w:rFonts w:hint="eastAsia" w:ascii="Times New Roman" w:hAnsi="Times New Roman" w:eastAsia="宋体" w:cs="Times New Roman"/>
                <w:b/>
                <w:bCs/>
                <w:color w:val="auto"/>
                <w:sz w:val="21"/>
                <w:szCs w:val="21"/>
                <w:highlight w:val="none"/>
                <w:lang w:val="zh-CN" w:eastAsia="zh-CN" w:bidi="zh-CN"/>
              </w:rPr>
              <w:t>表</w:t>
            </w:r>
            <w:r>
              <w:rPr>
                <w:rFonts w:hint="eastAsia" w:ascii="Times New Roman" w:hAnsi="Times New Roman" w:eastAsia="宋体" w:cs="Times New Roman"/>
                <w:b/>
                <w:bCs/>
                <w:color w:val="auto"/>
                <w:sz w:val="21"/>
                <w:szCs w:val="21"/>
                <w:highlight w:val="none"/>
                <w:lang w:val="en-US" w:eastAsia="zh-CN" w:bidi="zh-CN"/>
              </w:rPr>
              <w:t>4</w:t>
            </w:r>
            <w:r>
              <w:rPr>
                <w:rFonts w:hint="eastAsia" w:ascii="Times New Roman" w:hAnsi="Times New Roman" w:eastAsia="宋体" w:cs="Times New Roman"/>
                <w:b/>
                <w:bCs/>
                <w:color w:val="auto"/>
                <w:sz w:val="21"/>
                <w:szCs w:val="21"/>
                <w:highlight w:val="none"/>
                <w:lang w:val="zh-CN" w:eastAsia="zh-CN" w:bidi="zh-CN"/>
              </w:rPr>
              <w:t xml:space="preserve">-5  </w:t>
            </w:r>
            <w:r>
              <w:rPr>
                <w:rFonts w:hint="eastAsia" w:ascii="宋体" w:hAnsi="宋体" w:eastAsia="宋体" w:cs="宋体"/>
                <w:b/>
                <w:bCs/>
                <w:color w:val="auto"/>
                <w:sz w:val="21"/>
                <w:szCs w:val="21"/>
                <w:highlight w:val="none"/>
                <w:lang w:val="zh-CN" w:eastAsia="zh-CN" w:bidi="zh-CN"/>
              </w:rPr>
              <w:t xml:space="preserve"> 烘干筛分及燃烧废气产生及治理后排放情况表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626"/>
              <w:gridCol w:w="845"/>
              <w:gridCol w:w="724"/>
              <w:gridCol w:w="969"/>
              <w:gridCol w:w="725"/>
              <w:gridCol w:w="724"/>
              <w:gridCol w:w="725"/>
              <w:gridCol w:w="968"/>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397" w:type="dxa"/>
                  <w:gridSpan w:val="2"/>
                  <w:vMerge w:val="restart"/>
                  <w:noWrap w:val="0"/>
                  <w:vAlign w:val="center"/>
                </w:tcPr>
                <w:p>
                  <w:pPr>
                    <w:spacing w:line="20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污染物名称</w:t>
                  </w:r>
                </w:p>
              </w:tc>
              <w:tc>
                <w:tcPr>
                  <w:tcW w:w="2538" w:type="dxa"/>
                  <w:gridSpan w:val="3"/>
                  <w:noWrap w:val="0"/>
                  <w:vAlign w:val="center"/>
                </w:tcPr>
                <w:p>
                  <w:pPr>
                    <w:spacing w:line="20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产生情况</w:t>
                  </w:r>
                </w:p>
              </w:tc>
              <w:tc>
                <w:tcPr>
                  <w:tcW w:w="725" w:type="dxa"/>
                  <w:vMerge w:val="restart"/>
                  <w:noWrap w:val="0"/>
                  <w:vAlign w:val="center"/>
                </w:tcPr>
                <w:p>
                  <w:pPr>
                    <w:spacing w:line="20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处理措施</w:t>
                  </w:r>
                </w:p>
              </w:tc>
              <w:tc>
                <w:tcPr>
                  <w:tcW w:w="2417" w:type="dxa"/>
                  <w:gridSpan w:val="3"/>
                  <w:noWrap w:val="0"/>
                  <w:vAlign w:val="center"/>
                </w:tcPr>
                <w:p>
                  <w:pPr>
                    <w:spacing w:line="20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排放情况</w:t>
                  </w:r>
                </w:p>
              </w:tc>
              <w:tc>
                <w:tcPr>
                  <w:tcW w:w="641" w:type="dxa"/>
                  <w:vMerge w:val="restart"/>
                  <w:noWrap w:val="0"/>
                  <w:vAlign w:val="center"/>
                </w:tcPr>
                <w:p>
                  <w:pPr>
                    <w:spacing w:line="20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排气筒高度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1397" w:type="dxa"/>
                  <w:gridSpan w:val="2"/>
                  <w:vMerge w:val="continue"/>
                  <w:noWrap w:val="0"/>
                  <w:vAlign w:val="center"/>
                </w:tcPr>
                <w:p>
                  <w:pPr>
                    <w:spacing w:line="200" w:lineRule="atLeast"/>
                    <w:jc w:val="center"/>
                    <w:rPr>
                      <w:rFonts w:hint="default" w:ascii="Times New Roman" w:hAnsi="Times New Roman" w:cs="Times New Roman"/>
                      <w:color w:val="auto"/>
                      <w:sz w:val="21"/>
                      <w:szCs w:val="21"/>
                    </w:rPr>
                  </w:pPr>
                </w:p>
              </w:tc>
              <w:tc>
                <w:tcPr>
                  <w:tcW w:w="845" w:type="dxa"/>
                  <w:noWrap w:val="0"/>
                  <w:vAlign w:val="center"/>
                </w:tcPr>
                <w:p>
                  <w:pPr>
                    <w:spacing w:line="20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产生量t</w:t>
                  </w:r>
                </w:p>
              </w:tc>
              <w:tc>
                <w:tcPr>
                  <w:tcW w:w="724" w:type="dxa"/>
                  <w:noWrap w:val="0"/>
                  <w:vAlign w:val="center"/>
                </w:tcPr>
                <w:p>
                  <w:pPr>
                    <w:spacing w:line="20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产生速率kg/h</w:t>
                  </w:r>
                </w:p>
              </w:tc>
              <w:tc>
                <w:tcPr>
                  <w:tcW w:w="969" w:type="dxa"/>
                  <w:noWrap w:val="0"/>
                  <w:vAlign w:val="center"/>
                </w:tcPr>
                <w:p>
                  <w:pPr>
                    <w:spacing w:line="20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产生浓度mg/m</w:t>
                  </w:r>
                  <w:r>
                    <w:rPr>
                      <w:rFonts w:hint="default" w:ascii="Times New Roman" w:hAnsi="Times New Roman" w:cs="Times New Roman"/>
                      <w:color w:val="auto"/>
                      <w:sz w:val="21"/>
                      <w:szCs w:val="21"/>
                      <w:vertAlign w:val="superscript"/>
                    </w:rPr>
                    <w:t>3</w:t>
                  </w:r>
                </w:p>
              </w:tc>
              <w:tc>
                <w:tcPr>
                  <w:tcW w:w="725" w:type="dxa"/>
                  <w:vMerge w:val="continue"/>
                  <w:noWrap w:val="0"/>
                  <w:vAlign w:val="center"/>
                </w:tcPr>
                <w:p>
                  <w:pPr>
                    <w:spacing w:line="200" w:lineRule="atLeast"/>
                    <w:jc w:val="center"/>
                    <w:rPr>
                      <w:rFonts w:hint="default" w:ascii="Times New Roman" w:hAnsi="Times New Roman" w:cs="Times New Roman"/>
                      <w:color w:val="auto"/>
                      <w:sz w:val="21"/>
                      <w:szCs w:val="21"/>
                    </w:rPr>
                  </w:pPr>
                </w:p>
              </w:tc>
              <w:tc>
                <w:tcPr>
                  <w:tcW w:w="724" w:type="dxa"/>
                  <w:noWrap w:val="0"/>
                  <w:vAlign w:val="center"/>
                </w:tcPr>
                <w:p>
                  <w:pPr>
                    <w:spacing w:line="20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排放量t</w:t>
                  </w:r>
                </w:p>
              </w:tc>
              <w:tc>
                <w:tcPr>
                  <w:tcW w:w="725" w:type="dxa"/>
                  <w:noWrap w:val="0"/>
                  <w:vAlign w:val="center"/>
                </w:tcPr>
                <w:p>
                  <w:pPr>
                    <w:spacing w:line="20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排放速率kg/h</w:t>
                  </w:r>
                </w:p>
              </w:tc>
              <w:tc>
                <w:tcPr>
                  <w:tcW w:w="968" w:type="dxa"/>
                  <w:noWrap w:val="0"/>
                  <w:vAlign w:val="center"/>
                </w:tcPr>
                <w:p>
                  <w:pPr>
                    <w:spacing w:line="20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排放浓度mg/m</w:t>
                  </w:r>
                  <w:r>
                    <w:rPr>
                      <w:rFonts w:hint="default" w:ascii="Times New Roman" w:hAnsi="Times New Roman" w:cs="Times New Roman"/>
                      <w:color w:val="auto"/>
                      <w:sz w:val="21"/>
                      <w:szCs w:val="21"/>
                      <w:vertAlign w:val="superscript"/>
                    </w:rPr>
                    <w:t>3</w:t>
                  </w:r>
                </w:p>
              </w:tc>
              <w:tc>
                <w:tcPr>
                  <w:tcW w:w="641" w:type="dxa"/>
                  <w:vMerge w:val="continue"/>
                  <w:noWrap w:val="0"/>
                  <w:vAlign w:val="center"/>
                </w:tcPr>
                <w:p>
                  <w:pPr>
                    <w:spacing w:line="200" w:lineRule="atLeast"/>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71" w:type="dxa"/>
                  <w:vMerge w:val="restart"/>
                  <w:noWrap w:val="0"/>
                  <w:vAlign w:val="center"/>
                </w:tcPr>
                <w:p>
                  <w:pPr>
                    <w:spacing w:line="200" w:lineRule="atLeast"/>
                    <w:jc w:val="center"/>
                    <w:rPr>
                      <w:rFonts w:hint="default" w:ascii="Times New Roman" w:hAnsi="Times New Roman" w:cs="Times New Roman"/>
                      <w:color w:val="FF0000"/>
                      <w:sz w:val="21"/>
                      <w:szCs w:val="21"/>
                    </w:rPr>
                  </w:pPr>
                  <w:r>
                    <w:rPr>
                      <w:rFonts w:hint="default" w:ascii="Times New Roman" w:hAnsi="Times New Roman" w:cs="Times New Roman"/>
                      <w:color w:val="auto"/>
                      <w:sz w:val="21"/>
                      <w:szCs w:val="21"/>
                    </w:rPr>
                    <w:t>烘干筛分及燃烧废气G4、G5</w:t>
                  </w:r>
                </w:p>
              </w:tc>
              <w:tc>
                <w:tcPr>
                  <w:tcW w:w="626" w:type="dxa"/>
                  <w:noWrap w:val="0"/>
                  <w:vAlign w:val="center"/>
                </w:tcPr>
                <w:p>
                  <w:pPr>
                    <w:spacing w:line="20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845" w:type="dxa"/>
                  <w:noWrap w:val="0"/>
                  <w:vAlign w:val="center"/>
                </w:tcPr>
                <w:p>
                  <w:pPr>
                    <w:spacing w:line="20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0.2</w:t>
                  </w:r>
                </w:p>
              </w:tc>
              <w:tc>
                <w:tcPr>
                  <w:tcW w:w="724" w:type="dxa"/>
                  <w:noWrap w:val="0"/>
                  <w:vAlign w:val="center"/>
                </w:tcPr>
                <w:p>
                  <w:pPr>
                    <w:spacing w:line="20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0.14</w:t>
                  </w:r>
                </w:p>
              </w:tc>
              <w:tc>
                <w:tcPr>
                  <w:tcW w:w="969" w:type="dxa"/>
                  <w:noWrap w:val="0"/>
                  <w:vAlign w:val="center"/>
                </w:tcPr>
                <w:p>
                  <w:pPr>
                    <w:spacing w:line="200" w:lineRule="atLeast"/>
                    <w:jc w:val="both"/>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34.72</w:t>
                  </w:r>
                </w:p>
              </w:tc>
              <w:tc>
                <w:tcPr>
                  <w:tcW w:w="725" w:type="dxa"/>
                  <w:vMerge w:val="restart"/>
                  <w:noWrap w:val="0"/>
                  <w:vAlign w:val="center"/>
                </w:tcPr>
                <w:p>
                  <w:pPr>
                    <w:spacing w:line="20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highlight w:val="none"/>
                      <w:lang w:val="en-US" w:eastAsia="zh-CN"/>
                    </w:rPr>
                    <w:t>蜗牛</w:t>
                  </w:r>
                  <w:r>
                    <w:rPr>
                      <w:rFonts w:hint="default" w:ascii="Times New Roman" w:hAnsi="Times New Roman" w:cs="Times New Roman"/>
                      <w:color w:val="auto"/>
                      <w:sz w:val="21"/>
                      <w:szCs w:val="21"/>
                      <w:highlight w:val="none"/>
                    </w:rPr>
                    <w:t>除尘+</w:t>
                  </w:r>
                  <w:r>
                    <w:rPr>
                      <w:rFonts w:hint="default" w:ascii="Times New Roman" w:hAnsi="Times New Roman" w:cs="Times New Roman"/>
                      <w:color w:val="auto"/>
                      <w:sz w:val="21"/>
                      <w:szCs w:val="21"/>
                      <w:highlight w:val="none"/>
                      <w:lang w:val="en-US" w:eastAsia="zh-CN"/>
                    </w:rPr>
                    <w:t>二级</w:t>
                  </w:r>
                  <w:r>
                    <w:rPr>
                      <w:rFonts w:hint="default" w:ascii="Times New Roman" w:hAnsi="Times New Roman" w:cs="Times New Roman"/>
                      <w:color w:val="auto"/>
                      <w:sz w:val="21"/>
                      <w:szCs w:val="21"/>
                      <w:highlight w:val="none"/>
                    </w:rPr>
                    <w:t>布袋除尘</w:t>
                  </w:r>
                </w:p>
              </w:tc>
              <w:tc>
                <w:tcPr>
                  <w:tcW w:w="724" w:type="dxa"/>
                  <w:noWrap w:val="0"/>
                  <w:vAlign w:val="center"/>
                </w:tcPr>
                <w:p>
                  <w:pPr>
                    <w:spacing w:line="200" w:lineRule="atLeast"/>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0.2</w:t>
                  </w:r>
                </w:p>
              </w:tc>
              <w:tc>
                <w:tcPr>
                  <w:tcW w:w="725" w:type="dxa"/>
                  <w:noWrap w:val="0"/>
                  <w:vAlign w:val="center"/>
                </w:tcPr>
                <w:p>
                  <w:pPr>
                    <w:spacing w:line="200" w:lineRule="atLeast"/>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0.14</w:t>
                  </w:r>
                </w:p>
              </w:tc>
              <w:tc>
                <w:tcPr>
                  <w:tcW w:w="968" w:type="dxa"/>
                  <w:noWrap w:val="0"/>
                  <w:vAlign w:val="center"/>
                </w:tcPr>
                <w:p>
                  <w:pPr>
                    <w:spacing w:line="200" w:lineRule="atLeast"/>
                    <w:ind w:left="0" w:leftChars="0" w:right="0" w:rightChars="0"/>
                    <w:jc w:val="center"/>
                    <w:rPr>
                      <w:rFonts w:hint="default" w:ascii="Times New Roman" w:hAnsi="Times New Roman" w:eastAsia="宋体" w:cs="Times New Roman"/>
                      <w:color w:val="auto"/>
                      <w:sz w:val="21"/>
                      <w:szCs w:val="21"/>
                      <w:lang w:val="en-US" w:eastAsia="zh-CN" w:bidi="zh-CN"/>
                    </w:rPr>
                  </w:pPr>
                  <w:r>
                    <w:rPr>
                      <w:rFonts w:hint="default" w:ascii="Times New Roman" w:hAnsi="Times New Roman" w:cs="Times New Roman"/>
                      <w:color w:val="auto"/>
                      <w:sz w:val="21"/>
                      <w:szCs w:val="21"/>
                      <w:lang w:val="en-US" w:eastAsia="zh-CN"/>
                    </w:rPr>
                    <w:t>34.72</w:t>
                  </w:r>
                </w:p>
              </w:tc>
              <w:tc>
                <w:tcPr>
                  <w:tcW w:w="641" w:type="dxa"/>
                  <w:vMerge w:val="restart"/>
                  <w:noWrap w:val="0"/>
                  <w:vAlign w:val="center"/>
                </w:tcPr>
                <w:p>
                  <w:pPr>
                    <w:spacing w:line="20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771" w:type="dxa"/>
                  <w:vMerge w:val="continue"/>
                  <w:noWrap w:val="0"/>
                  <w:vAlign w:val="center"/>
                </w:tcPr>
                <w:p>
                  <w:pPr>
                    <w:spacing w:line="200" w:lineRule="atLeast"/>
                    <w:jc w:val="center"/>
                    <w:rPr>
                      <w:rFonts w:hint="default" w:ascii="Times New Roman" w:hAnsi="Times New Roman" w:cs="Times New Roman"/>
                      <w:color w:val="FF0000"/>
                      <w:szCs w:val="21"/>
                    </w:rPr>
                  </w:pPr>
                </w:p>
              </w:tc>
              <w:tc>
                <w:tcPr>
                  <w:tcW w:w="626" w:type="dxa"/>
                  <w:noWrap w:val="0"/>
                  <w:vAlign w:val="center"/>
                </w:tcPr>
                <w:p>
                  <w:pPr>
                    <w:spacing w:line="20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NOx</w:t>
                  </w:r>
                </w:p>
              </w:tc>
              <w:tc>
                <w:tcPr>
                  <w:tcW w:w="845" w:type="dxa"/>
                  <w:noWrap w:val="0"/>
                  <w:vAlign w:val="center"/>
                </w:tcPr>
                <w:p>
                  <w:pPr>
                    <w:spacing w:line="20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0.909</w:t>
                  </w:r>
                </w:p>
              </w:tc>
              <w:tc>
                <w:tcPr>
                  <w:tcW w:w="724" w:type="dxa"/>
                  <w:noWrap w:val="0"/>
                  <w:vAlign w:val="center"/>
                </w:tcPr>
                <w:p>
                  <w:pPr>
                    <w:spacing w:line="20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0.63</w:t>
                  </w:r>
                </w:p>
              </w:tc>
              <w:tc>
                <w:tcPr>
                  <w:tcW w:w="969" w:type="dxa"/>
                  <w:noWrap w:val="0"/>
                  <w:vAlign w:val="center"/>
                </w:tcPr>
                <w:p>
                  <w:pPr>
                    <w:spacing w:line="20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57.5</w:t>
                  </w:r>
                </w:p>
              </w:tc>
              <w:tc>
                <w:tcPr>
                  <w:tcW w:w="725" w:type="dxa"/>
                  <w:vMerge w:val="continue"/>
                  <w:noWrap w:val="0"/>
                  <w:vAlign w:val="center"/>
                </w:tcPr>
                <w:p>
                  <w:pPr>
                    <w:spacing w:line="200" w:lineRule="atLeast"/>
                    <w:jc w:val="center"/>
                    <w:rPr>
                      <w:rFonts w:hint="default" w:ascii="Times New Roman" w:hAnsi="Times New Roman" w:cs="Times New Roman"/>
                      <w:color w:val="auto"/>
                      <w:sz w:val="21"/>
                      <w:szCs w:val="21"/>
                    </w:rPr>
                  </w:pPr>
                </w:p>
              </w:tc>
              <w:tc>
                <w:tcPr>
                  <w:tcW w:w="724" w:type="dxa"/>
                  <w:noWrap w:val="0"/>
                  <w:vAlign w:val="center"/>
                </w:tcPr>
                <w:p>
                  <w:pPr>
                    <w:spacing w:line="200" w:lineRule="atLeast"/>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0.909</w:t>
                  </w:r>
                </w:p>
              </w:tc>
              <w:tc>
                <w:tcPr>
                  <w:tcW w:w="725" w:type="dxa"/>
                  <w:noWrap w:val="0"/>
                  <w:vAlign w:val="center"/>
                </w:tcPr>
                <w:p>
                  <w:pPr>
                    <w:spacing w:line="20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0.63</w:t>
                  </w:r>
                </w:p>
              </w:tc>
              <w:tc>
                <w:tcPr>
                  <w:tcW w:w="968" w:type="dxa"/>
                  <w:noWrap w:val="0"/>
                  <w:vAlign w:val="center"/>
                </w:tcPr>
                <w:p>
                  <w:pPr>
                    <w:spacing w:line="20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57.5</w:t>
                  </w:r>
                </w:p>
              </w:tc>
              <w:tc>
                <w:tcPr>
                  <w:tcW w:w="641" w:type="dxa"/>
                  <w:vMerge w:val="continue"/>
                  <w:noWrap w:val="0"/>
                  <w:vAlign w:val="center"/>
                </w:tcPr>
                <w:p>
                  <w:pPr>
                    <w:spacing w:line="200" w:lineRule="atLeast"/>
                    <w:jc w:val="center"/>
                    <w:rPr>
                      <w:rFonts w:hint="default" w:ascii="Times New Roman" w:hAnsi="Times New Roman" w:cs="Times New Roman"/>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771" w:type="dxa"/>
                  <w:vMerge w:val="continue"/>
                  <w:noWrap w:val="0"/>
                  <w:vAlign w:val="center"/>
                </w:tcPr>
                <w:p>
                  <w:pPr>
                    <w:spacing w:line="200" w:lineRule="atLeast"/>
                    <w:jc w:val="center"/>
                    <w:rPr>
                      <w:rFonts w:hint="default" w:ascii="Times New Roman" w:hAnsi="Times New Roman" w:cs="Times New Roman"/>
                      <w:color w:val="FF0000"/>
                      <w:szCs w:val="21"/>
                    </w:rPr>
                  </w:pPr>
                </w:p>
              </w:tc>
              <w:tc>
                <w:tcPr>
                  <w:tcW w:w="626" w:type="dxa"/>
                  <w:noWrap w:val="0"/>
                  <w:vAlign w:val="center"/>
                </w:tcPr>
                <w:p>
                  <w:pPr>
                    <w:spacing w:line="20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烟尘</w:t>
                  </w:r>
                </w:p>
              </w:tc>
              <w:tc>
                <w:tcPr>
                  <w:tcW w:w="845" w:type="dxa"/>
                  <w:noWrap w:val="0"/>
                  <w:vAlign w:val="center"/>
                </w:tcPr>
                <w:p>
                  <w:pPr>
                    <w:spacing w:line="20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193.938</w:t>
                  </w:r>
                </w:p>
              </w:tc>
              <w:tc>
                <w:tcPr>
                  <w:tcW w:w="724" w:type="dxa"/>
                  <w:noWrap w:val="0"/>
                  <w:vAlign w:val="center"/>
                </w:tcPr>
                <w:p>
                  <w:pPr>
                    <w:spacing w:line="20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134.68</w:t>
                  </w:r>
                </w:p>
              </w:tc>
              <w:tc>
                <w:tcPr>
                  <w:tcW w:w="969" w:type="dxa"/>
                  <w:noWrap w:val="0"/>
                  <w:vAlign w:val="center"/>
                </w:tcPr>
                <w:p>
                  <w:pPr>
                    <w:spacing w:line="20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33669.79</w:t>
                  </w:r>
                </w:p>
              </w:tc>
              <w:tc>
                <w:tcPr>
                  <w:tcW w:w="725" w:type="dxa"/>
                  <w:vMerge w:val="continue"/>
                  <w:noWrap w:val="0"/>
                  <w:vAlign w:val="center"/>
                </w:tcPr>
                <w:p>
                  <w:pPr>
                    <w:spacing w:line="200" w:lineRule="atLeast"/>
                    <w:jc w:val="center"/>
                    <w:rPr>
                      <w:rFonts w:hint="default" w:ascii="Times New Roman" w:hAnsi="Times New Roman" w:cs="Times New Roman"/>
                      <w:color w:val="auto"/>
                      <w:sz w:val="21"/>
                      <w:szCs w:val="21"/>
                    </w:rPr>
                  </w:pPr>
                </w:p>
              </w:tc>
              <w:tc>
                <w:tcPr>
                  <w:tcW w:w="724" w:type="dxa"/>
                  <w:noWrap w:val="0"/>
                  <w:vAlign w:val="center"/>
                </w:tcPr>
                <w:p>
                  <w:pPr>
                    <w:spacing w:line="200" w:lineRule="atLeast"/>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0.97</w:t>
                  </w:r>
                </w:p>
              </w:tc>
              <w:tc>
                <w:tcPr>
                  <w:tcW w:w="725" w:type="dxa"/>
                  <w:noWrap w:val="0"/>
                  <w:vAlign w:val="center"/>
                </w:tcPr>
                <w:p>
                  <w:pPr>
                    <w:spacing w:line="20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0.67</w:t>
                  </w:r>
                </w:p>
              </w:tc>
              <w:tc>
                <w:tcPr>
                  <w:tcW w:w="968" w:type="dxa"/>
                  <w:noWrap w:val="0"/>
                  <w:vAlign w:val="center"/>
                </w:tcPr>
                <w:p>
                  <w:pPr>
                    <w:spacing w:line="200" w:lineRule="atLeast"/>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168.35</w:t>
                  </w:r>
                </w:p>
              </w:tc>
              <w:tc>
                <w:tcPr>
                  <w:tcW w:w="641" w:type="dxa"/>
                  <w:vMerge w:val="continue"/>
                  <w:noWrap w:val="0"/>
                  <w:vAlign w:val="center"/>
                </w:tcPr>
                <w:p>
                  <w:pPr>
                    <w:spacing w:line="200" w:lineRule="atLeast"/>
                    <w:jc w:val="center"/>
                    <w:rPr>
                      <w:rFonts w:hint="default" w:ascii="Times New Roman" w:hAnsi="Times New Roman" w:cs="Times New Roman"/>
                      <w:color w:val="FF0000"/>
                      <w:szCs w:val="21"/>
                    </w:rPr>
                  </w:pPr>
                </w:p>
              </w:tc>
            </w:tr>
          </w:tbl>
          <w:p>
            <w:pPr>
              <w:pStyle w:val="3"/>
              <w:spacing w:before="156" w:beforeLines="50"/>
              <w:ind w:firstLine="482"/>
              <w:rPr>
                <w:rFonts w:hint="eastAsia"/>
                <w:b/>
                <w:color w:val="auto"/>
              </w:rPr>
            </w:pPr>
            <w:r>
              <w:rPr>
                <w:b/>
                <w:color w:val="auto"/>
              </w:rPr>
              <w:t>G</w:t>
            </w:r>
            <w:r>
              <w:rPr>
                <w:rFonts w:hint="eastAsia"/>
                <w:b/>
                <w:color w:val="auto"/>
                <w:lang w:val="en-US" w:eastAsia="zh-CN"/>
              </w:rPr>
              <w:t>3</w:t>
            </w:r>
            <w:r>
              <w:rPr>
                <w:rFonts w:hint="eastAsia"/>
                <w:b/>
                <w:color w:val="auto"/>
              </w:rPr>
              <w:t>、G</w:t>
            </w:r>
            <w:r>
              <w:rPr>
                <w:rFonts w:hint="eastAsia"/>
                <w:b/>
                <w:color w:val="auto"/>
                <w:lang w:val="en-US" w:eastAsia="zh-CN"/>
              </w:rPr>
              <w:t>4</w:t>
            </w:r>
            <w:r>
              <w:rPr>
                <w:rFonts w:hint="eastAsia"/>
                <w:b/>
                <w:color w:val="auto"/>
              </w:rPr>
              <w:t>治理后排放</w:t>
            </w:r>
            <w:r>
              <w:rPr>
                <w:b/>
                <w:color w:val="auto"/>
              </w:rPr>
              <w:t>情况：</w:t>
            </w:r>
            <w:r>
              <w:rPr>
                <w:rFonts w:hint="eastAsia"/>
                <w:color w:val="auto"/>
              </w:rPr>
              <w:t>根据</w:t>
            </w:r>
            <w:r>
              <w:rPr>
                <w:color w:val="auto"/>
              </w:rPr>
              <w:t>上述计算，本项目</w:t>
            </w:r>
            <w:r>
              <w:rPr>
                <w:rFonts w:hint="eastAsia"/>
                <w:color w:val="auto"/>
              </w:rPr>
              <w:t>烘干筛分及燃烧废气经</w:t>
            </w:r>
            <w:r>
              <w:rPr>
                <w:rFonts w:hint="eastAsia"/>
                <w:color w:val="auto"/>
                <w:lang w:val="en-US" w:eastAsia="zh-CN"/>
              </w:rPr>
              <w:t>一级蜗牛惯性</w:t>
            </w:r>
            <w:r>
              <w:rPr>
                <w:rFonts w:hint="eastAsia"/>
                <w:color w:val="auto"/>
              </w:rPr>
              <w:t>除尘（除尘效率50%）和一台</w:t>
            </w:r>
            <w:r>
              <w:rPr>
                <w:rFonts w:hint="eastAsia"/>
                <w:color w:val="auto"/>
                <w:lang w:val="en-US" w:eastAsia="zh-CN"/>
              </w:rPr>
              <w:t>二级</w:t>
            </w:r>
            <w:r>
              <w:rPr>
                <w:rFonts w:hint="eastAsia"/>
                <w:color w:val="auto"/>
              </w:rPr>
              <w:t>布袋除尘装置（除尘效率99%）联合除尘后</w:t>
            </w:r>
            <w:r>
              <w:rPr>
                <w:color w:val="auto"/>
              </w:rPr>
              <w:t>，尾气经</w:t>
            </w:r>
            <w:r>
              <w:rPr>
                <w:rFonts w:hint="eastAsia"/>
                <w:color w:val="auto"/>
              </w:rPr>
              <w:t>15m高</w:t>
            </w:r>
            <w:r>
              <w:rPr>
                <w:color w:val="auto"/>
              </w:rPr>
              <w:t>排气筒（</w:t>
            </w:r>
            <w:r>
              <w:rPr>
                <w:rFonts w:hint="eastAsia"/>
                <w:color w:val="auto"/>
              </w:rPr>
              <w:t>1</w:t>
            </w:r>
            <w:r>
              <w:rPr>
                <w:color w:val="auto"/>
              </w:rPr>
              <w:t>#）排放</w:t>
            </w:r>
            <w:r>
              <w:rPr>
                <w:rFonts w:hint="eastAsia"/>
                <w:color w:val="auto"/>
              </w:rPr>
              <w:t>，</w:t>
            </w:r>
            <w:r>
              <w:rPr>
                <w:color w:val="auto"/>
              </w:rPr>
              <w:t>其中的</w:t>
            </w:r>
            <w:r>
              <w:rPr>
                <w:rFonts w:hint="eastAsia"/>
                <w:color w:val="auto"/>
              </w:rPr>
              <w:t>烟粉尘</w:t>
            </w:r>
            <w:r>
              <w:rPr>
                <w:color w:val="auto"/>
              </w:rPr>
              <w:t>、林格曼</w:t>
            </w:r>
            <w:r>
              <w:rPr>
                <w:rFonts w:hint="eastAsia"/>
                <w:color w:val="auto"/>
              </w:rPr>
              <w:t>黑度</w:t>
            </w:r>
            <w:r>
              <w:rPr>
                <w:color w:val="auto"/>
              </w:rPr>
              <w:t>满足《</w:t>
            </w:r>
            <w:r>
              <w:rPr>
                <w:rFonts w:hint="eastAsia"/>
                <w:color w:val="auto"/>
              </w:rPr>
              <w:t>工业炉窑</w:t>
            </w:r>
            <w:r>
              <w:rPr>
                <w:color w:val="auto"/>
              </w:rPr>
              <w:t>大气污染物排放标准》</w:t>
            </w:r>
            <w:r>
              <w:rPr>
                <w:rFonts w:hint="eastAsia"/>
                <w:color w:val="auto"/>
              </w:rPr>
              <w:t>表2标准</w:t>
            </w:r>
            <w:r>
              <w:rPr>
                <w:color w:val="auto"/>
              </w:rPr>
              <w:t>（</w:t>
            </w:r>
            <w:r>
              <w:rPr>
                <w:rFonts w:hint="eastAsia"/>
                <w:color w:val="auto"/>
              </w:rPr>
              <w:t>烟粉尘</w:t>
            </w:r>
            <w:r>
              <w:rPr>
                <w:color w:val="auto"/>
              </w:rPr>
              <w:t>：</w:t>
            </w:r>
            <w:r>
              <w:rPr>
                <w:rFonts w:hint="eastAsia"/>
                <w:color w:val="auto"/>
              </w:rPr>
              <w:t>浓度200mg/m</w:t>
            </w:r>
            <w:r>
              <w:rPr>
                <w:rFonts w:hint="eastAsia"/>
                <w:color w:val="auto"/>
                <w:vertAlign w:val="superscript"/>
              </w:rPr>
              <w:t>3</w:t>
            </w:r>
            <w:r>
              <w:rPr>
                <w:rFonts w:hint="eastAsia"/>
                <w:color w:val="auto"/>
              </w:rPr>
              <w:t>，</w:t>
            </w:r>
            <w:r>
              <w:rPr>
                <w:color w:val="auto"/>
              </w:rPr>
              <w:t>林格曼黑度</w:t>
            </w:r>
            <w:r>
              <w:rPr>
                <w:rFonts w:hint="eastAsia"/>
                <w:color w:val="auto"/>
              </w:rPr>
              <w:t>1</w:t>
            </w:r>
            <w:r>
              <w:rPr>
                <w:color w:val="auto"/>
              </w:rPr>
              <w:t>）</w:t>
            </w:r>
            <w:r>
              <w:rPr>
                <w:rFonts w:hint="eastAsia"/>
                <w:color w:val="auto"/>
              </w:rPr>
              <w:t>，排气筒</w:t>
            </w:r>
            <w:r>
              <w:rPr>
                <w:color w:val="auto"/>
              </w:rPr>
              <w:t>高度、</w:t>
            </w:r>
            <w:r>
              <w:rPr>
                <w:rFonts w:hint="eastAsia"/>
                <w:color w:val="auto"/>
              </w:rPr>
              <w:t>SO</w:t>
            </w:r>
            <w:r>
              <w:rPr>
                <w:rFonts w:hint="eastAsia"/>
                <w:color w:val="auto"/>
                <w:vertAlign w:val="subscript"/>
              </w:rPr>
              <w:t>2</w:t>
            </w:r>
            <w:r>
              <w:rPr>
                <w:rFonts w:hint="eastAsia"/>
                <w:color w:val="auto"/>
              </w:rPr>
              <w:t>、NO</w:t>
            </w:r>
            <w:r>
              <w:rPr>
                <w:color w:val="auto"/>
              </w:rPr>
              <w:t>x</w:t>
            </w:r>
            <w:r>
              <w:rPr>
                <w:rFonts w:hint="eastAsia"/>
                <w:color w:val="auto"/>
              </w:rPr>
              <w:t>排放浓度</w:t>
            </w:r>
            <w:r>
              <w:rPr>
                <w:color w:val="auto"/>
              </w:rPr>
              <w:t>能够达到《</w:t>
            </w:r>
            <w:r>
              <w:rPr>
                <w:rFonts w:hint="eastAsia"/>
                <w:color w:val="auto"/>
              </w:rPr>
              <w:t>大气污染物</w:t>
            </w:r>
            <w:r>
              <w:rPr>
                <w:color w:val="auto"/>
              </w:rPr>
              <w:t>综合排放标准》</w:t>
            </w:r>
            <w:r>
              <w:rPr>
                <w:rFonts w:hint="eastAsia"/>
                <w:color w:val="auto"/>
              </w:rPr>
              <w:t>（GB16297-1996）中</w:t>
            </w:r>
            <w:r>
              <w:rPr>
                <w:color w:val="auto"/>
              </w:rPr>
              <w:t>的表</w:t>
            </w:r>
            <w:r>
              <w:rPr>
                <w:rFonts w:hint="eastAsia"/>
                <w:color w:val="auto"/>
              </w:rPr>
              <w:t>2标准值</w:t>
            </w:r>
            <w:r>
              <w:rPr>
                <w:color w:val="auto"/>
              </w:rPr>
              <w:t>（</w:t>
            </w:r>
            <w:r>
              <w:rPr>
                <w:rFonts w:hint="eastAsia"/>
                <w:color w:val="auto"/>
              </w:rPr>
              <w:t>SO</w:t>
            </w:r>
            <w:r>
              <w:rPr>
                <w:rFonts w:hint="eastAsia"/>
                <w:color w:val="auto"/>
                <w:vertAlign w:val="subscript"/>
              </w:rPr>
              <w:t>2</w:t>
            </w:r>
            <w:r>
              <w:rPr>
                <w:rFonts w:hint="eastAsia"/>
                <w:color w:val="auto"/>
              </w:rPr>
              <w:t>最高允许排放速率</w:t>
            </w:r>
            <w:r>
              <w:rPr>
                <w:color w:val="auto"/>
              </w:rPr>
              <w:t>：</w:t>
            </w:r>
            <w:r>
              <w:rPr>
                <w:rFonts w:hint="eastAsia"/>
                <w:color w:val="auto"/>
              </w:rPr>
              <w:t>2.6kg/h，最高允许排放浓度≤550mg/m</w:t>
            </w:r>
            <w:r>
              <w:rPr>
                <w:rFonts w:hint="eastAsia"/>
                <w:color w:val="auto"/>
                <w:vertAlign w:val="superscript"/>
              </w:rPr>
              <w:t>3</w:t>
            </w:r>
            <w:r>
              <w:rPr>
                <w:rFonts w:hint="eastAsia"/>
                <w:color w:val="auto"/>
              </w:rPr>
              <w:t>；NO</w:t>
            </w:r>
            <w:r>
              <w:rPr>
                <w:color w:val="auto"/>
              </w:rPr>
              <w:t>x</w:t>
            </w:r>
            <w:r>
              <w:rPr>
                <w:rFonts w:hint="eastAsia"/>
                <w:color w:val="auto"/>
              </w:rPr>
              <w:t>最高允许排放速率</w:t>
            </w:r>
            <w:r>
              <w:rPr>
                <w:color w:val="auto"/>
              </w:rPr>
              <w:t>：0.77</w:t>
            </w:r>
            <w:r>
              <w:rPr>
                <w:rFonts w:hint="eastAsia"/>
                <w:color w:val="auto"/>
              </w:rPr>
              <w:t>kg/h，最高允许排放浓度≤</w:t>
            </w:r>
            <w:r>
              <w:rPr>
                <w:color w:val="auto"/>
              </w:rPr>
              <w:t>240</w:t>
            </w:r>
            <w:r>
              <w:rPr>
                <w:rFonts w:hint="eastAsia"/>
                <w:color w:val="auto"/>
              </w:rPr>
              <w:t>mg/m</w:t>
            </w:r>
            <w:r>
              <w:rPr>
                <w:rFonts w:hint="eastAsia"/>
                <w:color w:val="auto"/>
                <w:vertAlign w:val="superscript"/>
              </w:rPr>
              <w:t>3</w:t>
            </w:r>
            <w:r>
              <w:rPr>
                <w:color w:val="auto"/>
              </w:rPr>
              <w:t>）</w:t>
            </w:r>
            <w:r>
              <w:rPr>
                <w:rFonts w:hint="eastAsia"/>
                <w:color w:val="auto"/>
              </w:rPr>
              <w:t>。</w:t>
            </w:r>
          </w:p>
          <w:p>
            <w:pPr>
              <w:pStyle w:val="3"/>
              <w:ind w:firstLine="480"/>
              <w:rPr>
                <w:rFonts w:hint="eastAsia" w:ascii="Times New Roman" w:hAnsi="Times New Roman" w:eastAsia="宋体" w:cs="宋体"/>
                <w:color w:val="000000" w:themeColor="text1"/>
                <w14:textFill>
                  <w14:solidFill>
                    <w14:schemeClr w14:val="tx1"/>
                  </w14:solidFill>
                </w14:textFill>
              </w:rPr>
            </w:pPr>
            <w:r>
              <w:rPr>
                <w:rFonts w:hint="eastAsia" w:ascii="Times New Roman" w:hAnsi="Times New Roman" w:eastAsia="宋体" w:cs="宋体"/>
                <w:color w:val="000000" w:themeColor="text1"/>
                <w14:textFill>
                  <w14:solidFill>
                    <w14:schemeClr w14:val="tx1"/>
                  </w14:solidFill>
                </w14:textFill>
              </w:rPr>
              <w:t>（</w:t>
            </w:r>
            <w:r>
              <w:rPr>
                <w:rFonts w:hint="eastAsia" w:ascii="Times New Roman" w:hAnsi="Times New Roman" w:eastAsia="宋体" w:cs="宋体"/>
                <w:color w:val="000000" w:themeColor="text1"/>
                <w:lang w:val="en-US" w:eastAsia="zh-CN"/>
                <w14:textFill>
                  <w14:solidFill>
                    <w14:schemeClr w14:val="tx1"/>
                  </w14:solidFill>
                </w14:textFill>
              </w:rPr>
              <w:t>5</w:t>
            </w:r>
            <w:r>
              <w:rPr>
                <w:rFonts w:hint="eastAsia" w:ascii="Times New Roman" w:hAnsi="Times New Roman" w:eastAsia="宋体" w:cs="宋体"/>
                <w:color w:val="000000" w:themeColor="text1"/>
                <w14:textFill>
                  <w14:solidFill>
                    <w14:schemeClr w14:val="tx1"/>
                  </w14:solidFill>
                </w14:textFill>
              </w:rPr>
              <w:t>）</w:t>
            </w:r>
            <w:r>
              <w:rPr>
                <w:rFonts w:hint="eastAsia" w:ascii="Times New Roman" w:hAnsi="Times New Roman" w:eastAsia="宋体" w:cs="宋体"/>
                <w:color w:val="000000" w:themeColor="text1"/>
                <w:szCs w:val="21"/>
                <w14:textFill>
                  <w14:solidFill>
                    <w14:schemeClr w14:val="tx1"/>
                  </w14:solidFill>
                </w14:textFill>
              </w:rPr>
              <w:t>导热油锅炉燃烧器</w:t>
            </w:r>
            <w:r>
              <w:rPr>
                <w:rFonts w:hint="eastAsia" w:ascii="Times New Roman" w:hAnsi="Times New Roman" w:eastAsia="宋体" w:cs="宋体"/>
                <w:color w:val="000000" w:themeColor="text1"/>
                <w14:textFill>
                  <w14:solidFill>
                    <w14:schemeClr w14:val="tx1"/>
                  </w14:solidFill>
                </w14:textFill>
              </w:rPr>
              <w:t>燃烧废气G</w:t>
            </w:r>
            <w:r>
              <w:rPr>
                <w:rFonts w:hint="eastAsia" w:ascii="Times New Roman" w:hAnsi="Times New Roman" w:eastAsia="宋体" w:cs="宋体"/>
                <w:color w:val="000000" w:themeColor="text1"/>
                <w:lang w:val="en-US" w:eastAsia="zh-CN"/>
                <w14:textFill>
                  <w14:solidFill>
                    <w14:schemeClr w14:val="tx1"/>
                  </w14:solidFill>
                </w14:textFill>
              </w:rPr>
              <w:t>5</w:t>
            </w:r>
            <w:r>
              <w:rPr>
                <w:rFonts w:hint="eastAsia" w:ascii="Times New Roman" w:hAnsi="Times New Roman" w:eastAsia="宋体" w:cs="宋体"/>
                <w:color w:val="000000" w:themeColor="text1"/>
                <w14:textFill>
                  <w14:solidFill>
                    <w14:schemeClr w14:val="tx1"/>
                  </w14:solidFill>
                </w14:textFill>
              </w:rPr>
              <w:t>（有组织排放）</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Ansi="宋体"/>
                <w:color w:val="000000" w:themeColor="text1"/>
                <w:sz w:val="24"/>
                <w:szCs w:val="24"/>
                <w14:textFill>
                  <w14:solidFill>
                    <w14:schemeClr w14:val="tx1"/>
                  </w14:solidFill>
                </w14:textFill>
              </w:rPr>
            </w:pPr>
            <w:r>
              <w:rPr>
                <w:rFonts w:hint="eastAsia" w:ascii="Times New Roman" w:hAnsi="Times New Roman" w:eastAsia="宋体" w:cs="宋体"/>
                <w:color w:val="000000" w:themeColor="text1"/>
                <w:sz w:val="24"/>
                <w:szCs w:val="24"/>
                <w:lang w:val="zh-CN" w:eastAsia="zh-CN" w:bidi="zh-CN"/>
                <w14:textFill>
                  <w14:solidFill>
                    <w14:schemeClr w14:val="tx1"/>
                  </w14:solidFill>
                </w14:textFill>
              </w:rPr>
              <w:t>本项目运营期设置一台导热油炉提供沥青保温罐保温的热源，导热油以柴油为燃料，</w:t>
            </w:r>
            <w:r>
              <w:rPr>
                <w:rFonts w:hint="eastAsia" w:ascii="Times New Roman" w:hAnsi="Times New Roman" w:eastAsia="宋体" w:cs="宋体"/>
                <w:color w:val="000000" w:themeColor="text1"/>
                <w:sz w:val="24"/>
                <w:szCs w:val="24"/>
                <w:lang w:val="en-US" w:eastAsia="zh-CN" w:bidi="zh-CN"/>
                <w14:textFill>
                  <w14:solidFill>
                    <w14:schemeClr w14:val="tx1"/>
                  </w14:solidFill>
                </w14:textFill>
              </w:rPr>
              <w:t>根据同类型工程《</w:t>
            </w:r>
            <w:r>
              <w:rPr>
                <w:rFonts w:hint="eastAsia" w:ascii="Times New Roman" w:hAnsi="Times New Roman" w:eastAsia="宋体" w:cs="宋体"/>
                <w:color w:val="000000" w:themeColor="text1"/>
                <w:sz w:val="24"/>
                <w:szCs w:val="24"/>
                <w:lang w:val="zh-CN" w:eastAsia="zh-CN" w:bidi="zh-CN"/>
                <w14:textFill>
                  <w14:solidFill>
                    <w14:schemeClr w14:val="tx1"/>
                  </w14:solidFill>
                </w14:textFill>
              </w:rPr>
              <w:t>G318线泸定县泸桥镇白日坝至康定市炉城镇海船石段路面大修工程沥青砼热拌站</w:t>
            </w:r>
            <w:r>
              <w:rPr>
                <w:rFonts w:hint="eastAsia" w:ascii="Times New Roman" w:hAnsi="Times New Roman" w:eastAsia="宋体" w:cs="宋体"/>
                <w:color w:val="000000" w:themeColor="text1"/>
                <w:sz w:val="24"/>
                <w:szCs w:val="24"/>
                <w:lang w:val="en-US" w:eastAsia="zh-CN" w:bidi="zh-CN"/>
                <w14:textFill>
                  <w14:solidFill>
                    <w14:schemeClr w14:val="tx1"/>
                  </w14:solidFill>
                </w14:textFill>
              </w:rPr>
              <w:t>》</w:t>
            </w:r>
            <w:r>
              <w:rPr>
                <w:rFonts w:hint="eastAsia" w:ascii="Times New Roman" w:hAnsi="Times New Roman" w:eastAsia="宋体" w:cs="宋体"/>
                <w:color w:val="000000" w:themeColor="text1"/>
                <w:sz w:val="24"/>
                <w:szCs w:val="24"/>
                <w:lang w:val="en-US" w:eastAsia="zh-CN"/>
                <w14:textFill>
                  <w14:solidFill>
                    <w14:schemeClr w14:val="tx1"/>
                  </w14:solidFill>
                </w14:textFill>
              </w:rPr>
              <w:t>，确定本项目</w:t>
            </w:r>
            <w:r>
              <w:rPr>
                <w:rFonts w:hint="eastAsia" w:ascii="Times New Roman" w:hAnsi="Times New Roman" w:eastAsia="宋体" w:cs="宋体"/>
                <w:color w:val="000000" w:themeColor="text1"/>
                <w:sz w:val="24"/>
                <w:szCs w:val="24"/>
                <w14:textFill>
                  <w14:solidFill>
                    <w14:schemeClr w14:val="tx1"/>
                  </w14:solidFill>
                </w14:textFill>
              </w:rPr>
              <w:t>柴油使用量为</w:t>
            </w:r>
            <w:r>
              <w:rPr>
                <w:rFonts w:hint="eastAsia" w:ascii="Times New Roman" w:hAnsi="Times New Roman" w:cs="宋体"/>
                <w:color w:val="000000" w:themeColor="text1"/>
                <w:sz w:val="24"/>
                <w:szCs w:val="24"/>
                <w:lang w:val="en-US" w:eastAsia="zh-CN"/>
                <w14:textFill>
                  <w14:solidFill>
                    <w14:schemeClr w14:val="tx1"/>
                  </w14:solidFill>
                </w14:textFill>
              </w:rPr>
              <w:t>200</w:t>
            </w:r>
            <w:r>
              <w:rPr>
                <w:rFonts w:hint="eastAsia" w:ascii="Times New Roman" w:hAnsi="Times New Roman" w:eastAsia="宋体" w:cs="宋体"/>
                <w:color w:val="000000" w:themeColor="text1"/>
                <w:sz w:val="24"/>
                <w:szCs w:val="24"/>
                <w14:textFill>
                  <w14:solidFill>
                    <w14:schemeClr w14:val="tx1"/>
                  </w14:solidFill>
                </w14:textFill>
              </w:rPr>
              <w:t>吨，烟气中主要污染物为烟尘、二氧化硫和氮氧化物。根据《普通柴油》（GB252-2011）中，本项目采用的柴油含硫率取值0.035%。根据《第一次全国污染源普查工业污染源产排污系数手册（2010年修订）》（下册）（国务院第一次全国污染源普查领导小组办公室）中“4430热力生产和供应行业（包括工业锅炉）”，二氧化硫量、烟尘量、氮氧化物量即为各自的产污系数乘以燃料油消耗量，产污系数见表</w:t>
            </w:r>
            <w:r>
              <w:rPr>
                <w:rFonts w:hint="eastAsia" w:ascii="Times New Roman" w:hAnsi="Times New Roman" w:cs="宋体"/>
                <w:color w:val="000000" w:themeColor="text1"/>
                <w:sz w:val="24"/>
                <w:szCs w:val="24"/>
                <w:lang w:val="en-US" w:eastAsia="zh-CN"/>
                <w14:textFill>
                  <w14:solidFill>
                    <w14:schemeClr w14:val="tx1"/>
                  </w14:solidFill>
                </w14:textFill>
              </w:rPr>
              <w:t>4</w:t>
            </w:r>
            <w:r>
              <w:rPr>
                <w:rFonts w:hint="eastAsia" w:ascii="Times New Roman" w:hAnsi="Times New Roman" w:eastAsia="宋体" w:cs="宋体"/>
                <w:color w:val="000000" w:themeColor="text1"/>
                <w:sz w:val="24"/>
                <w:szCs w:val="24"/>
                <w14:textFill>
                  <w14:solidFill>
                    <w14:schemeClr w14:val="tx1"/>
                  </w14:solidFill>
                </w14:textFill>
              </w:rPr>
              <w:t>-6。</w:t>
            </w:r>
          </w:p>
          <w:p>
            <w:pPr>
              <w:snapToGrid w:val="0"/>
              <w:spacing w:line="360" w:lineRule="auto"/>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color w:val="auto"/>
                <w:sz w:val="21"/>
                <w:szCs w:val="21"/>
                <w:highlight w:val="none"/>
              </w:rPr>
              <w:t>表</w:t>
            </w:r>
            <w:r>
              <w:rPr>
                <w:rFonts w:hint="eastAsia" w:ascii="Times New Roman" w:hAnsi="Times New Roman" w:eastAsia="宋体" w:cs="Times New Roman"/>
                <w:b/>
                <w:bCs/>
                <w:color w:val="auto"/>
                <w:sz w:val="21"/>
                <w:szCs w:val="21"/>
                <w:highlight w:val="none"/>
                <w:lang w:val="en-US" w:eastAsia="zh-CN"/>
              </w:rPr>
              <w:t>4</w:t>
            </w:r>
            <w:r>
              <w:rPr>
                <w:rFonts w:hint="eastAsia" w:ascii="Times New Roman" w:hAnsi="Times New Roman" w:eastAsia="宋体" w:cs="Times New Roman"/>
                <w:b/>
                <w:bCs/>
                <w:color w:val="auto"/>
                <w:sz w:val="21"/>
                <w:szCs w:val="21"/>
                <w:highlight w:val="none"/>
              </w:rPr>
              <w:t>-6   热</w:t>
            </w:r>
            <w:r>
              <w:rPr>
                <w:rFonts w:hint="eastAsia" w:ascii="宋体" w:hAnsi="宋体" w:eastAsia="宋体" w:cs="宋体"/>
                <w:b/>
                <w:bCs/>
                <w:color w:val="000000" w:themeColor="text1"/>
                <w:sz w:val="21"/>
                <w:szCs w:val="21"/>
                <w:highlight w:val="none"/>
                <w14:textFill>
                  <w14:solidFill>
                    <w14:schemeClr w14:val="tx1"/>
                  </w14:solidFill>
                </w14:textFill>
              </w:rPr>
              <w:t>力生产和供应行业（包括工业锅炉）产排污系数表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926"/>
              <w:gridCol w:w="926"/>
              <w:gridCol w:w="926"/>
              <w:gridCol w:w="1158"/>
              <w:gridCol w:w="1621"/>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76" w:type="dxa"/>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产品名称</w:t>
                  </w:r>
                </w:p>
              </w:tc>
              <w:tc>
                <w:tcPr>
                  <w:tcW w:w="926" w:type="dxa"/>
                  <w:noWrap w:val="0"/>
                  <w:vAlign w:val="center"/>
                </w:tcPr>
                <w:p>
                  <w:pPr>
                    <w:pStyle w:val="3"/>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原料名称</w:t>
                  </w:r>
                </w:p>
              </w:tc>
              <w:tc>
                <w:tcPr>
                  <w:tcW w:w="926" w:type="dxa"/>
                  <w:noWrap w:val="0"/>
                  <w:vAlign w:val="center"/>
                </w:tcPr>
                <w:p>
                  <w:pPr>
                    <w:pStyle w:val="3"/>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工艺名称</w:t>
                  </w:r>
                </w:p>
              </w:tc>
              <w:tc>
                <w:tcPr>
                  <w:tcW w:w="926" w:type="dxa"/>
                  <w:noWrap w:val="0"/>
                  <w:vAlign w:val="center"/>
                </w:tcPr>
                <w:p>
                  <w:pPr>
                    <w:pStyle w:val="3"/>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规模等级</w:t>
                  </w:r>
                </w:p>
              </w:tc>
              <w:tc>
                <w:tcPr>
                  <w:tcW w:w="1158" w:type="dxa"/>
                  <w:noWrap w:val="0"/>
                  <w:vAlign w:val="center"/>
                </w:tcPr>
                <w:p>
                  <w:pPr>
                    <w:pStyle w:val="3"/>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污染物指标</w:t>
                  </w:r>
                </w:p>
              </w:tc>
              <w:tc>
                <w:tcPr>
                  <w:tcW w:w="1621" w:type="dxa"/>
                  <w:noWrap w:val="0"/>
                  <w:vAlign w:val="center"/>
                </w:tcPr>
                <w:p>
                  <w:pPr>
                    <w:pStyle w:val="3"/>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单位</w:t>
                  </w:r>
                </w:p>
              </w:tc>
              <w:tc>
                <w:tcPr>
                  <w:tcW w:w="963" w:type="dxa"/>
                  <w:noWrap w:val="0"/>
                  <w:vAlign w:val="center"/>
                </w:tcPr>
                <w:p>
                  <w:pPr>
                    <w:pStyle w:val="3"/>
                    <w:ind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产污系数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76" w:type="dxa"/>
                  <w:vMerge w:val="restart"/>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蒸汽/热水/其他</w:t>
                  </w:r>
                </w:p>
              </w:tc>
              <w:tc>
                <w:tcPr>
                  <w:tcW w:w="926" w:type="dxa"/>
                  <w:vMerge w:val="restart"/>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柴</w:t>
                  </w:r>
                  <w:r>
                    <w:rPr>
                      <w:rFonts w:hint="default" w:ascii="Times New Roman" w:hAnsi="Times New Roman" w:cs="Times New Roman"/>
                      <w:color w:val="000000" w:themeColor="text1"/>
                      <w:sz w:val="21"/>
                      <w:szCs w:val="21"/>
                      <w14:textFill>
                        <w14:solidFill>
                          <w14:schemeClr w14:val="tx1"/>
                        </w14:solidFill>
                      </w14:textFill>
                    </w:rPr>
                    <w:t>油</w:t>
                  </w:r>
                </w:p>
              </w:tc>
              <w:tc>
                <w:tcPr>
                  <w:tcW w:w="926" w:type="dxa"/>
                  <w:vMerge w:val="restart"/>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室燃炉</w:t>
                  </w:r>
                </w:p>
              </w:tc>
              <w:tc>
                <w:tcPr>
                  <w:tcW w:w="926" w:type="dxa"/>
                  <w:vMerge w:val="restart"/>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所有规模</w:t>
                  </w:r>
                </w:p>
              </w:tc>
              <w:tc>
                <w:tcPr>
                  <w:tcW w:w="1158" w:type="dxa"/>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工业废气量</w:t>
                  </w:r>
                </w:p>
              </w:tc>
              <w:tc>
                <w:tcPr>
                  <w:tcW w:w="1621" w:type="dxa"/>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标立方米/吨-原料</w:t>
                  </w:r>
                </w:p>
              </w:tc>
              <w:tc>
                <w:tcPr>
                  <w:tcW w:w="963" w:type="dxa"/>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17804.03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76" w:type="dxa"/>
                  <w:vMerge w:val="continue"/>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p>
              </w:tc>
              <w:tc>
                <w:tcPr>
                  <w:tcW w:w="926" w:type="dxa"/>
                  <w:vMerge w:val="continue"/>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p>
              </w:tc>
              <w:tc>
                <w:tcPr>
                  <w:tcW w:w="926" w:type="dxa"/>
                  <w:vMerge w:val="continue"/>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p>
              </w:tc>
              <w:tc>
                <w:tcPr>
                  <w:tcW w:w="926" w:type="dxa"/>
                  <w:vMerge w:val="continue"/>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p>
              </w:tc>
              <w:tc>
                <w:tcPr>
                  <w:tcW w:w="1158" w:type="dxa"/>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二氧化硫</w:t>
                  </w:r>
                </w:p>
              </w:tc>
              <w:tc>
                <w:tcPr>
                  <w:tcW w:w="1621" w:type="dxa"/>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千克/吨-原料</w:t>
                  </w:r>
                </w:p>
              </w:tc>
              <w:tc>
                <w:tcPr>
                  <w:tcW w:w="963" w:type="dxa"/>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19S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76" w:type="dxa"/>
                  <w:vMerge w:val="continue"/>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p>
              </w:tc>
              <w:tc>
                <w:tcPr>
                  <w:tcW w:w="926" w:type="dxa"/>
                  <w:vMerge w:val="continue"/>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p>
              </w:tc>
              <w:tc>
                <w:tcPr>
                  <w:tcW w:w="926" w:type="dxa"/>
                  <w:vMerge w:val="continue"/>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p>
              </w:tc>
              <w:tc>
                <w:tcPr>
                  <w:tcW w:w="926" w:type="dxa"/>
                  <w:vMerge w:val="continue"/>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p>
              </w:tc>
              <w:tc>
                <w:tcPr>
                  <w:tcW w:w="1158" w:type="dxa"/>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烟尘</w:t>
                  </w:r>
                </w:p>
              </w:tc>
              <w:tc>
                <w:tcPr>
                  <w:tcW w:w="1621" w:type="dxa"/>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千克/吨-原料</w:t>
                  </w:r>
                </w:p>
              </w:tc>
              <w:tc>
                <w:tcPr>
                  <w:tcW w:w="963" w:type="dxa"/>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76" w:type="dxa"/>
                  <w:vMerge w:val="continue"/>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p>
              </w:tc>
              <w:tc>
                <w:tcPr>
                  <w:tcW w:w="926" w:type="dxa"/>
                  <w:vMerge w:val="continue"/>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p>
              </w:tc>
              <w:tc>
                <w:tcPr>
                  <w:tcW w:w="926" w:type="dxa"/>
                  <w:vMerge w:val="continue"/>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p>
              </w:tc>
              <w:tc>
                <w:tcPr>
                  <w:tcW w:w="926" w:type="dxa"/>
                  <w:vMerge w:val="continue"/>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p>
              </w:tc>
              <w:tc>
                <w:tcPr>
                  <w:tcW w:w="1158" w:type="dxa"/>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氮氧化物</w:t>
                  </w:r>
                </w:p>
              </w:tc>
              <w:tc>
                <w:tcPr>
                  <w:tcW w:w="1621" w:type="dxa"/>
                  <w:noWrap w:val="0"/>
                  <w:vAlign w:val="center"/>
                </w:tcPr>
                <w:p>
                  <w:pPr>
                    <w:spacing w:line="360" w:lineRule="atLeas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千克/吨-原料</w:t>
                  </w:r>
                </w:p>
              </w:tc>
              <w:tc>
                <w:tcPr>
                  <w:tcW w:w="963" w:type="dxa"/>
                  <w:noWrap w:val="0"/>
                  <w:vAlign w:val="center"/>
                </w:tcPr>
                <w:p>
                  <w:pPr>
                    <w:spacing w:line="360" w:lineRule="atLeast"/>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3.03</w:t>
                  </w:r>
                </w:p>
              </w:tc>
            </w:tr>
          </w:tbl>
          <w:p>
            <w:pPr>
              <w:pStyle w:val="3"/>
              <w:spacing w:line="240" w:lineRule="auto"/>
              <w:ind w:firstLine="422"/>
              <w:rPr>
                <w:rFonts w:hint="eastAsia"/>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注</w:t>
            </w:r>
            <w:r>
              <w:rPr>
                <w:b/>
                <w:color w:val="000000" w:themeColor="text1"/>
                <w:sz w:val="21"/>
                <w:szCs w:val="21"/>
                <w14:textFill>
                  <w14:solidFill>
                    <w14:schemeClr w14:val="tx1"/>
                  </w14:solidFill>
                </w14:textFill>
              </w:rPr>
              <w:t>：产排污系数表中</w:t>
            </w:r>
            <w:r>
              <w:rPr>
                <w:rFonts w:hint="eastAsia"/>
                <w:b/>
                <w:color w:val="000000" w:themeColor="text1"/>
                <w:sz w:val="21"/>
                <w:szCs w:val="21"/>
                <w14:textFill>
                  <w14:solidFill>
                    <w14:schemeClr w14:val="tx1"/>
                  </w14:solidFill>
                </w14:textFill>
              </w:rPr>
              <w:t>二氧化硫</w:t>
            </w:r>
            <w:r>
              <w:rPr>
                <w:b/>
                <w:color w:val="000000" w:themeColor="text1"/>
                <w:sz w:val="21"/>
                <w:szCs w:val="21"/>
                <w14:textFill>
                  <w14:solidFill>
                    <w14:schemeClr w14:val="tx1"/>
                  </w14:solidFill>
                </w14:textFill>
              </w:rPr>
              <w:t>的产排污</w:t>
            </w:r>
            <w:r>
              <w:rPr>
                <w:rFonts w:hint="eastAsia"/>
                <w:b/>
                <w:color w:val="000000" w:themeColor="text1"/>
                <w:sz w:val="21"/>
                <w:szCs w:val="21"/>
                <w14:textFill>
                  <w14:solidFill>
                    <w14:schemeClr w14:val="tx1"/>
                  </w14:solidFill>
                </w14:textFill>
              </w:rPr>
              <w:t>系数</w:t>
            </w:r>
            <w:r>
              <w:rPr>
                <w:b/>
                <w:color w:val="000000" w:themeColor="text1"/>
                <w:sz w:val="21"/>
                <w:szCs w:val="21"/>
                <w14:textFill>
                  <w14:solidFill>
                    <w14:schemeClr w14:val="tx1"/>
                  </w14:solidFill>
                </w14:textFill>
              </w:rPr>
              <w:t>是以</w:t>
            </w:r>
            <w:r>
              <w:rPr>
                <w:rFonts w:hint="eastAsia"/>
                <w:b/>
                <w:color w:val="000000" w:themeColor="text1"/>
                <w:sz w:val="21"/>
                <w:szCs w:val="21"/>
                <w14:textFill>
                  <w14:solidFill>
                    <w14:schemeClr w14:val="tx1"/>
                  </w14:solidFill>
                </w14:textFill>
              </w:rPr>
              <w:t>含硫量</w:t>
            </w:r>
            <w:r>
              <w:rPr>
                <w:b/>
                <w:color w:val="000000" w:themeColor="text1"/>
                <w:sz w:val="21"/>
                <w:szCs w:val="21"/>
                <w14:textFill>
                  <w14:solidFill>
                    <w14:schemeClr w14:val="tx1"/>
                  </w14:solidFill>
                </w14:textFill>
              </w:rPr>
              <w:t>（</w:t>
            </w:r>
            <w:r>
              <w:rPr>
                <w:rFonts w:hint="eastAsia"/>
                <w:b/>
                <w:color w:val="000000" w:themeColor="text1"/>
                <w:sz w:val="21"/>
                <w:szCs w:val="21"/>
                <w14:textFill>
                  <w14:solidFill>
                    <w14:schemeClr w14:val="tx1"/>
                  </w14:solidFill>
                </w14:textFill>
              </w:rPr>
              <w:t>S</w:t>
            </w:r>
            <w:r>
              <w:rPr>
                <w:b/>
                <w:color w:val="000000" w:themeColor="text1"/>
                <w:sz w:val="21"/>
                <w:szCs w:val="21"/>
                <w14:textFill>
                  <w14:solidFill>
                    <w14:schemeClr w14:val="tx1"/>
                  </w14:solidFill>
                </w14:textFill>
              </w:rPr>
              <w:t>%）</w:t>
            </w:r>
            <w:r>
              <w:rPr>
                <w:rFonts w:hint="eastAsia"/>
                <w:b/>
                <w:color w:val="000000" w:themeColor="text1"/>
                <w:sz w:val="21"/>
                <w:szCs w:val="21"/>
                <w14:textFill>
                  <w14:solidFill>
                    <w14:schemeClr w14:val="tx1"/>
                  </w14:solidFill>
                </w14:textFill>
              </w:rPr>
              <w:t>的</w:t>
            </w:r>
            <w:r>
              <w:rPr>
                <w:b/>
                <w:color w:val="000000" w:themeColor="text1"/>
                <w:sz w:val="21"/>
                <w:szCs w:val="21"/>
                <w14:textFill>
                  <w14:solidFill>
                    <w14:schemeClr w14:val="tx1"/>
                  </w14:solidFill>
                </w14:textFill>
              </w:rPr>
              <w:t>形式</w:t>
            </w:r>
            <w:r>
              <w:rPr>
                <w:rFonts w:hint="eastAsia"/>
                <w:b/>
                <w:color w:val="000000" w:themeColor="text1"/>
                <w:sz w:val="21"/>
                <w:szCs w:val="21"/>
                <w14:textFill>
                  <w14:solidFill>
                    <w14:schemeClr w14:val="tx1"/>
                  </w14:solidFill>
                </w14:textFill>
              </w:rPr>
              <w:t>表示</w:t>
            </w:r>
            <w:r>
              <w:rPr>
                <w:b/>
                <w:color w:val="000000" w:themeColor="text1"/>
                <w:sz w:val="21"/>
                <w:szCs w:val="21"/>
                <w14:textFill>
                  <w14:solidFill>
                    <w14:schemeClr w14:val="tx1"/>
                  </w14:solidFill>
                </w14:textFill>
              </w:rPr>
              <w:t>的</w:t>
            </w:r>
            <w:r>
              <w:rPr>
                <w:rFonts w:hint="eastAsia"/>
                <w:b/>
                <w:color w:val="000000" w:themeColor="text1"/>
                <w:sz w:val="21"/>
                <w:szCs w:val="21"/>
                <w14:textFill>
                  <w14:solidFill>
                    <w14:schemeClr w14:val="tx1"/>
                  </w14:solidFill>
                </w14:textFill>
              </w:rPr>
              <w:t>，</w:t>
            </w:r>
            <w:r>
              <w:rPr>
                <w:b/>
                <w:color w:val="000000" w:themeColor="text1"/>
                <w:sz w:val="21"/>
                <w:szCs w:val="21"/>
                <w14:textFill>
                  <w14:solidFill>
                    <w14:schemeClr w14:val="tx1"/>
                  </w14:solidFill>
                </w14:textFill>
              </w:rPr>
              <w:t>其中含硫量（</w:t>
            </w:r>
            <w:r>
              <w:rPr>
                <w:rFonts w:hint="eastAsia"/>
                <w:b/>
                <w:color w:val="000000" w:themeColor="text1"/>
                <w:sz w:val="21"/>
                <w:szCs w:val="21"/>
                <w14:textFill>
                  <w14:solidFill>
                    <w14:schemeClr w14:val="tx1"/>
                  </w14:solidFill>
                </w14:textFill>
              </w:rPr>
              <w:t>S</w:t>
            </w:r>
            <w:r>
              <w:rPr>
                <w:b/>
                <w:color w:val="000000" w:themeColor="text1"/>
                <w:sz w:val="21"/>
                <w:szCs w:val="21"/>
                <w14:textFill>
                  <w14:solidFill>
                    <w14:schemeClr w14:val="tx1"/>
                  </w14:solidFill>
                </w14:textFill>
              </w:rPr>
              <w:t>%）</w:t>
            </w:r>
            <w:r>
              <w:rPr>
                <w:rFonts w:hint="eastAsia"/>
                <w:b/>
                <w:color w:val="000000" w:themeColor="text1"/>
                <w:sz w:val="21"/>
                <w:szCs w:val="21"/>
                <w14:textFill>
                  <w14:solidFill>
                    <w14:schemeClr w14:val="tx1"/>
                  </w14:solidFill>
                </w14:textFill>
              </w:rPr>
              <w:t>是指</w:t>
            </w:r>
            <w:r>
              <w:rPr>
                <w:b/>
                <w:color w:val="000000" w:themeColor="text1"/>
                <w:sz w:val="21"/>
                <w:szCs w:val="21"/>
                <w14:textFill>
                  <w14:solidFill>
                    <w14:schemeClr w14:val="tx1"/>
                  </w14:solidFill>
                </w14:textFill>
              </w:rPr>
              <w:t>燃油收到基硫分含量，以质量百分数的形式表示。</w:t>
            </w:r>
          </w:p>
          <w:p>
            <w:pPr>
              <w:pStyle w:val="3"/>
              <w:ind w:firstLine="480"/>
              <w:rPr>
                <w:rFonts w:hAnsi="宋体"/>
                <w:color w:val="000000" w:themeColor="text1"/>
                <w14:textFill>
                  <w14:solidFill>
                    <w14:schemeClr w14:val="tx1"/>
                  </w14:solidFill>
                </w14:textFill>
              </w:rPr>
            </w:pPr>
            <w:r>
              <w:rPr>
                <w:rFonts w:hint="eastAsia"/>
                <w:color w:val="000000" w:themeColor="text1"/>
                <w14:textFill>
                  <w14:solidFill>
                    <w14:schemeClr w14:val="tx1"/>
                  </w14:solidFill>
                </w14:textFill>
              </w:rPr>
              <w:t>经计算</w:t>
            </w:r>
            <w:r>
              <w:rPr>
                <w:color w:val="000000" w:themeColor="text1"/>
                <w14:textFill>
                  <w14:solidFill>
                    <w14:schemeClr w14:val="tx1"/>
                  </w14:solidFill>
                </w14:textFill>
              </w:rPr>
              <w:t>，</w:t>
            </w:r>
            <w:r>
              <w:rPr>
                <w:rFonts w:hint="eastAsia"/>
                <w:color w:val="000000" w:themeColor="text1"/>
                <w:szCs w:val="21"/>
                <w14:textFill>
                  <w14:solidFill>
                    <w14:schemeClr w14:val="tx1"/>
                  </w14:solidFill>
                </w14:textFill>
              </w:rPr>
              <w:t>导热油锅炉燃烧器</w:t>
            </w:r>
            <w:r>
              <w:rPr>
                <w:rFonts w:hint="eastAsia"/>
                <w:color w:val="000000" w:themeColor="text1"/>
                <w14:textFill>
                  <w14:solidFill>
                    <w14:schemeClr w14:val="tx1"/>
                  </w14:solidFill>
                </w14:textFill>
              </w:rPr>
              <w:t>燃烧废气排放量</w:t>
            </w:r>
            <w:r>
              <w:rPr>
                <w:color w:val="000000" w:themeColor="text1"/>
                <w14:textFill>
                  <w14:solidFill>
                    <w14:schemeClr w14:val="tx1"/>
                  </w14:solidFill>
                </w14:textFill>
              </w:rPr>
              <w:t>为</w:t>
            </w:r>
            <w:r>
              <w:rPr>
                <w:rFonts w:hint="eastAsia"/>
                <w:color w:val="000000" w:themeColor="text1"/>
                <w:lang w:val="en-US" w:eastAsia="zh-CN"/>
                <w14:textFill>
                  <w14:solidFill>
                    <w14:schemeClr w14:val="tx1"/>
                  </w14:solidFill>
                </w14:textFill>
              </w:rPr>
              <w:t>356.08</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产生量</w:t>
            </w:r>
            <w:r>
              <w:rPr>
                <w:color w:val="000000" w:themeColor="text1"/>
                <w14:textFill>
                  <w14:solidFill>
                    <w14:schemeClr w14:val="tx1"/>
                  </w14:solidFill>
                </w14:textFill>
              </w:rPr>
              <w:t>为</w:t>
            </w:r>
            <w:r>
              <w:rPr>
                <w:rFonts w:hint="eastAsia"/>
                <w:color w:val="000000" w:themeColor="text1"/>
                <w:lang w:val="en-US" w:eastAsia="zh-CN"/>
                <w14:textFill>
                  <w14:solidFill>
                    <w14:schemeClr w14:val="tx1"/>
                  </w14:solidFill>
                </w14:textFill>
              </w:rPr>
              <w:t>0.133</w:t>
            </w:r>
            <w:r>
              <w:rPr>
                <w:rFonts w:hint="eastAsia"/>
                <w:color w:val="000000" w:themeColor="text1"/>
                <w14:textFill>
                  <w14:solidFill>
                    <w14:schemeClr w14:val="tx1"/>
                  </w14:solidFill>
                </w14:textFill>
              </w:rPr>
              <w:t>t，</w:t>
            </w:r>
            <w:r>
              <w:rPr>
                <w:color w:val="000000" w:themeColor="text1"/>
                <w14:textFill>
                  <w14:solidFill>
                    <w14:schemeClr w14:val="tx1"/>
                  </w14:solidFill>
                </w14:textFill>
              </w:rPr>
              <w:t>烟尘产生量为</w:t>
            </w:r>
            <w:r>
              <w:rPr>
                <w:rFonts w:hint="eastAsia"/>
                <w:color w:val="000000" w:themeColor="text1"/>
                <w:lang w:val="en-US" w:eastAsia="zh-CN"/>
                <w14:textFill>
                  <w14:solidFill>
                    <w14:schemeClr w14:val="tx1"/>
                  </w14:solidFill>
                </w14:textFill>
              </w:rPr>
              <w:t>0.052</w:t>
            </w:r>
            <w:r>
              <w:rPr>
                <w:rFonts w:hint="eastAsia"/>
                <w:color w:val="000000" w:themeColor="text1"/>
                <w14:textFill>
                  <w14:solidFill>
                    <w14:schemeClr w14:val="tx1"/>
                  </w14:solidFill>
                </w14:textFill>
              </w:rPr>
              <w:t>t，</w:t>
            </w:r>
            <w:r>
              <w:rPr>
                <w:color w:val="000000" w:themeColor="text1"/>
                <w14:textFill>
                  <w14:solidFill>
                    <w14:schemeClr w14:val="tx1"/>
                  </w14:solidFill>
                </w14:textFill>
              </w:rPr>
              <w:t>氮氧化物产生量为</w:t>
            </w:r>
            <w:r>
              <w:rPr>
                <w:rFonts w:hint="eastAsia"/>
                <w:color w:val="000000" w:themeColor="text1"/>
                <w:lang w:val="en-US" w:eastAsia="zh-CN"/>
                <w14:textFill>
                  <w14:solidFill>
                    <w14:schemeClr w14:val="tx1"/>
                  </w14:solidFill>
                </w14:textFill>
              </w:rPr>
              <w:t>0.606t</w:t>
            </w:r>
            <w:r>
              <w:rPr>
                <w:rFonts w:hint="eastAsia"/>
                <w:color w:val="000000" w:themeColor="text1"/>
                <w14:textFill>
                  <w14:solidFill>
                    <w14:schemeClr w14:val="tx1"/>
                  </w14:solidFill>
                </w14:textFill>
              </w:rPr>
              <w:t>。</w:t>
            </w:r>
          </w:p>
          <w:p>
            <w:pPr>
              <w:pStyle w:val="3"/>
              <w:ind w:firstLine="482"/>
              <w:rPr>
                <w:rFonts w:hAnsi="宋体"/>
                <w:b/>
                <w:color w:val="000000" w:themeColor="text1"/>
                <w14:textFill>
                  <w14:solidFill>
                    <w14:schemeClr w14:val="tx1"/>
                  </w14:solidFill>
                </w14:textFill>
              </w:rPr>
            </w:pPr>
            <w:r>
              <w:rPr>
                <w:rFonts w:hint="eastAsia" w:hAnsi="宋体"/>
                <w:b/>
                <w:color w:val="000000" w:themeColor="text1"/>
                <w14:textFill>
                  <w14:solidFill>
                    <w14:schemeClr w14:val="tx1"/>
                  </w14:solidFill>
                </w14:textFill>
              </w:rPr>
              <w:t>治理措施</w:t>
            </w:r>
            <w:r>
              <w:rPr>
                <w:rFonts w:hAnsi="宋体"/>
                <w:b/>
                <w:color w:val="000000" w:themeColor="text1"/>
                <w14:textFill>
                  <w14:solidFill>
                    <w14:schemeClr w14:val="tx1"/>
                  </w14:solidFill>
                </w14:textFill>
              </w:rPr>
              <w:t>：</w:t>
            </w:r>
          </w:p>
          <w:p>
            <w:pPr>
              <w:pStyle w:val="3"/>
              <w:ind w:firstLine="482"/>
              <w:rPr>
                <w:color w:val="auto"/>
                <w:highlight w:val="none"/>
              </w:rPr>
            </w:pPr>
            <w:r>
              <w:rPr>
                <w:rFonts w:hint="eastAsia"/>
                <w:color w:val="auto"/>
                <w:highlight w:val="none"/>
                <w:lang w:val="en-US" w:eastAsia="zh-CN"/>
              </w:rPr>
              <w:t>燃烧器采用低氮燃烧器，低氮燃烧器就是将传统燃烧器进行增加鼓风机、</w:t>
            </w:r>
            <w:r>
              <w:rPr>
                <w:rFonts w:hint="default"/>
                <w:color w:val="auto"/>
                <w:highlight w:val="none"/>
                <w:lang w:val="en-US" w:eastAsia="zh-CN"/>
              </w:rPr>
              <w:fldChar w:fldCharType="begin"/>
            </w:r>
            <w:r>
              <w:rPr>
                <w:rFonts w:hint="default"/>
                <w:color w:val="auto"/>
                <w:highlight w:val="none"/>
                <w:lang w:val="en-US" w:eastAsia="zh-CN"/>
              </w:rPr>
              <w:instrText xml:space="preserve"> HYPERLINK "https://baike.baidu.com/item/%E5%BC%95%E9%A3%8E%E6%9C%BA/11039870" \t "https://baike.baidu.com/item/%E4%BD%8E%E6%B0%AE%E7%87%83%E7%83%A7%E5%99%A8/_blank" </w:instrText>
            </w:r>
            <w:r>
              <w:rPr>
                <w:rFonts w:hint="default"/>
                <w:color w:val="auto"/>
                <w:highlight w:val="none"/>
                <w:lang w:val="en-US" w:eastAsia="zh-CN"/>
              </w:rPr>
              <w:fldChar w:fldCharType="separate"/>
            </w:r>
            <w:r>
              <w:rPr>
                <w:rFonts w:hint="default"/>
                <w:color w:val="auto"/>
                <w:highlight w:val="none"/>
                <w:lang w:val="en-US" w:eastAsia="zh-CN"/>
              </w:rPr>
              <w:t>引风机</w:t>
            </w:r>
            <w:r>
              <w:rPr>
                <w:rFonts w:hint="default"/>
                <w:color w:val="auto"/>
                <w:highlight w:val="none"/>
                <w:lang w:val="en-US" w:eastAsia="zh-CN"/>
              </w:rPr>
              <w:fldChar w:fldCharType="end"/>
            </w:r>
            <w:r>
              <w:rPr>
                <w:rFonts w:hint="default"/>
                <w:color w:val="auto"/>
                <w:highlight w:val="none"/>
                <w:lang w:val="en-US" w:eastAsia="zh-CN"/>
              </w:rPr>
              <w:t>、变频器使用控制阀和多个电路集成让清洁能源和燃烧器作业为锅炉提供更高效的热能的设备。</w:t>
            </w:r>
            <w:r>
              <w:rPr>
                <w:rFonts w:hint="eastAsia"/>
                <w:color w:val="auto"/>
                <w:highlight w:val="none"/>
                <w:lang w:val="en-US" w:eastAsia="zh-CN"/>
              </w:rPr>
              <w:t>根据业主提供资料表明低氮燃烧器可使氮氧化物排放量降低至80mg/m</w:t>
            </w:r>
            <w:r>
              <w:rPr>
                <w:rFonts w:hint="eastAsia"/>
                <w:color w:val="auto"/>
                <w:highlight w:val="none"/>
                <w:vertAlign w:val="superscript"/>
                <w:lang w:val="en-US" w:eastAsia="zh-CN"/>
              </w:rPr>
              <w:t>3</w:t>
            </w:r>
            <w:r>
              <w:rPr>
                <w:rFonts w:hint="eastAsia"/>
                <w:color w:val="auto"/>
                <w:highlight w:val="none"/>
                <w:vertAlign w:val="baseline"/>
                <w:lang w:val="en-US" w:eastAsia="zh-CN"/>
              </w:rPr>
              <w:t>，</w:t>
            </w:r>
            <w:r>
              <w:rPr>
                <w:color w:val="auto"/>
                <w:highlight w:val="none"/>
              </w:rPr>
              <w:t>燃烧后的尾气经</w:t>
            </w:r>
            <w:r>
              <w:rPr>
                <w:rFonts w:hint="eastAsia"/>
                <w:color w:val="auto"/>
                <w:highlight w:val="none"/>
                <w:lang w:val="en-US" w:eastAsia="zh-CN"/>
              </w:rPr>
              <w:t>15</w:t>
            </w:r>
            <w:r>
              <w:rPr>
                <w:color w:val="auto"/>
                <w:highlight w:val="none"/>
              </w:rPr>
              <w:t>m高排气筒（3#）排放。</w:t>
            </w:r>
          </w:p>
          <w:p>
            <w:pPr>
              <w:pStyle w:val="3"/>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导热油炉</w:t>
            </w:r>
            <w:r>
              <w:rPr>
                <w:rFonts w:hint="eastAsia"/>
                <w:color w:val="000000" w:themeColor="text1"/>
                <w14:textFill>
                  <w14:solidFill>
                    <w14:schemeClr w14:val="tx1"/>
                  </w14:solidFill>
                </w14:textFill>
              </w:rPr>
              <w:t>烟气</w:t>
            </w:r>
            <w:r>
              <w:rPr>
                <w:color w:val="000000" w:themeColor="text1"/>
                <w14:textFill>
                  <w14:solidFill>
                    <w14:schemeClr w14:val="tx1"/>
                  </w14:solidFill>
                </w14:textFill>
              </w:rPr>
              <w:t>污染物产排污情况见表</w:t>
            </w:r>
            <w:r>
              <w:rPr>
                <w:rFonts w:hint="eastAsia"/>
                <w:color w:val="000000" w:themeColor="text1"/>
                <w:lang w:val="en-US" w:eastAsia="zh-CN"/>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w:t>
            </w:r>
          </w:p>
          <w:p>
            <w:pPr>
              <w:pStyle w:val="3"/>
              <w:ind w:firstLine="480"/>
              <w:jc w:val="center"/>
              <w:rPr>
                <w:rFonts w:hint="eastAsia" w:ascii="宋体" w:hAnsi="宋体" w:eastAsia="宋体" w:cs="宋体"/>
                <w:b/>
                <w:bCs/>
                <w:color w:val="000000" w:themeColor="text1"/>
                <w:sz w:val="21"/>
                <w:szCs w:val="21"/>
                <w:highlight w:val="none"/>
                <w:lang w:val="zh-CN" w:eastAsia="zh-CN" w:bidi="zh-CN"/>
                <w14:textFill>
                  <w14:solidFill>
                    <w14:schemeClr w14:val="tx1"/>
                  </w14:solidFill>
                </w14:textFill>
              </w:rPr>
            </w:pPr>
            <w:r>
              <w:rPr>
                <w:rFonts w:hint="eastAsia" w:ascii="Times New Roman" w:hAnsi="Times New Roman" w:eastAsia="宋体" w:cs="Times New Roman"/>
                <w:b/>
                <w:bCs/>
                <w:color w:val="auto"/>
                <w:sz w:val="21"/>
                <w:szCs w:val="21"/>
                <w:highlight w:val="none"/>
                <w:lang w:val="zh-CN" w:eastAsia="zh-CN" w:bidi="zh-CN"/>
              </w:rPr>
              <w:t>表</w:t>
            </w:r>
            <w:r>
              <w:rPr>
                <w:rFonts w:hint="eastAsia" w:ascii="Times New Roman" w:hAnsi="Times New Roman" w:eastAsia="宋体" w:cs="Times New Roman"/>
                <w:b/>
                <w:bCs/>
                <w:color w:val="auto"/>
                <w:sz w:val="21"/>
                <w:szCs w:val="21"/>
                <w:highlight w:val="none"/>
                <w:lang w:val="en-US" w:eastAsia="zh-CN" w:bidi="zh-CN"/>
              </w:rPr>
              <w:t>4</w:t>
            </w:r>
            <w:r>
              <w:rPr>
                <w:rFonts w:hint="eastAsia" w:ascii="Times New Roman" w:hAnsi="Times New Roman" w:eastAsia="宋体" w:cs="Times New Roman"/>
                <w:b/>
                <w:bCs/>
                <w:color w:val="auto"/>
                <w:sz w:val="21"/>
                <w:szCs w:val="21"/>
                <w:highlight w:val="none"/>
                <w:lang w:val="zh-CN" w:eastAsia="zh-CN" w:bidi="zh-CN"/>
              </w:rPr>
              <w:t xml:space="preserve">-7   </w:t>
            </w:r>
            <w:r>
              <w:rPr>
                <w:rFonts w:hint="eastAsia" w:ascii="宋体" w:hAnsi="宋体" w:eastAsia="宋体" w:cs="宋体"/>
                <w:b/>
                <w:bCs/>
                <w:color w:val="000000" w:themeColor="text1"/>
                <w:sz w:val="21"/>
                <w:szCs w:val="21"/>
                <w:highlight w:val="none"/>
                <w:lang w:val="zh-CN" w:eastAsia="zh-CN" w:bidi="zh-CN"/>
                <w14:textFill>
                  <w14:solidFill>
                    <w14:schemeClr w14:val="tx1"/>
                  </w14:solidFill>
                </w14:textFill>
              </w:rPr>
              <w:t>导热油炉废气污染物产排污情况表</w:t>
            </w:r>
          </w:p>
          <w:tbl>
            <w:tblPr>
              <w:tblStyle w:val="11"/>
              <w:tblW w:w="47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1020"/>
              <w:gridCol w:w="846"/>
              <w:gridCol w:w="1023"/>
              <w:gridCol w:w="987"/>
              <w:gridCol w:w="939"/>
              <w:gridCol w:w="939"/>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 w:hRule="atLeast"/>
                <w:jc w:val="center"/>
              </w:trPr>
              <w:tc>
                <w:tcPr>
                  <w:tcW w:w="692" w:type="pct"/>
                  <w:noWrap w:val="0"/>
                  <w:vAlign w:val="center"/>
                </w:tcPr>
                <w:p>
                  <w:pPr>
                    <w:spacing w:line="20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废气排放量（m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/h）</w:t>
                  </w:r>
                </w:p>
              </w:tc>
              <w:tc>
                <w:tcPr>
                  <w:tcW w:w="655" w:type="pct"/>
                  <w:noWrap w:val="0"/>
                  <w:vAlign w:val="center"/>
                </w:tcPr>
                <w:p>
                  <w:pPr>
                    <w:spacing w:line="20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污染物名称</w:t>
                  </w:r>
                </w:p>
              </w:tc>
              <w:tc>
                <w:tcPr>
                  <w:tcW w:w="543" w:type="pct"/>
                  <w:noWrap w:val="0"/>
                  <w:vAlign w:val="center"/>
                </w:tcPr>
                <w:p>
                  <w:pPr>
                    <w:spacing w:line="20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产生量（t）</w:t>
                  </w:r>
                </w:p>
              </w:tc>
              <w:tc>
                <w:tcPr>
                  <w:tcW w:w="657" w:type="pct"/>
                  <w:noWrap w:val="0"/>
                  <w:vAlign w:val="center"/>
                </w:tcPr>
                <w:p>
                  <w:pPr>
                    <w:spacing w:line="2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产生速率（kg/h）</w:t>
                  </w:r>
                </w:p>
              </w:tc>
              <w:tc>
                <w:tcPr>
                  <w:tcW w:w="634" w:type="pct"/>
                  <w:noWrap w:val="0"/>
                  <w:vAlign w:val="center"/>
                </w:tcPr>
                <w:p>
                  <w:pPr>
                    <w:spacing w:line="200" w:lineRule="atLeast"/>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产生浓度（mg/m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c>
                <w:tcPr>
                  <w:tcW w:w="603" w:type="pct"/>
                  <w:noWrap w:val="0"/>
                  <w:vAlign w:val="center"/>
                </w:tcPr>
                <w:p>
                  <w:pPr>
                    <w:spacing w:line="20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排放量（t）</w:t>
                  </w:r>
                </w:p>
              </w:tc>
              <w:tc>
                <w:tcPr>
                  <w:tcW w:w="603" w:type="pct"/>
                  <w:noWrap w:val="0"/>
                  <w:vAlign w:val="center"/>
                </w:tcPr>
                <w:p>
                  <w:pPr>
                    <w:spacing w:line="20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产生速率（kg/h）</w:t>
                  </w:r>
                </w:p>
              </w:tc>
              <w:tc>
                <w:tcPr>
                  <w:tcW w:w="607" w:type="pct"/>
                  <w:noWrap w:val="0"/>
                  <w:vAlign w:val="center"/>
                </w:tcPr>
                <w:p>
                  <w:pPr>
                    <w:spacing w:line="20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排放浓度（mg/m</w:t>
                  </w:r>
                  <w:r>
                    <w:rPr>
                      <w:rFonts w:hint="default" w:ascii="Times New Roman" w:hAnsi="Times New Roman" w:cs="Times New Roman"/>
                      <w:color w:val="auto"/>
                      <w:sz w:val="21"/>
                      <w:szCs w:val="21"/>
                      <w:highlight w:val="none"/>
                      <w:vertAlign w:val="superscript"/>
                    </w:rPr>
                    <w:t>3</w:t>
                  </w:r>
                  <w:r>
                    <w:rPr>
                      <w:rFonts w:hint="default" w:ascii="Times New Roman" w:hAnsi="Times New Roman"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92" w:type="pct"/>
                  <w:vMerge w:val="restart"/>
                  <w:noWrap w:val="0"/>
                  <w:vAlign w:val="center"/>
                </w:tcPr>
                <w:p>
                  <w:pPr>
                    <w:spacing w:line="2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1978.19</w:t>
                  </w:r>
                </w:p>
              </w:tc>
              <w:tc>
                <w:tcPr>
                  <w:tcW w:w="655" w:type="pct"/>
                  <w:noWrap w:val="0"/>
                  <w:vAlign w:val="center"/>
                </w:tcPr>
                <w:p>
                  <w:pPr>
                    <w:spacing w:line="20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SO</w:t>
                  </w:r>
                  <w:r>
                    <w:rPr>
                      <w:rFonts w:hint="default" w:ascii="Times New Roman" w:hAnsi="Times New Roman" w:cs="Times New Roman"/>
                      <w:color w:val="auto"/>
                      <w:sz w:val="21"/>
                      <w:szCs w:val="21"/>
                      <w:highlight w:val="none"/>
                      <w:vertAlign w:val="subscript"/>
                    </w:rPr>
                    <w:t>2</w:t>
                  </w:r>
                </w:p>
              </w:tc>
              <w:tc>
                <w:tcPr>
                  <w:tcW w:w="543" w:type="pct"/>
                  <w:noWrap w:val="0"/>
                  <w:vAlign w:val="center"/>
                </w:tcPr>
                <w:p>
                  <w:pPr>
                    <w:spacing w:line="2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0.133</w:t>
                  </w:r>
                </w:p>
              </w:tc>
              <w:tc>
                <w:tcPr>
                  <w:tcW w:w="657" w:type="pct"/>
                  <w:noWrap w:val="0"/>
                  <w:vAlign w:val="center"/>
                </w:tcPr>
                <w:p>
                  <w:pPr>
                    <w:spacing w:line="2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0.09</w:t>
                  </w:r>
                </w:p>
              </w:tc>
              <w:tc>
                <w:tcPr>
                  <w:tcW w:w="634" w:type="pct"/>
                  <w:noWrap w:val="0"/>
                  <w:vAlign w:val="center"/>
                </w:tcPr>
                <w:p>
                  <w:pPr>
                    <w:spacing w:line="2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46.69</w:t>
                  </w:r>
                </w:p>
              </w:tc>
              <w:tc>
                <w:tcPr>
                  <w:tcW w:w="603" w:type="pct"/>
                  <w:noWrap w:val="0"/>
                  <w:vAlign w:val="center"/>
                </w:tcPr>
                <w:p>
                  <w:pPr>
                    <w:spacing w:line="200" w:lineRule="atLeast"/>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0.133</w:t>
                  </w:r>
                </w:p>
              </w:tc>
              <w:tc>
                <w:tcPr>
                  <w:tcW w:w="603" w:type="pct"/>
                  <w:noWrap w:val="0"/>
                  <w:vAlign w:val="center"/>
                </w:tcPr>
                <w:p>
                  <w:pPr>
                    <w:spacing w:line="200" w:lineRule="atLeas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0.09</w:t>
                  </w:r>
                </w:p>
              </w:tc>
              <w:tc>
                <w:tcPr>
                  <w:tcW w:w="607" w:type="pct"/>
                  <w:noWrap w:val="0"/>
                  <w:vAlign w:val="center"/>
                </w:tcPr>
                <w:p>
                  <w:pPr>
                    <w:spacing w:line="200" w:lineRule="atLeast"/>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46.69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92" w:type="pct"/>
                  <w:vMerge w:val="continue"/>
                  <w:noWrap w:val="0"/>
                  <w:vAlign w:val="center"/>
                </w:tcPr>
                <w:p>
                  <w:pPr>
                    <w:spacing w:line="200" w:lineRule="atLeast"/>
                    <w:jc w:val="center"/>
                    <w:rPr>
                      <w:rFonts w:hint="default" w:ascii="Times New Roman" w:hAnsi="Times New Roman" w:cs="Times New Roman"/>
                      <w:color w:val="auto"/>
                      <w:sz w:val="21"/>
                      <w:szCs w:val="21"/>
                      <w:highlight w:val="none"/>
                    </w:rPr>
                  </w:pPr>
                </w:p>
              </w:tc>
              <w:tc>
                <w:tcPr>
                  <w:tcW w:w="655" w:type="pct"/>
                  <w:noWrap w:val="0"/>
                  <w:vAlign w:val="center"/>
                </w:tcPr>
                <w:p>
                  <w:pPr>
                    <w:spacing w:line="20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烟尘</w:t>
                  </w:r>
                </w:p>
              </w:tc>
              <w:tc>
                <w:tcPr>
                  <w:tcW w:w="543" w:type="pct"/>
                  <w:noWrap w:val="0"/>
                  <w:vAlign w:val="center"/>
                </w:tcPr>
                <w:p>
                  <w:pPr>
                    <w:spacing w:line="2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0.052</w:t>
                  </w:r>
                </w:p>
              </w:tc>
              <w:tc>
                <w:tcPr>
                  <w:tcW w:w="657" w:type="pct"/>
                  <w:noWrap w:val="0"/>
                  <w:vAlign w:val="center"/>
                </w:tcPr>
                <w:p>
                  <w:pPr>
                    <w:spacing w:line="2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0.04</w:t>
                  </w:r>
                </w:p>
              </w:tc>
              <w:tc>
                <w:tcPr>
                  <w:tcW w:w="634" w:type="pct"/>
                  <w:noWrap w:val="0"/>
                  <w:vAlign w:val="center"/>
                </w:tcPr>
                <w:p>
                  <w:pPr>
                    <w:spacing w:line="2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0.38</w:t>
                  </w:r>
                </w:p>
              </w:tc>
              <w:tc>
                <w:tcPr>
                  <w:tcW w:w="603" w:type="pct"/>
                  <w:noWrap w:val="0"/>
                  <w:vAlign w:val="center"/>
                </w:tcPr>
                <w:p>
                  <w:pPr>
                    <w:spacing w:line="200" w:lineRule="atLeast"/>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0.052</w:t>
                  </w:r>
                </w:p>
              </w:tc>
              <w:tc>
                <w:tcPr>
                  <w:tcW w:w="603" w:type="pct"/>
                  <w:noWrap w:val="0"/>
                  <w:vAlign w:val="center"/>
                </w:tcPr>
                <w:p>
                  <w:pPr>
                    <w:spacing w:line="200" w:lineRule="atLeast"/>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0.04</w:t>
                  </w:r>
                </w:p>
              </w:tc>
              <w:tc>
                <w:tcPr>
                  <w:tcW w:w="607" w:type="pct"/>
                  <w:noWrap w:val="0"/>
                  <w:vAlign w:val="center"/>
                </w:tcPr>
                <w:p>
                  <w:pPr>
                    <w:spacing w:line="200" w:lineRule="atLeast"/>
                    <w:ind w:left="0" w:leftChars="0" w:right="0"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2" w:type="pct"/>
                  <w:vMerge w:val="continue"/>
                  <w:noWrap w:val="0"/>
                  <w:vAlign w:val="center"/>
                </w:tcPr>
                <w:p>
                  <w:pPr>
                    <w:spacing w:line="200" w:lineRule="atLeast"/>
                    <w:jc w:val="center"/>
                    <w:rPr>
                      <w:rFonts w:hint="default" w:ascii="Times New Roman" w:hAnsi="Times New Roman" w:cs="Times New Roman"/>
                      <w:color w:val="auto"/>
                      <w:sz w:val="21"/>
                      <w:szCs w:val="21"/>
                      <w:highlight w:val="none"/>
                    </w:rPr>
                  </w:pPr>
                </w:p>
              </w:tc>
              <w:tc>
                <w:tcPr>
                  <w:tcW w:w="655" w:type="pct"/>
                  <w:noWrap w:val="0"/>
                  <w:vAlign w:val="center"/>
                </w:tcPr>
                <w:p>
                  <w:pPr>
                    <w:spacing w:line="200" w:lineRule="atLeast"/>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NOx</w:t>
                  </w:r>
                </w:p>
              </w:tc>
              <w:tc>
                <w:tcPr>
                  <w:tcW w:w="543" w:type="pct"/>
                  <w:noWrap w:val="0"/>
                  <w:vAlign w:val="center"/>
                </w:tcPr>
                <w:p>
                  <w:pPr>
                    <w:spacing w:line="2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0.606</w:t>
                  </w:r>
                </w:p>
              </w:tc>
              <w:tc>
                <w:tcPr>
                  <w:tcW w:w="657" w:type="pct"/>
                  <w:noWrap w:val="0"/>
                  <w:vAlign w:val="center"/>
                </w:tcPr>
                <w:p>
                  <w:pPr>
                    <w:spacing w:line="2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0.42</w:t>
                  </w:r>
                </w:p>
              </w:tc>
              <w:tc>
                <w:tcPr>
                  <w:tcW w:w="634" w:type="pct"/>
                  <w:noWrap w:val="0"/>
                  <w:vAlign w:val="center"/>
                </w:tcPr>
                <w:p>
                  <w:pPr>
                    <w:spacing w:line="2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212.74</w:t>
                  </w:r>
                </w:p>
              </w:tc>
              <w:tc>
                <w:tcPr>
                  <w:tcW w:w="603" w:type="pct"/>
                  <w:noWrap w:val="0"/>
                  <w:vAlign w:val="center"/>
                </w:tcPr>
                <w:p>
                  <w:pPr>
                    <w:spacing w:line="2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0.228</w:t>
                  </w:r>
                </w:p>
              </w:tc>
              <w:tc>
                <w:tcPr>
                  <w:tcW w:w="603" w:type="pct"/>
                  <w:noWrap w:val="0"/>
                  <w:vAlign w:val="center"/>
                </w:tcPr>
                <w:p>
                  <w:pPr>
                    <w:spacing w:line="2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0.016</w:t>
                  </w:r>
                </w:p>
              </w:tc>
              <w:tc>
                <w:tcPr>
                  <w:tcW w:w="607" w:type="pct"/>
                  <w:noWrap w:val="0"/>
                  <w:vAlign w:val="center"/>
                </w:tcPr>
                <w:p>
                  <w:pPr>
                    <w:spacing w:line="20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80</w:t>
                  </w:r>
                </w:p>
              </w:tc>
            </w:tr>
          </w:tbl>
          <w:p>
            <w:pPr>
              <w:pStyle w:val="3"/>
              <w:ind w:firstLine="482"/>
              <w:rPr>
                <w:color w:val="000000" w:themeColor="text1"/>
                <w14:textFill>
                  <w14:solidFill>
                    <w14:schemeClr w14:val="tx1"/>
                  </w14:solidFill>
                </w14:textFill>
              </w:rPr>
            </w:pPr>
            <w:r>
              <w:rPr>
                <w:rFonts w:hint="eastAsia"/>
                <w:b/>
                <w:color w:val="000000" w:themeColor="text1"/>
                <w14:textFill>
                  <w14:solidFill>
                    <w14:schemeClr w14:val="tx1"/>
                  </w14:solidFill>
                </w14:textFill>
              </w:rPr>
              <w:t>治理后</w:t>
            </w:r>
            <w:r>
              <w:rPr>
                <w:b/>
                <w:color w:val="000000" w:themeColor="text1"/>
                <w14:textFill>
                  <w14:solidFill>
                    <w14:schemeClr w14:val="tx1"/>
                  </w14:solidFill>
                </w14:textFill>
              </w:rPr>
              <w:t>排放情况：</w:t>
            </w:r>
            <w:r>
              <w:rPr>
                <w:rFonts w:hint="eastAsia"/>
                <w:color w:val="000000" w:themeColor="text1"/>
                <w14:textFill>
                  <w14:solidFill>
                    <w14:schemeClr w14:val="tx1"/>
                  </w14:solidFill>
                </w14:textFill>
              </w:rPr>
              <w:t>燃烧后</w:t>
            </w:r>
            <w:r>
              <w:rPr>
                <w:color w:val="000000" w:themeColor="text1"/>
                <w14:textFill>
                  <w14:solidFill>
                    <w14:schemeClr w14:val="tx1"/>
                  </w14:solidFill>
                </w14:textFill>
              </w:rPr>
              <w:t>的</w:t>
            </w:r>
            <w:r>
              <w:rPr>
                <w:rFonts w:hint="eastAsia"/>
                <w:color w:val="000000" w:themeColor="text1"/>
                <w14:textFill>
                  <w14:solidFill>
                    <w14:schemeClr w14:val="tx1"/>
                  </w14:solidFill>
                </w14:textFill>
              </w:rPr>
              <w:t>废气中SO</w:t>
            </w:r>
            <w:r>
              <w:rPr>
                <w:rFonts w:hint="eastAsia"/>
                <w:color w:val="000000" w:themeColor="text1"/>
                <w:vertAlign w:val="subscript"/>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烟尘</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氮氧化物</w:t>
            </w:r>
            <w:r>
              <w:rPr>
                <w:rFonts w:hint="eastAsia"/>
                <w:color w:val="000000" w:themeColor="text1"/>
                <w14:textFill>
                  <w14:solidFill>
                    <w14:schemeClr w14:val="tx1"/>
                  </w14:solidFill>
                </w14:textFill>
              </w:rPr>
              <w:t>排放</w:t>
            </w:r>
            <w:r>
              <w:rPr>
                <w:color w:val="000000" w:themeColor="text1"/>
                <w14:textFill>
                  <w14:solidFill>
                    <w14:schemeClr w14:val="tx1"/>
                  </w14:solidFill>
                </w14:textFill>
              </w:rPr>
              <w:t>浓度</w:t>
            </w:r>
            <w:r>
              <w:rPr>
                <w:rFonts w:hint="eastAsia"/>
                <w:color w:val="000000" w:themeColor="text1"/>
                <w14:textFill>
                  <w14:solidFill>
                    <w14:schemeClr w14:val="tx1"/>
                  </w14:solidFill>
                </w14:textFill>
              </w:rPr>
              <w:t>分别为</w:t>
            </w:r>
            <w:r>
              <w:rPr>
                <w:rFonts w:hint="eastAsia"/>
                <w:color w:val="000000" w:themeColor="text1"/>
                <w:lang w:val="en-US" w:eastAsia="zh-CN"/>
                <w14:textFill>
                  <w14:solidFill>
                    <w14:schemeClr w14:val="tx1"/>
                  </w14:solidFill>
                </w14:textFill>
              </w:rPr>
              <w:t>46.69</w:t>
            </w:r>
            <w:r>
              <w:rPr>
                <w:color w:val="000000" w:themeColor="text1"/>
                <w14:textFill>
                  <w14:solidFill>
                    <w14:schemeClr w14:val="tx1"/>
                  </w14:solidFill>
                </w14:textFill>
              </w:rPr>
              <w:t>mg/m</w:t>
            </w:r>
            <w:r>
              <w:rPr>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0.38</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80</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，均能</w:t>
            </w:r>
            <w:r>
              <w:rPr>
                <w:color w:val="000000" w:themeColor="text1"/>
                <w14:textFill>
                  <w14:solidFill>
                    <w14:schemeClr w14:val="tx1"/>
                  </w14:solidFill>
                </w14:textFill>
              </w:rPr>
              <w:t>满足《</w:t>
            </w:r>
            <w:r>
              <w:rPr>
                <w:rFonts w:hint="eastAsia"/>
                <w:color w:val="000000" w:themeColor="text1"/>
                <w14:textFill>
                  <w14:solidFill>
                    <w14:schemeClr w14:val="tx1"/>
                  </w14:solidFill>
                </w14:textFill>
              </w:rPr>
              <w:t>锅炉</w:t>
            </w:r>
            <w:r>
              <w:rPr>
                <w:color w:val="000000" w:themeColor="text1"/>
                <w14:textFill>
                  <w14:solidFill>
                    <w14:schemeClr w14:val="tx1"/>
                  </w14:solidFill>
                </w14:textFill>
              </w:rPr>
              <w:t>大气污染物排放标准》</w:t>
            </w:r>
            <w:r>
              <w:rPr>
                <w:rFonts w:hint="eastAsia"/>
                <w:color w:val="000000" w:themeColor="text1"/>
                <w14:textFill>
                  <w14:solidFill>
                    <w14:schemeClr w14:val="tx1"/>
                  </w14:solidFill>
                </w14:textFill>
              </w:rPr>
              <w:t>（GB13271-2014）中</w:t>
            </w:r>
            <w:r>
              <w:rPr>
                <w:color w:val="000000" w:themeColor="text1"/>
                <w14:textFill>
                  <w14:solidFill>
                    <w14:schemeClr w14:val="tx1"/>
                  </w14:solidFill>
                </w14:textFill>
              </w:rPr>
              <w:t>燃油锅炉排放规定的</w:t>
            </w:r>
            <w:r>
              <w:rPr>
                <w:rFonts w:hint="eastAsia"/>
                <w:color w:val="000000" w:themeColor="text1"/>
                <w14:textFill>
                  <w14:solidFill>
                    <w14:schemeClr w14:val="tx1"/>
                  </w14:solidFill>
                </w14:textFill>
              </w:rPr>
              <w:t>200mg/m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、30mg/m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、250mg/m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w:t>
            </w:r>
            <w:r>
              <w:rPr>
                <w:color w:val="000000" w:themeColor="text1"/>
                <w14:textFill>
                  <w14:solidFill>
                    <w14:schemeClr w14:val="tx1"/>
                  </w14:solidFill>
                </w14:textFill>
              </w:rPr>
              <w:t>浓度限制</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且</w:t>
            </w:r>
            <w:r>
              <w:rPr>
                <w:rFonts w:hint="eastAsia"/>
                <w:color w:val="000000" w:themeColor="text1"/>
                <w14:textFill>
                  <w14:solidFill>
                    <w14:schemeClr w14:val="tx1"/>
                  </w14:solidFill>
                </w14:textFill>
              </w:rPr>
              <w:t>排气筒高度</w:t>
            </w:r>
            <w:r>
              <w:rPr>
                <w:color w:val="000000" w:themeColor="text1"/>
                <w14:textFill>
                  <w14:solidFill>
                    <w14:schemeClr w14:val="tx1"/>
                  </w14:solidFill>
                </w14:textFill>
              </w:rPr>
              <w:t>为</w:t>
            </w:r>
            <w:r>
              <w:rPr>
                <w:rFonts w:hint="eastAsia"/>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满足《</w:t>
            </w:r>
            <w:r>
              <w:rPr>
                <w:rFonts w:hint="eastAsia"/>
                <w:color w:val="000000" w:themeColor="text1"/>
                <w14:textFill>
                  <w14:solidFill>
                    <w14:schemeClr w14:val="tx1"/>
                  </w14:solidFill>
                </w14:textFill>
              </w:rPr>
              <w:t>锅炉</w:t>
            </w:r>
            <w:r>
              <w:rPr>
                <w:color w:val="000000" w:themeColor="text1"/>
                <w14:textFill>
                  <w14:solidFill>
                    <w14:schemeClr w14:val="tx1"/>
                  </w14:solidFill>
                </w14:textFill>
              </w:rPr>
              <w:t>大气污染物排放标准》</w:t>
            </w:r>
            <w:r>
              <w:rPr>
                <w:rFonts w:hint="eastAsia"/>
                <w:color w:val="000000" w:themeColor="text1"/>
                <w14:textFill>
                  <w14:solidFill>
                    <w14:schemeClr w14:val="tx1"/>
                  </w14:solidFill>
                </w14:textFill>
              </w:rPr>
              <w:t>中</w:t>
            </w:r>
            <w:r>
              <w:rPr>
                <w:color w:val="000000" w:themeColor="text1"/>
                <w14:textFill>
                  <w14:solidFill>
                    <w14:schemeClr w14:val="tx1"/>
                  </w14:solidFill>
                </w14:textFill>
              </w:rPr>
              <w:t>要求的燃油、燃气锅炉烟囱不低于</w:t>
            </w:r>
            <w:r>
              <w:rPr>
                <w:rFonts w:hint="eastAsia"/>
                <w:color w:val="000000" w:themeColor="text1"/>
                <w14:textFill>
                  <w14:solidFill>
                    <w14:schemeClr w14:val="tx1"/>
                  </w14:solidFill>
                </w14:textFill>
              </w:rPr>
              <w:t>8m的</w:t>
            </w:r>
            <w:r>
              <w:rPr>
                <w:color w:val="000000" w:themeColor="text1"/>
                <w14:textFill>
                  <w14:solidFill>
                    <w14:schemeClr w14:val="tx1"/>
                  </w14:solidFill>
                </w14:textFill>
              </w:rPr>
              <w:t>规定。</w:t>
            </w:r>
          </w:p>
          <w:p>
            <w:pPr>
              <w:pStyle w:val="3"/>
              <w:ind w:firstLine="480"/>
              <w:rPr>
                <w:rFonts w:hint="eastAsia" w:eastAsia="宋体"/>
                <w:color w:val="auto"/>
                <w:lang w:eastAsia="zh-CN"/>
              </w:rPr>
            </w:pPr>
            <w:r>
              <w:rPr>
                <w:rFonts w:hint="eastAsia"/>
                <w:color w:val="auto"/>
              </w:rPr>
              <w:t>（</w:t>
            </w:r>
            <w:r>
              <w:rPr>
                <w:rFonts w:hint="eastAsia"/>
                <w:color w:val="auto"/>
                <w:lang w:val="en-US" w:eastAsia="zh-CN"/>
              </w:rPr>
              <w:t>6</w:t>
            </w:r>
            <w:r>
              <w:rPr>
                <w:rFonts w:hint="eastAsia"/>
                <w:color w:val="auto"/>
              </w:rPr>
              <w:t>）沥青烟气G</w:t>
            </w:r>
            <w:r>
              <w:rPr>
                <w:rFonts w:hint="eastAsia"/>
                <w:color w:val="auto"/>
                <w:lang w:val="en-US" w:eastAsia="zh-CN"/>
              </w:rPr>
              <w:t>6</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本项目生产时间约为</w:t>
            </w:r>
            <w:r>
              <w:rPr>
                <w:rFonts w:hint="eastAsia" w:ascii="Times New Roman" w:hAnsi="Times New Roman" w:cs="Times New Roman"/>
                <w:color w:val="000000"/>
                <w:kern w:val="0"/>
                <w:sz w:val="24"/>
                <w:szCs w:val="24"/>
                <w:lang w:val="en-US" w:eastAsia="zh-CN" w:bidi="ar"/>
              </w:rPr>
              <w:t>180</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下雨、下雪等恶劣天气不进行生产，具体时间根据建设单位需要沥青砼的具体时间确定，沥青运输进场后，通过沥青泵抽至罐体，罐中的空气经呼吸口排出，沥青贮存在沥青保温罐中，因此，沥青在厂区的贮存时间以</w:t>
            </w:r>
            <w:r>
              <w:rPr>
                <w:rFonts w:hint="eastAsia" w:ascii="Times New Roman" w:hAnsi="Times New Roman" w:cs="Times New Roman"/>
                <w:color w:val="000000"/>
                <w:kern w:val="0"/>
                <w:sz w:val="24"/>
                <w:szCs w:val="24"/>
                <w:lang w:val="en-US" w:eastAsia="zh-CN" w:bidi="ar"/>
              </w:rPr>
              <w:t>180d</w:t>
            </w:r>
            <w:r>
              <w:rPr>
                <w:rFonts w:hint="eastAsia" w:ascii="宋体" w:hAnsi="宋体" w:eastAsia="宋体" w:cs="宋体"/>
                <w:color w:val="000000"/>
                <w:kern w:val="0"/>
                <w:sz w:val="24"/>
                <w:szCs w:val="24"/>
                <w:lang w:val="en-US" w:eastAsia="zh-CN" w:bidi="ar"/>
              </w:rPr>
              <w:t>计。</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沥青砼生产使用前，通过导热油炉对沥青罐中的沥青进行间接加热至</w:t>
            </w:r>
            <w:r>
              <w:rPr>
                <w:rFonts w:hint="default" w:ascii="Times New Roman" w:hAnsi="Times New Roman" w:eastAsia="宋体" w:cs="Times New Roman"/>
                <w:color w:val="000000"/>
                <w:kern w:val="0"/>
                <w:sz w:val="24"/>
                <w:szCs w:val="24"/>
                <w:lang w:val="en-US" w:eastAsia="zh-CN" w:bidi="ar"/>
              </w:rPr>
              <w:t>180</w:t>
            </w:r>
            <w:r>
              <w:rPr>
                <w:rFonts w:hint="eastAsia" w:ascii="宋体" w:hAnsi="宋体" w:eastAsia="宋体" w:cs="宋体"/>
                <w:color w:val="000000"/>
                <w:kern w:val="0"/>
                <w:sz w:val="24"/>
                <w:szCs w:val="24"/>
                <w:lang w:val="en-US" w:eastAsia="zh-CN" w:bidi="ar"/>
              </w:rPr>
              <w:t>℃，再由沥青专用泵经管道送入搅拌缸（全封闭状态）中，搅拌好的沥青砼从搅拌楼出料口落入沥青运输车辆内，再运输出厂。故沥青烟产生源点为沥青罐呼吸孔、搅拌楼出料口。沥青烟是沥青制品在生产过程中排放的液体烃类有机颗粒物质和少量气态烃类物质，以烃类混合物为其主要成分，其中，苯并</w:t>
            </w:r>
            <w:r>
              <w:rPr>
                <w:rFonts w:hint="eastAsia"/>
                <w:color w:val="auto"/>
              </w:rPr>
              <w:t>(a)</w:t>
            </w:r>
            <w:r>
              <w:rPr>
                <w:rFonts w:hint="eastAsia" w:ascii="宋体" w:hAnsi="宋体" w:eastAsia="宋体" w:cs="宋体"/>
                <w:color w:val="000000"/>
                <w:kern w:val="0"/>
                <w:sz w:val="24"/>
                <w:szCs w:val="24"/>
                <w:lang w:val="en-US" w:eastAsia="zh-CN" w:bidi="ar"/>
              </w:rPr>
              <w:t>芘为沥青烟中的一种污染成分</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主要依附在直径</w:t>
            </w:r>
            <w:r>
              <w:rPr>
                <w:rFonts w:hint="default" w:ascii="Times New Roman" w:hAnsi="Times New Roman" w:eastAsia="宋体" w:cs="Times New Roman"/>
                <w:color w:val="000000"/>
                <w:kern w:val="0"/>
                <w:sz w:val="24"/>
                <w:szCs w:val="24"/>
                <w:lang w:val="en-US" w:eastAsia="zh-CN" w:bidi="ar"/>
              </w:rPr>
              <w:t>&lt;8.0um</w:t>
            </w:r>
            <w:r>
              <w:rPr>
                <w:rFonts w:hint="eastAsia" w:ascii="宋体" w:hAnsi="宋体" w:eastAsia="宋体" w:cs="宋体"/>
                <w:color w:val="000000"/>
                <w:kern w:val="0"/>
                <w:sz w:val="24"/>
                <w:szCs w:val="24"/>
                <w:lang w:val="en-US" w:eastAsia="zh-CN" w:bidi="ar"/>
              </w:rPr>
              <w:t>的飘尘颗粒上</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w:t>
            </w:r>
          </w:p>
          <w:p>
            <w:pPr>
              <w:pStyle w:val="3"/>
              <w:ind w:firstLine="48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①</w:t>
            </w:r>
            <w:r>
              <w:rPr>
                <w:rFonts w:hint="eastAsia" w:hAnsi="宋体"/>
                <w:color w:val="auto"/>
              </w:rPr>
              <w:t>有组织</w:t>
            </w:r>
            <w:r>
              <w:rPr>
                <w:rFonts w:hAnsi="宋体"/>
                <w:color w:val="auto"/>
              </w:rPr>
              <w:t>排放（</w:t>
            </w:r>
            <w:r>
              <w:rPr>
                <w:rFonts w:hint="eastAsia" w:hAnsi="宋体"/>
                <w:color w:val="auto"/>
              </w:rPr>
              <w:t>沥青加热</w:t>
            </w:r>
            <w:r>
              <w:rPr>
                <w:rFonts w:hAnsi="宋体"/>
                <w:color w:val="auto"/>
              </w:rPr>
              <w:t>及</w:t>
            </w:r>
            <w:r>
              <w:rPr>
                <w:rFonts w:hint="eastAsia" w:hAnsi="宋体"/>
                <w:color w:val="auto"/>
              </w:rPr>
              <w:t>搅拌系统</w:t>
            </w:r>
            <w:r>
              <w:rPr>
                <w:rFonts w:hAnsi="宋体"/>
                <w:color w:val="auto"/>
              </w:rPr>
              <w:t>中）</w:t>
            </w:r>
          </w:p>
          <w:p>
            <w:pPr>
              <w:pStyle w:val="3"/>
              <w:ind w:firstLine="480"/>
              <w:rPr>
                <w:rFonts w:hint="eastAsia" w:ascii="Times New Roman" w:hAnsi="Times New Roman" w:eastAsia="宋体" w:cs="Times New Roman"/>
                <w:color w:val="auto"/>
                <w:highlight w:val="none"/>
                <w:lang w:eastAsia="zh-CN"/>
              </w:rPr>
            </w:pPr>
            <w:r>
              <w:rPr>
                <w:rFonts w:hint="eastAsia" w:hAnsi="宋体"/>
                <w:color w:val="auto"/>
              </w:rPr>
              <w:t>本项目不属于沥青生产项目，原料沥青简单加热即可搅拌使用，生产所用</w:t>
            </w:r>
            <w:r>
              <w:rPr>
                <w:rFonts w:hAnsi="宋体"/>
                <w:color w:val="auto"/>
              </w:rPr>
              <w:t>原料沥青业主单位与出售单位签订购买合同，且由专业运输车辆（主要功能保温加热）进行运输，</w:t>
            </w:r>
            <w:r>
              <w:rPr>
                <w:rFonts w:hint="eastAsia" w:hAnsi="宋体"/>
                <w:color w:val="auto"/>
              </w:rPr>
              <w:t>运输车辆将沥青加入沥青储罐过程中，使用设备为全封闭管道和设备。</w:t>
            </w:r>
            <w:r>
              <w:rPr>
                <w:rFonts w:hAnsi="宋体"/>
                <w:color w:val="auto"/>
              </w:rPr>
              <w:t>平时项目厂区内</w:t>
            </w:r>
            <w:r>
              <w:rPr>
                <w:rFonts w:hint="eastAsia" w:hAnsi="宋体"/>
                <w:color w:val="auto"/>
              </w:rPr>
              <w:t>利用</w:t>
            </w:r>
            <w:r>
              <w:rPr>
                <w:rFonts w:hint="eastAsia" w:hAnsi="宋体"/>
                <w:color w:val="auto"/>
                <w:lang w:val="en-US" w:eastAsia="zh-CN"/>
              </w:rPr>
              <w:t>三</w:t>
            </w:r>
            <w:r>
              <w:rPr>
                <w:rFonts w:hint="eastAsia" w:hAnsi="宋体"/>
                <w:color w:val="auto"/>
              </w:rPr>
              <w:t>个50t密封罐</w:t>
            </w:r>
            <w:r>
              <w:rPr>
                <w:rFonts w:hAnsi="宋体"/>
                <w:color w:val="auto"/>
              </w:rPr>
              <w:t>进行原料沥青的储备，</w:t>
            </w:r>
            <w:r>
              <w:rPr>
                <w:rFonts w:hint="eastAsia" w:hAnsi="宋体"/>
                <w:color w:val="auto"/>
              </w:rPr>
              <w:t>无沥青烟气逸散，</w:t>
            </w:r>
            <w:r>
              <w:rPr>
                <w:rFonts w:hAnsi="宋体"/>
                <w:color w:val="auto"/>
              </w:rPr>
              <w:t>项目生产时直接</w:t>
            </w:r>
            <w:r>
              <w:rPr>
                <w:rFonts w:hint="eastAsia" w:hAnsi="宋体"/>
                <w:color w:val="auto"/>
              </w:rPr>
              <w:t>由</w:t>
            </w:r>
            <w:r>
              <w:rPr>
                <w:rFonts w:hAnsi="宋体"/>
                <w:color w:val="auto"/>
              </w:rPr>
              <w:t>出售单位运输至现场。</w:t>
            </w:r>
            <w:r>
              <w:rPr>
                <w:rFonts w:hint="eastAsia" w:hAnsi="宋体"/>
                <w:color w:val="auto"/>
              </w:rPr>
              <w:t>生产所需沥青先通过导热油炉加热，再由沥青泵送入搅拌缸中，由于搅拌缸为全封闭结构，因此，</w:t>
            </w:r>
            <w:r>
              <w:rPr>
                <w:color w:val="auto"/>
              </w:rPr>
              <w:t>项目运营期</w:t>
            </w:r>
            <w:r>
              <w:rPr>
                <w:rFonts w:hint="eastAsia"/>
                <w:color w:val="auto"/>
              </w:rPr>
              <w:t>沥青</w:t>
            </w:r>
            <w:r>
              <w:rPr>
                <w:color w:val="auto"/>
              </w:rPr>
              <w:t>产生点</w:t>
            </w:r>
            <w:r>
              <w:rPr>
                <w:rFonts w:hint="eastAsia"/>
                <w:color w:val="auto"/>
              </w:rPr>
              <w:t>为</w:t>
            </w:r>
            <w:r>
              <w:rPr>
                <w:color w:val="auto"/>
              </w:rPr>
              <w:t>：</w:t>
            </w:r>
            <w:r>
              <w:rPr>
                <w:rFonts w:hint="eastAsia"/>
                <w:color w:val="auto"/>
              </w:rPr>
              <w:t>①沥青</w:t>
            </w:r>
            <w:r>
              <w:rPr>
                <w:color w:val="auto"/>
              </w:rPr>
              <w:t>在间接加热过程中</w:t>
            </w:r>
            <w:r>
              <w:rPr>
                <w:rFonts w:hint="eastAsia"/>
                <w:color w:val="auto"/>
              </w:rPr>
              <w:t>产生</w:t>
            </w:r>
            <w:r>
              <w:rPr>
                <w:color w:val="auto"/>
              </w:rPr>
              <w:t>的沥青烟</w:t>
            </w:r>
            <w:r>
              <w:rPr>
                <w:rFonts w:hint="eastAsia"/>
                <w:color w:val="auto"/>
              </w:rPr>
              <w:t>气；</w:t>
            </w:r>
            <w:r>
              <w:rPr>
                <w:color w:val="auto"/>
              </w:rPr>
              <w:t>②沥青</w:t>
            </w:r>
            <w:r>
              <w:rPr>
                <w:rFonts w:hint="eastAsia"/>
                <w:color w:val="auto"/>
              </w:rPr>
              <w:t>与</w:t>
            </w:r>
            <w:r>
              <w:rPr>
                <w:color w:val="auto"/>
              </w:rPr>
              <w:t>其他骨料、矿粉搅拌</w:t>
            </w:r>
            <w:r>
              <w:rPr>
                <w:rFonts w:hint="eastAsia"/>
                <w:color w:val="auto"/>
              </w:rPr>
              <w:t>以及</w:t>
            </w:r>
            <w:r>
              <w:rPr>
                <w:color w:val="auto"/>
              </w:rPr>
              <w:t>成品下料口过程中</w:t>
            </w:r>
            <w:r>
              <w:rPr>
                <w:rFonts w:hint="eastAsia"/>
                <w:color w:val="auto"/>
              </w:rPr>
              <w:t>产生</w:t>
            </w:r>
            <w:r>
              <w:rPr>
                <w:color w:val="auto"/>
              </w:rPr>
              <w:t>的沥青烟</w:t>
            </w:r>
            <w:r>
              <w:rPr>
                <w:rFonts w:hint="eastAsia"/>
                <w:color w:val="auto"/>
              </w:rPr>
              <w:t>气</w:t>
            </w:r>
            <w:r>
              <w:rPr>
                <w:color w:val="auto"/>
              </w:rPr>
              <w:t>。</w:t>
            </w:r>
            <w:r>
              <w:rPr>
                <w:rFonts w:hint="eastAsia" w:ascii="Times New Roman" w:hAnsi="Times New Roman" w:eastAsia="宋体" w:cs="Times New Roman"/>
                <w:color w:val="auto"/>
                <w:highlight w:val="none"/>
              </w:rPr>
              <w:t>沥青加热搅拌</w:t>
            </w:r>
            <w:r>
              <w:rPr>
                <w:rFonts w:ascii="Times New Roman" w:hAnsi="Times New Roman" w:eastAsia="宋体" w:cs="Times New Roman"/>
                <w:color w:val="auto"/>
                <w:highlight w:val="none"/>
              </w:rPr>
              <w:t>废气</w:t>
            </w:r>
            <w:r>
              <w:rPr>
                <w:rFonts w:hint="eastAsia" w:cs="Times New Roman"/>
                <w:color w:val="auto"/>
                <w:highlight w:val="none"/>
                <w:lang w:eastAsia="zh-CN"/>
              </w:rPr>
              <w:t>。</w:t>
            </w:r>
          </w:p>
          <w:p>
            <w:pPr>
              <w:pStyle w:val="3"/>
              <w:ind w:firstLine="480"/>
              <w:rPr>
                <w:rFonts w:hint="eastAsia" w:eastAsia="宋体"/>
                <w:color w:val="auto"/>
                <w:lang w:eastAsia="zh-CN"/>
              </w:rPr>
            </w:pPr>
            <w:r>
              <w:rPr>
                <w:color w:val="auto"/>
                <w:kern w:val="0"/>
                <w:szCs w:val="21"/>
              </w:rPr>
              <w:t>参考《工业生产中的有害物质手册》第一卷（化学工业出版社，1987年12月出版）及《有机化合物污染化学》（清华大学出版社，1990年8月出版）</w:t>
            </w:r>
            <w:r>
              <w:rPr>
                <w:rFonts w:hint="eastAsia"/>
                <w:color w:val="auto"/>
                <w:kern w:val="0"/>
                <w:szCs w:val="21"/>
              </w:rPr>
              <w:t>中</w:t>
            </w:r>
            <w:r>
              <w:rPr>
                <w:color w:val="auto"/>
                <w:kern w:val="0"/>
                <w:szCs w:val="21"/>
              </w:rPr>
              <w:t>关于沥青加热挥发沥青烟的比重</w:t>
            </w:r>
            <w:r>
              <w:rPr>
                <w:rFonts w:hint="eastAsia"/>
                <w:color w:val="auto"/>
                <w:kern w:val="0"/>
                <w:szCs w:val="21"/>
              </w:rPr>
              <w:t>以及</w:t>
            </w:r>
            <w:r>
              <w:rPr>
                <w:rFonts w:hint="eastAsia"/>
                <w:color w:val="auto"/>
              </w:rPr>
              <w:t>苯并(a)芘的</w:t>
            </w:r>
            <w:r>
              <w:rPr>
                <w:color w:val="auto"/>
              </w:rPr>
              <w:t>含量</w:t>
            </w:r>
            <w:r>
              <w:rPr>
                <w:color w:val="auto"/>
                <w:kern w:val="0"/>
                <w:szCs w:val="21"/>
              </w:rPr>
              <w:t>，每吨石油沥青在加热过程中产生</w:t>
            </w:r>
            <w:r>
              <w:rPr>
                <w:rFonts w:hint="eastAsia"/>
                <w:color w:val="auto"/>
                <w:kern w:val="0"/>
                <w:szCs w:val="21"/>
              </w:rPr>
              <w:t>沥青烟</w:t>
            </w:r>
            <w:r>
              <w:rPr>
                <w:color w:val="auto"/>
                <w:kern w:val="0"/>
                <w:szCs w:val="21"/>
              </w:rPr>
              <w:t>约为</w:t>
            </w:r>
            <w:r>
              <w:rPr>
                <w:rFonts w:hint="eastAsia"/>
                <w:color w:val="auto"/>
                <w:kern w:val="0"/>
                <w:szCs w:val="21"/>
              </w:rPr>
              <w:t>0.4625kg</w:t>
            </w:r>
            <w:r>
              <w:rPr>
                <w:rFonts w:hint="eastAsia"/>
                <w:color w:val="auto"/>
                <w:kern w:val="0"/>
                <w:szCs w:val="21"/>
                <w:lang w:eastAsia="zh-CN"/>
              </w:rPr>
              <w:t>，</w:t>
            </w:r>
            <w:r>
              <w:rPr>
                <w:color w:val="auto"/>
                <w:kern w:val="0"/>
                <w:szCs w:val="21"/>
              </w:rPr>
              <w:t>本项目沥青使用量为</w:t>
            </w:r>
            <w:r>
              <w:rPr>
                <w:rFonts w:hint="eastAsia"/>
                <w:color w:val="auto"/>
                <w:kern w:val="0"/>
                <w:szCs w:val="21"/>
                <w:lang w:val="en-US" w:eastAsia="zh-CN"/>
              </w:rPr>
              <w:t>6768.84</w:t>
            </w:r>
            <w:r>
              <w:rPr>
                <w:color w:val="auto"/>
                <w:kern w:val="0"/>
                <w:szCs w:val="21"/>
              </w:rPr>
              <w:t>吨，则投产后</w:t>
            </w:r>
            <w:r>
              <w:rPr>
                <w:rFonts w:hint="eastAsia"/>
                <w:color w:val="auto"/>
                <w:kern w:val="0"/>
                <w:szCs w:val="21"/>
              </w:rPr>
              <w:t>沥青混凝土</w:t>
            </w:r>
            <w:r>
              <w:rPr>
                <w:color w:val="auto"/>
                <w:kern w:val="0"/>
                <w:szCs w:val="21"/>
              </w:rPr>
              <w:t>生产过程中沥青烟产生量为</w:t>
            </w:r>
            <w:r>
              <w:rPr>
                <w:rFonts w:hint="eastAsia"/>
                <w:color w:val="auto"/>
                <w:kern w:val="0"/>
                <w:szCs w:val="21"/>
                <w:lang w:val="en-US" w:eastAsia="zh-CN"/>
              </w:rPr>
              <w:t>3.13</w:t>
            </w:r>
            <w:r>
              <w:rPr>
                <w:rFonts w:hint="eastAsia"/>
                <w:color w:val="auto"/>
                <w:kern w:val="0"/>
                <w:szCs w:val="21"/>
              </w:rPr>
              <w:t>t</w:t>
            </w:r>
            <w:r>
              <w:rPr>
                <w:rFonts w:hint="eastAsia"/>
                <w:color w:val="auto"/>
                <w:kern w:val="0"/>
                <w:szCs w:val="21"/>
                <w:lang w:eastAsia="zh-CN"/>
              </w:rPr>
              <w:t>。</w:t>
            </w:r>
          </w:p>
          <w:p>
            <w:pPr>
              <w:pStyle w:val="3"/>
              <w:ind w:firstLine="480"/>
              <w:rPr>
                <w:color w:val="auto"/>
                <w:kern w:val="0"/>
                <w:szCs w:val="21"/>
              </w:rPr>
            </w:pPr>
            <w:r>
              <w:rPr>
                <w:color w:val="auto"/>
                <w:kern w:val="0"/>
                <w:szCs w:val="21"/>
              </w:rPr>
              <w:t>参考《工业生产中的有害物质手册》（化学工业出版社，1987年12月出版）及《有机化合物污染化学》（清华大学出版社，1990年8月出版）</w:t>
            </w:r>
            <w:r>
              <w:rPr>
                <w:rFonts w:hint="eastAsia"/>
                <w:color w:val="auto"/>
                <w:kern w:val="0"/>
                <w:szCs w:val="21"/>
              </w:rPr>
              <w:t>中</w:t>
            </w:r>
            <w:r>
              <w:rPr>
                <w:color w:val="auto"/>
                <w:kern w:val="0"/>
                <w:szCs w:val="21"/>
              </w:rPr>
              <w:t>关于沥青加热挥发沥青烟的比重</w:t>
            </w:r>
            <w:r>
              <w:rPr>
                <w:rFonts w:hint="eastAsia"/>
                <w:color w:val="auto"/>
                <w:kern w:val="0"/>
                <w:szCs w:val="21"/>
              </w:rPr>
              <w:t>以及</w:t>
            </w:r>
            <w:r>
              <w:rPr>
                <w:rFonts w:hint="eastAsia"/>
                <w:color w:val="auto"/>
              </w:rPr>
              <w:t>苯并(a)芘的</w:t>
            </w:r>
            <w:r>
              <w:rPr>
                <w:color w:val="auto"/>
              </w:rPr>
              <w:t>含量</w:t>
            </w:r>
            <w:r>
              <w:rPr>
                <w:color w:val="auto"/>
                <w:kern w:val="0"/>
                <w:szCs w:val="21"/>
              </w:rPr>
              <w:t>，每吨石油沥青在加热过程中产生苯并</w:t>
            </w:r>
            <w:r>
              <w:rPr>
                <w:rFonts w:hint="eastAsia"/>
                <w:color w:val="auto"/>
              </w:rPr>
              <w:t>(a)</w:t>
            </w:r>
            <w:r>
              <w:rPr>
                <w:color w:val="auto"/>
                <w:kern w:val="0"/>
                <w:szCs w:val="21"/>
              </w:rPr>
              <w:t>芘气体</w:t>
            </w:r>
            <w:r>
              <w:rPr>
                <w:rFonts w:hint="eastAsia"/>
                <w:color w:val="auto"/>
                <w:kern w:val="0"/>
                <w:szCs w:val="21"/>
              </w:rPr>
              <w:t>产生量</w:t>
            </w:r>
            <w:r>
              <w:rPr>
                <w:color w:val="auto"/>
                <w:kern w:val="0"/>
                <w:szCs w:val="21"/>
              </w:rPr>
              <w:t>约0.10g~0.15g</w:t>
            </w:r>
            <w:r>
              <w:rPr>
                <w:rFonts w:hint="eastAsia"/>
                <w:color w:val="auto"/>
                <w:kern w:val="0"/>
                <w:szCs w:val="21"/>
              </w:rPr>
              <w:t>，</w:t>
            </w:r>
            <w:r>
              <w:rPr>
                <w:color w:val="auto"/>
                <w:kern w:val="0"/>
                <w:szCs w:val="21"/>
              </w:rPr>
              <w:t>本次环评取平均值0.125g</w:t>
            </w:r>
            <w:r>
              <w:rPr>
                <w:rFonts w:hint="eastAsia"/>
                <w:color w:val="auto"/>
                <w:kern w:val="0"/>
                <w:szCs w:val="21"/>
              </w:rPr>
              <w:t>。</w:t>
            </w:r>
          </w:p>
          <w:p>
            <w:pPr>
              <w:pStyle w:val="3"/>
              <w:ind w:firstLine="480"/>
              <w:rPr>
                <w:rFonts w:ascii="Times New Roman" w:hAnsi="Times New Roman" w:eastAsia="宋体" w:cs="Calibri"/>
                <w:color w:val="auto"/>
                <w:szCs w:val="24"/>
                <w:highlight w:val="none"/>
              </w:rPr>
            </w:pPr>
            <w:r>
              <w:rPr>
                <w:color w:val="auto"/>
                <w:kern w:val="0"/>
                <w:szCs w:val="21"/>
              </w:rPr>
              <w:t>本项目沥青使用量为</w:t>
            </w:r>
            <w:r>
              <w:rPr>
                <w:rFonts w:hint="eastAsia"/>
                <w:color w:val="auto"/>
                <w:kern w:val="0"/>
                <w:szCs w:val="21"/>
                <w:lang w:val="en-US" w:eastAsia="zh-CN"/>
              </w:rPr>
              <w:t>6769.84</w:t>
            </w:r>
            <w:r>
              <w:rPr>
                <w:color w:val="auto"/>
                <w:kern w:val="0"/>
                <w:szCs w:val="21"/>
              </w:rPr>
              <w:t>吨，则投产后</w:t>
            </w:r>
            <w:r>
              <w:rPr>
                <w:rFonts w:hint="eastAsia"/>
                <w:color w:val="auto"/>
                <w:kern w:val="0"/>
                <w:szCs w:val="21"/>
              </w:rPr>
              <w:t>沥青混凝土</w:t>
            </w:r>
            <w:r>
              <w:rPr>
                <w:color w:val="auto"/>
                <w:kern w:val="0"/>
                <w:szCs w:val="21"/>
              </w:rPr>
              <w:t>生产过程中苯并</w:t>
            </w:r>
            <w:r>
              <w:rPr>
                <w:rFonts w:hint="eastAsia"/>
                <w:color w:val="auto"/>
              </w:rPr>
              <w:t>(a)</w:t>
            </w:r>
            <w:r>
              <w:rPr>
                <w:color w:val="auto"/>
                <w:kern w:val="0"/>
                <w:szCs w:val="21"/>
              </w:rPr>
              <w:t>芘废气产生量约为</w:t>
            </w:r>
            <w:r>
              <w:rPr>
                <w:rFonts w:hint="eastAsia"/>
                <w:color w:val="auto"/>
                <w:kern w:val="0"/>
                <w:szCs w:val="21"/>
                <w:lang w:val="en-US" w:eastAsia="zh-CN"/>
              </w:rPr>
              <w:t>0.000846t。</w:t>
            </w:r>
          </w:p>
          <w:p>
            <w:pPr>
              <w:pStyle w:val="3"/>
              <w:ind w:firstLine="480"/>
              <w:rPr>
                <w:color w:val="auto"/>
                <w:highlight w:val="yellow"/>
              </w:rPr>
            </w:pPr>
            <w:r>
              <w:rPr>
                <w:rFonts w:ascii="Times New Roman" w:hAnsi="Times New Roman" w:eastAsia="宋体" w:cs="Times New Roman"/>
                <w:color w:val="auto"/>
                <w:spacing w:val="-4"/>
                <w:highlight w:val="none"/>
              </w:rPr>
              <w:t>参考前苏联拉扎列夫主编的《工业生产中的有害物质手册》第一卷（化学工业出版社，1987年12月出版）、金相灿主编的《有机化合物污染化学》（清华大学出版社，1990年8月出版）及《壳牌沥青手册》（壳牌大中华集团，1995年9月初版）的有关资料，每吨石油沥青在加热（150</w:t>
            </w:r>
            <w:r>
              <w:rPr>
                <w:rFonts w:hint="eastAsia" w:ascii="宋体" w:hAnsi="宋体" w:eastAsia="宋体" w:cs="宋体"/>
                <w:color w:val="auto"/>
                <w:spacing w:val="-4"/>
                <w:highlight w:val="none"/>
              </w:rPr>
              <w:t>℃</w:t>
            </w:r>
            <w:r>
              <w:rPr>
                <w:rFonts w:ascii="Times New Roman" w:hAnsi="Times New Roman" w:eastAsia="宋体" w:cs="Times New Roman"/>
                <w:color w:val="auto"/>
                <w:spacing w:val="-4"/>
                <w:highlight w:val="none"/>
              </w:rPr>
              <w:t>~170</w:t>
            </w:r>
            <w:r>
              <w:rPr>
                <w:rFonts w:hint="eastAsia" w:ascii="宋体" w:hAnsi="宋体" w:eastAsia="宋体" w:cs="宋体"/>
                <w:color w:val="auto"/>
                <w:spacing w:val="-4"/>
                <w:highlight w:val="none"/>
              </w:rPr>
              <w:t>℃</w:t>
            </w:r>
            <w:r>
              <w:rPr>
                <w:rFonts w:ascii="Times New Roman" w:hAnsi="Times New Roman" w:eastAsia="宋体" w:cs="Times New Roman"/>
                <w:color w:val="auto"/>
                <w:spacing w:val="-4"/>
                <w:highlight w:val="none"/>
              </w:rPr>
              <w:t>）过程中可产生</w:t>
            </w:r>
            <w:r>
              <w:rPr>
                <w:rFonts w:hint="eastAsia" w:ascii="Times New Roman" w:hAnsi="Times New Roman" w:eastAsia="宋体" w:cs="Times New Roman"/>
                <w:color w:val="auto"/>
                <w:spacing w:val="-4"/>
                <w:highlight w:val="none"/>
              </w:rPr>
              <w:t>非甲烷总烃</w:t>
            </w:r>
            <w:r>
              <w:rPr>
                <w:rFonts w:ascii="Times New Roman" w:hAnsi="Times New Roman" w:eastAsia="宋体" w:cs="Times New Roman"/>
                <w:color w:val="auto"/>
                <w:spacing w:val="-4"/>
                <w:highlight w:val="none"/>
              </w:rPr>
              <w:t>2.5g/t，本项目沥青用量为</w:t>
            </w:r>
            <w:r>
              <w:rPr>
                <w:rFonts w:hint="eastAsia" w:cs="Times New Roman"/>
                <w:color w:val="auto"/>
                <w:kern w:val="0"/>
                <w:szCs w:val="21"/>
                <w:highlight w:val="none"/>
                <w:lang w:val="en-US" w:eastAsia="zh-CN"/>
              </w:rPr>
              <w:t>6768.84</w:t>
            </w:r>
            <w:r>
              <w:rPr>
                <w:rFonts w:ascii="Times New Roman" w:hAnsi="Times New Roman" w:eastAsia="宋体" w:cs="Times New Roman"/>
                <w:color w:val="auto"/>
                <w:spacing w:val="-4"/>
                <w:highlight w:val="none"/>
              </w:rPr>
              <w:t>t，则</w:t>
            </w:r>
            <w:r>
              <w:rPr>
                <w:rFonts w:hint="eastAsia" w:ascii="Times New Roman" w:hAnsi="Times New Roman" w:eastAsia="宋体" w:cs="Times New Roman"/>
                <w:color w:val="auto"/>
                <w:spacing w:val="-4"/>
                <w:highlight w:val="none"/>
              </w:rPr>
              <w:t>非甲烷总烃</w:t>
            </w:r>
            <w:r>
              <w:rPr>
                <w:rFonts w:ascii="Times New Roman" w:hAnsi="Times New Roman" w:eastAsia="宋体" w:cs="Times New Roman"/>
                <w:color w:val="auto"/>
                <w:spacing w:val="-4"/>
                <w:highlight w:val="none"/>
              </w:rPr>
              <w:t>产生量为0.0</w:t>
            </w:r>
            <w:r>
              <w:rPr>
                <w:rFonts w:hint="eastAsia" w:cs="Times New Roman"/>
                <w:color w:val="auto"/>
                <w:spacing w:val="-4"/>
                <w:highlight w:val="none"/>
                <w:lang w:val="en-US" w:eastAsia="zh-CN"/>
              </w:rPr>
              <w:t>17</w:t>
            </w:r>
            <w:r>
              <w:rPr>
                <w:rFonts w:ascii="Times New Roman" w:hAnsi="Times New Roman" w:eastAsia="宋体" w:cs="Times New Roman"/>
                <w:color w:val="auto"/>
                <w:spacing w:val="-4"/>
                <w:highlight w:val="none"/>
              </w:rPr>
              <w:t>t。</w:t>
            </w:r>
          </w:p>
          <w:p>
            <w:pPr>
              <w:keepNext w:val="0"/>
              <w:keepLines w:val="0"/>
              <w:pageBreakBefore w:val="0"/>
              <w:widowControl w:val="0"/>
              <w:kinsoku/>
              <w:wordWrap/>
              <w:overflowPunct/>
              <w:topLinePunct w:val="0"/>
              <w:autoSpaceDE w:val="0"/>
              <w:autoSpaceDN w:val="0"/>
              <w:bidi w:val="0"/>
              <w:adjustRightInd/>
              <w:snapToGrid/>
              <w:spacing w:line="360" w:lineRule="auto"/>
              <w:ind w:firstLine="466" w:firstLineChars="200"/>
              <w:textAlignment w:val="auto"/>
              <w:rPr>
                <w:rFonts w:ascii="Times New Roman" w:hAnsi="Times New Roman" w:eastAsia="宋体" w:cs="Times New Roman"/>
                <w:b/>
                <w:bCs/>
                <w:color w:val="auto"/>
                <w:spacing w:val="-4"/>
                <w:sz w:val="24"/>
                <w:szCs w:val="28"/>
                <w:highlight w:val="none"/>
                <w:lang w:val="zh-CN" w:eastAsia="zh-CN" w:bidi="zh-CN"/>
              </w:rPr>
            </w:pPr>
            <w:r>
              <w:rPr>
                <w:rFonts w:ascii="Times New Roman" w:hAnsi="Times New Roman" w:eastAsia="宋体" w:cs="Times New Roman"/>
                <w:b/>
                <w:bCs/>
                <w:color w:val="auto"/>
                <w:spacing w:val="-4"/>
                <w:sz w:val="24"/>
                <w:szCs w:val="28"/>
                <w:highlight w:val="none"/>
                <w:lang w:val="zh-CN" w:eastAsia="zh-CN" w:bidi="zh-CN"/>
              </w:rPr>
              <w:t>治理措施：</w:t>
            </w:r>
          </w:p>
          <w:p>
            <w:pPr>
              <w:pStyle w:val="3"/>
              <w:ind w:firstLine="480"/>
              <w:jc w:val="left"/>
              <w:rPr>
                <w:rFonts w:hint="default" w:eastAsia="宋体"/>
                <w:color w:val="auto"/>
                <w:highlight w:val="none"/>
                <w:u w:val="none"/>
                <w:lang w:val="en-US" w:eastAsia="zh-CN"/>
              </w:rPr>
            </w:pPr>
            <w:r>
              <w:rPr>
                <w:b w:val="0"/>
                <w:bCs/>
                <w:color w:val="auto"/>
                <w:highlight w:val="none"/>
                <w:u w:val="none"/>
              </w:rPr>
              <w:t>项目</w:t>
            </w:r>
            <w:r>
              <w:rPr>
                <w:color w:val="auto"/>
                <w:highlight w:val="none"/>
                <w:u w:val="none"/>
              </w:rPr>
              <w:t>拟在搅拌缸后加装烟气通道，将生产中产生的沥青烟气直接用引风机抽走，经</w:t>
            </w:r>
            <w:r>
              <w:rPr>
                <w:rFonts w:hint="eastAsia"/>
                <w:color w:val="auto"/>
                <w:highlight w:val="none"/>
                <w:u w:val="none"/>
                <w:lang w:val="en-US" w:eastAsia="zh-CN"/>
              </w:rPr>
              <w:t>沥青烟气</w:t>
            </w:r>
            <w:r>
              <w:rPr>
                <w:color w:val="auto"/>
                <w:highlight w:val="none"/>
                <w:u w:val="none"/>
              </w:rPr>
              <w:t>处置设备处理后经由15m高排气筒排放（2#排气筒）。</w:t>
            </w:r>
          </w:p>
          <w:p>
            <w:pPr>
              <w:pStyle w:val="3"/>
              <w:ind w:firstLine="480"/>
              <w:rPr>
                <w:color w:val="auto"/>
                <w:highlight w:val="none"/>
                <w:u w:val="none"/>
              </w:rPr>
            </w:pPr>
            <w:r>
              <w:rPr>
                <w:rFonts w:hint="eastAsia" w:cs="Calibri"/>
                <w:color w:val="auto"/>
                <w:szCs w:val="24"/>
                <w:highlight w:val="none"/>
                <w:u w:val="none"/>
              </w:rPr>
              <w:t>沥青罐的透气孔在</w:t>
            </w:r>
            <w:r>
              <w:rPr>
                <w:rFonts w:hint="eastAsia" w:cs="Calibri"/>
                <w:color w:val="auto"/>
                <w:szCs w:val="24"/>
                <w:highlight w:val="none"/>
                <w:u w:val="none"/>
                <w:lang w:val="en-US" w:eastAsia="zh-CN"/>
              </w:rPr>
              <w:t>沥青</w:t>
            </w:r>
            <w:r>
              <w:rPr>
                <w:rFonts w:hint="eastAsia" w:cs="Calibri"/>
                <w:color w:val="auto"/>
                <w:szCs w:val="24"/>
                <w:highlight w:val="none"/>
                <w:u w:val="none"/>
              </w:rPr>
              <w:t>加热时产生热蒸汽和加料时的体积膨胀，会从透气孔中产生烟气，为防止烟气的外逸，将所有罐的透气孔用除烟管道连接起来，进行处理。现场沥青罐每个罐的透气孔采用除烟管道连接起来一起连入沥青烟处理设备。</w:t>
            </w:r>
          </w:p>
          <w:p>
            <w:pPr>
              <w:keepNext w:val="0"/>
              <w:keepLines w:val="0"/>
              <w:pageBreakBefore w:val="0"/>
              <w:widowControl w:val="0"/>
              <w:kinsoku/>
              <w:wordWrap/>
              <w:overflowPunct/>
              <w:topLinePunct w:val="0"/>
              <w:autoSpaceDE w:val="0"/>
              <w:autoSpaceDN w:val="0"/>
              <w:bidi w:val="0"/>
              <w:adjustRightInd/>
              <w:snapToGrid/>
              <w:spacing w:line="360" w:lineRule="auto"/>
              <w:ind w:firstLine="464" w:firstLineChars="200"/>
              <w:textAlignment w:val="auto"/>
              <w:rPr>
                <w:rFonts w:hint="eastAsia" w:ascii="Times New Roman" w:hAnsi="Times New Roman" w:eastAsia="宋体" w:cs="Times New Roman"/>
                <w:color w:val="auto"/>
                <w:spacing w:val="-4"/>
                <w:sz w:val="24"/>
                <w:szCs w:val="28"/>
                <w:highlight w:val="none"/>
                <w:lang w:val="zh-CN" w:eastAsia="zh-CN" w:bidi="zh-CN"/>
              </w:rPr>
            </w:pPr>
            <w:r>
              <w:rPr>
                <w:rFonts w:hint="eastAsia" w:ascii="Times New Roman" w:hAnsi="Times New Roman" w:eastAsia="宋体" w:cs="Times New Roman"/>
                <w:color w:val="auto"/>
                <w:spacing w:val="-4"/>
                <w:sz w:val="24"/>
                <w:szCs w:val="28"/>
                <w:highlight w:val="none"/>
                <w:lang w:val="zh-CN" w:eastAsia="zh-CN" w:bidi="zh-CN"/>
              </w:rPr>
              <w:t>废气由集气罩收集进入管道，经管道进入喷淋洗涤塔，经喷淋洗涤后去除对后端设备可能存在影响单分子或大颗粒直径</w:t>
            </w:r>
            <w:r>
              <w:rPr>
                <w:rFonts w:hint="eastAsia" w:ascii="Times New Roman" w:hAnsi="Times New Roman" w:eastAsia="宋体" w:cs="Times New Roman"/>
                <w:color w:val="auto"/>
                <w:spacing w:val="-4"/>
                <w:sz w:val="24"/>
                <w:szCs w:val="28"/>
                <w:highlight w:val="none"/>
                <w:lang w:val="en-US" w:eastAsia="zh-CN" w:bidi="zh-CN"/>
              </w:rPr>
              <w:t>的物质再进入</w:t>
            </w:r>
            <w:r>
              <w:rPr>
                <w:rFonts w:hint="eastAsia" w:ascii="Times New Roman" w:hAnsi="Times New Roman" w:eastAsia="宋体" w:cs="Times New Roman"/>
                <w:color w:val="auto"/>
                <w:spacing w:val="-4"/>
                <w:sz w:val="24"/>
                <w:szCs w:val="28"/>
                <w:highlight w:val="none"/>
                <w:lang w:val="zh-CN" w:eastAsia="zh-CN" w:bidi="zh-CN"/>
              </w:rPr>
              <w:t>电场等离子</w:t>
            </w:r>
            <w:r>
              <w:rPr>
                <w:rFonts w:hint="eastAsia" w:ascii="Times New Roman" w:hAnsi="Times New Roman" w:eastAsia="宋体" w:cs="Times New Roman"/>
                <w:color w:val="auto"/>
                <w:spacing w:val="-4"/>
                <w:sz w:val="24"/>
                <w:szCs w:val="28"/>
                <w:highlight w:val="none"/>
                <w:lang w:val="en-US" w:eastAsia="zh-CN" w:bidi="zh-CN"/>
              </w:rPr>
              <w:t>+</w:t>
            </w:r>
            <w:r>
              <w:rPr>
                <w:rFonts w:hint="eastAsia" w:ascii="Times New Roman" w:hAnsi="Times New Roman" w:eastAsia="宋体" w:cs="Times New Roman"/>
                <w:color w:val="auto"/>
                <w:spacing w:val="-4"/>
                <w:sz w:val="24"/>
                <w:szCs w:val="28"/>
                <w:highlight w:val="none"/>
                <w:lang w:val="zh-CN" w:eastAsia="zh-CN" w:bidi="zh-CN"/>
              </w:rPr>
              <w:t>UV光氧催化一体化处理设备，进行废气处理，经过双高压电场和高压电场放电产生的离子活化物的双重作用，以及后端的</w:t>
            </w:r>
            <w:r>
              <w:rPr>
                <w:rFonts w:hint="eastAsia" w:ascii="Times New Roman" w:hAnsi="Times New Roman" w:eastAsia="宋体" w:cs="Times New Roman"/>
                <w:color w:val="auto"/>
                <w:spacing w:val="-4"/>
                <w:sz w:val="24"/>
                <w:szCs w:val="28"/>
                <w:highlight w:val="none"/>
                <w:lang w:val="en-US" w:eastAsia="zh-CN" w:bidi="zh-CN"/>
              </w:rPr>
              <w:t>UV光氧催化段，进行光化学处理处理掉废气中绝大部分的污染物，最后经过</w:t>
            </w:r>
            <w:r>
              <w:rPr>
                <w:rFonts w:hint="eastAsia" w:ascii="Times New Roman" w:hAnsi="Times New Roman" w:eastAsia="宋体" w:cs="Times New Roman"/>
                <w:color w:val="auto"/>
                <w:spacing w:val="-4"/>
                <w:sz w:val="24"/>
                <w:szCs w:val="28"/>
                <w:highlight w:val="none"/>
                <w:lang w:val="zh-CN" w:eastAsia="zh-CN" w:bidi="zh-CN"/>
              </w:rPr>
              <w:t>活性炭吸附箱，内装有高效吸附性能的蜂窝活性炭填料、玻璃丝棉层，通过调节适当的风速能有效使活性炭填料充分吸收废气中的有害物质，在活性炭层不能处理的废气再达标后的气体最后由离心风机送出排放口。</w:t>
            </w:r>
          </w:p>
          <w:p>
            <w:pPr>
              <w:keepNext w:val="0"/>
              <w:keepLines w:val="0"/>
              <w:pageBreakBefore w:val="0"/>
              <w:widowControl w:val="0"/>
              <w:kinsoku/>
              <w:wordWrap/>
              <w:overflowPunct/>
              <w:topLinePunct w:val="0"/>
              <w:autoSpaceDE w:val="0"/>
              <w:autoSpaceDN w:val="0"/>
              <w:bidi w:val="0"/>
              <w:adjustRightInd/>
              <w:snapToGrid/>
              <w:spacing w:line="360" w:lineRule="auto"/>
              <w:ind w:firstLine="466" w:firstLineChars="200"/>
              <w:textAlignment w:val="auto"/>
              <w:rPr>
                <w:rFonts w:hint="eastAsia" w:ascii="Times New Roman" w:hAnsi="Times New Roman" w:eastAsia="宋体" w:cs="Times New Roman"/>
                <w:b/>
                <w:bCs/>
                <w:color w:val="auto"/>
                <w:spacing w:val="-4"/>
                <w:sz w:val="24"/>
                <w:szCs w:val="28"/>
                <w:highlight w:val="none"/>
                <w:lang w:val="zh-CN" w:eastAsia="zh-CN" w:bidi="zh-CN"/>
              </w:rPr>
            </w:pPr>
            <w:r>
              <w:rPr>
                <w:rFonts w:hint="eastAsia" w:ascii="Times New Roman" w:hAnsi="Times New Roman" w:eastAsia="宋体" w:cs="Times New Roman"/>
                <w:b/>
                <w:bCs/>
                <w:color w:val="auto"/>
                <w:spacing w:val="-4"/>
                <w:sz w:val="24"/>
                <w:szCs w:val="28"/>
                <w:highlight w:val="none"/>
                <w:lang w:val="zh-CN" w:eastAsia="zh-CN" w:bidi="zh-CN"/>
              </w:rPr>
              <w:t>具体工艺流程图如下：</w:t>
            </w:r>
            <w:r>
              <w:drawing>
                <wp:inline distT="0" distB="0" distL="114300" distR="114300">
                  <wp:extent cx="5170170" cy="2234565"/>
                  <wp:effectExtent l="0" t="0" r="11430" b="1333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6"/>
                          <a:stretch>
                            <a:fillRect/>
                          </a:stretch>
                        </pic:blipFill>
                        <pic:spPr>
                          <a:xfrm>
                            <a:off x="0" y="0"/>
                            <a:ext cx="5170170" cy="2234565"/>
                          </a:xfrm>
                          <a:prstGeom prst="rect">
                            <a:avLst/>
                          </a:prstGeom>
                          <a:noFill/>
                          <a:ln>
                            <a:noFill/>
                          </a:ln>
                        </pic:spPr>
                      </pic:pic>
                    </a:graphicData>
                  </a:graphic>
                </wp:inline>
              </w:drawing>
            </w:r>
          </w:p>
          <w:p>
            <w:pPr>
              <w:pStyle w:val="3"/>
              <w:ind w:firstLine="480"/>
              <w:rPr>
                <w:rFonts w:hint="eastAsia" w:cs="Calibri"/>
                <w:b/>
                <w:bCs/>
                <w:color w:val="auto"/>
                <w:szCs w:val="24"/>
                <w:highlight w:val="none"/>
                <w:u w:val="none"/>
              </w:rPr>
            </w:pPr>
            <w:r>
              <w:rPr>
                <w:rFonts w:hint="eastAsia" w:cs="Calibri"/>
                <w:b/>
                <w:bCs/>
                <w:color w:val="auto"/>
                <w:szCs w:val="24"/>
                <w:highlight w:val="none"/>
                <w:u w:val="none"/>
              </w:rPr>
              <w:t>等离子废气净化设备原理</w:t>
            </w:r>
          </w:p>
          <w:p>
            <w:pPr>
              <w:pStyle w:val="3"/>
              <w:ind w:firstLine="480"/>
              <w:rPr>
                <w:rFonts w:hint="eastAsia" w:cs="Calibri"/>
                <w:color w:val="auto"/>
                <w:szCs w:val="24"/>
                <w:highlight w:val="none"/>
                <w:u w:val="none"/>
              </w:rPr>
            </w:pPr>
            <w:r>
              <w:rPr>
                <w:rFonts w:hint="eastAsia" w:cs="Calibri"/>
                <w:color w:val="auto"/>
                <w:szCs w:val="24"/>
                <w:highlight w:val="none"/>
                <w:u w:val="none"/>
              </w:rPr>
              <w:t>等离子废气净化器采用了独特的吸附-分解-碳化，离心式抽风安装最新工艺技术设计,采用标准模块设计等优点,是一种干法处理有机废气的净化设备。它改变了使用活性碳材料的工艺技术,无需再生处理原料,无需专人负责,不产生二次污染,更换及维护保养方便。</w:t>
            </w:r>
          </w:p>
          <w:p>
            <w:pPr>
              <w:pStyle w:val="3"/>
              <w:ind w:firstLine="480"/>
              <w:rPr>
                <w:rFonts w:hint="eastAsia" w:cs="Calibri"/>
                <w:color w:val="auto"/>
                <w:szCs w:val="24"/>
                <w:highlight w:val="none"/>
                <w:u w:val="single"/>
              </w:rPr>
            </w:pPr>
            <w:r>
              <w:rPr>
                <w:rFonts w:hint="eastAsia" w:cs="Calibri"/>
                <w:color w:val="auto"/>
                <w:szCs w:val="24"/>
                <w:highlight w:val="none"/>
                <w:u w:val="none"/>
              </w:rPr>
              <w:t>低温等离子体是继固态、液态、气态之后的物质第四态，当外加电压达到气体的放电电压时，气体被击穿，产生包括电子、各种离子、原子和自由基在内的混合体。放电过程中虽然电子温度很高，但重粒子温度很低，整个体系呈现低温状态，所以称为低温等离子体。低温等离子体降解污染物是利用这些高能电子、自由基等活性粒子和废气中的污染物作用，使污染物分子在极短的时间内发生分解，并发生后续的各种反应以达到降解污染物的目的。一般气体放电，将会产生等离子，而这种放电现像就是通过某种机制使一个或者多个电子从气体原子或分子中分离出来，形成气体媒质，这种媒质就称为电离气体，如果外电场产生了电离气体，传导电流就形成了，这种现象就被称为气体放电。而这种净化设备的技术，就是工业废气处理最新的一种原理。</w:t>
            </w:r>
          </w:p>
          <w:p>
            <w:pPr>
              <w:pStyle w:val="17"/>
              <w:rPr>
                <w:rFonts w:hint="eastAsia" w:eastAsia="宋体"/>
                <w:b/>
                <w:bCs w:val="0"/>
                <w:color w:val="auto"/>
                <w:lang w:val="en-US" w:eastAsia="zh-CN"/>
              </w:rPr>
            </w:pPr>
            <w:r>
              <w:rPr>
                <w:rFonts w:hint="eastAsia" w:hAnsi="宋体"/>
                <w:b/>
                <w:bCs w:val="0"/>
                <w:color w:val="auto"/>
                <w:highlight w:val="none"/>
              </w:rPr>
              <w:t>光氧催化</w:t>
            </w:r>
            <w:r>
              <w:rPr>
                <w:rFonts w:hint="eastAsia"/>
                <w:b/>
                <w:bCs w:val="0"/>
                <w:color w:val="auto"/>
                <w:highlight w:val="none"/>
                <w:lang w:val="en-US" w:eastAsia="zh-CN"/>
              </w:rPr>
              <w:t>原理</w:t>
            </w:r>
          </w:p>
          <w:p>
            <w:pPr>
              <w:pStyle w:val="3"/>
              <w:ind w:firstLine="480"/>
              <w:rPr>
                <w:rFonts w:hint="eastAsia" w:hAnsi="宋体"/>
                <w:color w:val="auto"/>
                <w:highlight w:val="none"/>
              </w:rPr>
            </w:pPr>
            <w:r>
              <w:rPr>
                <w:rFonts w:hint="eastAsia" w:hAnsi="宋体"/>
                <w:color w:val="auto"/>
                <w:highlight w:val="none"/>
              </w:rPr>
              <w:t>光氧催化是去除有机废气、恶臭气体的专用治理净化设备，通过利用高能紫外线光束照射并列解有机（恶臭）废气，如氨气、三甲胺、硫化氢、甲硫醇、二硫化碳和苯乙烯、苯、等VOC类有机异味气体的分子链结构，使之降解转变成低分子化合物，如CO</w:t>
            </w:r>
            <w:r>
              <w:rPr>
                <w:rFonts w:hint="eastAsia" w:hAnsi="宋体"/>
                <w:color w:val="auto"/>
                <w:highlight w:val="none"/>
                <w:vertAlign w:val="subscript"/>
              </w:rPr>
              <w:t>2</w:t>
            </w:r>
            <w:r>
              <w:rPr>
                <w:rFonts w:hint="eastAsia" w:hAnsi="宋体"/>
                <w:color w:val="auto"/>
                <w:highlight w:val="none"/>
              </w:rPr>
              <w:t>、H</w:t>
            </w:r>
            <w:r>
              <w:rPr>
                <w:rFonts w:hint="eastAsia" w:hAnsi="宋体"/>
                <w:color w:val="auto"/>
                <w:highlight w:val="none"/>
                <w:vertAlign w:val="subscript"/>
              </w:rPr>
              <w:t>2</w:t>
            </w:r>
            <w:r>
              <w:rPr>
                <w:rFonts w:hAnsi="宋体"/>
                <w:color w:val="auto"/>
                <w:highlight w:val="none"/>
              </w:rPr>
              <w:t>O</w:t>
            </w:r>
            <w:r>
              <w:rPr>
                <w:rFonts w:hint="eastAsia" w:hAnsi="宋体"/>
                <w:color w:val="auto"/>
                <w:highlight w:val="none"/>
              </w:rPr>
              <w:t>等；由于高能紫外线光束分解空气中的氧分子产生活性臭氧，因臭氧对有机物具有极强的氧化作用，对恶臭气体及其它刺激性异味有立竿见影的清除效果。同时灯管两边的催化层（纳米二氧化钛）在受到紫外线光照射时生成化学活性很强的超氧化物阴离子和氢氧自由基，达到降解有机物的作用，能有效分解恶臭气体中有毒有害物质及脱臭效果，经分解后的恶臭气体，可达到无害化排放，不产生二次污染。</w:t>
            </w:r>
            <w:r>
              <w:rPr>
                <w:rFonts w:hAnsi="宋体"/>
                <w:color w:val="auto"/>
                <w:highlight w:val="none"/>
              </w:rPr>
              <w:t>去除效率</w:t>
            </w:r>
            <w:r>
              <w:rPr>
                <w:rFonts w:hint="eastAsia" w:hAnsi="宋体"/>
                <w:color w:val="auto"/>
                <w:highlight w:val="none"/>
              </w:rPr>
              <w:t>可</w:t>
            </w:r>
            <w:r>
              <w:rPr>
                <w:rFonts w:hAnsi="宋体"/>
                <w:color w:val="auto"/>
                <w:highlight w:val="none"/>
              </w:rPr>
              <w:t>达到</w:t>
            </w:r>
            <w:r>
              <w:rPr>
                <w:rFonts w:hint="eastAsia" w:hAnsi="宋体"/>
                <w:color w:val="auto"/>
                <w:highlight w:val="none"/>
              </w:rPr>
              <w:t>95</w:t>
            </w:r>
            <w:r>
              <w:rPr>
                <w:rFonts w:hAnsi="宋体"/>
                <w:color w:val="auto"/>
                <w:highlight w:val="none"/>
              </w:rPr>
              <w:t>%以上</w:t>
            </w:r>
            <w:r>
              <w:rPr>
                <w:rFonts w:hint="eastAsia" w:hAnsi="宋体"/>
                <w:color w:val="auto"/>
                <w:highlight w:val="none"/>
              </w:rPr>
              <w:t>，</w:t>
            </w:r>
            <w:r>
              <w:rPr>
                <w:rFonts w:hAnsi="宋体"/>
                <w:color w:val="auto"/>
                <w:highlight w:val="none"/>
              </w:rPr>
              <w:t>被广泛应用于牛皮纸浆、炼油、炼焦、</w:t>
            </w:r>
            <w:r>
              <w:rPr>
                <w:rFonts w:hint="eastAsia" w:hAnsi="宋体"/>
                <w:color w:val="auto"/>
                <w:highlight w:val="none"/>
              </w:rPr>
              <w:t>石化</w:t>
            </w:r>
            <w:r>
              <w:rPr>
                <w:rFonts w:hAnsi="宋体"/>
                <w:color w:val="auto"/>
                <w:highlight w:val="none"/>
              </w:rPr>
              <w:t>、制药、</w:t>
            </w:r>
            <w:r>
              <w:rPr>
                <w:rFonts w:hint="eastAsia" w:hAnsi="宋体"/>
                <w:color w:val="auto"/>
                <w:highlight w:val="none"/>
              </w:rPr>
              <w:t>皮革</w:t>
            </w:r>
            <w:r>
              <w:rPr>
                <w:rFonts w:hAnsi="宋体"/>
                <w:color w:val="auto"/>
                <w:highlight w:val="none"/>
              </w:rPr>
              <w:t>、油漆</w:t>
            </w:r>
            <w:r>
              <w:rPr>
                <w:rFonts w:hint="eastAsia" w:hAnsi="宋体"/>
                <w:color w:val="auto"/>
                <w:highlight w:val="none"/>
              </w:rPr>
              <w:t>、橡胶</w:t>
            </w:r>
            <w:r>
              <w:rPr>
                <w:rFonts w:hAnsi="宋体"/>
                <w:color w:val="auto"/>
                <w:highlight w:val="none"/>
              </w:rPr>
              <w:t>、医药</w:t>
            </w:r>
            <w:r>
              <w:rPr>
                <w:rFonts w:hint="eastAsia" w:hAnsi="宋体"/>
                <w:color w:val="auto"/>
                <w:highlight w:val="none"/>
              </w:rPr>
              <w:t>、</w:t>
            </w:r>
            <w:r>
              <w:rPr>
                <w:rFonts w:hAnsi="宋体"/>
                <w:color w:val="auto"/>
                <w:highlight w:val="none"/>
              </w:rPr>
              <w:t>沥青等行业。</w:t>
            </w:r>
          </w:p>
          <w:p>
            <w:pPr>
              <w:pStyle w:val="3"/>
              <w:ind w:firstLine="480"/>
              <w:rPr>
                <w:rFonts w:hint="eastAsia" w:ascii="Times New Roman" w:hAnsi="Times New Roman" w:eastAsia="宋体" w:cs="Calibri"/>
                <w:b/>
                <w:bCs/>
                <w:color w:val="auto"/>
                <w:szCs w:val="24"/>
                <w:highlight w:val="none"/>
                <w:u w:val="none"/>
              </w:rPr>
            </w:pPr>
            <w:r>
              <w:rPr>
                <w:rFonts w:hint="eastAsia" w:ascii="Times New Roman" w:hAnsi="Times New Roman" w:eastAsia="宋体" w:cs="Calibri"/>
                <w:b/>
                <w:bCs/>
                <w:color w:val="auto"/>
                <w:szCs w:val="24"/>
                <w:highlight w:val="none"/>
                <w:u w:val="none"/>
              </w:rPr>
              <w:t>活性炭设备原理</w:t>
            </w:r>
          </w:p>
          <w:p>
            <w:pPr>
              <w:pStyle w:val="3"/>
              <w:ind w:firstLine="480"/>
              <w:rPr>
                <w:rFonts w:hint="eastAsia" w:hAnsi="宋体"/>
                <w:color w:val="auto"/>
                <w:highlight w:val="none"/>
                <w:lang w:val="en-US" w:eastAsia="zh-CN"/>
              </w:rPr>
            </w:pPr>
            <w:r>
              <w:rPr>
                <w:rFonts w:hint="eastAsia" w:hAnsi="宋体"/>
                <w:color w:val="auto"/>
                <w:highlight w:val="none"/>
                <w:lang w:val="en-US" w:eastAsia="zh-CN"/>
              </w:rPr>
              <w:t>活性炭吸附环保箱：</w:t>
            </w:r>
            <w:r>
              <w:rPr>
                <w:rFonts w:hint="eastAsia" w:hAnsi="宋体"/>
                <w:color w:val="auto"/>
                <w:highlight w:val="none"/>
              </w:rPr>
              <w:t>是利用活性碳强大吸附能力，在治理工艺中废气通过风管流到活性碳吸附床，与活性炭充分接触，在其中进行气尘吸附捕集、除味、</w:t>
            </w:r>
            <w:r>
              <w:rPr>
                <w:rFonts w:hint="eastAsia" w:hAnsi="宋体"/>
                <w:color w:val="auto"/>
                <w:highlight w:val="none"/>
                <w:lang w:eastAsia="zh-CN"/>
              </w:rPr>
              <w:t>自然</w:t>
            </w:r>
            <w:r>
              <w:rPr>
                <w:rFonts w:hint="eastAsia" w:hAnsi="宋体"/>
                <w:color w:val="auto"/>
                <w:highlight w:val="none"/>
              </w:rPr>
              <w:t>氧化等过程，经该工艺治理后有机废气各项指标去除率均在95%以上</w:t>
            </w:r>
            <w:r>
              <w:rPr>
                <w:rFonts w:hint="eastAsia" w:hAnsi="宋体"/>
                <w:color w:val="auto"/>
                <w:highlight w:val="none"/>
                <w:lang w:eastAsia="zh-CN"/>
              </w:rPr>
              <w:t>。</w:t>
            </w:r>
            <w:r>
              <w:rPr>
                <w:rFonts w:hint="eastAsia" w:hAnsi="宋体"/>
                <w:color w:val="auto"/>
                <w:highlight w:val="none"/>
              </w:rPr>
              <w:t>活性炭吸附具有比表面积大；良好的选择性吸附；吸附容量大；来源广泛价格低廉等特点。而此活性炭吸附剂就是采用来源广泛，成本低廉的工业气体专用活性炭，活性炭吸附</w:t>
            </w:r>
            <w:r>
              <w:rPr>
                <w:rFonts w:hint="eastAsia" w:hAnsi="宋体"/>
                <w:color w:val="auto"/>
                <w:highlight w:val="none"/>
                <w:lang w:eastAsia="zh-CN"/>
              </w:rPr>
              <w:t>箱</w:t>
            </w:r>
            <w:r>
              <w:rPr>
                <w:rFonts w:hint="eastAsia" w:hAnsi="宋体"/>
                <w:color w:val="auto"/>
                <w:highlight w:val="none"/>
              </w:rPr>
              <w:t>内装有高效吸附性能的活性炭填料，通过调节适当的风速使活性炭填料充分吸收废气中的有害物质</w:t>
            </w:r>
            <w:r>
              <w:rPr>
                <w:rFonts w:hint="eastAsia" w:hAnsi="宋体"/>
                <w:color w:val="auto"/>
                <w:highlight w:val="none"/>
                <w:lang w:eastAsia="zh-CN"/>
              </w:rPr>
              <w:t>。</w:t>
            </w:r>
          </w:p>
          <w:p>
            <w:pPr>
              <w:pStyle w:val="3"/>
              <w:ind w:firstLine="482"/>
              <w:rPr>
                <w:rFonts w:hint="eastAsia"/>
                <w:b/>
                <w:color w:val="auto"/>
                <w:highlight w:val="none"/>
              </w:rPr>
            </w:pPr>
            <w:r>
              <w:rPr>
                <w:rFonts w:hint="eastAsia"/>
                <w:b/>
                <w:color w:val="auto"/>
                <w:highlight w:val="none"/>
              </w:rPr>
              <w:t>排放情况：</w:t>
            </w:r>
          </w:p>
          <w:p>
            <w:pPr>
              <w:pStyle w:val="3"/>
              <w:ind w:firstLine="480"/>
              <w:rPr>
                <w:rFonts w:hint="eastAsia"/>
                <w:color w:val="auto"/>
                <w:highlight w:val="none"/>
              </w:rPr>
            </w:pPr>
            <w:r>
              <w:rPr>
                <w:rFonts w:hint="eastAsia"/>
                <w:color w:val="auto"/>
                <w:highlight w:val="none"/>
              </w:rPr>
              <w:t>①</w:t>
            </w:r>
            <w:r>
              <w:rPr>
                <w:color w:val="auto"/>
                <w:highlight w:val="none"/>
              </w:rPr>
              <w:t>有组织排放</w:t>
            </w:r>
          </w:p>
          <w:p>
            <w:pPr>
              <w:pStyle w:val="3"/>
              <w:ind w:firstLine="480"/>
              <w:rPr>
                <w:color w:val="000000" w:themeColor="text1"/>
                <w:highlight w:val="none"/>
                <w14:textFill>
                  <w14:solidFill>
                    <w14:schemeClr w14:val="tx1"/>
                  </w14:solidFill>
                </w14:textFill>
              </w:rPr>
            </w:pPr>
            <w:r>
              <w:rPr>
                <w:rFonts w:hint="eastAsia"/>
                <w:color w:val="auto"/>
                <w:highlight w:val="none"/>
              </w:rPr>
              <w:t>搅拌缸废气处理系统风量为</w:t>
            </w:r>
            <w:r>
              <w:rPr>
                <w:color w:val="auto"/>
                <w:highlight w:val="none"/>
              </w:rPr>
              <w:t>2</w:t>
            </w:r>
            <w:r>
              <w:rPr>
                <w:rFonts w:hint="eastAsia"/>
                <w:color w:val="auto"/>
                <w:highlight w:val="none"/>
                <w:lang w:val="en-US" w:eastAsia="zh-CN"/>
              </w:rPr>
              <w:t>5</w:t>
            </w:r>
            <w:r>
              <w:rPr>
                <w:rFonts w:hint="eastAsia"/>
                <w:color w:val="auto"/>
                <w:highlight w:val="none"/>
              </w:rPr>
              <w:t>000m</w:t>
            </w:r>
            <w:r>
              <w:rPr>
                <w:rFonts w:hint="eastAsia"/>
                <w:color w:val="auto"/>
                <w:highlight w:val="none"/>
                <w:vertAlign w:val="superscript"/>
              </w:rPr>
              <w:t>3</w:t>
            </w:r>
            <w:r>
              <w:rPr>
                <w:rFonts w:hint="eastAsia"/>
                <w:color w:val="auto"/>
                <w:highlight w:val="none"/>
              </w:rPr>
              <w:t>/h，</w:t>
            </w:r>
            <w:r>
              <w:rPr>
                <w:color w:val="000000" w:themeColor="text1"/>
                <w:highlight w:val="none"/>
                <w14:textFill>
                  <w14:solidFill>
                    <w14:schemeClr w14:val="tx1"/>
                  </w14:solidFill>
                </w14:textFill>
              </w:rPr>
              <w:t>项目满负荷生产时沥青烟</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苯并</w:t>
            </w:r>
            <w:r>
              <w:rPr>
                <w:rFonts w:hint="eastAsia"/>
                <w:color w:val="000000" w:themeColor="text1"/>
                <w:highlight w:val="none"/>
                <w14:textFill>
                  <w14:solidFill>
                    <w14:schemeClr w14:val="tx1"/>
                  </w14:solidFill>
                </w14:textFill>
              </w:rPr>
              <w:t>(a)</w:t>
            </w:r>
            <w:r>
              <w:rPr>
                <w:color w:val="000000" w:themeColor="text1"/>
                <w:highlight w:val="none"/>
                <w14:textFill>
                  <w14:solidFill>
                    <w14:schemeClr w14:val="tx1"/>
                  </w14:solidFill>
                </w14:textFill>
              </w:rPr>
              <w:t>芘</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非甲烷总烃产生及排放</w:t>
            </w:r>
            <w:r>
              <w:rPr>
                <w:color w:val="000000" w:themeColor="text1"/>
                <w:highlight w:val="none"/>
                <w14:textFill>
                  <w14:solidFill>
                    <w14:schemeClr w14:val="tx1"/>
                  </w14:solidFill>
                </w14:textFill>
              </w:rPr>
              <w:t>情况见表</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-8。</w:t>
            </w:r>
          </w:p>
          <w:p>
            <w:pPr>
              <w:pStyle w:val="3"/>
              <w:ind w:firstLine="480"/>
              <w:jc w:val="center"/>
              <w:rPr>
                <w:rFonts w:hint="eastAsia" w:ascii="宋体" w:hAnsi="宋体" w:eastAsia="宋体" w:cs="宋体"/>
                <w:b/>
                <w:bCs/>
                <w:color w:val="auto"/>
                <w:sz w:val="21"/>
                <w:szCs w:val="21"/>
                <w:highlight w:val="none"/>
                <w:lang w:val="zh-CN" w:eastAsia="zh-CN" w:bidi="zh-CN"/>
              </w:rPr>
            </w:pPr>
            <w:r>
              <w:rPr>
                <w:rFonts w:hint="eastAsia" w:ascii="Times New Roman" w:hAnsi="Times New Roman" w:eastAsia="宋体" w:cs="Times New Roman"/>
                <w:b/>
                <w:bCs/>
                <w:color w:val="auto"/>
                <w:sz w:val="21"/>
                <w:szCs w:val="21"/>
                <w:highlight w:val="none"/>
                <w:lang w:val="zh-CN" w:eastAsia="zh-CN" w:bidi="zh-CN"/>
              </w:rPr>
              <w:t>表</w:t>
            </w:r>
            <w:r>
              <w:rPr>
                <w:rFonts w:hint="eastAsia" w:ascii="Times New Roman" w:hAnsi="Times New Roman" w:eastAsia="宋体" w:cs="Times New Roman"/>
                <w:b/>
                <w:bCs/>
                <w:color w:val="auto"/>
                <w:sz w:val="21"/>
                <w:szCs w:val="21"/>
                <w:highlight w:val="none"/>
                <w:lang w:val="en-US" w:eastAsia="zh-CN" w:bidi="zh-CN"/>
              </w:rPr>
              <w:t>4</w:t>
            </w:r>
            <w:r>
              <w:rPr>
                <w:rFonts w:hint="eastAsia" w:ascii="Times New Roman" w:hAnsi="Times New Roman" w:eastAsia="宋体" w:cs="Times New Roman"/>
                <w:b/>
                <w:bCs/>
                <w:color w:val="auto"/>
                <w:sz w:val="21"/>
                <w:szCs w:val="21"/>
                <w:highlight w:val="none"/>
                <w:lang w:val="zh-CN" w:eastAsia="zh-CN" w:bidi="zh-CN"/>
              </w:rPr>
              <w:t>-8   搅拌</w:t>
            </w:r>
            <w:r>
              <w:rPr>
                <w:rFonts w:hint="eastAsia" w:ascii="Times New Roman" w:hAnsi="Times New Roman" w:eastAsia="宋体" w:cs="Times New Roman"/>
                <w:b/>
                <w:bCs/>
                <w:color w:val="auto"/>
                <w:sz w:val="21"/>
                <w:szCs w:val="21"/>
                <w:highlight w:val="none"/>
                <w:lang w:val="en-US" w:eastAsia="zh-CN" w:bidi="zh-CN"/>
              </w:rPr>
              <w:t>废气</w:t>
            </w:r>
            <w:r>
              <w:rPr>
                <w:rFonts w:hint="eastAsia" w:ascii="Times New Roman" w:hAnsi="Times New Roman" w:eastAsia="宋体" w:cs="Times New Roman"/>
                <w:b/>
                <w:bCs/>
                <w:color w:val="auto"/>
                <w:sz w:val="21"/>
                <w:szCs w:val="21"/>
                <w:highlight w:val="none"/>
                <w:lang w:val="zh-CN" w:eastAsia="zh-CN" w:bidi="zh-CN"/>
              </w:rPr>
              <w:t>产生及</w:t>
            </w:r>
            <w:r>
              <w:rPr>
                <w:rFonts w:hint="eastAsia" w:ascii="宋体" w:hAnsi="宋体" w:eastAsia="宋体" w:cs="宋体"/>
                <w:b/>
                <w:bCs/>
                <w:color w:val="auto"/>
                <w:sz w:val="21"/>
                <w:szCs w:val="21"/>
                <w:highlight w:val="none"/>
                <w:lang w:val="zh-CN" w:eastAsia="zh-CN" w:bidi="zh-CN"/>
              </w:rPr>
              <w:t>排放情况一览表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988"/>
              <w:gridCol w:w="988"/>
              <w:gridCol w:w="741"/>
              <w:gridCol w:w="1360"/>
              <w:gridCol w:w="988"/>
              <w:gridCol w:w="1041"/>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87" w:type="dxa"/>
                  <w:noWrap w:val="0"/>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项目</w:t>
                  </w:r>
                </w:p>
              </w:tc>
              <w:tc>
                <w:tcPr>
                  <w:tcW w:w="988" w:type="dxa"/>
                  <w:noWrap w:val="0"/>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产生量t</w:t>
                  </w:r>
                </w:p>
              </w:tc>
              <w:tc>
                <w:tcPr>
                  <w:tcW w:w="988" w:type="dxa"/>
                  <w:noWrap w:val="0"/>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产生速率kg/h</w:t>
                  </w:r>
                </w:p>
              </w:tc>
              <w:tc>
                <w:tcPr>
                  <w:tcW w:w="741" w:type="dxa"/>
                  <w:noWrap w:val="0"/>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浓度m</w:t>
                  </w:r>
                  <w:r>
                    <w:rPr>
                      <w:rFonts w:hint="default" w:ascii="Times New Roman" w:hAnsi="Times New Roman" w:eastAsia="TimesNewRomanPSMT" w:cs="Times New Roman"/>
                      <w:b/>
                      <w:bCs/>
                      <w:sz w:val="21"/>
                      <w:szCs w:val="21"/>
                    </w:rPr>
                    <w:t>g/m</w:t>
                  </w:r>
                  <w:r>
                    <w:rPr>
                      <w:rFonts w:hint="default" w:ascii="Times New Roman" w:hAnsi="Times New Roman" w:cs="Times New Roman"/>
                      <w:b/>
                      <w:bCs/>
                      <w:sz w:val="21"/>
                      <w:szCs w:val="21"/>
                      <w:vertAlign w:val="superscript"/>
                    </w:rPr>
                    <w:t>3</w:t>
                  </w:r>
                </w:p>
              </w:tc>
              <w:tc>
                <w:tcPr>
                  <w:tcW w:w="1360" w:type="dxa"/>
                  <w:noWrap w:val="0"/>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处理措施及处理效率</w:t>
                  </w:r>
                </w:p>
              </w:tc>
              <w:tc>
                <w:tcPr>
                  <w:tcW w:w="988" w:type="dxa"/>
                  <w:noWrap w:val="0"/>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排放量</w:t>
                  </w:r>
                </w:p>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t</w:t>
                  </w:r>
                </w:p>
              </w:tc>
              <w:tc>
                <w:tcPr>
                  <w:tcW w:w="1041" w:type="dxa"/>
                  <w:noWrap w:val="0"/>
                  <w:vAlign w:val="center"/>
                </w:tcPr>
                <w:p>
                  <w:pPr>
                    <w:jc w:val="center"/>
                    <w:rPr>
                      <w:rFonts w:hint="default" w:ascii="Times New Roman" w:hAnsi="Times New Roman" w:eastAsia="TimesNewRomanPSMT" w:cs="Times New Roman"/>
                      <w:b/>
                      <w:bCs/>
                      <w:sz w:val="21"/>
                      <w:szCs w:val="21"/>
                    </w:rPr>
                  </w:pPr>
                  <w:r>
                    <w:rPr>
                      <w:rFonts w:hint="default" w:ascii="Times New Roman" w:hAnsi="Times New Roman" w:cs="Times New Roman"/>
                      <w:b/>
                      <w:bCs/>
                      <w:sz w:val="21"/>
                      <w:szCs w:val="21"/>
                    </w:rPr>
                    <w:t>排放速率kg/h</w:t>
                  </w:r>
                </w:p>
              </w:tc>
              <w:tc>
                <w:tcPr>
                  <w:tcW w:w="1017" w:type="dxa"/>
                  <w:noWrap w:val="0"/>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排放浓度m</w:t>
                  </w:r>
                  <w:r>
                    <w:rPr>
                      <w:rFonts w:hint="default" w:ascii="Times New Roman" w:hAnsi="Times New Roman" w:eastAsia="TimesNewRomanPSMT" w:cs="Times New Roman"/>
                      <w:b/>
                      <w:bCs/>
                      <w:sz w:val="21"/>
                      <w:szCs w:val="21"/>
                    </w:rPr>
                    <w:t>g/m</w:t>
                  </w:r>
                  <w:r>
                    <w:rPr>
                      <w:rFonts w:hint="default" w:ascii="Times New Roman" w:hAnsi="Times New Roman" w:cs="Times New Roman"/>
                      <w:b/>
                      <w:bCs/>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87"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b/>
                      <w:bCs/>
                      <w:sz w:val="21"/>
                      <w:szCs w:val="21"/>
                    </w:rPr>
                    <w:t>苯并</w:t>
                  </w:r>
                  <w:r>
                    <w:rPr>
                      <w:rFonts w:hint="default" w:ascii="Times New Roman" w:hAnsi="Times New Roman" w:cs="Times New Roman"/>
                      <w:sz w:val="21"/>
                      <w:szCs w:val="21"/>
                    </w:rPr>
                    <w:t>(a)</w:t>
                  </w:r>
                  <w:r>
                    <w:rPr>
                      <w:rFonts w:hint="default" w:ascii="Times New Roman" w:hAnsi="Times New Roman" w:cs="Times New Roman"/>
                      <w:b/>
                      <w:bCs/>
                      <w:sz w:val="21"/>
                      <w:szCs w:val="21"/>
                    </w:rPr>
                    <w:t>芘</w:t>
                  </w:r>
                </w:p>
              </w:tc>
              <w:tc>
                <w:tcPr>
                  <w:tcW w:w="988"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8.46</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rPr>
                    <w:t>-4</w:t>
                  </w:r>
                </w:p>
              </w:tc>
              <w:tc>
                <w:tcPr>
                  <w:tcW w:w="988"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5.875</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rPr>
                    <w:t>-4</w:t>
                  </w:r>
                </w:p>
              </w:tc>
              <w:tc>
                <w:tcPr>
                  <w:tcW w:w="741"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0.0235</w:t>
                  </w:r>
                </w:p>
              </w:tc>
              <w:tc>
                <w:tcPr>
                  <w:tcW w:w="1360" w:type="dxa"/>
                  <w:vMerge w:val="restart"/>
                  <w:noWrap w:val="0"/>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高压</w:t>
                  </w:r>
                  <w:r>
                    <w:rPr>
                      <w:rFonts w:hint="eastAsia" w:ascii="Times New Roman" w:hAnsi="Times New Roman" w:cs="Times New Roman"/>
                      <w:sz w:val="21"/>
                      <w:szCs w:val="21"/>
                      <w:lang w:val="zh-CN" w:eastAsia="zh-CN"/>
                    </w:rPr>
                    <w:t>等离子</w:t>
                  </w:r>
                  <w:r>
                    <w:rPr>
                      <w:rFonts w:hint="eastAsia" w:ascii="Times New Roman" w:hAnsi="Times New Roman" w:cs="Times New Roman"/>
                      <w:sz w:val="21"/>
                      <w:szCs w:val="21"/>
                      <w:lang w:val="en-US" w:eastAsia="zh-CN"/>
                    </w:rPr>
                    <w:t>+</w:t>
                  </w:r>
                  <w:r>
                    <w:rPr>
                      <w:rFonts w:hint="eastAsia" w:ascii="Times New Roman" w:hAnsi="Times New Roman" w:cs="Times New Roman"/>
                      <w:sz w:val="21"/>
                      <w:szCs w:val="21"/>
                      <w:lang w:val="zh-CN" w:eastAsia="zh-CN"/>
                    </w:rPr>
                    <w:t>UV光氧催化</w:t>
                  </w:r>
                  <w:r>
                    <w:rPr>
                      <w:rFonts w:hint="default" w:ascii="Times New Roman" w:hAnsi="Times New Roman" w:cs="Times New Roman"/>
                      <w:sz w:val="21"/>
                      <w:szCs w:val="21"/>
                    </w:rPr>
                    <w:t>：95%</w:t>
                  </w:r>
                </w:p>
                <w:p>
                  <w:pPr>
                    <w:jc w:val="center"/>
                    <w:rPr>
                      <w:rFonts w:hint="default" w:ascii="Times New Roman" w:hAnsi="Times New Roman" w:cs="Times New Roman"/>
                      <w:sz w:val="21"/>
                      <w:szCs w:val="21"/>
                    </w:rPr>
                  </w:pPr>
                  <w:r>
                    <w:rPr>
                      <w:rFonts w:hint="default" w:ascii="Times New Roman" w:hAnsi="Times New Roman" w:cs="Times New Roman"/>
                      <w:sz w:val="21"/>
                      <w:szCs w:val="21"/>
                    </w:rPr>
                    <w:t>活性炭：</w:t>
                  </w:r>
                  <w:r>
                    <w:rPr>
                      <w:rFonts w:hint="default" w:ascii="Times New Roman" w:hAnsi="Times New Roman" w:cs="Times New Roman"/>
                      <w:sz w:val="21"/>
                      <w:szCs w:val="21"/>
                      <w:lang w:val="en-US" w:eastAsia="zh-CN"/>
                    </w:rPr>
                    <w:t>95</w:t>
                  </w:r>
                  <w:r>
                    <w:rPr>
                      <w:rFonts w:hint="default" w:ascii="Times New Roman" w:hAnsi="Times New Roman" w:cs="Times New Roman"/>
                      <w:sz w:val="21"/>
                      <w:szCs w:val="21"/>
                    </w:rPr>
                    <w:t>%</w:t>
                  </w:r>
                </w:p>
              </w:tc>
              <w:tc>
                <w:tcPr>
                  <w:tcW w:w="988"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2.1</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rPr>
                    <w:t>-</w:t>
                  </w:r>
                  <w:r>
                    <w:rPr>
                      <w:rFonts w:hint="default" w:ascii="Times New Roman" w:hAnsi="Times New Roman" w:cs="Times New Roman"/>
                      <w:sz w:val="21"/>
                      <w:szCs w:val="21"/>
                      <w:vertAlign w:val="superscript"/>
                      <w:lang w:val="en-US" w:eastAsia="zh-CN"/>
                    </w:rPr>
                    <w:t>6</w:t>
                  </w:r>
                </w:p>
              </w:tc>
              <w:tc>
                <w:tcPr>
                  <w:tcW w:w="1041"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1.5</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rPr>
                    <w:t>-</w:t>
                  </w:r>
                  <w:r>
                    <w:rPr>
                      <w:rFonts w:hint="default" w:ascii="Times New Roman" w:hAnsi="Times New Roman" w:cs="Times New Roman"/>
                      <w:sz w:val="21"/>
                      <w:szCs w:val="21"/>
                      <w:vertAlign w:val="superscript"/>
                      <w:lang w:val="en-US" w:eastAsia="zh-CN"/>
                    </w:rPr>
                    <w:t>6</w:t>
                  </w:r>
                </w:p>
              </w:tc>
              <w:tc>
                <w:tcPr>
                  <w:tcW w:w="1017"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6.0</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rPr>
                    <w:t>-</w:t>
                  </w:r>
                  <w:r>
                    <w:rPr>
                      <w:rFonts w:hint="default" w:ascii="Times New Roman" w:hAnsi="Times New Roman" w:cs="Times New Roman"/>
                      <w:sz w:val="21"/>
                      <w:szCs w:val="21"/>
                      <w:vertAlign w:val="superscript"/>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687" w:type="dxa"/>
                  <w:noWrap w:val="0"/>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sz w:val="21"/>
                      <w:szCs w:val="21"/>
                    </w:rPr>
                    <w:t>沥青烟</w:t>
                  </w:r>
                </w:p>
              </w:tc>
              <w:tc>
                <w:tcPr>
                  <w:tcW w:w="988" w:type="dxa"/>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3.13</w:t>
                  </w:r>
                </w:p>
              </w:tc>
              <w:tc>
                <w:tcPr>
                  <w:tcW w:w="988"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w:t>
                  </w:r>
                  <w:r>
                    <w:rPr>
                      <w:rFonts w:hint="eastAsia" w:ascii="Times New Roman" w:hAnsi="Times New Roman" w:cs="Times New Roman"/>
                      <w:sz w:val="21"/>
                      <w:szCs w:val="21"/>
                      <w:lang w:val="en-US" w:eastAsia="zh-CN"/>
                    </w:rPr>
                    <w:t>17</w:t>
                  </w:r>
                </w:p>
              </w:tc>
              <w:tc>
                <w:tcPr>
                  <w:tcW w:w="741" w:type="dxa"/>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86.94</w:t>
                  </w:r>
                </w:p>
              </w:tc>
              <w:tc>
                <w:tcPr>
                  <w:tcW w:w="1360" w:type="dxa"/>
                  <w:vMerge w:val="continue"/>
                  <w:noWrap w:val="0"/>
                  <w:vAlign w:val="center"/>
                </w:tcPr>
                <w:p>
                  <w:pPr>
                    <w:jc w:val="center"/>
                    <w:rPr>
                      <w:rFonts w:hint="default" w:ascii="Times New Roman" w:hAnsi="Times New Roman" w:cs="Times New Roman"/>
                      <w:sz w:val="21"/>
                      <w:szCs w:val="21"/>
                    </w:rPr>
                  </w:pPr>
                </w:p>
              </w:tc>
              <w:tc>
                <w:tcPr>
                  <w:tcW w:w="988" w:type="dxa"/>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7.82</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rPr>
                    <w:t>-</w:t>
                  </w:r>
                  <w:r>
                    <w:rPr>
                      <w:rFonts w:hint="default" w:ascii="Times New Roman" w:hAnsi="Times New Roman" w:cs="Times New Roman"/>
                      <w:sz w:val="21"/>
                      <w:szCs w:val="21"/>
                      <w:vertAlign w:val="superscript"/>
                      <w:lang w:val="en-US" w:eastAsia="zh-CN"/>
                    </w:rPr>
                    <w:t>3</w:t>
                  </w:r>
                </w:p>
              </w:tc>
              <w:tc>
                <w:tcPr>
                  <w:tcW w:w="1041"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5.</w:t>
                  </w:r>
                  <w:r>
                    <w:rPr>
                      <w:rFonts w:hint="eastAsia" w:ascii="Times New Roman" w:hAnsi="Times New Roman" w:cs="Times New Roman"/>
                      <w:sz w:val="21"/>
                      <w:szCs w:val="21"/>
                      <w:lang w:val="en-US" w:eastAsia="zh-CN"/>
                    </w:rPr>
                    <w:t>43</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rPr>
                    <w:t>-</w:t>
                  </w:r>
                  <w:r>
                    <w:rPr>
                      <w:rFonts w:hint="eastAsia" w:ascii="Times New Roman" w:hAnsi="Times New Roman" w:cs="Times New Roman"/>
                      <w:sz w:val="21"/>
                      <w:szCs w:val="21"/>
                      <w:vertAlign w:val="superscript"/>
                      <w:lang w:val="en-US" w:eastAsia="zh-CN"/>
                    </w:rPr>
                    <w:t>3</w:t>
                  </w:r>
                </w:p>
              </w:tc>
              <w:tc>
                <w:tcPr>
                  <w:tcW w:w="1017" w:type="dxa"/>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687" w:type="dxa"/>
                  <w:noWrap w:val="0"/>
                  <w:vAlign w:val="center"/>
                </w:tcPr>
                <w:p>
                  <w:pPr>
                    <w:jc w:val="center"/>
                    <w:rPr>
                      <w:rFonts w:hint="default" w:ascii="Times New Roman" w:hAnsi="Times New Roman" w:cs="Times New Roman"/>
                      <w:b/>
                      <w:bCs/>
                      <w:sz w:val="21"/>
                      <w:szCs w:val="21"/>
                    </w:rPr>
                  </w:pPr>
                  <w:r>
                    <w:rPr>
                      <w:rFonts w:hint="default" w:ascii="Times New Roman" w:hAnsi="Times New Roman" w:cs="Times New Roman"/>
                      <w:b/>
                      <w:bCs/>
                      <w:color w:val="auto"/>
                      <w:sz w:val="21"/>
                      <w:szCs w:val="21"/>
                      <w:highlight w:val="none"/>
                    </w:rPr>
                    <w:t>非甲烷总烃</w:t>
                  </w:r>
                </w:p>
              </w:tc>
              <w:tc>
                <w:tcPr>
                  <w:tcW w:w="988"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0.017</w:t>
                  </w:r>
                </w:p>
              </w:tc>
              <w:tc>
                <w:tcPr>
                  <w:tcW w:w="988"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0.012</w:t>
                  </w:r>
                </w:p>
              </w:tc>
              <w:tc>
                <w:tcPr>
                  <w:tcW w:w="741"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0.48</w:t>
                  </w:r>
                </w:p>
              </w:tc>
              <w:tc>
                <w:tcPr>
                  <w:tcW w:w="1360" w:type="dxa"/>
                  <w:vMerge w:val="continue"/>
                  <w:noWrap w:val="0"/>
                  <w:vAlign w:val="center"/>
                </w:tcPr>
                <w:p>
                  <w:pPr>
                    <w:jc w:val="center"/>
                    <w:rPr>
                      <w:rFonts w:hint="default" w:ascii="Times New Roman" w:hAnsi="Times New Roman" w:cs="Times New Roman"/>
                      <w:sz w:val="21"/>
                      <w:szCs w:val="21"/>
                    </w:rPr>
                  </w:pPr>
                </w:p>
              </w:tc>
              <w:tc>
                <w:tcPr>
                  <w:tcW w:w="988"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4.25</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rPr>
                    <w:t>-</w:t>
                  </w:r>
                  <w:r>
                    <w:rPr>
                      <w:rFonts w:hint="default" w:ascii="Times New Roman" w:hAnsi="Times New Roman" w:cs="Times New Roman"/>
                      <w:sz w:val="21"/>
                      <w:szCs w:val="21"/>
                      <w:vertAlign w:val="superscript"/>
                      <w:lang w:val="en-US" w:eastAsia="zh-CN"/>
                    </w:rPr>
                    <w:t>5</w:t>
                  </w:r>
                </w:p>
              </w:tc>
              <w:tc>
                <w:tcPr>
                  <w:tcW w:w="1041"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2.95</w:t>
                  </w:r>
                  <w:r>
                    <w:rPr>
                      <w:rFonts w:hint="default" w:ascii="Times New Roman" w:hAnsi="Times New Roman" w:cs="Times New Roman"/>
                      <w:sz w:val="21"/>
                      <w:szCs w:val="21"/>
                    </w:rPr>
                    <w:t>×10</w:t>
                  </w:r>
                  <w:r>
                    <w:rPr>
                      <w:rFonts w:hint="default" w:ascii="Times New Roman" w:hAnsi="Times New Roman" w:cs="Times New Roman"/>
                      <w:sz w:val="21"/>
                      <w:szCs w:val="21"/>
                      <w:vertAlign w:val="superscript"/>
                    </w:rPr>
                    <w:t>-</w:t>
                  </w:r>
                  <w:r>
                    <w:rPr>
                      <w:rFonts w:hint="default" w:ascii="Times New Roman" w:hAnsi="Times New Roman" w:cs="Times New Roman"/>
                      <w:sz w:val="21"/>
                      <w:szCs w:val="21"/>
                      <w:vertAlign w:val="superscript"/>
                      <w:lang w:val="en-US" w:eastAsia="zh-CN"/>
                    </w:rPr>
                    <w:t>5</w:t>
                  </w:r>
                </w:p>
              </w:tc>
              <w:tc>
                <w:tcPr>
                  <w:tcW w:w="1017" w:type="dxa"/>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0.118</w:t>
                  </w:r>
                </w:p>
              </w:tc>
            </w:tr>
          </w:tbl>
          <w:p>
            <w:pPr>
              <w:pStyle w:val="3"/>
              <w:ind w:firstLine="482"/>
              <w:rPr>
                <w:rFonts w:hint="default" w:eastAsia="宋体"/>
                <w:color w:val="auto"/>
                <w:highlight w:val="none"/>
                <w:vertAlign w:val="baseline"/>
                <w:lang w:val="en-US" w:eastAsia="zh-CN"/>
              </w:rPr>
            </w:pPr>
            <w:r>
              <w:rPr>
                <w:rFonts w:hint="eastAsia"/>
                <w:b/>
                <w:color w:val="auto"/>
                <w:highlight w:val="none"/>
              </w:rPr>
              <w:t>治理后</w:t>
            </w:r>
            <w:r>
              <w:rPr>
                <w:b/>
                <w:color w:val="auto"/>
                <w:highlight w:val="none"/>
              </w:rPr>
              <w:t>排放情况：</w:t>
            </w:r>
            <w:r>
              <w:rPr>
                <w:rFonts w:hint="eastAsia"/>
                <w:color w:val="auto"/>
                <w:highlight w:val="none"/>
              </w:rPr>
              <w:t>通过</w:t>
            </w:r>
            <w:r>
              <w:rPr>
                <w:rFonts w:hint="eastAsia"/>
                <w:color w:val="auto"/>
                <w:highlight w:val="none"/>
                <w:lang w:val="en-US" w:eastAsia="zh-CN"/>
              </w:rPr>
              <w:t>喷淋洗涤</w:t>
            </w:r>
            <w:r>
              <w:rPr>
                <w:rFonts w:hint="eastAsia"/>
                <w:color w:val="auto"/>
                <w:highlight w:val="none"/>
              </w:rPr>
              <w:t>塔+</w:t>
            </w:r>
            <w:r>
              <w:rPr>
                <w:rFonts w:hint="eastAsia"/>
                <w:color w:val="auto"/>
                <w:highlight w:val="none"/>
                <w:lang w:val="en-US" w:eastAsia="zh-CN"/>
              </w:rPr>
              <w:t>高压</w:t>
            </w:r>
            <w:r>
              <w:rPr>
                <w:rFonts w:hint="eastAsia" w:ascii="Times New Roman" w:hAnsi="Times New Roman" w:eastAsia="宋体" w:cs="Times New Roman"/>
                <w:color w:val="auto"/>
                <w:spacing w:val="-4"/>
                <w:sz w:val="24"/>
                <w:szCs w:val="28"/>
                <w:highlight w:val="none"/>
                <w:lang w:val="zh-CN" w:eastAsia="zh-CN" w:bidi="zh-CN"/>
              </w:rPr>
              <w:t>等离子</w:t>
            </w:r>
            <w:r>
              <w:rPr>
                <w:rFonts w:hint="eastAsia" w:ascii="Times New Roman" w:hAnsi="Times New Roman" w:eastAsia="宋体" w:cs="Times New Roman"/>
                <w:color w:val="auto"/>
                <w:spacing w:val="-4"/>
                <w:sz w:val="24"/>
                <w:szCs w:val="28"/>
                <w:highlight w:val="none"/>
                <w:lang w:val="en-US" w:eastAsia="zh-CN" w:bidi="zh-CN"/>
              </w:rPr>
              <w:t>+</w:t>
            </w:r>
            <w:r>
              <w:rPr>
                <w:rFonts w:hint="eastAsia" w:ascii="Times New Roman" w:hAnsi="Times New Roman" w:eastAsia="宋体" w:cs="Times New Roman"/>
                <w:color w:val="auto"/>
                <w:spacing w:val="-4"/>
                <w:sz w:val="24"/>
                <w:szCs w:val="28"/>
                <w:highlight w:val="none"/>
                <w:lang w:val="zh-CN" w:eastAsia="zh-CN" w:bidi="zh-CN"/>
              </w:rPr>
              <w:t>UV光氧催化</w:t>
            </w:r>
            <w:r>
              <w:rPr>
                <w:rFonts w:hint="eastAsia" w:cs="Times New Roman"/>
                <w:color w:val="auto"/>
                <w:spacing w:val="-4"/>
                <w:sz w:val="24"/>
                <w:szCs w:val="28"/>
                <w:highlight w:val="none"/>
                <w:lang w:val="en-US" w:eastAsia="zh-CN" w:bidi="zh-CN"/>
              </w:rPr>
              <w:t>+干式环保</w:t>
            </w:r>
            <w:r>
              <w:rPr>
                <w:rFonts w:hint="eastAsia" w:ascii="Times New Roman" w:hAnsi="Times New Roman" w:eastAsia="宋体" w:cs="Times New Roman"/>
                <w:color w:val="auto"/>
                <w:spacing w:val="-4"/>
                <w:sz w:val="24"/>
                <w:szCs w:val="28"/>
                <w:highlight w:val="none"/>
                <w:lang w:val="zh-CN" w:eastAsia="zh-CN" w:bidi="zh-CN"/>
              </w:rPr>
              <w:t>一体化处理设备</w:t>
            </w:r>
            <w:r>
              <w:rPr>
                <w:rFonts w:hint="eastAsia"/>
                <w:color w:val="auto"/>
                <w:highlight w:val="none"/>
              </w:rPr>
              <w:t>处理后</w:t>
            </w:r>
            <w:r>
              <w:rPr>
                <w:color w:val="auto"/>
                <w:highlight w:val="none"/>
              </w:rPr>
              <w:t>的沥青烟排放浓度为</w:t>
            </w:r>
            <w:r>
              <w:rPr>
                <w:rFonts w:hint="eastAsia"/>
                <w:color w:val="auto"/>
                <w:highlight w:val="none"/>
                <w:lang w:val="en-US" w:eastAsia="zh-CN"/>
              </w:rPr>
              <w:t>0.217</w:t>
            </w:r>
            <w:r>
              <w:rPr>
                <w:rFonts w:hint="eastAsia"/>
                <w:color w:val="auto"/>
                <w:highlight w:val="none"/>
              </w:rPr>
              <w:t>mg/m</w:t>
            </w:r>
            <w:r>
              <w:rPr>
                <w:rFonts w:hint="eastAsia"/>
                <w:color w:val="auto"/>
                <w:highlight w:val="none"/>
                <w:vertAlign w:val="superscript"/>
              </w:rPr>
              <w:t>3</w:t>
            </w:r>
            <w:r>
              <w:rPr>
                <w:rFonts w:hint="eastAsia"/>
                <w:color w:val="auto"/>
                <w:highlight w:val="none"/>
              </w:rPr>
              <w:t>，</w:t>
            </w:r>
            <w:r>
              <w:rPr>
                <w:color w:val="auto"/>
                <w:highlight w:val="none"/>
              </w:rPr>
              <w:t>排放量为</w:t>
            </w:r>
            <w:r>
              <w:rPr>
                <w:rFonts w:hint="eastAsia"/>
                <w:color w:val="auto"/>
                <w:szCs w:val="22"/>
                <w:lang w:val="en-US" w:eastAsia="zh-CN"/>
              </w:rPr>
              <w:t>7.82</w:t>
            </w:r>
            <w:r>
              <w:rPr>
                <w:rFonts w:hint="eastAsia"/>
                <w:color w:val="auto"/>
                <w:szCs w:val="22"/>
              </w:rPr>
              <w:t>×10</w:t>
            </w:r>
            <w:r>
              <w:rPr>
                <w:rFonts w:hint="eastAsia"/>
                <w:color w:val="auto"/>
                <w:szCs w:val="22"/>
                <w:vertAlign w:val="superscript"/>
              </w:rPr>
              <w:t>-</w:t>
            </w:r>
            <w:r>
              <w:rPr>
                <w:rFonts w:hint="eastAsia"/>
                <w:color w:val="auto"/>
                <w:szCs w:val="22"/>
                <w:vertAlign w:val="superscript"/>
                <w:lang w:val="en-US" w:eastAsia="zh-CN"/>
              </w:rPr>
              <w:t>3</w:t>
            </w:r>
            <w:r>
              <w:rPr>
                <w:rFonts w:hint="eastAsia"/>
                <w:color w:val="auto"/>
                <w:highlight w:val="none"/>
              </w:rPr>
              <w:t>；</w:t>
            </w:r>
            <w:r>
              <w:rPr>
                <w:rFonts w:hint="eastAsia"/>
                <w:color w:val="auto"/>
                <w:szCs w:val="22"/>
                <w:highlight w:val="none"/>
              </w:rPr>
              <w:t>苯并(a)芘</w:t>
            </w:r>
            <w:r>
              <w:rPr>
                <w:color w:val="auto"/>
                <w:highlight w:val="none"/>
              </w:rPr>
              <w:t>排放浓度为</w:t>
            </w:r>
            <w:r>
              <w:rPr>
                <w:rFonts w:hint="eastAsia"/>
                <w:color w:val="auto"/>
                <w:szCs w:val="22"/>
                <w:highlight w:val="none"/>
                <w:lang w:val="en-US" w:eastAsia="zh-CN"/>
              </w:rPr>
              <w:t>6.0</w:t>
            </w:r>
            <w:r>
              <w:rPr>
                <w:rFonts w:hint="eastAsia"/>
                <w:color w:val="auto"/>
                <w:szCs w:val="22"/>
                <w:highlight w:val="none"/>
              </w:rPr>
              <w:t>×10</w:t>
            </w:r>
            <w:r>
              <w:rPr>
                <w:rFonts w:hint="eastAsia"/>
                <w:color w:val="auto"/>
                <w:szCs w:val="22"/>
                <w:highlight w:val="none"/>
                <w:vertAlign w:val="superscript"/>
              </w:rPr>
              <w:t>-</w:t>
            </w:r>
            <w:r>
              <w:rPr>
                <w:rFonts w:hint="eastAsia"/>
                <w:color w:val="auto"/>
                <w:szCs w:val="22"/>
                <w:highlight w:val="none"/>
                <w:vertAlign w:val="superscript"/>
                <w:lang w:val="en-US" w:eastAsia="zh-CN"/>
              </w:rPr>
              <w:t>5</w:t>
            </w:r>
            <w:r>
              <w:rPr>
                <w:rFonts w:hint="eastAsia"/>
                <w:color w:val="auto"/>
                <w:highlight w:val="none"/>
              </w:rPr>
              <w:t>mg/m</w:t>
            </w:r>
            <w:r>
              <w:rPr>
                <w:rFonts w:hint="eastAsia"/>
                <w:color w:val="auto"/>
                <w:highlight w:val="none"/>
                <w:vertAlign w:val="superscript"/>
              </w:rPr>
              <w:t>3</w:t>
            </w:r>
            <w:r>
              <w:rPr>
                <w:rFonts w:hint="eastAsia"/>
                <w:color w:val="auto"/>
                <w:highlight w:val="none"/>
              </w:rPr>
              <w:t>，</w:t>
            </w:r>
            <w:r>
              <w:rPr>
                <w:color w:val="auto"/>
                <w:highlight w:val="none"/>
              </w:rPr>
              <w:t>排放量为</w:t>
            </w:r>
            <w:r>
              <w:rPr>
                <w:rFonts w:hint="eastAsia"/>
                <w:color w:val="auto"/>
                <w:highlight w:val="none"/>
                <w:lang w:val="en-US" w:eastAsia="zh-CN"/>
              </w:rPr>
              <w:t>2.1</w:t>
            </w:r>
            <w:r>
              <w:rPr>
                <w:rFonts w:hint="eastAsia"/>
                <w:color w:val="auto"/>
                <w:szCs w:val="22"/>
                <w:highlight w:val="none"/>
              </w:rPr>
              <w:t>×10</w:t>
            </w:r>
            <w:r>
              <w:rPr>
                <w:rFonts w:hint="eastAsia"/>
                <w:color w:val="auto"/>
                <w:szCs w:val="22"/>
                <w:highlight w:val="none"/>
                <w:vertAlign w:val="superscript"/>
              </w:rPr>
              <w:t>-6</w:t>
            </w:r>
            <w:r>
              <w:rPr>
                <w:color w:val="auto"/>
                <w:szCs w:val="22"/>
                <w:highlight w:val="none"/>
              </w:rPr>
              <w:t>t</w:t>
            </w:r>
            <w:r>
              <w:rPr>
                <w:rFonts w:hint="eastAsia"/>
                <w:color w:val="auto"/>
                <w:szCs w:val="22"/>
                <w:highlight w:val="none"/>
              </w:rPr>
              <w:t>，</w:t>
            </w:r>
            <w:r>
              <w:rPr>
                <w:color w:val="auto"/>
                <w:szCs w:val="22"/>
                <w:highlight w:val="none"/>
              </w:rPr>
              <w:t>能满足《</w:t>
            </w:r>
            <w:r>
              <w:rPr>
                <w:rFonts w:hint="eastAsia"/>
                <w:color w:val="auto"/>
                <w:szCs w:val="22"/>
                <w:highlight w:val="none"/>
              </w:rPr>
              <w:t>大气污染物</w:t>
            </w:r>
            <w:r>
              <w:rPr>
                <w:color w:val="auto"/>
                <w:szCs w:val="22"/>
                <w:highlight w:val="none"/>
              </w:rPr>
              <w:t>综合排放标准》</w:t>
            </w:r>
            <w:r>
              <w:rPr>
                <w:rFonts w:hint="eastAsia"/>
                <w:color w:val="auto"/>
                <w:szCs w:val="22"/>
                <w:highlight w:val="none"/>
              </w:rPr>
              <w:t>（GB16297-1996）表2标准值</w:t>
            </w:r>
            <w:r>
              <w:rPr>
                <w:color w:val="auto"/>
                <w:szCs w:val="22"/>
                <w:highlight w:val="none"/>
              </w:rPr>
              <w:t>（</w:t>
            </w:r>
            <w:r>
              <w:rPr>
                <w:rFonts w:hint="eastAsia"/>
                <w:color w:val="auto"/>
                <w:szCs w:val="22"/>
                <w:highlight w:val="none"/>
              </w:rPr>
              <w:t>苯并(a)芘最高允许</w:t>
            </w:r>
            <w:r>
              <w:rPr>
                <w:color w:val="auto"/>
                <w:szCs w:val="22"/>
                <w:highlight w:val="none"/>
              </w:rPr>
              <w:t>排放浓度为</w:t>
            </w:r>
            <w:r>
              <w:rPr>
                <w:rFonts w:hint="eastAsia"/>
                <w:color w:val="auto"/>
                <w:szCs w:val="22"/>
                <w:highlight w:val="none"/>
              </w:rPr>
              <w:t>3</w:t>
            </w:r>
            <w:r>
              <w:rPr>
                <w:color w:val="auto"/>
                <w:szCs w:val="22"/>
                <w:highlight w:val="none"/>
              </w:rPr>
              <w:t>.0</w:t>
            </w:r>
            <w:r>
              <w:rPr>
                <w:rFonts w:hint="eastAsia"/>
                <w:color w:val="auto"/>
                <w:szCs w:val="22"/>
                <w:highlight w:val="none"/>
              </w:rPr>
              <w:t>×10</w:t>
            </w:r>
            <w:r>
              <w:rPr>
                <w:rFonts w:hint="eastAsia"/>
                <w:color w:val="auto"/>
                <w:szCs w:val="22"/>
                <w:highlight w:val="none"/>
                <w:vertAlign w:val="superscript"/>
              </w:rPr>
              <w:t>-</w:t>
            </w:r>
            <w:r>
              <w:rPr>
                <w:color w:val="auto"/>
                <w:szCs w:val="22"/>
                <w:highlight w:val="none"/>
                <w:vertAlign w:val="superscript"/>
              </w:rPr>
              <w:t>4</w:t>
            </w:r>
            <w:r>
              <w:rPr>
                <w:rFonts w:hint="eastAsia"/>
                <w:color w:val="auto"/>
                <w:highlight w:val="none"/>
              </w:rPr>
              <w:t>mg/m</w:t>
            </w:r>
            <w:r>
              <w:rPr>
                <w:rFonts w:hint="eastAsia"/>
                <w:color w:val="auto"/>
                <w:highlight w:val="none"/>
                <w:vertAlign w:val="superscript"/>
              </w:rPr>
              <w:t>3</w:t>
            </w:r>
            <w:r>
              <w:rPr>
                <w:rFonts w:hint="eastAsia"/>
                <w:color w:val="auto"/>
                <w:highlight w:val="none"/>
              </w:rPr>
              <w:t>，15</w:t>
            </w:r>
            <w:r>
              <w:rPr>
                <w:color w:val="auto"/>
                <w:highlight w:val="none"/>
              </w:rPr>
              <w:t>m高排气筒</w:t>
            </w:r>
            <w:r>
              <w:rPr>
                <w:rFonts w:hint="eastAsia"/>
                <w:color w:val="auto"/>
                <w:highlight w:val="none"/>
              </w:rPr>
              <w:t>二级</w:t>
            </w:r>
            <w:r>
              <w:rPr>
                <w:color w:val="auto"/>
                <w:highlight w:val="none"/>
              </w:rPr>
              <w:t>最高允许排放速率为</w:t>
            </w:r>
            <w:r>
              <w:rPr>
                <w:rFonts w:hint="eastAsia"/>
                <w:color w:val="auto"/>
                <w:highlight w:val="none"/>
              </w:rPr>
              <w:t>5.0</w:t>
            </w:r>
            <w:r>
              <w:rPr>
                <w:rFonts w:hint="eastAsia"/>
                <w:color w:val="auto"/>
                <w:szCs w:val="22"/>
                <w:highlight w:val="none"/>
              </w:rPr>
              <w:t>×10</w:t>
            </w:r>
            <w:r>
              <w:rPr>
                <w:rFonts w:hint="eastAsia"/>
                <w:color w:val="auto"/>
                <w:szCs w:val="22"/>
                <w:highlight w:val="none"/>
                <w:vertAlign w:val="superscript"/>
              </w:rPr>
              <w:t>-</w:t>
            </w:r>
            <w:r>
              <w:rPr>
                <w:color w:val="auto"/>
                <w:szCs w:val="22"/>
                <w:highlight w:val="none"/>
                <w:vertAlign w:val="superscript"/>
              </w:rPr>
              <w:t>5</w:t>
            </w:r>
            <w:r>
              <w:rPr>
                <w:color w:val="auto"/>
                <w:szCs w:val="22"/>
                <w:highlight w:val="none"/>
              </w:rPr>
              <w:t>kg/h</w:t>
            </w:r>
            <w:r>
              <w:rPr>
                <w:rFonts w:hint="eastAsia"/>
                <w:color w:val="auto"/>
                <w:highlight w:val="none"/>
              </w:rPr>
              <w:t>；</w:t>
            </w:r>
            <w:r>
              <w:rPr>
                <w:color w:val="auto"/>
                <w:highlight w:val="none"/>
              </w:rPr>
              <w:t>沥青烟最高</w:t>
            </w:r>
            <w:r>
              <w:rPr>
                <w:rFonts w:hint="eastAsia"/>
                <w:color w:val="auto"/>
                <w:szCs w:val="22"/>
                <w:highlight w:val="none"/>
              </w:rPr>
              <w:t>允许</w:t>
            </w:r>
            <w:r>
              <w:rPr>
                <w:color w:val="auto"/>
                <w:szCs w:val="22"/>
                <w:highlight w:val="none"/>
              </w:rPr>
              <w:t>排放浓度为75</w:t>
            </w:r>
            <w:r>
              <w:rPr>
                <w:rFonts w:hint="eastAsia"/>
                <w:color w:val="auto"/>
                <w:highlight w:val="none"/>
              </w:rPr>
              <w:t>mg/m</w:t>
            </w:r>
            <w:r>
              <w:rPr>
                <w:rFonts w:hint="eastAsia"/>
                <w:color w:val="auto"/>
                <w:highlight w:val="none"/>
                <w:vertAlign w:val="superscript"/>
              </w:rPr>
              <w:t>3</w:t>
            </w:r>
            <w:r>
              <w:rPr>
                <w:rFonts w:hint="eastAsia"/>
                <w:color w:val="auto"/>
                <w:highlight w:val="none"/>
                <w:vertAlign w:val="baseline"/>
                <w:lang w:eastAsia="zh-CN"/>
              </w:rPr>
              <w:t>，</w:t>
            </w:r>
            <w:r>
              <w:rPr>
                <w:rFonts w:hint="eastAsia"/>
                <w:color w:val="auto"/>
                <w:highlight w:val="none"/>
              </w:rPr>
              <w:t>15</w:t>
            </w:r>
            <w:r>
              <w:rPr>
                <w:color w:val="auto"/>
                <w:highlight w:val="none"/>
              </w:rPr>
              <w:t>m高排气筒</w:t>
            </w:r>
            <w:r>
              <w:rPr>
                <w:rFonts w:hint="eastAsia"/>
                <w:color w:val="auto"/>
                <w:highlight w:val="none"/>
              </w:rPr>
              <w:t>二级</w:t>
            </w:r>
            <w:r>
              <w:rPr>
                <w:color w:val="auto"/>
                <w:highlight w:val="none"/>
              </w:rPr>
              <w:t>最高允许排放速率为</w:t>
            </w:r>
            <w:r>
              <w:rPr>
                <w:rFonts w:hint="eastAsia"/>
                <w:color w:val="auto"/>
                <w:highlight w:val="none"/>
                <w:lang w:val="en-US" w:eastAsia="zh-CN"/>
              </w:rPr>
              <w:t>0.18</w:t>
            </w:r>
            <w:r>
              <w:rPr>
                <w:color w:val="auto"/>
                <w:szCs w:val="22"/>
                <w:highlight w:val="none"/>
              </w:rPr>
              <w:t>kg/h</w:t>
            </w:r>
            <w:r>
              <w:rPr>
                <w:rFonts w:hint="eastAsia"/>
                <w:color w:val="auto"/>
                <w:highlight w:val="none"/>
              </w:rPr>
              <w:t>；</w:t>
            </w:r>
            <w:r>
              <w:rPr>
                <w:rFonts w:hint="eastAsia"/>
                <w:color w:val="auto"/>
                <w:highlight w:val="none"/>
                <w:vertAlign w:val="baseline"/>
                <w:lang w:val="en-US" w:eastAsia="zh-CN"/>
              </w:rPr>
              <w:t>非甲烷</w:t>
            </w:r>
            <w:r>
              <w:rPr>
                <w:rFonts w:hint="eastAsia"/>
                <w:color w:val="auto"/>
                <w:lang w:val="en-US" w:eastAsia="zh-CN"/>
              </w:rPr>
              <w:t>总烃</w:t>
            </w:r>
            <w:r>
              <w:rPr>
                <w:color w:val="auto"/>
                <w:highlight w:val="none"/>
              </w:rPr>
              <w:t>最高</w:t>
            </w:r>
            <w:r>
              <w:rPr>
                <w:rFonts w:hint="eastAsia"/>
                <w:color w:val="auto"/>
                <w:szCs w:val="22"/>
                <w:highlight w:val="none"/>
              </w:rPr>
              <w:t>允许</w:t>
            </w:r>
            <w:r>
              <w:rPr>
                <w:color w:val="auto"/>
                <w:szCs w:val="22"/>
                <w:highlight w:val="none"/>
              </w:rPr>
              <w:t>排放浓度为</w:t>
            </w:r>
            <w:r>
              <w:rPr>
                <w:rFonts w:hint="eastAsia"/>
                <w:color w:val="auto"/>
                <w:szCs w:val="22"/>
                <w:highlight w:val="none"/>
                <w:lang w:val="en-US" w:eastAsia="zh-CN"/>
              </w:rPr>
              <w:t>60</w:t>
            </w:r>
            <w:r>
              <w:rPr>
                <w:rFonts w:hint="eastAsia"/>
                <w:color w:val="auto"/>
                <w:highlight w:val="none"/>
              </w:rPr>
              <w:t>mg/m</w:t>
            </w:r>
            <w:r>
              <w:rPr>
                <w:rFonts w:hint="eastAsia"/>
                <w:color w:val="auto"/>
                <w:highlight w:val="none"/>
                <w:vertAlign w:val="superscript"/>
              </w:rPr>
              <w:t>3</w:t>
            </w:r>
            <w:r>
              <w:rPr>
                <w:rFonts w:hint="eastAsia"/>
                <w:color w:val="auto"/>
                <w:highlight w:val="none"/>
                <w:vertAlign w:val="baseline"/>
                <w:lang w:eastAsia="zh-CN"/>
              </w:rPr>
              <w:t>，</w:t>
            </w:r>
            <w:r>
              <w:rPr>
                <w:rFonts w:hint="eastAsia"/>
                <w:color w:val="auto"/>
                <w:highlight w:val="none"/>
              </w:rPr>
              <w:t>15</w:t>
            </w:r>
            <w:r>
              <w:rPr>
                <w:color w:val="auto"/>
                <w:highlight w:val="none"/>
              </w:rPr>
              <w:t>m高允许排放速率为</w:t>
            </w:r>
            <w:r>
              <w:rPr>
                <w:rFonts w:hint="eastAsia"/>
                <w:szCs w:val="21"/>
                <w:lang w:val="en-US" w:eastAsia="zh-CN"/>
              </w:rPr>
              <w:t>3.4</w:t>
            </w:r>
            <w:r>
              <w:rPr>
                <w:color w:val="auto"/>
                <w:szCs w:val="22"/>
                <w:highlight w:val="none"/>
              </w:rPr>
              <w:t>kg/h</w:t>
            </w:r>
          </w:p>
          <w:p>
            <w:pPr>
              <w:pStyle w:val="3"/>
              <w:ind w:firstLine="480"/>
              <w:rPr>
                <w:rFonts w:hint="eastAsia"/>
                <w:color w:val="auto"/>
                <w:szCs w:val="22"/>
              </w:rPr>
            </w:pPr>
            <w:r>
              <w:rPr>
                <w:rFonts w:hint="eastAsia"/>
                <w:color w:val="auto"/>
                <w:szCs w:val="22"/>
              </w:rPr>
              <w:t>②无组织</w:t>
            </w:r>
            <w:r>
              <w:rPr>
                <w:color w:val="auto"/>
                <w:szCs w:val="22"/>
              </w:rPr>
              <w:t>排放</w:t>
            </w:r>
          </w:p>
          <w:p>
            <w:pPr>
              <w:pStyle w:val="3"/>
              <w:ind w:firstLine="480"/>
              <w:rPr>
                <w:rFonts w:hint="eastAsia"/>
                <w:color w:val="auto"/>
              </w:rPr>
            </w:pPr>
            <w:r>
              <w:rPr>
                <w:rFonts w:hint="eastAsia"/>
                <w:color w:val="auto"/>
              </w:rPr>
              <w:t>沥青混合料</w:t>
            </w:r>
            <w:r>
              <w:rPr>
                <w:color w:val="auto"/>
              </w:rPr>
              <w:t>经搅拌合格后，放料门开启放料</w:t>
            </w:r>
            <w:r>
              <w:rPr>
                <w:rFonts w:hint="eastAsia"/>
                <w:color w:val="auto"/>
              </w:rPr>
              <w:t>，</w:t>
            </w:r>
            <w:r>
              <w:rPr>
                <w:rFonts w:hint="eastAsia"/>
                <w:color w:val="auto"/>
                <w:lang w:val="en-US" w:eastAsia="zh-CN"/>
              </w:rPr>
              <w:t>在搅拌卸料口设置环形集尘装置，通过增加卸料口负压，提高卸料口沥青烟收集效率，本环评按99.5%处理效率计算，</w:t>
            </w:r>
            <w:r>
              <w:rPr>
                <w:rFonts w:hint="eastAsia"/>
                <w:color w:val="auto"/>
              </w:rPr>
              <w:t>则</w:t>
            </w:r>
            <w:r>
              <w:rPr>
                <w:color w:val="auto"/>
              </w:rPr>
              <w:t>沥青烟无组织排放量为</w:t>
            </w:r>
            <w:r>
              <w:rPr>
                <w:rFonts w:hint="eastAsia"/>
                <w:color w:val="auto"/>
                <w:lang w:val="en-US" w:eastAsia="zh-CN"/>
              </w:rPr>
              <w:t>0.016</w:t>
            </w:r>
            <w:r>
              <w:rPr>
                <w:rFonts w:hint="eastAsia"/>
                <w:color w:val="auto"/>
              </w:rPr>
              <w:t>t，排放速率</w:t>
            </w:r>
            <w:r>
              <w:rPr>
                <w:color w:val="auto"/>
              </w:rPr>
              <w:t>为</w:t>
            </w:r>
            <w:r>
              <w:rPr>
                <w:rFonts w:hint="eastAsia"/>
                <w:color w:val="auto"/>
                <w:lang w:val="en-US" w:eastAsia="zh-CN"/>
              </w:rPr>
              <w:t>0.011</w:t>
            </w:r>
            <w:r>
              <w:rPr>
                <w:rFonts w:hint="eastAsia"/>
                <w:color w:val="auto"/>
              </w:rPr>
              <w:t>kg/h，苯并</w:t>
            </w:r>
            <w:r>
              <w:rPr>
                <w:rFonts w:hint="eastAsia"/>
                <w:color w:val="auto"/>
                <w:szCs w:val="22"/>
              </w:rPr>
              <w:t>(a)</w:t>
            </w:r>
            <w:r>
              <w:rPr>
                <w:rFonts w:hint="eastAsia"/>
                <w:color w:val="auto"/>
              </w:rPr>
              <w:t>芘</w:t>
            </w:r>
            <w:r>
              <w:rPr>
                <w:color w:val="auto"/>
              </w:rPr>
              <w:t>无组织排放量为</w:t>
            </w:r>
            <w:r>
              <w:rPr>
                <w:rFonts w:hint="eastAsia"/>
                <w:color w:val="auto"/>
                <w:lang w:val="en-US" w:eastAsia="zh-CN"/>
              </w:rPr>
              <w:t>4.23</w:t>
            </w:r>
            <w:r>
              <w:rPr>
                <w:rFonts w:hint="eastAsia"/>
                <w:color w:val="auto"/>
                <w:szCs w:val="22"/>
              </w:rPr>
              <w:t>×10</w:t>
            </w:r>
            <w:r>
              <w:rPr>
                <w:rFonts w:hint="eastAsia"/>
                <w:color w:val="auto"/>
                <w:szCs w:val="22"/>
                <w:vertAlign w:val="superscript"/>
              </w:rPr>
              <w:t>-6</w:t>
            </w:r>
            <w:r>
              <w:rPr>
                <w:rFonts w:hint="eastAsia"/>
                <w:color w:val="auto"/>
              </w:rPr>
              <w:t>t，排放速率</w:t>
            </w:r>
            <w:r>
              <w:rPr>
                <w:color w:val="auto"/>
              </w:rPr>
              <w:t>为</w:t>
            </w:r>
            <w:r>
              <w:rPr>
                <w:rFonts w:hint="eastAsia"/>
                <w:color w:val="auto"/>
                <w:lang w:val="en-US" w:eastAsia="zh-CN"/>
              </w:rPr>
              <w:t>2.94</w:t>
            </w:r>
            <w:r>
              <w:rPr>
                <w:rFonts w:hint="eastAsia"/>
                <w:color w:val="auto"/>
                <w:szCs w:val="22"/>
              </w:rPr>
              <w:t>×10</w:t>
            </w:r>
            <w:r>
              <w:rPr>
                <w:rFonts w:hint="eastAsia"/>
                <w:color w:val="auto"/>
                <w:szCs w:val="22"/>
                <w:vertAlign w:val="superscript"/>
              </w:rPr>
              <w:t>-</w:t>
            </w:r>
            <w:r>
              <w:rPr>
                <w:color w:val="auto"/>
                <w:szCs w:val="22"/>
                <w:vertAlign w:val="superscript"/>
              </w:rPr>
              <w:t>6</w:t>
            </w:r>
            <w:r>
              <w:rPr>
                <w:rFonts w:hint="eastAsia"/>
                <w:color w:val="auto"/>
              </w:rPr>
              <w:t>kg/h</w:t>
            </w:r>
            <w:r>
              <w:rPr>
                <w:rFonts w:hint="eastAsia"/>
                <w:color w:val="auto"/>
                <w:lang w:eastAsia="zh-CN"/>
              </w:rPr>
              <w:t>，</w:t>
            </w:r>
            <w:r>
              <w:rPr>
                <w:rFonts w:hint="eastAsia"/>
                <w:color w:val="auto"/>
                <w:lang w:val="en-US" w:eastAsia="zh-CN"/>
              </w:rPr>
              <w:t>非甲烷总烃</w:t>
            </w:r>
            <w:r>
              <w:rPr>
                <w:color w:val="auto"/>
              </w:rPr>
              <w:t>无组织排放量为</w:t>
            </w:r>
            <w:r>
              <w:rPr>
                <w:rFonts w:hint="eastAsia"/>
                <w:color w:val="auto"/>
                <w:lang w:val="en-US" w:eastAsia="zh-CN"/>
              </w:rPr>
              <w:t>8.5</w:t>
            </w:r>
            <w:r>
              <w:rPr>
                <w:rFonts w:hint="eastAsia"/>
                <w:color w:val="auto"/>
                <w:szCs w:val="22"/>
              </w:rPr>
              <w:t>×10</w:t>
            </w:r>
            <w:r>
              <w:rPr>
                <w:rFonts w:hint="eastAsia"/>
                <w:color w:val="auto"/>
                <w:szCs w:val="22"/>
                <w:vertAlign w:val="superscript"/>
              </w:rPr>
              <w:t>-</w:t>
            </w:r>
            <w:r>
              <w:rPr>
                <w:rFonts w:hint="eastAsia"/>
                <w:color w:val="auto"/>
                <w:szCs w:val="22"/>
                <w:vertAlign w:val="superscript"/>
                <w:lang w:val="en-US" w:eastAsia="zh-CN"/>
              </w:rPr>
              <w:t>5</w:t>
            </w:r>
            <w:r>
              <w:rPr>
                <w:rFonts w:hint="eastAsia"/>
                <w:color w:val="auto"/>
              </w:rPr>
              <w:t>t，排放速率</w:t>
            </w:r>
            <w:r>
              <w:rPr>
                <w:color w:val="auto"/>
              </w:rPr>
              <w:t>为</w:t>
            </w:r>
            <w:r>
              <w:rPr>
                <w:rFonts w:hint="eastAsia"/>
                <w:color w:val="auto"/>
                <w:lang w:val="en-US" w:eastAsia="zh-CN"/>
              </w:rPr>
              <w:t>5.90</w:t>
            </w:r>
            <w:r>
              <w:rPr>
                <w:rFonts w:hint="eastAsia"/>
                <w:color w:val="auto"/>
                <w:szCs w:val="22"/>
              </w:rPr>
              <w:t>×10</w:t>
            </w:r>
            <w:r>
              <w:rPr>
                <w:rFonts w:hint="eastAsia"/>
                <w:color w:val="auto"/>
                <w:szCs w:val="22"/>
                <w:vertAlign w:val="superscript"/>
              </w:rPr>
              <w:t>-</w:t>
            </w:r>
            <w:r>
              <w:rPr>
                <w:rFonts w:hint="eastAsia"/>
                <w:color w:val="auto"/>
                <w:szCs w:val="22"/>
                <w:vertAlign w:val="superscript"/>
                <w:lang w:val="en-US" w:eastAsia="zh-CN"/>
              </w:rPr>
              <w:t>5</w:t>
            </w:r>
            <w:r>
              <w:rPr>
                <w:rFonts w:hint="eastAsia"/>
                <w:color w:val="auto"/>
              </w:rPr>
              <w:t>kg/h。</w:t>
            </w:r>
          </w:p>
          <w:p>
            <w:pPr>
              <w:pStyle w:val="3"/>
              <w:ind w:firstLine="480"/>
              <w:rPr>
                <w:rFonts w:hint="eastAsia"/>
                <w:color w:val="auto"/>
              </w:rPr>
            </w:pPr>
            <w:r>
              <w:rPr>
                <w:color w:val="auto"/>
              </w:rPr>
              <w:t>3</w:t>
            </w:r>
            <w:r>
              <w:rPr>
                <w:rFonts w:hint="eastAsia"/>
                <w:color w:val="auto"/>
              </w:rPr>
              <w:t>、噪声排放情况</w:t>
            </w:r>
            <w:r>
              <w:rPr>
                <w:color w:val="auto"/>
              </w:rPr>
              <w:t>及治理措施</w:t>
            </w:r>
          </w:p>
          <w:p>
            <w:pPr>
              <w:pStyle w:val="3"/>
              <w:ind w:firstLine="480"/>
              <w:rPr>
                <w:color w:val="auto"/>
              </w:rPr>
            </w:pPr>
            <w:r>
              <w:rPr>
                <w:rFonts w:hint="eastAsia"/>
                <w:color w:val="auto"/>
              </w:rPr>
              <w:t>沥青混凝土主要噪声源为烘干滚筒、斗提机、振动筛等设备运转及作业噪声，噪声源强为80～9</w:t>
            </w:r>
            <w:r>
              <w:rPr>
                <w:color w:val="auto"/>
              </w:rPr>
              <w:t>0</w:t>
            </w:r>
            <w:r>
              <w:rPr>
                <w:rFonts w:hint="eastAsia"/>
                <w:color w:val="auto"/>
              </w:rPr>
              <w:t>dB（A）。主要噪声源强见下表：</w:t>
            </w:r>
          </w:p>
          <w:p>
            <w:pPr>
              <w:pStyle w:val="3"/>
              <w:ind w:firstLine="480"/>
              <w:jc w:val="center"/>
              <w:rPr>
                <w:rFonts w:hint="eastAsia" w:ascii="宋体" w:hAnsi="宋体" w:eastAsia="宋体" w:cs="宋体"/>
                <w:b/>
                <w:bCs/>
                <w:color w:val="auto"/>
                <w:sz w:val="21"/>
                <w:szCs w:val="21"/>
                <w:highlight w:val="none"/>
                <w:lang w:val="zh-CN" w:eastAsia="zh-CN" w:bidi="zh-CN"/>
              </w:rPr>
            </w:pPr>
            <w:r>
              <w:rPr>
                <w:rFonts w:hint="eastAsia" w:ascii="Times New Roman" w:hAnsi="Times New Roman" w:eastAsia="宋体" w:cs="Times New Roman"/>
                <w:b/>
                <w:bCs/>
                <w:color w:val="auto"/>
                <w:sz w:val="21"/>
                <w:szCs w:val="21"/>
                <w:highlight w:val="none"/>
                <w:lang w:val="zh-CN" w:eastAsia="zh-CN" w:bidi="zh-CN"/>
              </w:rPr>
              <w:t>表</w:t>
            </w:r>
            <w:r>
              <w:rPr>
                <w:rFonts w:hint="eastAsia" w:ascii="Times New Roman" w:hAnsi="Times New Roman" w:eastAsia="宋体" w:cs="Times New Roman"/>
                <w:b/>
                <w:bCs/>
                <w:color w:val="auto"/>
                <w:sz w:val="21"/>
                <w:szCs w:val="21"/>
                <w:highlight w:val="none"/>
                <w:lang w:val="en-US" w:eastAsia="zh-CN" w:bidi="zh-CN"/>
              </w:rPr>
              <w:t>4</w:t>
            </w:r>
            <w:r>
              <w:rPr>
                <w:rFonts w:hint="eastAsia" w:ascii="Times New Roman" w:hAnsi="Times New Roman" w:eastAsia="宋体" w:cs="Times New Roman"/>
                <w:b/>
                <w:bCs/>
                <w:color w:val="auto"/>
                <w:sz w:val="21"/>
                <w:szCs w:val="21"/>
                <w:highlight w:val="none"/>
                <w:lang w:val="zh-CN" w:eastAsia="zh-CN" w:bidi="zh-CN"/>
              </w:rPr>
              <w:t>-9  项目设备噪声一</w:t>
            </w:r>
            <w:r>
              <w:rPr>
                <w:rFonts w:hint="eastAsia" w:ascii="宋体" w:hAnsi="宋体" w:eastAsia="宋体" w:cs="宋体"/>
                <w:b/>
                <w:bCs/>
                <w:color w:val="auto"/>
                <w:sz w:val="21"/>
                <w:szCs w:val="21"/>
                <w:highlight w:val="none"/>
                <w:lang w:val="zh-CN" w:eastAsia="zh-CN" w:bidi="zh-CN"/>
              </w:rPr>
              <w:t>览表</w:t>
            </w:r>
          </w:p>
          <w:tbl>
            <w:tblPr>
              <w:tblStyle w:val="11"/>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9"/>
              <w:gridCol w:w="2387"/>
              <w:gridCol w:w="357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79" w:type="dxa"/>
                  <w:tcBorders>
                    <w:left w:val="single" w:color="auto" w:sz="0"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序号</w:t>
                  </w:r>
                </w:p>
              </w:tc>
              <w:tc>
                <w:tcPr>
                  <w:tcW w:w="2387" w:type="dxa"/>
                  <w:tcBorders>
                    <w:left w:val="single" w:color="auto" w:sz="0"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设备名称</w:t>
                  </w:r>
                </w:p>
              </w:tc>
              <w:tc>
                <w:tcPr>
                  <w:tcW w:w="3572" w:type="dxa"/>
                  <w:tcBorders>
                    <w:right w:val="single" w:color="auto" w:sz="4" w:space="0"/>
                  </w:tcBorders>
                  <w:noWrap w:val="0"/>
                  <w:vAlign w:val="center"/>
                </w:tcPr>
                <w:p>
                  <w:pPr>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源强（L</w:t>
                  </w:r>
                  <w:r>
                    <w:rPr>
                      <w:rFonts w:hint="default" w:ascii="Times New Roman" w:hAnsi="Times New Roman" w:cs="Times New Roman"/>
                      <w:b/>
                      <w:bCs/>
                      <w:color w:val="auto"/>
                      <w:sz w:val="21"/>
                      <w:szCs w:val="21"/>
                      <w:vertAlign w:val="subscript"/>
                    </w:rPr>
                    <w:t>A</w:t>
                  </w:r>
                  <w:r>
                    <w:rPr>
                      <w:rFonts w:hint="default" w:ascii="Times New Roman" w:hAnsi="Times New Roman" w:cs="Times New Roman"/>
                      <w:b/>
                      <w:bCs/>
                      <w:color w:val="auto"/>
                      <w:sz w:val="21"/>
                      <w:szCs w:val="21"/>
                    </w:rPr>
                    <w:t>eq）</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79" w:type="dxa"/>
                  <w:tcBorders>
                    <w:lef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2387" w:type="dxa"/>
                  <w:tcBorders>
                    <w:left w:val="single" w:color="auto" w:sz="4" w:space="0"/>
                  </w:tcBorders>
                  <w:noWrap w:val="0"/>
                  <w:vAlign w:val="center"/>
                </w:tcPr>
                <w:p>
                  <w:pPr>
                    <w:ind w:left="-15"/>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铲车</w:t>
                  </w:r>
                </w:p>
              </w:tc>
              <w:tc>
                <w:tcPr>
                  <w:tcW w:w="3572" w:type="dxa"/>
                  <w:tcBorders>
                    <w:right w:val="single" w:color="auto" w:sz="4" w:space="0"/>
                  </w:tcBorders>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79" w:type="dxa"/>
                  <w:tcBorders>
                    <w:lef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2387" w:type="dxa"/>
                  <w:tcBorders>
                    <w:left w:val="single" w:color="auto" w:sz="4" w:space="0"/>
                  </w:tcBorders>
                  <w:noWrap w:val="0"/>
                  <w:vAlign w:val="center"/>
                </w:tcPr>
                <w:p>
                  <w:pPr>
                    <w:ind w:left="-1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烘干滚筒</w:t>
                  </w:r>
                </w:p>
              </w:tc>
              <w:tc>
                <w:tcPr>
                  <w:tcW w:w="3572" w:type="dxa"/>
                  <w:tcBorders>
                    <w:right w:val="single" w:color="auto" w:sz="4" w:space="0"/>
                  </w:tcBorders>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79" w:type="dxa"/>
                  <w:tcBorders>
                    <w:lef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2387" w:type="dxa"/>
                  <w:tcBorders>
                    <w:left w:val="single" w:color="auto" w:sz="4" w:space="0"/>
                  </w:tcBorders>
                  <w:noWrap w:val="0"/>
                  <w:vAlign w:val="center"/>
                </w:tcPr>
                <w:p>
                  <w:pPr>
                    <w:ind w:left="-15"/>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提升系统</w:t>
                  </w:r>
                </w:p>
              </w:tc>
              <w:tc>
                <w:tcPr>
                  <w:tcW w:w="3572" w:type="dxa"/>
                  <w:tcBorders>
                    <w:right w:val="single" w:color="auto" w:sz="4" w:space="0"/>
                  </w:tcBorders>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85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79" w:type="dxa"/>
                  <w:tcBorders>
                    <w:lef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2387" w:type="dxa"/>
                  <w:tcBorders>
                    <w:left w:val="single" w:color="auto" w:sz="4" w:space="0"/>
                  </w:tcBorders>
                  <w:noWrap w:val="0"/>
                  <w:vAlign w:val="center"/>
                </w:tcPr>
                <w:p>
                  <w:pPr>
                    <w:ind w:left="-1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振动筛</w:t>
                  </w:r>
                </w:p>
              </w:tc>
              <w:tc>
                <w:tcPr>
                  <w:tcW w:w="3572" w:type="dxa"/>
                  <w:tcBorders>
                    <w:right w:val="single" w:color="auto" w:sz="4" w:space="0"/>
                  </w:tcBorders>
                  <w:noWrap w:val="0"/>
                  <w:vAlign w:val="center"/>
                </w:tcPr>
                <w:p>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79" w:type="dxa"/>
                  <w:tcBorders>
                    <w:lef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2387" w:type="dxa"/>
                  <w:tcBorders>
                    <w:left w:val="single" w:color="auto" w:sz="4" w:space="0"/>
                  </w:tcBorders>
                  <w:noWrap w:val="0"/>
                  <w:vAlign w:val="center"/>
                </w:tcPr>
                <w:p>
                  <w:pPr>
                    <w:ind w:left="-1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搅拌缸</w:t>
                  </w:r>
                </w:p>
              </w:tc>
              <w:tc>
                <w:tcPr>
                  <w:tcW w:w="3572" w:type="dxa"/>
                  <w:tcBorders>
                    <w:right w:val="single" w:color="auto" w:sz="4" w:space="0"/>
                  </w:tcBorders>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79" w:type="dxa"/>
                  <w:tcBorders>
                    <w:lef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2387" w:type="dxa"/>
                  <w:tcBorders>
                    <w:left w:val="single" w:color="auto" w:sz="4" w:space="0"/>
                  </w:tcBorders>
                  <w:noWrap w:val="0"/>
                  <w:vAlign w:val="center"/>
                </w:tcPr>
                <w:p>
                  <w:pPr>
                    <w:ind w:left="-15"/>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物料传输装置</w:t>
                  </w:r>
                </w:p>
              </w:tc>
              <w:tc>
                <w:tcPr>
                  <w:tcW w:w="3572" w:type="dxa"/>
                  <w:tcBorders>
                    <w:right w:val="single" w:color="auto" w:sz="4" w:space="0"/>
                  </w:tcBorders>
                  <w:noWrap w:val="0"/>
                  <w:vAlign w:val="center"/>
                </w:tcPr>
                <w:p>
                  <w:pPr>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80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79" w:type="dxa"/>
                  <w:tcBorders>
                    <w:left w:val="single" w:color="auto" w:sz="4" w:space="0"/>
                  </w:tcBorders>
                  <w:noWrap w:val="0"/>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7</w:t>
                  </w:r>
                </w:p>
              </w:tc>
              <w:tc>
                <w:tcPr>
                  <w:tcW w:w="2387" w:type="dxa"/>
                  <w:tcBorders>
                    <w:left w:val="single" w:color="auto" w:sz="4" w:space="0"/>
                  </w:tcBorders>
                  <w:noWrap w:val="0"/>
                  <w:vAlign w:val="center"/>
                </w:tcPr>
                <w:p>
                  <w:pPr>
                    <w:ind w:left="-15"/>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引风机</w:t>
                  </w:r>
                </w:p>
              </w:tc>
              <w:tc>
                <w:tcPr>
                  <w:tcW w:w="3572" w:type="dxa"/>
                  <w:tcBorders>
                    <w:right w:val="single" w:color="auto" w:sz="4" w:space="0"/>
                  </w:tcBorders>
                  <w:noWrap w:val="0"/>
                  <w:vAlign w:val="center"/>
                </w:tcPr>
                <w:p>
                  <w:pPr>
                    <w:ind w:left="-15"/>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779" w:type="dxa"/>
                  <w:tcBorders>
                    <w:left w:val="single" w:color="auto" w:sz="4" w:space="0"/>
                  </w:tcBorders>
                  <w:noWrap w:val="0"/>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2387" w:type="dxa"/>
                  <w:tcBorders>
                    <w:left w:val="single" w:color="auto" w:sz="4" w:space="0"/>
                  </w:tcBorders>
                  <w:noWrap w:val="0"/>
                  <w:vAlign w:val="center"/>
                </w:tcPr>
                <w:p>
                  <w:pPr>
                    <w:ind w:left="-15"/>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空压机</w:t>
                  </w:r>
                </w:p>
              </w:tc>
              <w:tc>
                <w:tcPr>
                  <w:tcW w:w="3572" w:type="dxa"/>
                  <w:tcBorders>
                    <w:right w:val="single" w:color="auto" w:sz="4" w:space="0"/>
                  </w:tcBorders>
                  <w:noWrap w:val="0"/>
                  <w:vAlign w:val="center"/>
                </w:tcPr>
                <w:p>
                  <w:pPr>
                    <w:ind w:left="-15"/>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75</w:t>
                  </w:r>
                </w:p>
              </w:tc>
            </w:tr>
          </w:tbl>
          <w:p>
            <w:pPr>
              <w:pStyle w:val="3"/>
              <w:ind w:firstLine="480"/>
              <w:rPr>
                <w:rFonts w:hint="eastAsia"/>
              </w:rPr>
            </w:pPr>
            <w:r>
              <w:rPr>
                <w:rFonts w:hint="eastAsia"/>
              </w:rPr>
              <w:t>为了降低噪声对</w:t>
            </w:r>
            <w:r>
              <w:t>周围环境的影响，项目采取如下措施：</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Calibri" w:hAnsi="Calibri" w:cs="Calibri"/>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总平布置</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从总平面布置的角度出发，将主要产噪设备置于项目中心，从而利用距离衰减降低噪声影响；料场全部位于项目的北侧，可减少噪声对周边环境的影响。</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）工程措施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①在设备选型时尽量选择噪声低的设备。</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②搅拌设备、烘干、筛分等设备设置减振垫等减振设施。</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③皮带输送机、螺旋输送机等设备定期在滚轴处加润滑油，从而减少摩擦噪声产生。</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④项目区周围及道路两侧加强绿化，并设置了围挡。</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⑤对空压机和风机等高噪声源实行了单独隔声，并设置减振基础基座，风机进出风口均安装消音器。</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）管理措施</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①建立设备定期维护，保养的管理制度，从而防止设备故障形成的非正常生产噪声，同时确保环保措施发挥最佳有效的功能；</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②加强职工环保意识教育，提倡文明生产，防止人为噪声；</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③强化行车管理制度，设置降噪标准，严禁鸣笛，进入厂区低速行驶，最大限度减少流动噪声源。</w:t>
            </w:r>
          </w:p>
          <w:p>
            <w:pPr>
              <w:keepNext w:val="0"/>
              <w:keepLines w:val="0"/>
              <w:pageBreakBefore w:val="0"/>
              <w:widowControl/>
              <w:numPr>
                <w:ilvl w:val="0"/>
                <w:numId w:val="2"/>
              </w:numPr>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生产时间安排。</w:t>
            </w:r>
          </w:p>
          <w:p>
            <w:pPr>
              <w:keepNext w:val="0"/>
              <w:keepLines w:val="0"/>
              <w:pageBreakBefore w:val="0"/>
              <w:widowControl/>
              <w:numPr>
                <w:ilvl w:val="0"/>
                <w:numId w:val="2"/>
              </w:numPr>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项目生产时间安排在昼间（</w:t>
            </w:r>
            <w:r>
              <w:rPr>
                <w:rFonts w:hint="default" w:ascii="Times New Roman" w:hAnsi="Times New Roman" w:eastAsia="宋体" w:cs="Times New Roman"/>
                <w:color w:val="000000"/>
                <w:kern w:val="0"/>
                <w:sz w:val="24"/>
                <w:szCs w:val="24"/>
                <w:lang w:val="en-US" w:eastAsia="zh-CN" w:bidi="ar"/>
              </w:rPr>
              <w:t>6:00~22:00</w:t>
            </w:r>
            <w:r>
              <w:rPr>
                <w:rFonts w:hint="eastAsia" w:ascii="宋体" w:hAnsi="宋体" w:eastAsia="宋体" w:cs="宋体"/>
                <w:color w:val="000000"/>
                <w:kern w:val="0"/>
                <w:sz w:val="24"/>
                <w:szCs w:val="24"/>
                <w:lang w:val="en-US" w:eastAsia="zh-CN" w:bidi="ar"/>
              </w:rPr>
              <w:t>），夜间不生产，同时尽量避开周边居民午休时间（</w:t>
            </w:r>
            <w:r>
              <w:rPr>
                <w:rFonts w:hint="default" w:ascii="Times New Roman" w:hAnsi="Times New Roman" w:eastAsia="宋体" w:cs="Times New Roman"/>
                <w:color w:val="000000"/>
                <w:kern w:val="0"/>
                <w:sz w:val="24"/>
                <w:szCs w:val="24"/>
                <w:lang w:val="en-US" w:eastAsia="zh-CN" w:bidi="ar"/>
              </w:rPr>
              <w:t>12</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00</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14</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30</w:t>
            </w:r>
            <w:r>
              <w:rPr>
                <w:rFonts w:hint="eastAsia" w:ascii="宋体" w:hAnsi="宋体" w:eastAsia="宋体" w:cs="宋体"/>
                <w:color w:val="000000"/>
                <w:kern w:val="0"/>
                <w:sz w:val="24"/>
                <w:szCs w:val="24"/>
                <w:lang w:val="en-US" w:eastAsia="zh-CN" w:bidi="ar"/>
              </w:rPr>
              <w:t>）使用高噪声机械设备，确保做到噪声不扰民。</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评价认为建设单位已采取的噪声防治措施合理，可行。</w:t>
            </w:r>
          </w:p>
          <w:p>
            <w:pPr>
              <w:pStyle w:val="3"/>
              <w:ind w:firstLine="480"/>
              <w:rPr>
                <w:rFonts w:hint="eastAsia"/>
              </w:rPr>
            </w:pPr>
            <w:r>
              <w:t>4</w:t>
            </w:r>
            <w:r>
              <w:rPr>
                <w:rFonts w:hint="eastAsia"/>
              </w:rPr>
              <w:t>、固体废物排放</w:t>
            </w:r>
            <w:r>
              <w:t>及处置措施</w:t>
            </w:r>
          </w:p>
          <w:p>
            <w:pPr>
              <w:pStyle w:val="3"/>
              <w:ind w:firstLine="480"/>
              <w:rPr>
                <w:rFonts w:hint="eastAsia"/>
              </w:rPr>
            </w:pPr>
            <w:r>
              <w:rPr>
                <w:rFonts w:hint="eastAsia"/>
              </w:rPr>
              <w:t>（1）固体废弃物源强</w:t>
            </w:r>
            <w:r>
              <w:t>分析</w:t>
            </w:r>
          </w:p>
          <w:p>
            <w:pPr>
              <w:pStyle w:val="3"/>
              <w:ind w:firstLine="480"/>
            </w:pPr>
            <w:r>
              <w:rPr>
                <w:rFonts w:hint="eastAsia"/>
              </w:rPr>
              <w:t>本项目</w:t>
            </w:r>
            <w:r>
              <w:t>设有一台导热油炉，以导热油为导热介质，</w:t>
            </w:r>
            <w:r>
              <w:rPr>
                <w:rFonts w:hint="eastAsia"/>
              </w:rPr>
              <w:t>导热油</w:t>
            </w:r>
            <w:r>
              <w:t>在</w:t>
            </w:r>
            <w:r>
              <w:rPr>
                <w:rFonts w:hint="eastAsia"/>
              </w:rPr>
              <w:t>整个</w:t>
            </w:r>
            <w:r>
              <w:t>加热过程中密闭循环使用，导热油为芳烃有机物，具有耐高温、密度大、凝固点低等特点，同时不易燃烧、</w:t>
            </w:r>
            <w:r>
              <w:rPr>
                <w:rFonts w:hint="eastAsia"/>
              </w:rPr>
              <w:t>低毒</w:t>
            </w:r>
            <w:r>
              <w:t>无臭不会对设备造成影响。导热油</w:t>
            </w:r>
            <w:r>
              <w:rPr>
                <w:rFonts w:hint="eastAsia"/>
              </w:rPr>
              <w:t>在</w:t>
            </w:r>
            <w:r>
              <w:t>运行过程中因过热裂解、缩合、</w:t>
            </w:r>
            <w:r>
              <w:rPr>
                <w:rFonts w:hint="eastAsia"/>
              </w:rPr>
              <w:t>接触</w:t>
            </w:r>
            <w:r>
              <w:t>氧和水而被氧化等一系列化学反应呈无规律地</w:t>
            </w:r>
            <w:r>
              <w:rPr>
                <w:rFonts w:hint="eastAsia"/>
              </w:rPr>
              <w:t>发生，</w:t>
            </w:r>
            <w:r>
              <w:t>其表现形态</w:t>
            </w:r>
            <w:r>
              <w:rPr>
                <w:rFonts w:hint="eastAsia"/>
              </w:rPr>
              <w:t>也</w:t>
            </w:r>
            <w:r>
              <w:t>随使用温度和时间的不同而有所差异，</w:t>
            </w:r>
            <w:r>
              <w:rPr>
                <w:rFonts w:hint="eastAsia"/>
              </w:rPr>
              <w:t>当</w:t>
            </w:r>
            <w:r>
              <w:t>油质不能满足有关标准时，即需要更换导热油。本项目</w:t>
            </w:r>
            <w:r>
              <w:rPr>
                <w:rFonts w:hint="eastAsia"/>
              </w:rPr>
              <w:t>导热油炉</w:t>
            </w:r>
            <w:r>
              <w:t>为新购进设备，</w:t>
            </w:r>
            <w:r>
              <w:rPr>
                <w:rFonts w:hint="eastAsia"/>
              </w:rPr>
              <w:t>经</w:t>
            </w:r>
            <w:r>
              <w:t>与厂家沟通，导热油一般</w:t>
            </w:r>
            <w:r>
              <w:rPr>
                <w:rFonts w:hint="eastAsia"/>
              </w:rPr>
              <w:t>3年更换</w:t>
            </w:r>
            <w:r>
              <w:t>一次。本项目</w:t>
            </w:r>
            <w:r>
              <w:rPr>
                <w:rFonts w:hint="eastAsia"/>
              </w:rPr>
              <w:t>服务年限</w:t>
            </w:r>
            <w:r>
              <w:t>为</w:t>
            </w:r>
            <w:r>
              <w:rPr>
                <w:rFonts w:hint="eastAsia"/>
                <w:lang w:val="en-US" w:eastAsia="zh-CN"/>
              </w:rPr>
              <w:t>0.5</w:t>
            </w:r>
            <w:r>
              <w:rPr>
                <w:rFonts w:hint="eastAsia"/>
              </w:rPr>
              <w:t>年</w:t>
            </w:r>
            <w:r>
              <w:t>，暂不需要</w:t>
            </w:r>
            <w:r>
              <w:rPr>
                <w:rFonts w:hint="eastAsia"/>
              </w:rPr>
              <w:t>更换</w:t>
            </w:r>
            <w:r>
              <w:t>导热油。</w:t>
            </w:r>
          </w:p>
          <w:p>
            <w:pPr>
              <w:pStyle w:val="3"/>
              <w:ind w:firstLine="480"/>
              <w:rPr>
                <w:rFonts w:hint="eastAsia"/>
                <w:color w:val="FF0000"/>
              </w:rPr>
            </w:pPr>
            <w:r>
              <w:rPr>
                <w:rFonts w:hint="eastAsia"/>
                <w:color w:val="000000" w:themeColor="text1"/>
                <w14:textFill>
                  <w14:solidFill>
                    <w14:schemeClr w14:val="tx1"/>
                  </w14:solidFill>
                </w14:textFill>
              </w:rPr>
              <w:t>项目经营过程中产生的固体废物为</w:t>
            </w:r>
            <w:r>
              <w:rPr>
                <w:rFonts w:hint="eastAsia"/>
                <w:color w:val="000000" w:themeColor="text1"/>
                <w:lang w:val="en-US" w:eastAsia="zh-CN"/>
                <w14:textFill>
                  <w14:solidFill>
                    <w14:schemeClr w14:val="tx1"/>
                  </w14:solidFill>
                </w14:textFill>
              </w:rPr>
              <w:t>废石料、</w:t>
            </w:r>
            <w:r>
              <w:rPr>
                <w:rFonts w:hint="eastAsia"/>
                <w:color w:val="000000" w:themeColor="text1"/>
                <w14:textFill>
                  <w14:solidFill>
                    <w14:schemeClr w14:val="tx1"/>
                  </w14:solidFill>
                </w14:textFill>
              </w:rPr>
              <w:t>除尘灰</w:t>
            </w:r>
            <w:r>
              <w:rPr>
                <w:rFonts w:hint="eastAsia"/>
                <w:color w:val="000000" w:themeColor="text1"/>
                <w:lang w:eastAsia="zh-CN"/>
                <w14:textFill>
                  <w14:solidFill>
                    <w14:schemeClr w14:val="tx1"/>
                  </w14:solidFill>
                </w14:textFill>
              </w:rPr>
              <w:t>、</w:t>
            </w:r>
            <w:r>
              <w:rPr>
                <w:rFonts w:hint="eastAsia" w:ascii="Times New Roman" w:hAnsi="Times New Roman" w:eastAsia="宋体" w:cs="宋体"/>
                <w:color w:val="000000" w:themeColor="text1"/>
                <w:sz w:val="24"/>
                <w:szCs w:val="28"/>
                <w:lang w:val="en-US" w:eastAsia="zh-CN" w:bidi="zh-CN"/>
                <w14:textFill>
                  <w14:solidFill>
                    <w14:schemeClr w14:val="tx1"/>
                  </w14:solidFill>
                </w14:textFill>
              </w:rPr>
              <w:t>废沥青砼</w:t>
            </w:r>
            <w:r>
              <w:rPr>
                <w:rFonts w:hint="eastAsia" w:cs="宋体"/>
                <w:color w:val="000000" w:themeColor="text1"/>
                <w:sz w:val="24"/>
                <w:szCs w:val="28"/>
                <w:lang w:val="en-US" w:eastAsia="zh-CN" w:bidi="zh-CN"/>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沉淀</w:t>
            </w:r>
            <w:r>
              <w:rPr>
                <w:rFonts w:hint="eastAsia" w:ascii="宋体" w:hAnsi="宋体" w:eastAsia="宋体" w:cs="宋体"/>
                <w:color w:val="000000"/>
                <w:kern w:val="0"/>
                <w:sz w:val="24"/>
                <w:szCs w:val="24"/>
                <w:lang w:val="en-US" w:eastAsia="zh-CN" w:bidi="ar"/>
              </w:rPr>
              <w:t>池污泥</w:t>
            </w:r>
            <w:r>
              <w:rPr>
                <w:rFonts w:hint="eastAsia" w:ascii="宋体" w:hAnsi="宋体" w:cs="宋体"/>
                <w:color w:val="000000"/>
                <w:kern w:val="0"/>
                <w:sz w:val="24"/>
                <w:szCs w:val="24"/>
                <w:lang w:val="en-US" w:eastAsia="zh-CN" w:bidi="ar"/>
              </w:rPr>
              <w:t>、</w:t>
            </w:r>
            <w:r>
              <w:rPr>
                <w:rFonts w:hint="eastAsia"/>
                <w:color w:val="000000" w:themeColor="text1"/>
                <w14:textFill>
                  <w14:solidFill>
                    <w14:schemeClr w14:val="tx1"/>
                  </w14:solidFill>
                </w14:textFill>
              </w:rPr>
              <w:t>废含油抹布、废手套</w:t>
            </w:r>
            <w:r>
              <w:rPr>
                <w:rFonts w:hint="eastAsia"/>
                <w:color w:val="000000" w:themeColor="text1"/>
                <w:lang w:eastAsia="zh-CN"/>
                <w14:textFill>
                  <w14:solidFill>
                    <w14:schemeClr w14:val="tx1"/>
                  </w14:solidFill>
                </w14:textFill>
              </w:rPr>
              <w:t>、</w:t>
            </w:r>
            <w:r>
              <w:rPr>
                <w:rFonts w:hint="eastAsia" w:hAnsi="宋体"/>
                <w:color w:val="000000" w:themeColor="text1"/>
                <w14:textFill>
                  <w14:solidFill>
                    <w14:schemeClr w14:val="tx1"/>
                  </w14:solidFill>
                </w14:textFill>
              </w:rPr>
              <w:t>废</w:t>
            </w:r>
            <w:r>
              <w:rPr>
                <w:rFonts w:hint="eastAsia" w:hAnsi="宋体"/>
                <w:color w:val="auto"/>
              </w:rPr>
              <w:t>活性炭</w:t>
            </w:r>
            <w:r>
              <w:rPr>
                <w:rFonts w:hint="eastAsia" w:hAnsi="宋体"/>
                <w:color w:val="auto"/>
                <w:lang w:eastAsia="zh-CN"/>
              </w:rPr>
              <w:t>、</w:t>
            </w:r>
            <w:r>
              <w:rPr>
                <w:color w:val="000000" w:themeColor="text1"/>
                <w14:textFill>
                  <w14:solidFill>
                    <w14:schemeClr w14:val="tx1"/>
                  </w14:solidFill>
                </w14:textFill>
              </w:rPr>
              <w:t>废润滑油</w:t>
            </w:r>
            <w:r>
              <w:rPr>
                <w:rFonts w:hint="eastAsia"/>
                <w:color w:val="000000" w:themeColor="text1"/>
                <w:lang w:val="en-US" w:eastAsia="zh-CN"/>
                <w14:textFill>
                  <w14:solidFill>
                    <w14:schemeClr w14:val="tx1"/>
                  </w14:solidFill>
                </w14:textFill>
              </w:rPr>
              <w:t>和</w:t>
            </w:r>
            <w:r>
              <w:rPr>
                <w:rFonts w:hint="eastAsia"/>
                <w:color w:val="000000" w:themeColor="text1"/>
                <w14:textFill>
                  <w14:solidFill>
                    <w14:schemeClr w14:val="tx1"/>
                  </w14:solidFill>
                </w14:textFill>
              </w:rPr>
              <w:t>润滑油桶</w:t>
            </w:r>
            <w:r>
              <w:rPr>
                <w:rFonts w:hint="eastAsia"/>
                <w:color w:val="000000" w:themeColor="text1"/>
                <w:lang w:eastAsia="zh-CN"/>
                <w14:textFill>
                  <w14:solidFill>
                    <w14:schemeClr w14:val="tx1"/>
                  </w14:solidFill>
                </w14:textFill>
              </w:rPr>
              <w:t>、</w:t>
            </w:r>
            <w:r>
              <w:rPr>
                <w:rFonts w:ascii="Cambria Math" w:hAnsi="Cambria Math" w:cs="Cambria Math"/>
                <w:color w:val="auto"/>
                <w:sz w:val="24"/>
                <w:szCs w:val="24"/>
                <w:highlight w:val="none"/>
              </w:rPr>
              <w:t>UV</w:t>
            </w:r>
            <w:r>
              <w:rPr>
                <w:rFonts w:hint="eastAsia" w:ascii="Cambria Math" w:hAnsi="Cambria Math" w:cs="Cambria Math"/>
                <w:color w:val="auto"/>
                <w:sz w:val="24"/>
                <w:szCs w:val="24"/>
                <w:highlight w:val="none"/>
              </w:rPr>
              <w:t>催化装置废灯管</w:t>
            </w:r>
            <w:r>
              <w:rPr>
                <w:rFonts w:hint="eastAsia" w:ascii="Cambria Math" w:hAnsi="Cambria Math" w:cs="Cambria Math"/>
                <w:color w:val="auto"/>
                <w:sz w:val="24"/>
                <w:szCs w:val="24"/>
                <w:highlight w:val="none"/>
                <w:lang w:eastAsia="zh-CN"/>
              </w:rPr>
              <w:t>、</w:t>
            </w:r>
            <w:r>
              <w:rPr>
                <w:rFonts w:hint="eastAsia"/>
                <w:color w:val="000000" w:themeColor="text1"/>
                <w14:textFill>
                  <w14:solidFill>
                    <w14:schemeClr w14:val="tx1"/>
                  </w14:solidFill>
                </w14:textFill>
              </w:rPr>
              <w:t>生活垃圾</w:t>
            </w:r>
            <w:r>
              <w:rPr>
                <w:rFonts w:hint="eastAsia"/>
                <w:color w:val="000000" w:themeColor="text1"/>
                <w:lang w:eastAsia="zh-CN"/>
                <w14:textFill>
                  <w14:solidFill>
                    <w14:schemeClr w14:val="tx1"/>
                  </w14:solidFill>
                </w14:textFill>
              </w:rPr>
              <w:t>。</w:t>
            </w:r>
          </w:p>
          <w:p>
            <w:pPr>
              <w:pStyle w:val="3"/>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①</w:t>
            </w:r>
            <w:r>
              <w:rPr>
                <w:rFonts w:hint="eastAsia"/>
                <w:color w:val="000000" w:themeColor="text1"/>
                <w:lang w:val="en-US" w:eastAsia="zh-CN"/>
                <w14:textFill>
                  <w14:solidFill>
                    <w14:schemeClr w14:val="tx1"/>
                  </w14:solidFill>
                </w14:textFill>
              </w:rPr>
              <w:t>废石料</w:t>
            </w:r>
            <w:r>
              <w:rPr>
                <w:rFonts w:hint="eastAsia"/>
                <w:color w:val="000000" w:themeColor="text1"/>
                <w14:textFill>
                  <w14:solidFill>
                    <w14:schemeClr w14:val="tx1"/>
                  </w14:solidFill>
                </w14:textFill>
              </w:rPr>
              <w:t>S1</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骨料经干燥后通过提升机进入振动筛，筛分后符合产品要求的骨料进入拌缸内搅拌，不符合产品要求的的废石料经专门出口排出。根据类比调查，振动筛筛选出来的废石料约占石料原料用量的</w:t>
            </w:r>
            <w:r>
              <w:rPr>
                <w:rFonts w:hint="default" w:ascii="Times New Roman" w:hAnsi="Times New Roman" w:eastAsia="宋体" w:cs="Times New Roman"/>
                <w:color w:val="000000"/>
                <w:kern w:val="0"/>
                <w:sz w:val="24"/>
                <w:szCs w:val="24"/>
                <w:lang w:val="en-US" w:eastAsia="zh-CN" w:bidi="ar"/>
              </w:rPr>
              <w:t>0.1%</w:t>
            </w:r>
            <w:r>
              <w:rPr>
                <w:rFonts w:hint="eastAsia" w:ascii="宋体" w:hAnsi="宋体" w:eastAsia="宋体" w:cs="宋体"/>
                <w:color w:val="000000"/>
                <w:kern w:val="0"/>
                <w:sz w:val="24"/>
                <w:szCs w:val="24"/>
                <w:lang w:val="en-US" w:eastAsia="zh-CN" w:bidi="ar"/>
              </w:rPr>
              <w:t xml:space="preserve">，项目石料原料用量为 </w:t>
            </w:r>
            <w:r>
              <w:rPr>
                <w:rFonts w:hint="eastAsia" w:ascii="Times New Roman" w:hAnsi="Times New Roman" w:eastAsia="宋体" w:cs="Times New Roman"/>
                <w:color w:val="000000"/>
                <w:kern w:val="0"/>
                <w:sz w:val="24"/>
                <w:szCs w:val="24"/>
                <w:lang w:val="en-US" w:eastAsia="zh-CN" w:bidi="ar"/>
              </w:rPr>
              <w:t>129239.72</w:t>
            </w:r>
            <w:r>
              <w:rPr>
                <w:rFonts w:hint="default" w:ascii="Times New Roman" w:hAnsi="Times New Roman" w:eastAsia="宋体" w:cs="Times New Roman"/>
                <w:color w:val="000000"/>
                <w:kern w:val="0"/>
                <w:sz w:val="24"/>
                <w:szCs w:val="24"/>
                <w:lang w:val="en-US" w:eastAsia="zh-CN" w:bidi="ar"/>
              </w:rPr>
              <w:t>t</w:t>
            </w:r>
            <w:r>
              <w:rPr>
                <w:rFonts w:hint="eastAsia" w:ascii="宋体" w:hAnsi="宋体" w:eastAsia="宋体" w:cs="宋体"/>
                <w:color w:val="000000"/>
                <w:kern w:val="0"/>
                <w:sz w:val="24"/>
                <w:szCs w:val="24"/>
                <w:lang w:val="en-US" w:eastAsia="zh-CN" w:bidi="ar"/>
              </w:rPr>
              <w:t>，则废石料产生量约129.239</w:t>
            </w:r>
            <w:r>
              <w:rPr>
                <w:rFonts w:hint="default" w:ascii="Times New Roman" w:hAnsi="Times New Roman" w:eastAsia="宋体" w:cs="Times New Roman"/>
                <w:color w:val="000000"/>
                <w:kern w:val="0"/>
                <w:sz w:val="24"/>
                <w:szCs w:val="24"/>
                <w:lang w:val="en-US" w:eastAsia="zh-CN" w:bidi="ar"/>
              </w:rPr>
              <w:t>t</w:t>
            </w:r>
            <w:r>
              <w:rPr>
                <w:rFonts w:hint="eastAsia" w:ascii="宋体" w:hAnsi="宋体" w:eastAsia="宋体" w:cs="宋体"/>
                <w:color w:val="000000"/>
                <w:kern w:val="0"/>
                <w:sz w:val="24"/>
                <w:szCs w:val="24"/>
                <w:lang w:val="en-US" w:eastAsia="zh-CN" w:bidi="ar"/>
              </w:rPr>
              <w:t>，由骨料供应商回收破碎后重新利用。</w:t>
            </w:r>
          </w:p>
          <w:p>
            <w:pPr>
              <w:pStyle w:val="3"/>
              <w:ind w:firstLine="48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②除尘灰S</w:t>
            </w:r>
            <w:r>
              <w:rPr>
                <w:rFonts w:hint="eastAsia"/>
                <w:color w:val="000000" w:themeColor="text1"/>
                <w:lang w:val="en-US" w:eastAsia="zh-CN"/>
                <w14:textFill>
                  <w14:solidFill>
                    <w14:schemeClr w14:val="tx1"/>
                  </w14:solidFill>
                </w14:textFill>
              </w:rPr>
              <w:t>2</w:t>
            </w:r>
          </w:p>
          <w:p>
            <w:pPr>
              <w:pStyle w:val="3"/>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w:t>
            </w:r>
            <w:r>
              <w:rPr>
                <w:color w:val="000000" w:themeColor="text1"/>
                <w14:textFill>
                  <w14:solidFill>
                    <w14:schemeClr w14:val="tx1"/>
                  </w14:solidFill>
                </w14:textFill>
              </w:rPr>
              <w:t>骨料烘干和筛分过程中产生粉尘，同时</w:t>
            </w:r>
            <w:r>
              <w:rPr>
                <w:rFonts w:hint="eastAsia"/>
                <w:color w:val="000000" w:themeColor="text1"/>
                <w14:textFill>
                  <w14:solidFill>
                    <w14:schemeClr w14:val="tx1"/>
                  </w14:solidFill>
                </w14:textFill>
              </w:rPr>
              <w:t>烘干滚筒燃烧器采用</w:t>
            </w:r>
            <w:r>
              <w:rPr>
                <w:rFonts w:hint="eastAsia"/>
                <w:color w:val="000000" w:themeColor="text1"/>
                <w:lang w:val="en-US" w:eastAsia="zh-CN"/>
                <w14:textFill>
                  <w14:solidFill>
                    <w14:schemeClr w14:val="tx1"/>
                  </w14:solidFill>
                </w14:textFill>
              </w:rPr>
              <w:t>柴</w:t>
            </w:r>
            <w:r>
              <w:rPr>
                <w:color w:val="000000" w:themeColor="text1"/>
                <w14:textFill>
                  <w14:solidFill>
                    <w14:schemeClr w14:val="tx1"/>
                  </w14:solidFill>
                </w14:textFill>
              </w:rPr>
              <w:t>油作为燃烧原料，燃烧过程中产生部分粉尘</w:t>
            </w:r>
            <w:r>
              <w:rPr>
                <w:rFonts w:hint="eastAsia"/>
                <w:color w:val="000000" w:themeColor="text1"/>
                <w14:textFill>
                  <w14:solidFill>
                    <w14:schemeClr w14:val="tx1"/>
                  </w14:solidFill>
                </w14:textFill>
              </w:rPr>
              <w:t>。该部分</w:t>
            </w:r>
            <w:r>
              <w:rPr>
                <w:color w:val="000000" w:themeColor="text1"/>
                <w14:textFill>
                  <w14:solidFill>
                    <w14:schemeClr w14:val="tx1"/>
                  </w14:solidFill>
                </w14:textFill>
              </w:rPr>
              <w:t>粉尘经重力除尘（</w:t>
            </w:r>
            <w:r>
              <w:rPr>
                <w:rFonts w:hint="eastAsia"/>
                <w:color w:val="000000" w:themeColor="text1"/>
                <w14:textFill>
                  <w14:solidFill>
                    <w14:schemeClr w14:val="tx1"/>
                  </w14:solidFill>
                </w14:textFill>
              </w:rPr>
              <w:t>除尘效率</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和</w:t>
            </w:r>
            <w:r>
              <w:rPr>
                <w:color w:val="000000" w:themeColor="text1"/>
                <w14:textFill>
                  <w14:solidFill>
                    <w14:schemeClr w14:val="tx1"/>
                  </w14:solidFill>
                </w14:textFill>
              </w:rPr>
              <w:t>高温布袋除尘装置（</w:t>
            </w:r>
            <w:r>
              <w:rPr>
                <w:rFonts w:hint="eastAsia"/>
                <w:color w:val="000000" w:themeColor="text1"/>
                <w14:textFill>
                  <w14:solidFill>
                    <w14:schemeClr w14:val="tx1"/>
                  </w14:solidFill>
                </w14:textFill>
              </w:rPr>
              <w:t>除尘效率99</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处理后</w:t>
            </w:r>
            <w:r>
              <w:rPr>
                <w:color w:val="000000" w:themeColor="text1"/>
                <w14:textFill>
                  <w14:solidFill>
                    <w14:schemeClr w14:val="tx1"/>
                  </w14:solidFill>
                </w14:textFill>
              </w:rPr>
              <w:t>排放</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根据</w:t>
            </w:r>
            <w:r>
              <w:rPr>
                <w:rFonts w:hint="eastAsia"/>
                <w:color w:val="000000" w:themeColor="text1"/>
                <w14:textFill>
                  <w14:solidFill>
                    <w14:schemeClr w14:val="tx1"/>
                  </w14:solidFill>
                </w14:textFill>
              </w:rPr>
              <w:t>前述</w:t>
            </w:r>
            <w:r>
              <w:rPr>
                <w:color w:val="000000" w:themeColor="text1"/>
                <w14:textFill>
                  <w14:solidFill>
                    <w14:schemeClr w14:val="tx1"/>
                  </w14:solidFill>
                </w14:textFill>
              </w:rPr>
              <w:t>大气污染物产生</w:t>
            </w:r>
            <w:r>
              <w:rPr>
                <w:rFonts w:hint="eastAsia"/>
                <w:color w:val="000000" w:themeColor="text1"/>
                <w14:textFill>
                  <w14:solidFill>
                    <w14:schemeClr w14:val="tx1"/>
                  </w14:solidFill>
                </w14:textFill>
              </w:rPr>
              <w:t>计算，</w:t>
            </w:r>
            <w:r>
              <w:rPr>
                <w:rFonts w:hint="eastAsia"/>
                <w:color w:val="auto"/>
                <w:highlight w:val="none"/>
              </w:rPr>
              <w:t>该部分除尘灰为</w:t>
            </w:r>
            <w:r>
              <w:rPr>
                <w:rFonts w:hint="eastAsia"/>
                <w:color w:val="auto"/>
                <w:highlight w:val="none"/>
                <w:lang w:val="en-US" w:eastAsia="zh-CN"/>
              </w:rPr>
              <w:t>194.506</w:t>
            </w:r>
            <w:r>
              <w:rPr>
                <w:rFonts w:hint="eastAsia"/>
                <w:color w:val="auto"/>
                <w:highlight w:val="none"/>
              </w:rPr>
              <w:t>t，</w:t>
            </w:r>
            <w:r>
              <w:rPr>
                <w:color w:val="000000" w:themeColor="text1"/>
                <w14:textFill>
                  <w14:solidFill>
                    <w14:schemeClr w14:val="tx1"/>
                  </w14:solidFill>
                </w14:textFill>
              </w:rPr>
              <w:t>其主要成分为泥沙及石屑等</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经</w:t>
            </w:r>
            <w:r>
              <w:rPr>
                <w:rFonts w:hint="eastAsia"/>
                <w:color w:val="000000" w:themeColor="text1"/>
                <w14:textFill>
                  <w14:solidFill>
                    <w14:schemeClr w14:val="tx1"/>
                  </w14:solidFill>
                </w14:textFill>
              </w:rPr>
              <w:t>密闭</w:t>
            </w:r>
            <w:r>
              <w:rPr>
                <w:color w:val="000000" w:themeColor="text1"/>
                <w14:textFill>
                  <w14:solidFill>
                    <w14:schemeClr w14:val="tx1"/>
                  </w14:solidFill>
                </w14:textFill>
              </w:rPr>
              <w:t>输送到废料仓，通过加湿器淋水</w:t>
            </w:r>
            <w:r>
              <w:rPr>
                <w:rFonts w:hint="eastAsia"/>
                <w:color w:val="000000" w:themeColor="text1"/>
                <w14:textFill>
                  <w14:solidFill>
                    <w14:schemeClr w14:val="tx1"/>
                  </w14:solidFill>
                </w14:textFill>
              </w:rPr>
              <w:t>，由</w:t>
            </w:r>
            <w:r>
              <w:rPr>
                <w:color w:val="000000" w:themeColor="text1"/>
                <w14:textFill>
                  <w14:solidFill>
                    <w14:schemeClr w14:val="tx1"/>
                  </w14:solidFill>
                </w14:textFill>
              </w:rPr>
              <w:t>废料仓底端排出</w:t>
            </w:r>
            <w:r>
              <w:rPr>
                <w:rFonts w:hint="eastAsia"/>
                <w:color w:val="000000" w:themeColor="text1"/>
                <w:lang w:val="en-US" w:eastAsia="zh-CN"/>
                <w14:textFill>
                  <w14:solidFill>
                    <w14:schemeClr w14:val="tx1"/>
                  </w14:solidFill>
                </w14:textFill>
              </w:rPr>
              <w:t>后全部再次回用于生产</w:t>
            </w:r>
            <w:r>
              <w:rPr>
                <w:color w:val="000000" w:themeColor="text1"/>
                <w14:textFill>
                  <w14:solidFill>
                    <w14:schemeClr w14:val="tx1"/>
                  </w14:solidFill>
                </w14:textFill>
              </w:rPr>
              <w:t>。</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ascii="Times New Roman" w:hAnsi="Times New Roman" w:eastAsia="宋体" w:cs="宋体"/>
                <w:color w:val="000000" w:themeColor="text1"/>
                <w:sz w:val="24"/>
                <w:szCs w:val="28"/>
                <w:lang w:val="zh-CN" w:eastAsia="zh-CN" w:bidi="zh-CN"/>
                <w14:textFill>
                  <w14:solidFill>
                    <w14:schemeClr w14:val="tx1"/>
                  </w14:solidFill>
                </w14:textFill>
              </w:rPr>
            </w:pPr>
            <w:r>
              <w:rPr>
                <w:rFonts w:hint="eastAsia" w:ascii="Times New Roman" w:hAnsi="Times New Roman" w:eastAsia="宋体" w:cs="宋体"/>
                <w:color w:val="000000" w:themeColor="text1"/>
                <w:sz w:val="24"/>
                <w:szCs w:val="28"/>
                <w:lang w:val="en-US" w:eastAsia="zh-CN" w:bidi="zh-CN"/>
                <w14:textFill>
                  <w14:solidFill>
                    <w14:schemeClr w14:val="tx1"/>
                  </w14:solidFill>
                </w14:textFill>
              </w:rPr>
              <w:t xml:space="preserve">③废沥青砼 </w:t>
            </w:r>
            <w:r>
              <w:rPr>
                <w:rFonts w:hint="default" w:ascii="Times New Roman" w:hAnsi="Times New Roman" w:eastAsia="宋体" w:cs="宋体"/>
                <w:color w:val="000000" w:themeColor="text1"/>
                <w:sz w:val="24"/>
                <w:szCs w:val="28"/>
                <w:lang w:val="en-US" w:eastAsia="zh-CN" w:bidi="zh-CN"/>
                <w14:textFill>
                  <w14:solidFill>
                    <w14:schemeClr w14:val="tx1"/>
                  </w14:solidFill>
                </w14:textFill>
              </w:rPr>
              <w:t xml:space="preserve">S3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宋体"/>
                <w:color w:val="000000" w:themeColor="text1"/>
                <w:sz w:val="24"/>
                <w:szCs w:val="28"/>
                <w:lang w:val="en-US" w:eastAsia="zh-CN" w:bidi="zh-CN"/>
                <w14:textFill>
                  <w14:solidFill>
                    <w14:schemeClr w14:val="tx1"/>
                  </w14:solidFill>
                </w14:textFill>
              </w:rPr>
            </w:pPr>
            <w:r>
              <w:rPr>
                <w:rFonts w:hint="eastAsia" w:ascii="Times New Roman" w:hAnsi="Times New Roman" w:eastAsia="宋体" w:cs="宋体"/>
                <w:color w:val="000000" w:themeColor="text1"/>
                <w:sz w:val="24"/>
                <w:szCs w:val="28"/>
                <w:lang w:val="en-US" w:eastAsia="zh-CN" w:bidi="zh-CN"/>
                <w14:textFill>
                  <w14:solidFill>
                    <w14:schemeClr w14:val="tx1"/>
                  </w14:solidFill>
                </w14:textFill>
              </w:rPr>
              <w:t>项目在生产过程中散落沥青砼</w:t>
            </w:r>
            <w:r>
              <w:rPr>
                <w:rFonts w:hint="eastAsia" w:ascii="Times New Roman" w:hAnsi="Times New Roman" w:cs="宋体"/>
                <w:color w:val="000000" w:themeColor="text1"/>
                <w:sz w:val="24"/>
                <w:szCs w:val="28"/>
                <w:lang w:val="en-US" w:eastAsia="zh-CN" w:bidi="zh-CN"/>
                <w14:textFill>
                  <w14:solidFill>
                    <w14:schemeClr w14:val="tx1"/>
                  </w14:solidFill>
                </w14:textFill>
              </w:rPr>
              <w:t>，散落的沥青砼落在场地会对地面造成污染，在生产过程中应及时将散落的沥青砼进行收集，散落的沥青砼大约为生产沥青砼量的0.001%，约为1.44t。此部分沥青砼全部有专人进行收集后，全部回用，不可随意丢弃。</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40" w:firstLineChars="200"/>
              <w:jc w:val="left"/>
              <w:textAlignment w:val="auto"/>
              <w:rPr>
                <w:rFonts w:hint="default"/>
                <w:lang w:val="en-US"/>
              </w:rPr>
            </w:pPr>
            <w:r>
              <w:rPr>
                <w:rFonts w:hint="eastAsia"/>
                <w:color w:val="000000" w:themeColor="text1"/>
                <w14:textFill>
                  <w14:solidFill>
                    <w14:schemeClr w14:val="tx1"/>
                  </w14:solidFill>
                </w14:textFill>
              </w:rPr>
              <w:t>④</w:t>
            </w:r>
            <w:r>
              <w:rPr>
                <w:rFonts w:hint="eastAsia" w:ascii="宋体" w:hAnsi="宋体" w:eastAsia="宋体" w:cs="宋体"/>
                <w:color w:val="000000" w:themeColor="text1"/>
                <w:kern w:val="0"/>
                <w:sz w:val="24"/>
                <w:szCs w:val="24"/>
                <w:lang w:val="en-US" w:eastAsia="zh-CN" w:bidi="ar"/>
                <w14:textFill>
                  <w14:solidFill>
                    <w14:schemeClr w14:val="tx1"/>
                  </w14:solidFill>
                </w14:textFill>
              </w:rPr>
              <w:t>沉淀</w:t>
            </w:r>
            <w:r>
              <w:rPr>
                <w:rFonts w:hint="eastAsia" w:ascii="宋体" w:hAnsi="宋体" w:eastAsia="宋体" w:cs="宋体"/>
                <w:color w:val="000000"/>
                <w:kern w:val="0"/>
                <w:sz w:val="24"/>
                <w:szCs w:val="24"/>
                <w:lang w:val="en-US" w:eastAsia="zh-CN" w:bidi="ar"/>
              </w:rPr>
              <w:t>池污泥S4</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宋体"/>
                <w:color w:val="000000" w:themeColor="text1"/>
                <w:sz w:val="24"/>
                <w:szCs w:val="28"/>
                <w:lang w:val="en-US" w:eastAsia="zh-CN" w:bidi="zh-CN"/>
                <w14:textFill>
                  <w14:solidFill>
                    <w14:schemeClr w14:val="tx1"/>
                  </w14:solidFill>
                </w14:textFill>
              </w:rPr>
            </w:pPr>
            <w:r>
              <w:rPr>
                <w:rFonts w:hint="eastAsia" w:ascii="Times New Roman" w:hAnsi="Times New Roman" w:cs="宋体"/>
                <w:color w:val="000000" w:themeColor="text1"/>
                <w:sz w:val="24"/>
                <w:szCs w:val="28"/>
                <w:lang w:val="en-US" w:eastAsia="zh-CN" w:bidi="zh-CN"/>
                <w14:textFill>
                  <w14:solidFill>
                    <w14:schemeClr w14:val="tx1"/>
                  </w14:solidFill>
                </w14:textFill>
              </w:rPr>
              <w:t>地面冲洗和初期雨水经沉淀池预处理后，沉淀池内会存集污泥，此部分污泥应定期进行处理，避免影响沉淀池的使用时间和效率。沉淀池的污泥产生量月5kg/d（0.9t），收集的污泥在场地进行晾干，晾干后由容器收纳后与生活垃圾一并处理。</w:t>
            </w:r>
          </w:p>
          <w:p>
            <w:pPr>
              <w:pStyle w:val="3"/>
              <w:ind w:firstLine="480"/>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⑤废含油抹布、废手套S</w:t>
            </w:r>
            <w:r>
              <w:rPr>
                <w:rFonts w:hint="eastAsia"/>
                <w:color w:val="000000" w:themeColor="text1"/>
                <w:lang w:val="en-US" w:eastAsia="zh-CN"/>
                <w14:textFill>
                  <w14:solidFill>
                    <w14:schemeClr w14:val="tx1"/>
                  </w14:solidFill>
                </w14:textFill>
              </w:rPr>
              <w:t>5</w:t>
            </w:r>
          </w:p>
          <w:p>
            <w:pPr>
              <w:pStyle w:val="3"/>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项目维修过程产生废抹布和废手套，根据业主提供资料，废抹布和废手套产生量为0.1t。该过程产生的废抹布、废手套属于国家危险废物名录中的其他废物（HW</w:t>
            </w:r>
            <w:r>
              <w:rPr>
                <w:color w:val="000000" w:themeColor="text1"/>
                <w14:textFill>
                  <w14:solidFill>
                    <w14:schemeClr w14:val="tx1"/>
                  </w14:solidFill>
                </w14:textFill>
              </w:rPr>
              <w:t>49</w:t>
            </w:r>
            <w:r>
              <w:rPr>
                <w:rFonts w:hint="eastAsia"/>
                <w:color w:val="000000" w:themeColor="text1"/>
                <w14:textFill>
                  <w14:solidFill>
                    <w14:schemeClr w14:val="tx1"/>
                  </w14:solidFill>
                </w14:textFill>
              </w:rPr>
              <w:t>）中的</w:t>
            </w:r>
            <w:r>
              <w:rPr>
                <w:color w:val="000000" w:themeColor="text1"/>
                <w14:textFill>
                  <w14:solidFill>
                    <w14:schemeClr w14:val="tx1"/>
                  </w14:solidFill>
                </w14:textFill>
              </w:rPr>
              <w:t>含有或沾染毒性、感染性危险废物的 废弃包装物、容器、过滤吸附介质</w:t>
            </w:r>
            <w:r>
              <w:rPr>
                <w:rFonts w:hint="eastAsia"/>
                <w:color w:val="000000" w:themeColor="text1"/>
                <w14:textFill>
                  <w14:solidFill>
                    <w14:schemeClr w14:val="tx1"/>
                  </w14:solidFill>
                </w14:textFill>
              </w:rPr>
              <w:t>（900-</w:t>
            </w:r>
            <w:r>
              <w:rPr>
                <w:color w:val="000000" w:themeColor="text1"/>
                <w14:textFill>
                  <w14:solidFill>
                    <w14:schemeClr w14:val="tx1"/>
                  </w14:solidFill>
                </w14:textFill>
              </w:rPr>
              <w:t>041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49</w:t>
            </w:r>
            <w:r>
              <w:rPr>
                <w:rFonts w:hint="eastAsia"/>
                <w:color w:val="000000" w:themeColor="text1"/>
                <w14:textFill>
                  <w14:solidFill>
                    <w14:schemeClr w14:val="tx1"/>
                  </w14:solidFill>
                </w14:textFill>
              </w:rPr>
              <w:t>），根据危险废物豁免管理清单，900-041-09中废弃</w:t>
            </w:r>
            <w:r>
              <w:rPr>
                <w:color w:val="000000" w:themeColor="text1"/>
                <w14:textFill>
                  <w14:solidFill>
                    <w14:schemeClr w14:val="tx1"/>
                  </w14:solidFill>
                </w14:textFill>
              </w:rPr>
              <w:t>的含油抹布、</w:t>
            </w:r>
            <w:r>
              <w:rPr>
                <w:rFonts w:hint="eastAsia"/>
                <w:color w:val="000000" w:themeColor="text1"/>
                <w14:textFill>
                  <w14:solidFill>
                    <w14:schemeClr w14:val="tx1"/>
                  </w14:solidFill>
                </w14:textFill>
              </w:rPr>
              <w:t>劳保用品</w:t>
            </w:r>
            <w:r>
              <w:rPr>
                <w:color w:val="000000" w:themeColor="text1"/>
                <w14:textFill>
                  <w14:solidFill>
                    <w14:schemeClr w14:val="tx1"/>
                  </w14:solidFill>
                </w14:textFill>
              </w:rPr>
              <w:t>全部环节纳入</w:t>
            </w:r>
            <w:r>
              <w:rPr>
                <w:rFonts w:hint="eastAsia"/>
                <w:color w:val="000000" w:themeColor="text1"/>
                <w14:textFill>
                  <w14:solidFill>
                    <w14:schemeClr w14:val="tx1"/>
                  </w14:solidFill>
                </w14:textFill>
              </w:rPr>
              <w:t>危险废物豁免管理</w:t>
            </w:r>
            <w:r>
              <w:rPr>
                <w:color w:val="000000" w:themeColor="text1"/>
                <w14:textFill>
                  <w14:solidFill>
                    <w14:schemeClr w14:val="tx1"/>
                  </w14:solidFill>
                </w14:textFill>
              </w:rPr>
              <w:t>，即可</w:t>
            </w:r>
            <w:r>
              <w:rPr>
                <w:rFonts w:hint="eastAsia"/>
                <w:color w:val="000000" w:themeColor="text1"/>
                <w14:textFill>
                  <w14:solidFill>
                    <w14:schemeClr w14:val="tx1"/>
                  </w14:solidFill>
                </w14:textFill>
              </w:rPr>
              <w:t>混入</w:t>
            </w:r>
            <w:r>
              <w:rPr>
                <w:color w:val="000000" w:themeColor="text1"/>
                <w14:textFill>
                  <w14:solidFill>
                    <w14:schemeClr w14:val="tx1"/>
                  </w14:solidFill>
                </w14:textFill>
              </w:rPr>
              <w:t>生活垃圾进行一般处理</w:t>
            </w:r>
            <w:r>
              <w:rPr>
                <w:rFonts w:hint="eastAsia"/>
                <w:color w:val="000000" w:themeColor="text1"/>
                <w14:textFill>
                  <w14:solidFill>
                    <w14:schemeClr w14:val="tx1"/>
                  </w14:solidFill>
                </w14:textFill>
              </w:rPr>
              <w:t>。</w:t>
            </w:r>
          </w:p>
          <w:p>
            <w:pPr>
              <w:pStyle w:val="3"/>
              <w:ind w:firstLine="480"/>
              <w:rPr>
                <w:rFonts w:hint="eastAsia" w:eastAsia="宋体"/>
                <w:color w:val="auto"/>
                <w:lang w:eastAsia="zh-CN"/>
              </w:rPr>
            </w:pPr>
            <w:r>
              <w:rPr>
                <w:rFonts w:hint="eastAsia"/>
                <w:color w:val="000000" w:themeColor="text1"/>
                <w14:textFill>
                  <w14:solidFill>
                    <w14:schemeClr w14:val="tx1"/>
                  </w14:solidFill>
                </w14:textFill>
              </w:rPr>
              <w:t>⑥</w:t>
            </w:r>
            <w:r>
              <w:rPr>
                <w:rFonts w:hint="eastAsia" w:hAnsi="宋体"/>
                <w:color w:val="000000" w:themeColor="text1"/>
                <w14:textFill>
                  <w14:solidFill>
                    <w14:schemeClr w14:val="tx1"/>
                  </w14:solidFill>
                </w14:textFill>
              </w:rPr>
              <w:t>废</w:t>
            </w:r>
            <w:r>
              <w:rPr>
                <w:rFonts w:hint="eastAsia" w:hAnsi="宋体"/>
                <w:color w:val="auto"/>
              </w:rPr>
              <w:t>活性炭S</w:t>
            </w:r>
            <w:r>
              <w:rPr>
                <w:rFonts w:hint="eastAsia" w:hAnsi="宋体"/>
                <w:color w:val="auto"/>
                <w:lang w:val="en-US" w:eastAsia="zh-CN"/>
              </w:rPr>
              <w:t>6</w:t>
            </w:r>
          </w:p>
          <w:p>
            <w:pPr>
              <w:pStyle w:val="3"/>
              <w:ind w:firstLine="480"/>
              <w:rPr>
                <w:rFonts w:hint="eastAsia"/>
                <w:color w:val="FF0000"/>
                <w:highlight w:val="none"/>
              </w:rPr>
            </w:pPr>
            <w:r>
              <w:rPr>
                <w:rFonts w:hint="eastAsia"/>
                <w:color w:val="auto"/>
              </w:rPr>
              <w:t>项目干式环保处理箱</w:t>
            </w:r>
            <w:r>
              <w:rPr>
                <w:color w:val="auto"/>
              </w:rPr>
              <w:t>里</w:t>
            </w:r>
            <w:r>
              <w:rPr>
                <w:rFonts w:hint="eastAsia"/>
                <w:color w:val="auto"/>
              </w:rPr>
              <w:t>填料</w:t>
            </w:r>
            <w:r>
              <w:rPr>
                <w:color w:val="auto"/>
              </w:rPr>
              <w:t>为活性炭</w:t>
            </w:r>
            <w:r>
              <w:rPr>
                <w:rFonts w:hint="eastAsia"/>
                <w:color w:val="auto"/>
              </w:rPr>
              <w:t>，吸附经光氧催化</w:t>
            </w:r>
            <w:r>
              <w:rPr>
                <w:color w:val="auto"/>
              </w:rPr>
              <w:t>后的沥青烟气。</w:t>
            </w:r>
            <w:r>
              <w:rPr>
                <w:rFonts w:hint="eastAsia"/>
                <w:color w:val="auto"/>
              </w:rPr>
              <w:t>该过程</w:t>
            </w:r>
            <w:r>
              <w:rPr>
                <w:color w:val="auto"/>
              </w:rPr>
              <w:t>产生的废活性炭属于</w:t>
            </w:r>
            <w:r>
              <w:rPr>
                <w:rFonts w:hint="eastAsia"/>
                <w:color w:val="auto"/>
              </w:rPr>
              <w:t>国家危险废物名录中的其他</w:t>
            </w:r>
            <w:r>
              <w:rPr>
                <w:color w:val="auto"/>
              </w:rPr>
              <w:t>废物（</w:t>
            </w:r>
            <w:r>
              <w:rPr>
                <w:rFonts w:hint="eastAsia"/>
                <w:color w:val="auto"/>
              </w:rPr>
              <w:t>HW49</w:t>
            </w:r>
            <w:r>
              <w:rPr>
                <w:color w:val="auto"/>
              </w:rPr>
              <w:t>）</w:t>
            </w:r>
            <w:r>
              <w:rPr>
                <w:rFonts w:hint="eastAsia"/>
                <w:color w:val="auto"/>
              </w:rPr>
              <w:t>中</w:t>
            </w:r>
            <w:r>
              <w:rPr>
                <w:color w:val="auto"/>
              </w:rPr>
              <w:t>的</w:t>
            </w:r>
            <w:r>
              <w:rPr>
                <w:rFonts w:hint="eastAsia"/>
                <w:color w:val="auto"/>
              </w:rPr>
              <w:t>含有或沾染毒性、感染性危险废物的废弃包装物、容器、过滤吸附介质（900-041-49）。</w:t>
            </w:r>
            <w:r>
              <w:rPr>
                <w:color w:val="auto"/>
                <w:highlight w:val="none"/>
              </w:rPr>
              <w:t>经</w:t>
            </w:r>
            <w:r>
              <w:rPr>
                <w:rFonts w:hint="eastAsia"/>
                <w:color w:val="auto"/>
                <w:highlight w:val="none"/>
                <w:lang w:val="en-US" w:eastAsia="zh-CN"/>
              </w:rPr>
              <w:t>业主提供</w:t>
            </w:r>
            <w:r>
              <w:rPr>
                <w:rFonts w:hint="eastAsia"/>
                <w:color w:val="000000" w:themeColor="text1"/>
                <w:highlight w:val="none"/>
                <w14:textFill>
                  <w14:solidFill>
                    <w14:schemeClr w14:val="tx1"/>
                  </w14:solidFill>
                </w14:textFill>
              </w:rPr>
              <w:t>资料</w:t>
            </w:r>
            <w:r>
              <w:rPr>
                <w:color w:val="auto"/>
                <w:highlight w:val="none"/>
              </w:rPr>
              <w:t>，废活性炭产生量为</w:t>
            </w:r>
            <w:r>
              <w:rPr>
                <w:rFonts w:hint="eastAsia"/>
                <w:color w:val="auto"/>
                <w:highlight w:val="none"/>
                <w:lang w:val="en-US" w:eastAsia="zh-CN"/>
              </w:rPr>
              <w:t>2.3</w:t>
            </w:r>
            <w:r>
              <w:rPr>
                <w:rFonts w:hint="eastAsia"/>
                <w:color w:val="auto"/>
                <w:highlight w:val="none"/>
              </w:rPr>
              <w:t>t。</w:t>
            </w:r>
          </w:p>
          <w:p>
            <w:pPr>
              <w:pStyle w:val="3"/>
              <w:ind w:firstLine="480"/>
              <w:rPr>
                <w:rFonts w:hint="default" w:eastAsia="宋体"/>
                <w:color w:val="000000" w:themeColor="text1"/>
                <w:lang w:val="en-US" w:eastAsia="zh-CN"/>
                <w14:textFill>
                  <w14:solidFill>
                    <w14:schemeClr w14:val="tx1"/>
                  </w14:solidFill>
                </w14:textFill>
              </w:rPr>
            </w:pPr>
            <w:r>
              <w:rPr>
                <w:rFonts w:hint="eastAsia"/>
                <w:color w:val="000000" w:themeColor="text1"/>
                <w:highlight w:val="none"/>
                <w14:textFill>
                  <w14:solidFill>
                    <w14:schemeClr w14:val="tx1"/>
                  </w14:solidFill>
                </w14:textFill>
              </w:rPr>
              <w:t>⑦</w:t>
            </w:r>
            <w:r>
              <w:rPr>
                <w:color w:val="000000" w:themeColor="text1"/>
                <w14:textFill>
                  <w14:solidFill>
                    <w14:schemeClr w14:val="tx1"/>
                  </w14:solidFill>
                </w14:textFill>
              </w:rPr>
              <w:t>废润滑油</w:t>
            </w:r>
            <w:r>
              <w:rPr>
                <w:rFonts w:hint="eastAsia"/>
                <w:color w:val="000000" w:themeColor="text1"/>
                <w:lang w:val="en-US" w:eastAsia="zh-CN"/>
                <w14:textFill>
                  <w14:solidFill>
                    <w14:schemeClr w14:val="tx1"/>
                  </w14:solidFill>
                </w14:textFill>
              </w:rPr>
              <w:t>和</w:t>
            </w:r>
            <w:r>
              <w:rPr>
                <w:rFonts w:hint="eastAsia"/>
                <w:color w:val="000000" w:themeColor="text1"/>
                <w14:textFill>
                  <w14:solidFill>
                    <w14:schemeClr w14:val="tx1"/>
                  </w14:solidFill>
                </w14:textFill>
              </w:rPr>
              <w:t>润滑油桶</w:t>
            </w:r>
            <w:r>
              <w:rPr>
                <w:rFonts w:hint="eastAsia"/>
                <w:color w:val="000000" w:themeColor="text1"/>
                <w:lang w:val="en-US" w:eastAsia="zh-CN"/>
                <w14:textFill>
                  <w14:solidFill>
                    <w14:schemeClr w14:val="tx1"/>
                  </w14:solidFill>
                </w14:textFill>
              </w:rPr>
              <w:t>S7</w:t>
            </w:r>
          </w:p>
          <w:p>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项目机械设备更换润滑油，根据业主提供资料，废润滑油产生量为</w:t>
            </w:r>
            <w:r>
              <w:rPr>
                <w:rFonts w:hint="eastAsia"/>
                <w:color w:val="000000" w:themeColor="text1"/>
                <w:lang w:val="en-US" w:eastAsia="zh-CN"/>
                <w14:textFill>
                  <w14:solidFill>
                    <w14:schemeClr w14:val="tx1"/>
                  </w14:solidFill>
                </w14:textFill>
              </w:rPr>
              <w:t>0.5</w:t>
            </w:r>
            <w:r>
              <w:rPr>
                <w:rFonts w:hint="eastAsia"/>
                <w:color w:val="000000" w:themeColor="text1"/>
                <w14:textFill>
                  <w14:solidFill>
                    <w14:schemeClr w14:val="tx1"/>
                  </w14:solidFill>
                </w14:textFill>
              </w:rPr>
              <w:t>t。属于国家危险废物名录中的废矿物油与含矿物油废物（HW08）中的车辆、机械维修和拆卸过程中产生的废发动机油、制动器油、自动变速器油、齿轮油等废润滑油（900-214-08）。</w:t>
            </w:r>
          </w:p>
          <w:p>
            <w:pPr>
              <w:pStyle w:val="3"/>
              <w:keepNext w:val="0"/>
              <w:keepLines w:val="0"/>
              <w:pageBreakBefore w:val="0"/>
              <w:kinsoku/>
              <w:wordWrap/>
              <w:overflowPunct/>
              <w:topLinePunct w:val="0"/>
              <w:autoSpaceDE w:val="0"/>
              <w:autoSpaceDN w:val="0"/>
              <w:bidi w:val="0"/>
              <w:adjustRightInd/>
              <w:snapToGrid/>
              <w:spacing w:line="360" w:lineRule="auto"/>
              <w:ind w:firstLine="48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14:textFill>
                  <w14:solidFill>
                    <w14:schemeClr w14:val="tx1"/>
                  </w14:solidFill>
                </w14:textFill>
              </w:rPr>
              <w:t>润滑油桶产生量</w:t>
            </w:r>
            <w:r>
              <w:rPr>
                <w:color w:val="000000" w:themeColor="text1"/>
                <w14:textFill>
                  <w14:solidFill>
                    <w14:schemeClr w14:val="tx1"/>
                  </w14:solidFill>
                </w14:textFill>
              </w:rPr>
              <w:t>20</w:t>
            </w:r>
            <w:r>
              <w:rPr>
                <w:rFonts w:hint="eastAsia"/>
                <w:color w:val="000000" w:themeColor="text1"/>
                <w14:textFill>
                  <w14:solidFill>
                    <w14:schemeClr w14:val="tx1"/>
                  </w14:solidFill>
                </w14:textFill>
              </w:rPr>
              <w:t>个，由厂家回收。废油桶属于国家危险废物名录中的废矿物油与含矿物油废物（HW08）中的其他生产、销售、使用过程中产生的废矿物油及含矿物油废物（900-249-08）。</w:t>
            </w:r>
          </w:p>
          <w:p>
            <w:pPr>
              <w:pStyle w:val="3"/>
              <w:keepNext w:val="0"/>
              <w:keepLines w:val="0"/>
              <w:pageBreakBefore w:val="0"/>
              <w:kinsoku/>
              <w:wordWrap/>
              <w:overflowPunct/>
              <w:topLinePunct w:val="0"/>
              <w:autoSpaceDE w:val="0"/>
              <w:autoSpaceDN w:val="0"/>
              <w:bidi w:val="0"/>
              <w:adjustRightInd/>
              <w:snapToGrid/>
              <w:spacing w:line="360" w:lineRule="auto"/>
              <w:ind w:firstLine="480"/>
              <w:textAlignment w:val="auto"/>
              <w:rPr>
                <w:rFonts w:hint="eastAsia" w:ascii="Cambria Math" w:hAnsi="Cambria Math" w:eastAsia="宋体" w:cs="Cambria Math"/>
                <w:color w:val="auto"/>
                <w:sz w:val="24"/>
                <w:szCs w:val="24"/>
                <w:highlight w:val="none"/>
                <w:lang w:eastAsia="zh-CN"/>
              </w:rPr>
            </w:pPr>
            <w:r>
              <w:rPr>
                <w:rFonts w:hint="eastAsia"/>
                <w:color w:val="auto"/>
                <w:sz w:val="24"/>
                <w:szCs w:val="24"/>
                <w:highlight w:val="none"/>
              </w:rPr>
              <w:t>⑧</w:t>
            </w:r>
            <w:r>
              <w:rPr>
                <w:rFonts w:ascii="Cambria Math" w:hAnsi="Cambria Math" w:cs="Cambria Math"/>
                <w:color w:val="auto"/>
                <w:sz w:val="24"/>
                <w:szCs w:val="24"/>
                <w:highlight w:val="none"/>
              </w:rPr>
              <w:t>UV</w:t>
            </w:r>
            <w:r>
              <w:rPr>
                <w:rFonts w:hint="eastAsia" w:ascii="Cambria Math" w:hAnsi="Cambria Math" w:cs="Cambria Math"/>
                <w:color w:val="auto"/>
                <w:sz w:val="24"/>
                <w:szCs w:val="24"/>
                <w:highlight w:val="none"/>
              </w:rPr>
              <w:t>催化装置废灯管S</w:t>
            </w:r>
            <w:r>
              <w:rPr>
                <w:rFonts w:hint="eastAsia" w:ascii="Cambria Math" w:hAnsi="Cambria Math" w:cs="Cambria Math"/>
                <w:color w:val="auto"/>
                <w:sz w:val="24"/>
                <w:szCs w:val="24"/>
                <w:highlight w:val="none"/>
                <w:lang w:val="en-US" w:eastAsia="zh-CN"/>
              </w:rPr>
              <w:t>8</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Times New Roman" w:hAnsi="Times New Roman" w:eastAsia="宋体" w:cs="宋体"/>
                <w:color w:val="000000" w:themeColor="text1"/>
                <w:sz w:val="24"/>
                <w:szCs w:val="24"/>
                <w:lang w:val="en-US" w:eastAsia="zh-CN" w:bidi="zh-CN"/>
                <w14:textFill>
                  <w14:solidFill>
                    <w14:schemeClr w14:val="tx1"/>
                  </w14:solidFill>
                </w14:textFill>
              </w:rPr>
            </w:pPr>
            <w:r>
              <w:rPr>
                <w:rFonts w:hint="eastAsia" w:ascii="Cambria Math" w:hAnsi="Cambria Math" w:cs="Cambria Math"/>
                <w:color w:val="auto"/>
                <w:sz w:val="24"/>
                <w:szCs w:val="24"/>
                <w:highlight w:val="none"/>
              </w:rPr>
              <w:t>本项目</w:t>
            </w:r>
            <w:r>
              <w:rPr>
                <w:rFonts w:ascii="Cambria Math" w:hAnsi="Cambria Math" w:cs="Cambria Math"/>
                <w:color w:val="auto"/>
                <w:sz w:val="24"/>
                <w:szCs w:val="24"/>
                <w:highlight w:val="none"/>
              </w:rPr>
              <w:t>采用光氧催化方法处理沥青烟相关废气，光氧催化装备在使用中产生</w:t>
            </w:r>
            <w:r>
              <w:rPr>
                <w:rFonts w:hint="eastAsia" w:ascii="Cambria Math" w:hAnsi="Cambria Math" w:cs="Cambria Math"/>
                <w:color w:val="auto"/>
                <w:sz w:val="24"/>
                <w:szCs w:val="24"/>
                <w:highlight w:val="none"/>
              </w:rPr>
              <w:t>UV</w:t>
            </w:r>
            <w:r>
              <w:rPr>
                <w:rFonts w:ascii="Cambria Math" w:hAnsi="Cambria Math" w:cs="Cambria Math"/>
                <w:color w:val="auto"/>
                <w:sz w:val="24"/>
                <w:szCs w:val="24"/>
                <w:highlight w:val="none"/>
              </w:rPr>
              <w:t>废灯管</w:t>
            </w:r>
            <w:r>
              <w:rPr>
                <w:rFonts w:hint="eastAsia" w:ascii="Cambria Math" w:hAnsi="Cambria Math" w:cs="Cambria Math"/>
                <w:color w:val="auto"/>
                <w:sz w:val="24"/>
                <w:szCs w:val="24"/>
                <w:highlight w:val="none"/>
              </w:rPr>
              <w:t>，</w:t>
            </w:r>
            <w:r>
              <w:rPr>
                <w:rFonts w:hint="eastAsia"/>
                <w:color w:val="auto"/>
                <w:kern w:val="0"/>
                <w:sz w:val="24"/>
                <w:szCs w:val="24"/>
                <w:highlight w:val="none"/>
              </w:rPr>
              <w:t>产生量为0.</w:t>
            </w:r>
            <w:r>
              <w:rPr>
                <w:color w:val="auto"/>
                <w:kern w:val="0"/>
                <w:sz w:val="24"/>
                <w:szCs w:val="24"/>
                <w:highlight w:val="none"/>
              </w:rPr>
              <w:t>0</w:t>
            </w:r>
            <w:r>
              <w:rPr>
                <w:rFonts w:hint="eastAsia"/>
                <w:color w:val="auto"/>
                <w:kern w:val="0"/>
                <w:sz w:val="24"/>
                <w:szCs w:val="24"/>
                <w:highlight w:val="none"/>
                <w:lang w:val="en-US" w:eastAsia="zh-CN"/>
              </w:rPr>
              <w:t>1t</w:t>
            </w:r>
            <w:r>
              <w:rPr>
                <w:rFonts w:hint="eastAsia"/>
                <w:color w:val="auto"/>
                <w:kern w:val="0"/>
                <w:sz w:val="24"/>
                <w:szCs w:val="24"/>
                <w:highlight w:val="none"/>
              </w:rPr>
              <w:t>。属于国家危险废物名录中的含汞废物（HW</w:t>
            </w:r>
            <w:r>
              <w:rPr>
                <w:color w:val="auto"/>
                <w:kern w:val="0"/>
                <w:sz w:val="24"/>
                <w:szCs w:val="24"/>
                <w:highlight w:val="none"/>
              </w:rPr>
              <w:t>29</w:t>
            </w:r>
            <w:r>
              <w:rPr>
                <w:rFonts w:hint="eastAsia"/>
                <w:color w:val="auto"/>
                <w:kern w:val="0"/>
                <w:sz w:val="24"/>
                <w:szCs w:val="24"/>
                <w:highlight w:val="none"/>
              </w:rPr>
              <w:t>）中的生产、</w:t>
            </w:r>
            <w:r>
              <w:rPr>
                <w:color w:val="auto"/>
                <w:kern w:val="0"/>
                <w:sz w:val="24"/>
                <w:szCs w:val="24"/>
                <w:highlight w:val="none"/>
              </w:rPr>
              <w:t>销售及使用过程中</w:t>
            </w:r>
            <w:r>
              <w:rPr>
                <w:rFonts w:hint="eastAsia"/>
                <w:color w:val="auto"/>
                <w:kern w:val="0"/>
                <w:sz w:val="24"/>
                <w:szCs w:val="24"/>
                <w:highlight w:val="none"/>
              </w:rPr>
              <w:t>产生</w:t>
            </w:r>
            <w:r>
              <w:rPr>
                <w:color w:val="auto"/>
                <w:kern w:val="0"/>
                <w:sz w:val="24"/>
                <w:szCs w:val="24"/>
                <w:highlight w:val="none"/>
              </w:rPr>
              <w:t>的废含汞荧光灯管及其他废含汞点光源</w:t>
            </w:r>
            <w:r>
              <w:rPr>
                <w:rFonts w:hint="eastAsia"/>
                <w:color w:val="auto"/>
                <w:kern w:val="0"/>
                <w:sz w:val="24"/>
                <w:szCs w:val="24"/>
                <w:highlight w:val="none"/>
              </w:rPr>
              <w:t>（900-</w:t>
            </w:r>
            <w:r>
              <w:rPr>
                <w:color w:val="auto"/>
                <w:kern w:val="0"/>
                <w:sz w:val="24"/>
                <w:szCs w:val="24"/>
                <w:highlight w:val="none"/>
              </w:rPr>
              <w:t>023</w:t>
            </w:r>
            <w:r>
              <w:rPr>
                <w:rFonts w:hint="eastAsia"/>
                <w:color w:val="auto"/>
                <w:kern w:val="0"/>
                <w:sz w:val="24"/>
                <w:szCs w:val="24"/>
                <w:highlight w:val="none"/>
              </w:rPr>
              <w:t>-</w:t>
            </w:r>
            <w:r>
              <w:rPr>
                <w:color w:val="auto"/>
                <w:kern w:val="0"/>
                <w:sz w:val="24"/>
                <w:szCs w:val="24"/>
                <w:highlight w:val="none"/>
              </w:rPr>
              <w:t>29</w:t>
            </w:r>
            <w:r>
              <w:rPr>
                <w:rFonts w:hint="eastAsia"/>
                <w:color w:val="auto"/>
                <w:kern w:val="0"/>
                <w:sz w:val="24"/>
                <w:szCs w:val="24"/>
                <w:highlight w:val="none"/>
              </w:rPr>
              <w:t>），</w:t>
            </w:r>
            <w:r>
              <w:rPr>
                <w:color w:val="auto"/>
                <w:kern w:val="0"/>
                <w:sz w:val="24"/>
                <w:szCs w:val="24"/>
                <w:highlight w:val="none"/>
              </w:rPr>
              <w:t>拟收集后交</w:t>
            </w:r>
            <w:r>
              <w:rPr>
                <w:color w:val="auto"/>
                <w:sz w:val="24"/>
                <w:szCs w:val="24"/>
                <w:highlight w:val="none"/>
              </w:rPr>
              <w:t>由具有该类危废资质的单位处理</w:t>
            </w:r>
            <w:r>
              <w:rPr>
                <w:rFonts w:hint="eastAsia"/>
                <w:color w:val="auto"/>
                <w:sz w:val="24"/>
                <w:szCs w:val="24"/>
                <w:highlight w:val="none"/>
              </w:rPr>
              <w:t>。</w:t>
            </w:r>
          </w:p>
          <w:p>
            <w:pPr>
              <w:pStyle w:val="3"/>
              <w:ind w:firstLine="480"/>
              <w:rPr>
                <w:rFonts w:hint="eastAsia" w:eastAsia="宋体"/>
                <w:color w:val="000000" w:themeColor="text1"/>
                <w:lang w:eastAsia="zh-CN"/>
                <w14:textFill>
                  <w14:solidFill>
                    <w14:schemeClr w14:val="tx1"/>
                  </w14:solidFill>
                </w14:textFill>
              </w:rPr>
            </w:pPr>
            <w:r>
              <w:rPr>
                <w:rFonts w:hint="eastAsia" w:ascii="Times New Roman" w:hAnsi="Times New Roman" w:eastAsia="宋体" w:cs="宋体"/>
                <w:color w:val="000000" w:themeColor="text1"/>
                <w:sz w:val="24"/>
                <w:szCs w:val="24"/>
                <w:lang w:val="en-US" w:eastAsia="zh-CN" w:bidi="zh-CN"/>
                <w14:textFill>
                  <w14:solidFill>
                    <w14:schemeClr w14:val="tx1"/>
                  </w14:solidFill>
                </w14:textFill>
              </w:rPr>
              <w:fldChar w:fldCharType="begin"/>
            </w:r>
            <w:r>
              <w:rPr>
                <w:rFonts w:hint="eastAsia" w:ascii="Times New Roman" w:hAnsi="Times New Roman" w:eastAsia="宋体" w:cs="宋体"/>
                <w:color w:val="000000" w:themeColor="text1"/>
                <w:sz w:val="24"/>
                <w:szCs w:val="24"/>
                <w:lang w:val="en-US" w:eastAsia="zh-CN" w:bidi="zh-CN"/>
                <w14:textFill>
                  <w14:solidFill>
                    <w14:schemeClr w14:val="tx1"/>
                  </w14:solidFill>
                </w14:textFill>
              </w:rPr>
              <w:instrText xml:space="preserve"> = 9 \* GB3 \* MERGEFORMAT </w:instrText>
            </w:r>
            <w:r>
              <w:rPr>
                <w:rFonts w:hint="eastAsia" w:ascii="Times New Roman" w:hAnsi="Times New Roman" w:eastAsia="宋体" w:cs="宋体"/>
                <w:color w:val="000000" w:themeColor="text1"/>
                <w:sz w:val="24"/>
                <w:szCs w:val="24"/>
                <w:lang w:val="en-US" w:eastAsia="zh-CN" w:bidi="zh-CN"/>
                <w14:textFill>
                  <w14:solidFill>
                    <w14:schemeClr w14:val="tx1"/>
                  </w14:solidFill>
                </w14:textFill>
              </w:rPr>
              <w:fldChar w:fldCharType="separate"/>
            </w:r>
            <w:r>
              <w:rPr>
                <w:color w:val="000000" w:themeColor="text1"/>
                <w14:textFill>
                  <w14:solidFill>
                    <w14:schemeClr w14:val="tx1"/>
                  </w14:solidFill>
                </w14:textFill>
              </w:rPr>
              <w:t>⑨</w:t>
            </w:r>
            <w:r>
              <w:rPr>
                <w:rFonts w:hint="eastAsia" w:ascii="Times New Roman" w:hAnsi="Times New Roman" w:eastAsia="宋体" w:cs="宋体"/>
                <w:color w:val="000000" w:themeColor="text1"/>
                <w:sz w:val="24"/>
                <w:szCs w:val="24"/>
                <w:lang w:val="en-US" w:eastAsia="zh-CN" w:bidi="zh-CN"/>
                <w14:textFill>
                  <w14:solidFill>
                    <w14:schemeClr w14:val="tx1"/>
                  </w14:solidFill>
                </w14:textFill>
              </w:rPr>
              <w:fldChar w:fldCharType="end"/>
            </w:r>
            <w:r>
              <w:rPr>
                <w:rFonts w:hint="eastAsia"/>
                <w:color w:val="000000" w:themeColor="text1"/>
                <w14:textFill>
                  <w14:solidFill>
                    <w14:schemeClr w14:val="tx1"/>
                  </w14:solidFill>
                </w14:textFill>
              </w:rPr>
              <w:t>生活垃圾S</w:t>
            </w:r>
            <w:r>
              <w:rPr>
                <w:rFonts w:hint="eastAsia"/>
                <w:color w:val="000000" w:themeColor="text1"/>
                <w:lang w:val="en-US" w:eastAsia="zh-CN"/>
                <w14:textFill>
                  <w14:solidFill>
                    <w14:schemeClr w14:val="tx1"/>
                  </w14:solidFill>
                </w14:textFill>
              </w:rPr>
              <w:t>9</w:t>
            </w:r>
          </w:p>
          <w:p>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项目员工日常生活会产生生活垃圾。项目定员</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人，均在厂内食宿，生活垃圾按0.5kg/人•天计算，生产天数按</w:t>
            </w:r>
            <w:r>
              <w:rPr>
                <w:rFonts w:hint="eastAsia"/>
                <w:color w:val="000000" w:themeColor="text1"/>
                <w:lang w:val="en-US" w:eastAsia="zh-CN"/>
                <w14:textFill>
                  <w14:solidFill>
                    <w14:schemeClr w14:val="tx1"/>
                  </w14:solidFill>
                </w14:textFill>
              </w:rPr>
              <w:t>180</w:t>
            </w:r>
            <w:r>
              <w:rPr>
                <w:rFonts w:hint="eastAsia"/>
                <w:color w:val="000000" w:themeColor="text1"/>
                <w14:textFill>
                  <w14:solidFill>
                    <w14:schemeClr w14:val="tx1"/>
                  </w14:solidFill>
                </w14:textFill>
              </w:rPr>
              <w:t>d计算，则生活垃圾的产生量为</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kg/d，</w:t>
            </w:r>
            <w:r>
              <w:rPr>
                <w:rFonts w:hint="eastAsia"/>
                <w:color w:val="000000" w:themeColor="text1"/>
                <w:lang w:val="en-US" w:eastAsia="zh-CN"/>
                <w14:textFill>
                  <w14:solidFill>
                    <w14:schemeClr w14:val="tx1"/>
                  </w14:solidFill>
                </w14:textFill>
              </w:rPr>
              <w:t>0.9</w:t>
            </w:r>
            <w:r>
              <w:rPr>
                <w:rFonts w:hint="eastAsia"/>
                <w:color w:val="000000" w:themeColor="text1"/>
                <w14:textFill>
                  <w14:solidFill>
                    <w14:schemeClr w14:val="tx1"/>
                  </w14:solidFill>
                </w14:textFill>
              </w:rPr>
              <w:t>t。</w:t>
            </w:r>
          </w:p>
          <w:p>
            <w:pPr>
              <w:pStyle w:val="3"/>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）项目固体废弃物产生及排放情况见下表。</w:t>
            </w:r>
          </w:p>
          <w:p>
            <w:pPr>
              <w:pStyle w:val="3"/>
              <w:ind w:firstLine="480"/>
              <w:jc w:val="center"/>
              <w:rPr>
                <w:rFonts w:hint="eastAsia" w:ascii="Times New Roman" w:hAnsi="Times New Roman" w:eastAsia="宋体" w:cs="Times New Roman"/>
                <w:b/>
                <w:bCs/>
                <w:color w:val="auto"/>
                <w:sz w:val="21"/>
                <w:szCs w:val="21"/>
                <w:highlight w:val="none"/>
                <w:lang w:val="zh-CN" w:eastAsia="zh-CN" w:bidi="zh-CN"/>
              </w:rPr>
            </w:pPr>
            <w:r>
              <w:rPr>
                <w:rFonts w:hint="eastAsia" w:ascii="Times New Roman" w:hAnsi="Times New Roman" w:eastAsia="宋体" w:cs="Times New Roman"/>
                <w:b/>
                <w:bCs/>
                <w:color w:val="auto"/>
                <w:sz w:val="21"/>
                <w:szCs w:val="21"/>
                <w:highlight w:val="none"/>
                <w:lang w:val="zh-CN" w:eastAsia="zh-CN" w:bidi="zh-CN"/>
              </w:rPr>
              <w:t>表</w:t>
            </w:r>
            <w:r>
              <w:rPr>
                <w:rFonts w:hint="eastAsia" w:ascii="Times New Roman" w:hAnsi="Times New Roman" w:eastAsia="宋体" w:cs="Times New Roman"/>
                <w:b/>
                <w:bCs/>
                <w:color w:val="auto"/>
                <w:sz w:val="21"/>
                <w:szCs w:val="21"/>
                <w:highlight w:val="none"/>
                <w:lang w:val="en-US" w:eastAsia="zh-CN" w:bidi="zh-CN"/>
              </w:rPr>
              <w:t>4</w:t>
            </w:r>
            <w:r>
              <w:rPr>
                <w:rFonts w:hint="eastAsia" w:ascii="Times New Roman" w:hAnsi="Times New Roman" w:eastAsia="宋体" w:cs="Times New Roman"/>
                <w:b/>
                <w:bCs/>
                <w:color w:val="auto"/>
                <w:sz w:val="21"/>
                <w:szCs w:val="21"/>
                <w:highlight w:val="none"/>
                <w:lang w:val="zh-CN" w:eastAsia="zh-CN" w:bidi="zh-CN"/>
              </w:rPr>
              <w:t>-10  本项目固废产生及排放情况一览表</w:t>
            </w:r>
          </w:p>
          <w:tbl>
            <w:tblPr>
              <w:tblStyle w:val="11"/>
              <w:tblW w:w="7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3"/>
              <w:gridCol w:w="777"/>
              <w:gridCol w:w="1159"/>
              <w:gridCol w:w="832"/>
              <w:gridCol w:w="2032"/>
              <w:gridCol w:w="2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493" w:type="dxa"/>
                  <w:noWrap w:val="0"/>
                  <w:vAlign w:val="center"/>
                </w:tcPr>
                <w:p>
                  <w:pPr>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序号</w:t>
                  </w:r>
                </w:p>
              </w:tc>
              <w:tc>
                <w:tcPr>
                  <w:tcW w:w="777" w:type="dxa"/>
                  <w:noWrap w:val="0"/>
                  <w:vAlign w:val="center"/>
                </w:tcPr>
                <w:p>
                  <w:pPr>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固废名称</w:t>
                  </w:r>
                </w:p>
              </w:tc>
              <w:tc>
                <w:tcPr>
                  <w:tcW w:w="1159" w:type="dxa"/>
                  <w:noWrap w:val="0"/>
                  <w:vAlign w:val="top"/>
                </w:tcPr>
                <w:p>
                  <w:pPr>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产生环节</w:t>
                  </w:r>
                </w:p>
              </w:tc>
              <w:tc>
                <w:tcPr>
                  <w:tcW w:w="832" w:type="dxa"/>
                  <w:noWrap w:val="0"/>
                  <w:vAlign w:val="center"/>
                </w:tcPr>
                <w:p>
                  <w:pPr>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形态</w:t>
                  </w:r>
                </w:p>
              </w:tc>
              <w:tc>
                <w:tcPr>
                  <w:tcW w:w="2032" w:type="dxa"/>
                  <w:noWrap w:val="0"/>
                  <w:vAlign w:val="top"/>
                </w:tcPr>
                <w:p>
                  <w:pPr>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主要成分</w:t>
                  </w:r>
                </w:p>
              </w:tc>
              <w:tc>
                <w:tcPr>
                  <w:tcW w:w="2244" w:type="dxa"/>
                  <w:noWrap w:val="0"/>
                  <w:vAlign w:val="top"/>
                </w:tcPr>
                <w:p>
                  <w:pPr>
                    <w:jc w:val="center"/>
                    <w:rPr>
                      <w:rFonts w:hint="default" w:ascii="Times New Roman" w:hAnsi="Times New Roman" w:cs="Times New Roman"/>
                      <w:b/>
                      <w:bCs w:val="0"/>
                      <w:color w:val="auto"/>
                      <w:sz w:val="21"/>
                      <w:szCs w:val="21"/>
                      <w:lang w:val="en-US" w:eastAsia="zh-CN"/>
                    </w:rPr>
                  </w:pPr>
                  <w:r>
                    <w:rPr>
                      <w:rFonts w:hint="default" w:ascii="Times New Roman" w:hAnsi="Times New Roman" w:cs="Times New Roman"/>
                      <w:b/>
                      <w:bCs w:val="0"/>
                      <w:color w:val="auto"/>
                      <w:sz w:val="21"/>
                      <w:szCs w:val="21"/>
                      <w:lang w:val="en-US" w:eastAsia="zh-CN"/>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493" w:type="dxa"/>
                  <w:noWrap w:val="0"/>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S1</w:t>
                  </w:r>
                </w:p>
              </w:tc>
              <w:tc>
                <w:tcPr>
                  <w:tcW w:w="777"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废石料</w:t>
                  </w:r>
                </w:p>
              </w:tc>
              <w:tc>
                <w:tcPr>
                  <w:tcW w:w="1159" w:type="dxa"/>
                  <w:noWrap w:val="0"/>
                  <w:vAlign w:val="top"/>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筛分</w:t>
                  </w:r>
                </w:p>
              </w:tc>
              <w:tc>
                <w:tcPr>
                  <w:tcW w:w="832"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固态</w:t>
                  </w:r>
                </w:p>
              </w:tc>
              <w:tc>
                <w:tcPr>
                  <w:tcW w:w="2032" w:type="dxa"/>
                  <w:noWrap w:val="0"/>
                  <w:vAlign w:val="top"/>
                </w:tcPr>
                <w:p>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石料</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2244" w:type="dxa"/>
                  <w:noWrap w:val="0"/>
                  <w:vAlign w:val="top"/>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493" w:type="dxa"/>
                  <w:noWrap w:val="0"/>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w:t>
                  </w: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777"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除尘灰</w:t>
                  </w:r>
                </w:p>
              </w:tc>
              <w:tc>
                <w:tcPr>
                  <w:tcW w:w="1159" w:type="dxa"/>
                  <w:noWrap w:val="0"/>
                  <w:vAlign w:val="top"/>
                </w:tcPr>
                <w:p>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废气处理</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32"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固态</w:t>
                  </w:r>
                </w:p>
              </w:tc>
              <w:tc>
                <w:tcPr>
                  <w:tcW w:w="2032" w:type="dxa"/>
                  <w:noWrap w:val="0"/>
                  <w:vAlign w:val="top"/>
                </w:tcPr>
                <w:p>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矿粉、石粉</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2244" w:type="dxa"/>
                  <w:noWrap w:val="0"/>
                  <w:vAlign w:val="top"/>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3"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S3</w:t>
                  </w:r>
                </w:p>
              </w:tc>
              <w:tc>
                <w:tcPr>
                  <w:tcW w:w="777"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zh-CN"/>
                      <w14:textFill>
                        <w14:solidFill>
                          <w14:schemeClr w14:val="tx1"/>
                        </w14:solidFill>
                      </w14:textFill>
                    </w:rPr>
                    <w:t xml:space="preserve">废沥青砼  </w:t>
                  </w:r>
                </w:p>
              </w:tc>
              <w:tc>
                <w:tcPr>
                  <w:tcW w:w="1159" w:type="dxa"/>
                  <w:noWrap w:val="0"/>
                  <w:vAlign w:val="top"/>
                </w:tcPr>
                <w:p>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生产</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32"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固态</w:t>
                  </w:r>
                </w:p>
              </w:tc>
              <w:tc>
                <w:tcPr>
                  <w:tcW w:w="2032" w:type="dxa"/>
                  <w:noWrap w:val="0"/>
                  <w:vAlign w:val="top"/>
                </w:tcPr>
                <w:p>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沥青、石料 </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2244" w:type="dxa"/>
                  <w:noWrap w:val="0"/>
                  <w:vAlign w:val="top"/>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493"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S4</w:t>
                  </w:r>
                </w:p>
              </w:tc>
              <w:tc>
                <w:tcPr>
                  <w:tcW w:w="777"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沉淀池污泥</w:t>
                  </w:r>
                </w:p>
              </w:tc>
              <w:tc>
                <w:tcPr>
                  <w:tcW w:w="1159" w:type="dxa"/>
                  <w:noWrap w:val="0"/>
                  <w:vAlign w:val="top"/>
                </w:tcPr>
                <w:p>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废水处理 </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32"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固态</w:t>
                  </w:r>
                </w:p>
              </w:tc>
              <w:tc>
                <w:tcPr>
                  <w:tcW w:w="2032" w:type="dxa"/>
                  <w:noWrap w:val="0"/>
                  <w:vAlign w:val="top"/>
                </w:tcPr>
                <w:p>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SS</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2244" w:type="dxa"/>
                  <w:noWrap w:val="0"/>
                  <w:vAlign w:val="top"/>
                </w:tcPr>
                <w:p>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豁免管理，与生活垃圾一并处置</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93" w:type="dxa"/>
                  <w:noWrap w:val="0"/>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w:t>
                  </w: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777"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废含油抹布、废手套</w:t>
                  </w:r>
                </w:p>
              </w:tc>
              <w:tc>
                <w:tcPr>
                  <w:tcW w:w="1159" w:type="dxa"/>
                  <w:noWrap w:val="0"/>
                  <w:vAlign w:val="top"/>
                </w:tcPr>
                <w:p>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生产</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32"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固态</w:t>
                  </w:r>
                </w:p>
              </w:tc>
              <w:tc>
                <w:tcPr>
                  <w:tcW w:w="2032" w:type="dxa"/>
                  <w:noWrap w:val="0"/>
                  <w:vAlign w:val="top"/>
                </w:tcPr>
                <w:p>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含油废抹布、</w:t>
                  </w:r>
                  <w:r>
                    <w:rPr>
                      <w:rFonts w:hint="default" w:ascii="Times New Roman" w:hAnsi="Times New Roman" w:cs="Times New Roman"/>
                      <w:color w:val="000000" w:themeColor="text1"/>
                      <w:sz w:val="21"/>
                      <w:szCs w:val="21"/>
                      <w14:textFill>
                        <w14:solidFill>
                          <w14:schemeClr w14:val="tx1"/>
                        </w14:solidFill>
                      </w14:textFill>
                    </w:rPr>
                    <w:t>废手套</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2244" w:type="dxa"/>
                  <w:noWrap w:val="0"/>
                  <w:vAlign w:val="top"/>
                </w:tcPr>
                <w:p>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豁免管理，与生活垃圾一并处置</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93" w:type="dxa"/>
                  <w:noWrap w:val="0"/>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w:t>
                  </w:r>
                  <w:r>
                    <w:rPr>
                      <w:rFonts w:hint="default" w:ascii="Times New Roman" w:hAnsi="Times New Roman" w:cs="Times New Roman"/>
                      <w:color w:val="000000" w:themeColor="text1"/>
                      <w:sz w:val="21"/>
                      <w:szCs w:val="21"/>
                      <w:lang w:val="en-US" w:eastAsia="zh-CN"/>
                      <w14:textFill>
                        <w14:solidFill>
                          <w14:schemeClr w14:val="tx1"/>
                        </w14:solidFill>
                      </w14:textFill>
                    </w:rPr>
                    <w:t>6</w:t>
                  </w:r>
                </w:p>
              </w:tc>
              <w:tc>
                <w:tcPr>
                  <w:tcW w:w="777"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废活性炭</w:t>
                  </w:r>
                </w:p>
              </w:tc>
              <w:tc>
                <w:tcPr>
                  <w:tcW w:w="1159" w:type="dxa"/>
                  <w:noWrap w:val="0"/>
                  <w:vAlign w:val="top"/>
                </w:tcPr>
                <w:p>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废气处理 </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32"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固态</w:t>
                  </w:r>
                </w:p>
              </w:tc>
              <w:tc>
                <w:tcPr>
                  <w:tcW w:w="2032" w:type="dxa"/>
                  <w:noWrap w:val="0"/>
                  <w:vAlign w:val="top"/>
                </w:tcPr>
                <w:p>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活性炭、沥青烟、苯并芘、非甲烷总烃</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2244" w:type="dxa"/>
                  <w:noWrap w:val="0"/>
                  <w:vAlign w:val="top"/>
                </w:tcPr>
                <w:p>
                  <w:pPr>
                    <w:keepNext w:val="0"/>
                    <w:keepLines w:val="0"/>
                    <w:widowControl/>
                    <w:suppressLineNumbers w:val="0"/>
                    <w:jc w:val="lef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危废属性鉴定后，再妥善处理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493" w:type="dxa"/>
                  <w:noWrap w:val="0"/>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S7</w:t>
                  </w:r>
                </w:p>
              </w:tc>
              <w:tc>
                <w:tcPr>
                  <w:tcW w:w="777"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废润滑油</w:t>
                  </w:r>
                  <w:r>
                    <w:rPr>
                      <w:rFonts w:hint="default" w:ascii="Times New Roman" w:hAnsi="Times New Roman" w:cs="Times New Roman"/>
                      <w:color w:val="000000" w:themeColor="text1"/>
                      <w:sz w:val="21"/>
                      <w:szCs w:val="21"/>
                      <w:lang w:val="en-US" w:eastAsia="zh-CN"/>
                      <w14:textFill>
                        <w14:solidFill>
                          <w14:schemeClr w14:val="tx1"/>
                        </w14:solidFill>
                      </w14:textFill>
                    </w:rPr>
                    <w:t>和</w:t>
                  </w:r>
                  <w:r>
                    <w:rPr>
                      <w:rFonts w:hint="default" w:ascii="Times New Roman" w:hAnsi="Times New Roman" w:cs="Times New Roman"/>
                      <w:color w:val="000000" w:themeColor="text1"/>
                      <w:sz w:val="21"/>
                      <w:szCs w:val="21"/>
                      <w14:textFill>
                        <w14:solidFill>
                          <w14:schemeClr w14:val="tx1"/>
                        </w14:solidFill>
                      </w14:textFill>
                    </w:rPr>
                    <w:t>润滑油桶</w:t>
                  </w:r>
                </w:p>
              </w:tc>
              <w:tc>
                <w:tcPr>
                  <w:tcW w:w="1159" w:type="dxa"/>
                  <w:noWrap w:val="0"/>
                  <w:vAlign w:val="top"/>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生产、运行</w:t>
                  </w:r>
                </w:p>
              </w:tc>
              <w:tc>
                <w:tcPr>
                  <w:tcW w:w="832"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液态</w:t>
                  </w:r>
                </w:p>
              </w:tc>
              <w:tc>
                <w:tcPr>
                  <w:tcW w:w="2032" w:type="dxa"/>
                  <w:noWrap w:val="0"/>
                  <w:vAlign w:val="top"/>
                </w:tcPr>
                <w:p>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废油 </w:t>
                  </w:r>
                </w:p>
                <w:p>
                  <w:pPr>
                    <w:keepNext w:val="0"/>
                    <w:keepLines w:val="0"/>
                    <w:widowControl/>
                    <w:suppressLineNumbers w:val="0"/>
                    <w:tabs>
                      <w:tab w:val="left" w:pos="438"/>
                    </w:tabs>
                    <w:jc w:val="left"/>
                    <w:rPr>
                      <w:rFonts w:hint="default" w:ascii="Times New Roman" w:hAnsi="Times New Roman" w:cs="Times New Roman"/>
                      <w:color w:val="000000" w:themeColor="text1"/>
                      <w14:textFill>
                        <w14:solidFill>
                          <w14:schemeClr w14:val="tx1"/>
                        </w14:solidFill>
                      </w14:textFill>
                    </w:rPr>
                  </w:pP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2244" w:type="dxa"/>
                  <w:noWrap w:val="0"/>
                  <w:vAlign w:val="top"/>
                </w:tcPr>
                <w:p>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危废间暂存，委托有资质单位代为；</w:t>
                  </w:r>
                </w:p>
                <w:p>
                  <w:pPr>
                    <w:jc w:val="both"/>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油桶由厂家回收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0" w:hRule="atLeast"/>
                <w:jc w:val="center"/>
              </w:trPr>
              <w:tc>
                <w:tcPr>
                  <w:tcW w:w="493" w:type="dxa"/>
                  <w:noWrap w:val="0"/>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S8</w:t>
                  </w:r>
                </w:p>
              </w:tc>
              <w:tc>
                <w:tcPr>
                  <w:tcW w:w="777" w:type="dxa"/>
                  <w:noWrap w:val="0"/>
                  <w:vAlign w:val="center"/>
                </w:tcPr>
                <w:p>
                  <w:pPr>
                    <w:pStyle w:val="3"/>
                    <w:keepNext w:val="0"/>
                    <w:keepLines w:val="0"/>
                    <w:pageBreakBefore w:val="0"/>
                    <w:kinsoku/>
                    <w:wordWrap/>
                    <w:overflowPunct/>
                    <w:topLinePunct w:val="0"/>
                    <w:autoSpaceDE w:val="0"/>
                    <w:autoSpaceDN w:val="0"/>
                    <w:bidi w:val="0"/>
                    <w:adjustRightInd/>
                    <w:snapToGrid/>
                    <w:spacing w:line="360" w:lineRule="auto"/>
                    <w:ind w:left="0" w:leftChars="0"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UV催化装置废灯管</w:t>
                  </w:r>
                </w:p>
              </w:tc>
              <w:tc>
                <w:tcPr>
                  <w:tcW w:w="1159" w:type="dxa"/>
                  <w:noWrap w:val="0"/>
                  <w:vAlign w:val="top"/>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废气处理 </w:t>
                  </w:r>
                </w:p>
              </w:tc>
              <w:tc>
                <w:tcPr>
                  <w:tcW w:w="832"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固态</w:t>
                  </w:r>
                </w:p>
              </w:tc>
              <w:tc>
                <w:tcPr>
                  <w:tcW w:w="2032" w:type="dxa"/>
                  <w:noWrap w:val="0"/>
                  <w:vAlign w:val="top"/>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highlight w:val="none"/>
                      <w14:textFill>
                        <w14:solidFill>
                          <w14:schemeClr w14:val="tx1"/>
                        </w14:solidFill>
                      </w14:textFill>
                    </w:rPr>
                    <w:t>含汞废物</w:t>
                  </w:r>
                </w:p>
              </w:tc>
              <w:tc>
                <w:tcPr>
                  <w:tcW w:w="2244" w:type="dxa"/>
                  <w:noWrap w:val="0"/>
                  <w:vAlign w:val="top"/>
                </w:tcPr>
                <w:p>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危废间暂存，委托有资质单位代为处置 </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493" w:type="dxa"/>
                  <w:noWrap w:val="0"/>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w:t>
                  </w:r>
                  <w:r>
                    <w:rPr>
                      <w:rFonts w:hint="default" w:ascii="Times New Roman" w:hAnsi="Times New Roman" w:cs="Times New Roman"/>
                      <w:color w:val="000000" w:themeColor="text1"/>
                      <w:sz w:val="21"/>
                      <w:szCs w:val="21"/>
                      <w:lang w:val="en-US" w:eastAsia="zh-CN"/>
                      <w14:textFill>
                        <w14:solidFill>
                          <w14:schemeClr w14:val="tx1"/>
                        </w14:solidFill>
                      </w14:textFill>
                    </w:rPr>
                    <w:t>9</w:t>
                  </w:r>
                </w:p>
              </w:tc>
              <w:tc>
                <w:tcPr>
                  <w:tcW w:w="777"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w:t>
                  </w:r>
                </w:p>
              </w:tc>
              <w:tc>
                <w:tcPr>
                  <w:tcW w:w="1159" w:type="dxa"/>
                  <w:noWrap w:val="0"/>
                  <w:vAlign w:val="top"/>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生活</w:t>
                  </w:r>
                </w:p>
              </w:tc>
              <w:tc>
                <w:tcPr>
                  <w:tcW w:w="832"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固态</w:t>
                  </w:r>
                </w:p>
              </w:tc>
              <w:tc>
                <w:tcPr>
                  <w:tcW w:w="2032" w:type="dxa"/>
                  <w:noWrap w:val="0"/>
                  <w:vAlign w:val="top"/>
                </w:tcPr>
                <w:p>
                  <w:pPr>
                    <w:keepNext w:val="0"/>
                    <w:keepLines w:val="0"/>
                    <w:widowControl/>
                    <w:suppressLineNumbers w:val="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2244" w:type="dxa"/>
                  <w:noWrap w:val="0"/>
                  <w:vAlign w:val="top"/>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袋装后送垃圾收集点，由乡镇垃圾中转站清运</w:t>
                  </w:r>
                </w:p>
              </w:tc>
            </w:tr>
          </w:tbl>
          <w:p>
            <w:pPr>
              <w:pStyle w:val="3"/>
              <w:ind w:firstLine="480"/>
            </w:pPr>
            <w:r>
              <w:rPr>
                <w:rFonts w:hint="eastAsia"/>
              </w:rPr>
              <w:t>危险废物在交有资质单位处置前，应按照危险废物暂存要求在厂内危废暂存间暂存。危废暂存间设计、建设、使用必须严格落实《危险废物贮存污染控制标准》（GB13271-2001）的要求。</w:t>
            </w:r>
          </w:p>
          <w:p>
            <w:pPr>
              <w:pStyle w:val="3"/>
              <w:ind w:firstLine="480"/>
              <w:rPr>
                <w:rFonts w:hint="eastAsia"/>
              </w:rPr>
            </w:pPr>
            <w:r>
              <w:rPr>
                <w:rFonts w:hint="eastAsia"/>
              </w:rPr>
              <w:t>危废暂存间设置及管理要求：</w:t>
            </w:r>
          </w:p>
          <w:p>
            <w:pPr>
              <w:pStyle w:val="3"/>
              <w:ind w:firstLine="480"/>
              <w:rPr>
                <w:rFonts w:hint="eastAsia"/>
              </w:rPr>
            </w:pPr>
            <w:r>
              <w:rPr>
                <w:rFonts w:hint="eastAsia"/>
              </w:rPr>
              <w:t>①危废暂存间需进行四防措施（防风、防晒、防雨、防渗），并设置明显警示标志；地面应按《危险废物贮存污染控制标准》（GB13271-2001）的相关要求对危险废物临时贮存场所进行建设，地面采用坚固、防渗、耐腐蚀的材料建造，确保防渗系数≤10</w:t>
            </w:r>
            <w:r>
              <w:rPr>
                <w:rFonts w:hint="eastAsia"/>
                <w:vertAlign w:val="superscript"/>
              </w:rPr>
              <w:t>-10</w:t>
            </w:r>
            <w:r>
              <w:rPr>
                <w:rFonts w:hint="eastAsia"/>
              </w:rPr>
              <w:t>cm/s。</w:t>
            </w:r>
          </w:p>
          <w:p>
            <w:pPr>
              <w:pStyle w:val="3"/>
              <w:ind w:firstLine="480"/>
              <w:rPr>
                <w:rFonts w:hint="eastAsia"/>
              </w:rPr>
            </w:pPr>
            <w:r>
              <w:rPr>
                <w:rFonts w:hint="eastAsia"/>
              </w:rPr>
              <w:t>②危废暂存场所需按照危险废物的类别化粪储存区域，各类型危废应分类、分区单独储存。禁止将不相容（相互反应）的危险废物在同一容器内混装。</w:t>
            </w:r>
          </w:p>
          <w:p>
            <w:pPr>
              <w:pStyle w:val="3"/>
              <w:ind w:firstLine="480"/>
              <w:rPr>
                <w:rFonts w:hint="eastAsia"/>
              </w:rPr>
            </w:pPr>
            <w:r>
              <w:rPr>
                <w:rFonts w:hint="eastAsia"/>
              </w:rPr>
              <w:t>③各类危险废物应使用符合国家标准的容器盛装。盛装危险废物的容器必须具有耐腐蚀、耐压/密封和不与贮存的废物发生反应等特性，贮存容器应保证完好无损并且具有明显标志。破损的废溶剂包装桶应密闭堆放，同时应设置有明显的警示标志。</w:t>
            </w:r>
          </w:p>
          <w:p>
            <w:pPr>
              <w:pStyle w:val="3"/>
              <w:ind w:firstLine="480"/>
              <w:rPr>
                <w:rFonts w:hint="eastAsia"/>
              </w:rPr>
            </w:pPr>
            <w:r>
              <w:rPr>
                <w:rFonts w:hint="eastAsia"/>
              </w:rPr>
              <w:t>④须作好危险废物情况的记录，记录上须注明危险废物的名称、来源、数量、特性和包装容器的类别、入库日期、存放库位、废物出库日期及接受单位名称。</w:t>
            </w:r>
          </w:p>
          <w:p>
            <w:pPr>
              <w:pStyle w:val="3"/>
              <w:ind w:firstLine="480"/>
            </w:pPr>
            <w:r>
              <w:rPr>
                <w:rFonts w:hint="eastAsia"/>
              </w:rPr>
              <w:t>⑤必须定期对所贮存危险废物的包装容器及贮存设施进行检查，发现破损，应及时采取措施清理更换。</w:t>
            </w:r>
          </w:p>
          <w:p>
            <w:pPr>
              <w:pStyle w:val="3"/>
              <w:ind w:firstLine="480"/>
              <w:rPr>
                <w:rFonts w:hint="eastAsia"/>
              </w:rPr>
            </w:pPr>
            <w:r>
              <w:rPr>
                <w:rFonts w:hint="eastAsia"/>
              </w:rPr>
              <w:t>危险废物运输要求：</w:t>
            </w:r>
          </w:p>
          <w:p>
            <w:pPr>
              <w:pStyle w:val="3"/>
              <w:ind w:firstLine="480"/>
              <w:rPr>
                <w:rFonts w:hint="eastAsia"/>
              </w:rPr>
            </w:pPr>
            <w:r>
              <w:rPr>
                <w:rFonts w:hint="eastAsia"/>
              </w:rPr>
              <w:t>①危险废物运输应由持有危险废物经营许可证的单位按照其许可证的经营范围组织实施，承担危险废物运输的单位应获得交通运输部门颁发的危险货物运输资质；</w:t>
            </w:r>
          </w:p>
          <w:p>
            <w:pPr>
              <w:pStyle w:val="3"/>
              <w:ind w:firstLine="480"/>
              <w:rPr>
                <w:rFonts w:hint="eastAsia"/>
              </w:rPr>
            </w:pPr>
            <w:r>
              <w:rPr>
                <w:rFonts w:hint="eastAsia"/>
              </w:rPr>
              <w:t>②危险废物公路运输应按照《道路危险货物运输管理规定》（交通部令</w:t>
            </w:r>
            <w:r>
              <w:rPr>
                <w:rFonts w:hint="eastAsia"/>
                <w:lang w:eastAsia="zh-CN"/>
              </w:rPr>
              <w:t>〔</w:t>
            </w:r>
            <w:r>
              <w:rPr>
                <w:rFonts w:hint="eastAsia"/>
              </w:rPr>
              <w:t>2005年</w:t>
            </w:r>
            <w:r>
              <w:rPr>
                <w:rFonts w:hint="eastAsia"/>
                <w:lang w:eastAsia="zh-CN"/>
              </w:rPr>
              <w:t>〕</w:t>
            </w:r>
            <w:r>
              <w:rPr>
                <w:rFonts w:hint="eastAsia"/>
              </w:rPr>
              <w:t>第9号）、JT617以及JT618执行；</w:t>
            </w:r>
          </w:p>
          <w:p>
            <w:pPr>
              <w:pStyle w:val="3"/>
              <w:ind w:firstLine="480"/>
              <w:rPr>
                <w:rFonts w:hint="eastAsia"/>
              </w:rPr>
            </w:pPr>
            <w:r>
              <w:rPr>
                <w:rFonts w:hint="eastAsia"/>
              </w:rPr>
              <w:t>③运输单位承运危险废物时，应在危险废物包装上按照GB18597附录A设置标志；</w:t>
            </w:r>
          </w:p>
          <w:p>
            <w:pPr>
              <w:pStyle w:val="3"/>
              <w:ind w:firstLine="480"/>
              <w:rPr>
                <w:rFonts w:hint="eastAsia"/>
              </w:rPr>
            </w:pPr>
            <w:r>
              <w:rPr>
                <w:rFonts w:hint="eastAsia"/>
              </w:rPr>
              <w:t>④危险废物公路运输时，运输车辆应按GB13392设置车辆标志；</w:t>
            </w:r>
          </w:p>
          <w:p>
            <w:pPr>
              <w:pStyle w:val="3"/>
              <w:ind w:firstLine="480"/>
            </w:pPr>
            <w:r>
              <w:rPr>
                <w:rFonts w:hint="eastAsia"/>
              </w:rPr>
              <w:t>在采取上述固体废物收集、暂存、处置措施后，运营期固体废物均可得到妥善处置，不会产生二次污染，对周围环境不会产生明显影响。</w:t>
            </w:r>
          </w:p>
          <w:p>
            <w:pPr>
              <w:pStyle w:val="3"/>
              <w:ind w:firstLine="480"/>
              <w:rPr>
                <w:rFonts w:hint="eastAsia"/>
                <w:b/>
                <w:bCs/>
              </w:rPr>
            </w:pPr>
            <w:r>
              <w:rPr>
                <w:b/>
                <w:bCs/>
              </w:rPr>
              <w:t>5</w:t>
            </w:r>
            <w:r>
              <w:rPr>
                <w:rFonts w:hint="eastAsia"/>
                <w:b/>
                <w:bCs/>
              </w:rPr>
              <w:t>、地下水防治措施</w:t>
            </w:r>
          </w:p>
          <w:p>
            <w:pPr>
              <w:pStyle w:val="3"/>
              <w:ind w:firstLine="480"/>
              <w:rPr>
                <w:rFonts w:hint="eastAsia"/>
              </w:rPr>
            </w:pPr>
            <w:r>
              <w:rPr>
                <w:rFonts w:hint="eastAsia"/>
              </w:rPr>
              <w:t>根据《环境影响评价技术导则 地下水环境》（HJ 610-2016），本项目为Ⅳ类项目，无须进行地下水环境影响评价。</w:t>
            </w:r>
          </w:p>
          <w:p>
            <w:pPr>
              <w:pStyle w:val="3"/>
              <w:ind w:firstLine="480"/>
              <w:rPr>
                <w:rFonts w:hint="eastAsia"/>
              </w:rPr>
            </w:pPr>
            <w:r>
              <w:rPr>
                <w:rFonts w:hint="eastAsia"/>
              </w:rPr>
              <w:t>拟建项目可能对地下水造成污染的途径主要有：危险废物暂存间存放危险废物、预处理池废水等下渗对地下水造成的污染。根据工程所处区域地下水埋深较浅、含水层厚度大、分布面积广的地质情况，为有效规避地下水环境污染的风险，应做好地下水污染预防措施，应按照“源头控制、分区控制、污染监控、应急响应”的主动与被动防渗相结合的防渗原则。本项目拟采取的地下水的防治措施如下所述：</w:t>
            </w:r>
          </w:p>
          <w:p>
            <w:pPr>
              <w:pStyle w:val="3"/>
              <w:ind w:firstLine="480"/>
              <w:rPr>
                <w:rFonts w:hint="eastAsia"/>
              </w:rPr>
            </w:pPr>
            <w:r>
              <w:rPr>
                <w:rFonts w:hint="eastAsia"/>
              </w:rPr>
              <w:t>①源头控制</w:t>
            </w:r>
          </w:p>
          <w:p>
            <w:pPr>
              <w:pStyle w:val="3"/>
              <w:ind w:firstLine="480"/>
              <w:rPr>
                <w:rFonts w:hint="eastAsia"/>
              </w:rPr>
            </w:pPr>
            <w:r>
              <w:rPr>
                <w:rFonts w:hint="eastAsia"/>
              </w:rPr>
              <w:t>项目应根据国家现行相关规范加强环境管理，采取防止和降低污染物跑、冒、滴、漏的措施。正常运营过程中应加强机修过程中污染物跑、冒、滴、漏，同时应加强对防渗工程的检查，若发现防渗密封材料老化或损坏，应及时维修更换。</w:t>
            </w:r>
          </w:p>
          <w:p>
            <w:pPr>
              <w:pStyle w:val="3"/>
              <w:ind w:firstLine="480"/>
              <w:rPr>
                <w:rFonts w:hint="eastAsia"/>
              </w:rPr>
            </w:pPr>
            <w:r>
              <w:rPr>
                <w:rFonts w:hint="eastAsia"/>
              </w:rPr>
              <w:t>②分区防渗</w:t>
            </w:r>
          </w:p>
          <w:p>
            <w:pPr>
              <w:pStyle w:val="3"/>
              <w:ind w:firstLine="480"/>
              <w:rPr>
                <w:rFonts w:hint="eastAsia"/>
              </w:rPr>
            </w:pPr>
            <w:r>
              <w:rPr>
                <w:rFonts w:hint="eastAsia"/>
              </w:rPr>
              <w:t>本项目采用分区防渗措施，具体划分措施如下：</w:t>
            </w:r>
          </w:p>
          <w:p>
            <w:pPr>
              <w:pStyle w:val="3"/>
              <w:ind w:firstLine="480"/>
              <w:rPr>
                <w:rFonts w:hint="eastAsia"/>
              </w:rPr>
            </w:pPr>
            <w:r>
              <w:rPr>
                <w:rFonts w:hint="eastAsia"/>
              </w:rPr>
              <w:t>分区防治措施将按厂区各功能单元所处的位置划分为重点防渗区和一般防渗区：</w:t>
            </w:r>
          </w:p>
          <w:p>
            <w:pPr>
              <w:pStyle w:val="3"/>
              <w:ind w:firstLine="482"/>
              <w:rPr>
                <w:rFonts w:hint="eastAsia"/>
              </w:rPr>
            </w:pPr>
            <w:r>
              <w:rPr>
                <w:rFonts w:hint="eastAsia"/>
                <w:b/>
              </w:rPr>
              <w:t>重点防渗区：</w:t>
            </w:r>
            <w:r>
              <w:rPr>
                <w:rFonts w:hint="eastAsia"/>
              </w:rPr>
              <w:t>危废暂存间、</w:t>
            </w:r>
            <w:r>
              <w:rPr>
                <w:rFonts w:hint="eastAsia"/>
                <w:lang w:val="en-US" w:eastAsia="zh-CN"/>
              </w:rPr>
              <w:t>轻</w:t>
            </w:r>
            <w:r>
              <w:rPr>
                <w:rFonts w:hint="eastAsia"/>
              </w:rPr>
              <w:t>油罐、柴油罐、沥青罐、沥青搅拌区域。</w:t>
            </w:r>
          </w:p>
          <w:p>
            <w:pPr>
              <w:pStyle w:val="3"/>
              <w:ind w:firstLine="482"/>
              <w:rPr>
                <w:rFonts w:hint="eastAsia"/>
              </w:rPr>
            </w:pPr>
            <w:r>
              <w:rPr>
                <w:rFonts w:hint="eastAsia"/>
                <w:b/>
              </w:rPr>
              <w:t>一般防渗区：</w:t>
            </w:r>
            <w:r>
              <w:rPr>
                <w:rFonts w:hint="eastAsia"/>
              </w:rPr>
              <w:t>厂区内除重点防渗区的其他区域。</w:t>
            </w:r>
          </w:p>
          <w:p>
            <w:pPr>
              <w:pStyle w:val="3"/>
              <w:ind w:firstLine="480"/>
              <w:rPr>
                <w:rFonts w:hint="eastAsia"/>
              </w:rPr>
            </w:pPr>
            <w:r>
              <w:rPr>
                <w:rFonts w:hint="eastAsia"/>
              </w:rPr>
              <w:t>防渗层尽量在地表铺设，按照污染防治分区采取不同的设计方案，具体如下：</w:t>
            </w:r>
          </w:p>
          <w:p>
            <w:pPr>
              <w:pStyle w:val="3"/>
              <w:ind w:firstLine="480"/>
              <w:rPr>
                <w:rFonts w:hint="eastAsia"/>
              </w:rPr>
            </w:pPr>
            <w:r>
              <w:rPr>
                <w:rFonts w:hint="eastAsia"/>
              </w:rPr>
              <w:t>①一般防渗区：地面采取粘土铺底，再在上层铺10~15cm 的水泥进行硬化，一般防渗区各单元防渗层渗透系数≤10</w:t>
            </w:r>
            <w:r>
              <w:rPr>
                <w:rFonts w:hint="eastAsia"/>
                <w:vertAlign w:val="superscript"/>
              </w:rPr>
              <w:t>-7</w:t>
            </w:r>
            <w:r>
              <w:rPr>
                <w:rFonts w:hint="eastAsia"/>
              </w:rPr>
              <w:t>cm/s。</w:t>
            </w:r>
          </w:p>
          <w:p>
            <w:pPr>
              <w:pStyle w:val="3"/>
              <w:ind w:firstLine="480"/>
              <w:rPr>
                <w:rFonts w:hint="eastAsia"/>
              </w:rPr>
            </w:pPr>
            <w:r>
              <w:rPr>
                <w:rFonts w:hint="eastAsia"/>
              </w:rPr>
              <w:t>②重点防渗区：采用至少1m厚黏土层（渗透系数K≤1×10</w:t>
            </w:r>
            <w:r>
              <w:rPr>
                <w:rFonts w:hint="eastAsia"/>
                <w:vertAlign w:val="superscript"/>
              </w:rPr>
              <w:t>-7</w:t>
            </w:r>
            <w:r>
              <w:rPr>
                <w:rFonts w:hint="eastAsia"/>
              </w:rPr>
              <w:t>cm/s），或2mm厚高密度聚乙烯，或至少2mm厚的其它人工材料，渗透系数≤10</w:t>
            </w:r>
            <w:r>
              <w:rPr>
                <w:rFonts w:hint="eastAsia"/>
                <w:vertAlign w:val="superscript"/>
              </w:rPr>
              <w:t>-10</w:t>
            </w:r>
            <w:r>
              <w:rPr>
                <w:rFonts w:hint="eastAsia"/>
              </w:rPr>
              <w:t>cm/s。防止污染地下水。</w:t>
            </w:r>
          </w:p>
          <w:p>
            <w:pPr>
              <w:pStyle w:val="3"/>
              <w:ind w:firstLine="480"/>
            </w:pPr>
            <w:r>
              <w:rPr>
                <w:rFonts w:hint="eastAsia"/>
              </w:rPr>
              <w:t>经采取以上防护措施后，可有效防止项目污染物渗漏污染地下水、土壤以及地表水。</w:t>
            </w: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0" w:firstLineChars="0"/>
              <w:textAlignment w:val="auto"/>
              <w:outlineLvl w:val="9"/>
              <w:rPr>
                <w:b/>
                <w:color w:val="auto"/>
                <w:sz w:val="28"/>
                <w:szCs w:val="22"/>
                <w:highlight w:val="none"/>
              </w:rPr>
            </w:pPr>
            <w:r>
              <w:rPr>
                <w:rFonts w:hint="eastAsia"/>
                <w:b/>
                <w:color w:val="auto"/>
                <w:sz w:val="28"/>
                <w:szCs w:val="22"/>
                <w:highlight w:val="none"/>
                <w:lang w:eastAsia="zh-CN"/>
              </w:rPr>
              <w:t>（</w:t>
            </w:r>
            <w:r>
              <w:rPr>
                <w:rFonts w:hint="eastAsia"/>
                <w:b/>
                <w:color w:val="auto"/>
                <w:sz w:val="28"/>
                <w:szCs w:val="22"/>
                <w:highlight w:val="none"/>
                <w:lang w:val="en-US" w:eastAsia="zh-CN"/>
              </w:rPr>
              <w:t>二</w:t>
            </w:r>
            <w:r>
              <w:rPr>
                <w:rFonts w:hint="eastAsia"/>
                <w:b/>
                <w:color w:val="auto"/>
                <w:sz w:val="28"/>
                <w:szCs w:val="22"/>
                <w:highlight w:val="none"/>
                <w:lang w:eastAsia="zh-CN"/>
              </w:rPr>
              <w:t>）</w:t>
            </w:r>
            <w:r>
              <w:rPr>
                <w:rFonts w:hint="eastAsia"/>
                <w:b/>
                <w:color w:val="auto"/>
                <w:sz w:val="28"/>
                <w:szCs w:val="22"/>
                <w:highlight w:val="none"/>
                <w:lang w:val="en-US" w:eastAsia="zh-CN"/>
              </w:rPr>
              <w:t>主要</w:t>
            </w:r>
            <w:r>
              <w:rPr>
                <w:b/>
                <w:color w:val="auto"/>
                <w:sz w:val="28"/>
                <w:szCs w:val="22"/>
                <w:highlight w:val="none"/>
              </w:rPr>
              <w:t>环境影响分析</w:t>
            </w: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482" w:firstLineChars="200"/>
              <w:textAlignment w:val="auto"/>
              <w:outlineLvl w:val="9"/>
              <w:rPr>
                <w:b/>
                <w:color w:val="auto"/>
                <w:sz w:val="24"/>
                <w:highlight w:val="none"/>
              </w:rPr>
            </w:pPr>
            <w:r>
              <w:rPr>
                <w:b/>
                <w:color w:val="auto"/>
                <w:sz w:val="24"/>
                <w:highlight w:val="none"/>
              </w:rPr>
              <w:t>1、地表水环境影响分析</w:t>
            </w: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470" w:firstLineChars="196"/>
              <w:textAlignment w:val="auto"/>
              <w:outlineLvl w:val="9"/>
              <w:rPr>
                <w:color w:val="auto"/>
                <w:sz w:val="24"/>
                <w:highlight w:val="none"/>
              </w:rPr>
            </w:pPr>
            <w:r>
              <w:rPr>
                <w:color w:val="auto"/>
                <w:sz w:val="24"/>
                <w:highlight w:val="none"/>
              </w:rPr>
              <w:t>（1）评价工作等级</w:t>
            </w:r>
          </w:p>
          <w:p>
            <w:pPr>
              <w:keepNext w:val="0"/>
              <w:keepLines w:val="0"/>
              <w:pageBreakBefore w:val="0"/>
              <w:kinsoku/>
              <w:wordWrap/>
              <w:overflowPunct/>
              <w:topLinePunct w:val="0"/>
              <w:autoSpaceDE/>
              <w:autoSpaceDN/>
              <w:bidi w:val="0"/>
              <w:adjustRightInd/>
              <w:snapToGrid/>
              <w:spacing w:before="0" w:beforeLines="0" w:after="0" w:afterLines="0" w:line="360" w:lineRule="auto"/>
              <w:ind w:left="0" w:leftChars="0" w:right="0" w:rightChars="0" w:firstLine="470" w:firstLineChars="196"/>
              <w:textAlignment w:val="auto"/>
              <w:outlineLvl w:val="9"/>
              <w:rPr>
                <w:color w:val="auto"/>
                <w:kern w:val="0"/>
                <w:sz w:val="24"/>
                <w:highlight w:val="none"/>
                <w:lang w:bidi="ar"/>
              </w:rPr>
            </w:pPr>
            <w:r>
              <w:rPr>
                <w:color w:val="auto"/>
                <w:kern w:val="0"/>
                <w:sz w:val="24"/>
                <w:highlight w:val="none"/>
                <w:lang w:bidi="ar"/>
              </w:rPr>
              <w:t>根据环境影响评价技术导则《环境影响评价技术导则地表水环境》（HJ/2.3-2018）要求，结合建设项目所处地理位置、区域环境功能区划及环境现状、项目所排污染物量与污染物种类等，确定该项目地表水的环境影响评价工作等级。</w:t>
            </w:r>
          </w:p>
          <w:p>
            <w:pPr>
              <w:keepNext w:val="0"/>
              <w:keepLines w:val="0"/>
              <w:pageBreakBefore w:val="0"/>
              <w:widowControl/>
              <w:kinsoku/>
              <w:wordWrap/>
              <w:overflowPunct/>
              <w:topLinePunct w:val="0"/>
              <w:autoSpaceDE/>
              <w:autoSpaceDN/>
              <w:bidi w:val="0"/>
              <w:adjustRightInd/>
              <w:snapToGrid/>
              <w:spacing w:before="0" w:beforeLines="0" w:after="0" w:afterLines="0" w:line="360" w:lineRule="auto"/>
              <w:ind w:left="0" w:leftChars="0" w:right="0" w:rightChars="0" w:firstLine="480" w:firstLineChars="200"/>
              <w:jc w:val="left"/>
              <w:textAlignment w:val="auto"/>
              <w:outlineLvl w:val="9"/>
              <w:rPr>
                <w:color w:val="auto"/>
                <w:kern w:val="0"/>
                <w:sz w:val="24"/>
                <w:highlight w:val="none"/>
                <w:lang w:bidi="ar"/>
              </w:rPr>
            </w:pPr>
            <w:r>
              <w:rPr>
                <w:color w:val="auto"/>
                <w:kern w:val="0"/>
                <w:sz w:val="24"/>
                <w:highlight w:val="none"/>
                <w:lang w:bidi="ar"/>
              </w:rPr>
              <w:t>本项目废水包括生产废水和生活废水，属于水污染影响型建设项目，根据《环境影响评价技术导则地表水环境》（HJ/2.3-2018），水污染影响型建设项目评价等级判定见表</w:t>
            </w:r>
            <w:r>
              <w:rPr>
                <w:rFonts w:hint="eastAsia"/>
                <w:color w:val="auto"/>
                <w:kern w:val="0"/>
                <w:sz w:val="24"/>
                <w:highlight w:val="none"/>
                <w:lang w:val="en-US" w:eastAsia="zh-CN" w:bidi="ar"/>
              </w:rPr>
              <w:t>4</w:t>
            </w:r>
            <w:r>
              <w:rPr>
                <w:color w:val="auto"/>
                <w:kern w:val="0"/>
                <w:sz w:val="24"/>
                <w:highlight w:val="none"/>
                <w:lang w:bidi="ar"/>
              </w:rPr>
              <w:t>-1</w:t>
            </w:r>
            <w:r>
              <w:rPr>
                <w:rFonts w:hint="eastAsia"/>
                <w:color w:val="auto"/>
                <w:kern w:val="0"/>
                <w:sz w:val="24"/>
                <w:highlight w:val="none"/>
                <w:lang w:val="en-US" w:eastAsia="zh-CN" w:bidi="ar"/>
              </w:rPr>
              <w:t>1</w:t>
            </w:r>
            <w:r>
              <w:rPr>
                <w:color w:val="auto"/>
                <w:kern w:val="0"/>
                <w:sz w:val="24"/>
                <w:highlight w:val="none"/>
                <w:lang w:bidi="ar"/>
              </w:rPr>
              <w:t>。</w:t>
            </w:r>
          </w:p>
          <w:p>
            <w:pPr>
              <w:contextualSpacing/>
              <w:jc w:val="center"/>
              <w:rPr>
                <w:rFonts w:eastAsia="黑体"/>
                <w:color w:val="auto"/>
                <w:sz w:val="24"/>
                <w:highlight w:val="none"/>
              </w:rPr>
            </w:pPr>
            <w:r>
              <w:rPr>
                <w:rFonts w:hint="eastAsia" w:ascii="Times New Roman" w:hAnsi="Times New Roman" w:eastAsia="宋体" w:cs="Times New Roman"/>
                <w:b/>
                <w:bCs/>
                <w:color w:val="auto"/>
                <w:sz w:val="21"/>
                <w:szCs w:val="21"/>
                <w:highlight w:val="none"/>
                <w:lang w:val="zh-CN" w:eastAsia="zh-CN" w:bidi="zh-CN"/>
              </w:rPr>
              <w:t>表</w:t>
            </w:r>
            <w:r>
              <w:rPr>
                <w:rFonts w:hint="eastAsia" w:ascii="Times New Roman" w:hAnsi="Times New Roman" w:eastAsia="宋体" w:cs="Times New Roman"/>
                <w:b/>
                <w:bCs/>
                <w:color w:val="auto"/>
                <w:sz w:val="21"/>
                <w:szCs w:val="21"/>
                <w:highlight w:val="none"/>
                <w:lang w:val="en-US" w:eastAsia="zh-CN" w:bidi="zh-CN"/>
              </w:rPr>
              <w:t>4</w:t>
            </w:r>
            <w:r>
              <w:rPr>
                <w:rFonts w:hint="eastAsia" w:ascii="Times New Roman" w:hAnsi="Times New Roman" w:eastAsia="宋体" w:cs="Times New Roman"/>
                <w:b/>
                <w:bCs/>
                <w:color w:val="auto"/>
                <w:sz w:val="21"/>
                <w:szCs w:val="21"/>
                <w:highlight w:val="none"/>
                <w:lang w:val="zh-CN" w:eastAsia="zh-CN" w:bidi="zh-CN"/>
              </w:rPr>
              <w:t>-1</w:t>
            </w:r>
            <w:r>
              <w:rPr>
                <w:rFonts w:hint="eastAsia" w:ascii="Times New Roman" w:hAnsi="Times New Roman" w:eastAsia="宋体" w:cs="Times New Roman"/>
                <w:b/>
                <w:bCs/>
                <w:color w:val="auto"/>
                <w:sz w:val="21"/>
                <w:szCs w:val="21"/>
                <w:highlight w:val="none"/>
                <w:lang w:val="en-US" w:eastAsia="zh-CN" w:bidi="zh-CN"/>
              </w:rPr>
              <w:t>1</w:t>
            </w:r>
            <w:r>
              <w:rPr>
                <w:rFonts w:hint="eastAsia" w:ascii="Times New Roman" w:hAnsi="Times New Roman" w:eastAsia="宋体" w:cs="Times New Roman"/>
                <w:b/>
                <w:bCs/>
                <w:color w:val="auto"/>
                <w:sz w:val="21"/>
                <w:szCs w:val="21"/>
                <w:highlight w:val="none"/>
                <w:lang w:val="zh-CN" w:eastAsia="zh-CN" w:bidi="zh-CN"/>
              </w:rPr>
              <w:t xml:space="preserve">  水污染影响型建设项目评价等级判定</w:t>
            </w:r>
          </w:p>
          <w:tbl>
            <w:tblPr>
              <w:tblStyle w:val="11"/>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78"/>
              <w:gridCol w:w="2636"/>
              <w:gridCol w:w="362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778" w:type="dxa"/>
                  <w:noWrap w:val="0"/>
                  <w:vAlign w:val="center"/>
                </w:tcPr>
                <w:p>
                  <w:pPr>
                    <w:jc w:val="center"/>
                    <w:rPr>
                      <w:rFonts w:hint="default" w:ascii="Times New Roman" w:hAnsi="Times New Roman" w:cs="Times New Roman"/>
                      <w:b/>
                      <w:bCs/>
                      <w:color w:val="auto"/>
                      <w:highlight w:val="none"/>
                      <w:shd w:val="clear" w:color="auto" w:fill="FFFFFF"/>
                    </w:rPr>
                  </w:pPr>
                  <w:r>
                    <w:rPr>
                      <w:rFonts w:hint="default" w:ascii="Times New Roman" w:hAnsi="Times New Roman" w:cs="Times New Roman"/>
                      <w:b/>
                      <w:bCs/>
                      <w:color w:val="auto"/>
                      <w:highlight w:val="none"/>
                      <w:shd w:val="clear" w:color="auto" w:fill="FFFFFF"/>
                    </w:rPr>
                    <w:t>评价等级</w:t>
                  </w:r>
                </w:p>
              </w:tc>
              <w:tc>
                <w:tcPr>
                  <w:tcW w:w="2636" w:type="dxa"/>
                  <w:noWrap w:val="0"/>
                  <w:vAlign w:val="center"/>
                </w:tcPr>
                <w:p>
                  <w:pPr>
                    <w:jc w:val="center"/>
                    <w:rPr>
                      <w:rFonts w:hint="default" w:ascii="Times New Roman" w:hAnsi="Times New Roman" w:cs="Times New Roman"/>
                      <w:b/>
                      <w:bCs/>
                      <w:color w:val="auto"/>
                      <w:highlight w:val="none"/>
                      <w:shd w:val="clear" w:color="auto" w:fill="FFFFFF"/>
                    </w:rPr>
                  </w:pPr>
                  <w:r>
                    <w:rPr>
                      <w:rFonts w:hint="default" w:ascii="Times New Roman" w:hAnsi="Times New Roman" w:cs="Times New Roman"/>
                      <w:b/>
                      <w:bCs/>
                      <w:color w:val="auto"/>
                      <w:highlight w:val="none"/>
                      <w:shd w:val="clear" w:color="auto" w:fill="FFFFFF"/>
                    </w:rPr>
                    <w:t>排放方式</w:t>
                  </w:r>
                </w:p>
              </w:tc>
              <w:tc>
                <w:tcPr>
                  <w:tcW w:w="3623" w:type="dxa"/>
                  <w:noWrap w:val="0"/>
                  <w:vAlign w:val="center"/>
                </w:tcPr>
                <w:p>
                  <w:pPr>
                    <w:jc w:val="center"/>
                    <w:rPr>
                      <w:rFonts w:hint="default" w:ascii="Times New Roman" w:hAnsi="Times New Roman" w:cs="Times New Roman"/>
                      <w:b/>
                      <w:bCs/>
                      <w:color w:val="auto"/>
                      <w:highlight w:val="none"/>
                      <w:shd w:val="clear" w:color="auto" w:fill="FFFFFF"/>
                    </w:rPr>
                  </w:pPr>
                  <w:r>
                    <w:rPr>
                      <w:rFonts w:hint="default" w:ascii="Times New Roman" w:hAnsi="Times New Roman" w:cs="Times New Roman"/>
                      <w:b/>
                      <w:bCs/>
                      <w:color w:val="auto"/>
                      <w:highlight w:val="none"/>
                      <w:shd w:val="clear" w:color="auto" w:fill="FFFFFF"/>
                    </w:rPr>
                    <w:t>废水排放量Q/（m</w:t>
                  </w:r>
                  <w:r>
                    <w:rPr>
                      <w:rFonts w:hint="default" w:ascii="Times New Roman" w:hAnsi="Times New Roman" w:cs="Times New Roman"/>
                      <w:b/>
                      <w:bCs/>
                      <w:color w:val="auto"/>
                      <w:highlight w:val="none"/>
                      <w:shd w:val="clear" w:color="auto" w:fill="FFFFFF"/>
                      <w:vertAlign w:val="superscript"/>
                    </w:rPr>
                    <w:t>3</w:t>
                  </w:r>
                  <w:r>
                    <w:rPr>
                      <w:rFonts w:hint="default" w:ascii="Times New Roman" w:hAnsi="Times New Roman" w:cs="Times New Roman"/>
                      <w:b/>
                      <w:bCs/>
                      <w:color w:val="auto"/>
                      <w:highlight w:val="none"/>
                      <w:shd w:val="clear" w:color="auto" w:fill="FFFFFF"/>
                    </w:rPr>
                    <w:t>/d）</w:t>
                  </w:r>
                </w:p>
                <w:p>
                  <w:pPr>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shd w:val="clear" w:color="auto" w:fill="FFFFFF"/>
                    </w:rPr>
                    <w:t>水污染物当量数W/（无量纲）</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3" w:hRule="atLeast"/>
                <w:jc w:val="center"/>
              </w:trPr>
              <w:tc>
                <w:tcPr>
                  <w:tcW w:w="1778" w:type="dxa"/>
                  <w:noWrap w:val="0"/>
                  <w:vAlign w:val="center"/>
                </w:tcPr>
                <w:p>
                  <w:pPr>
                    <w:jc w:val="center"/>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一级</w:t>
                  </w:r>
                </w:p>
              </w:tc>
              <w:tc>
                <w:tcPr>
                  <w:tcW w:w="2636" w:type="dxa"/>
                  <w:noWrap w:val="0"/>
                  <w:vAlign w:val="center"/>
                </w:tcPr>
                <w:p>
                  <w:pPr>
                    <w:jc w:val="center"/>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直接排放</w:t>
                  </w:r>
                </w:p>
              </w:tc>
              <w:tc>
                <w:tcPr>
                  <w:tcW w:w="3623" w:type="dxa"/>
                  <w:noWrap w:val="0"/>
                  <w:vAlign w:val="center"/>
                </w:tcPr>
                <w:p>
                  <w:pPr>
                    <w:jc w:val="center"/>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Q≥20000或W≥600000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778" w:type="dxa"/>
                  <w:noWrap w:val="0"/>
                  <w:vAlign w:val="center"/>
                </w:tcPr>
                <w:p>
                  <w:pPr>
                    <w:jc w:val="center"/>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二级</w:t>
                  </w:r>
                </w:p>
              </w:tc>
              <w:tc>
                <w:tcPr>
                  <w:tcW w:w="2636" w:type="dxa"/>
                  <w:noWrap w:val="0"/>
                  <w:vAlign w:val="center"/>
                </w:tcPr>
                <w:p>
                  <w:pPr>
                    <w:jc w:val="center"/>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直接排放</w:t>
                  </w:r>
                </w:p>
              </w:tc>
              <w:tc>
                <w:tcPr>
                  <w:tcW w:w="3623" w:type="dxa"/>
                  <w:noWrap w:val="0"/>
                  <w:vAlign w:val="center"/>
                </w:tcPr>
                <w:p>
                  <w:pPr>
                    <w:jc w:val="center"/>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其他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5" w:hRule="atLeast"/>
                <w:jc w:val="center"/>
              </w:trPr>
              <w:tc>
                <w:tcPr>
                  <w:tcW w:w="1778" w:type="dxa"/>
                  <w:noWrap w:val="0"/>
                  <w:vAlign w:val="center"/>
                </w:tcPr>
                <w:p>
                  <w:pPr>
                    <w:jc w:val="center"/>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三级A</w:t>
                  </w:r>
                </w:p>
              </w:tc>
              <w:tc>
                <w:tcPr>
                  <w:tcW w:w="2636" w:type="dxa"/>
                  <w:noWrap w:val="0"/>
                  <w:vAlign w:val="center"/>
                </w:tcPr>
                <w:p>
                  <w:pPr>
                    <w:jc w:val="center"/>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直接排放</w:t>
                  </w:r>
                </w:p>
              </w:tc>
              <w:tc>
                <w:tcPr>
                  <w:tcW w:w="3623" w:type="dxa"/>
                  <w:noWrap w:val="0"/>
                  <w:vAlign w:val="center"/>
                </w:tcPr>
                <w:p>
                  <w:pPr>
                    <w:jc w:val="center"/>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Q＜200且W＜6000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11" w:hRule="atLeast"/>
                <w:jc w:val="center"/>
              </w:trPr>
              <w:tc>
                <w:tcPr>
                  <w:tcW w:w="1778" w:type="dxa"/>
                  <w:noWrap w:val="0"/>
                  <w:vAlign w:val="center"/>
                </w:tcPr>
                <w:p>
                  <w:pPr>
                    <w:jc w:val="center"/>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三级B</w:t>
                  </w:r>
                </w:p>
              </w:tc>
              <w:tc>
                <w:tcPr>
                  <w:tcW w:w="2636" w:type="dxa"/>
                  <w:noWrap w:val="0"/>
                  <w:vAlign w:val="center"/>
                </w:tcPr>
                <w:p>
                  <w:pPr>
                    <w:jc w:val="center"/>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间接排放</w:t>
                  </w:r>
                </w:p>
              </w:tc>
              <w:tc>
                <w:tcPr>
                  <w:tcW w:w="3623" w:type="dxa"/>
                  <w:noWrap w:val="0"/>
                  <w:vAlign w:val="center"/>
                </w:tcPr>
                <w:p>
                  <w:pPr>
                    <w:jc w:val="center"/>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778" w:type="dxa"/>
                  <w:vMerge w:val="restart"/>
                  <w:noWrap w:val="0"/>
                  <w:vAlign w:val="center"/>
                </w:tcPr>
                <w:p>
                  <w:pPr>
                    <w:jc w:val="center"/>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本项目</w:t>
                  </w:r>
                </w:p>
              </w:tc>
              <w:tc>
                <w:tcPr>
                  <w:tcW w:w="2636" w:type="dxa"/>
                  <w:noWrap w:val="0"/>
                  <w:vAlign w:val="center"/>
                </w:tcPr>
                <w:p>
                  <w:pPr>
                    <w:jc w:val="center"/>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不外排</w:t>
                  </w:r>
                </w:p>
              </w:tc>
              <w:tc>
                <w:tcPr>
                  <w:tcW w:w="3623" w:type="dxa"/>
                  <w:noWrap w:val="0"/>
                  <w:vAlign w:val="center"/>
                </w:tcPr>
                <w:p>
                  <w:pPr>
                    <w:jc w:val="center"/>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1778" w:type="dxa"/>
                  <w:vMerge w:val="continue"/>
                  <w:noWrap w:val="0"/>
                  <w:vAlign w:val="center"/>
                </w:tcPr>
                <w:p>
                  <w:pPr>
                    <w:jc w:val="center"/>
                    <w:rPr>
                      <w:rFonts w:hint="default" w:ascii="Times New Roman" w:hAnsi="Times New Roman" w:cs="Times New Roman"/>
                      <w:color w:val="auto"/>
                      <w:highlight w:val="none"/>
                      <w:shd w:val="clear" w:color="auto" w:fill="FFFFFF"/>
                    </w:rPr>
                  </w:pPr>
                </w:p>
              </w:tc>
              <w:tc>
                <w:tcPr>
                  <w:tcW w:w="6259" w:type="dxa"/>
                  <w:gridSpan w:val="2"/>
                  <w:noWrap w:val="0"/>
                  <w:vAlign w:val="center"/>
                </w:tcPr>
                <w:p>
                  <w:pPr>
                    <w:jc w:val="center"/>
                    <w:rPr>
                      <w:rFonts w:hint="default" w:ascii="Times New Roman" w:hAnsi="Times New Roman" w:cs="Times New Roman"/>
                      <w:color w:val="auto"/>
                      <w:highlight w:val="none"/>
                      <w:shd w:val="clear" w:color="auto" w:fill="FFFFFF"/>
                    </w:rPr>
                  </w:pPr>
                  <w:r>
                    <w:rPr>
                      <w:rFonts w:hint="default" w:ascii="Times New Roman" w:hAnsi="Times New Roman" w:cs="Times New Roman"/>
                      <w:color w:val="auto"/>
                      <w:highlight w:val="none"/>
                      <w:shd w:val="clear" w:color="auto" w:fill="FFFFFF"/>
                    </w:rPr>
                    <w:t>三级B</w:t>
                  </w:r>
                </w:p>
              </w:tc>
            </w:tr>
          </w:tbl>
          <w:p>
            <w:pPr>
              <w:pStyle w:val="17"/>
              <w:ind w:firstLine="480"/>
              <w:rPr>
                <w:color w:val="auto"/>
                <w:highlight w:val="none"/>
                <w:lang w:bidi="ar"/>
              </w:rPr>
            </w:pPr>
            <w:r>
              <w:rPr>
                <w:color w:val="auto"/>
                <w:kern w:val="0"/>
                <w:szCs w:val="22"/>
                <w:highlight w:val="none"/>
              </w:rPr>
              <w:t>本项目生活污水通过</w:t>
            </w:r>
            <w:r>
              <w:rPr>
                <w:rFonts w:hint="eastAsia"/>
                <w:color w:val="auto"/>
                <w:kern w:val="0"/>
                <w:szCs w:val="22"/>
                <w:highlight w:val="none"/>
                <w:lang w:val="en-US" w:eastAsia="zh-CN"/>
              </w:rPr>
              <w:t>旱厕</w:t>
            </w:r>
            <w:r>
              <w:rPr>
                <w:color w:val="auto"/>
                <w:kern w:val="0"/>
                <w:szCs w:val="22"/>
                <w:highlight w:val="none"/>
              </w:rPr>
              <w:t>收集后进行林草地灌溉，不外排；生产废水经沉淀后回用于</w:t>
            </w:r>
            <w:r>
              <w:rPr>
                <w:rFonts w:hint="eastAsia"/>
                <w:color w:val="auto"/>
                <w:kern w:val="0"/>
                <w:szCs w:val="22"/>
                <w:highlight w:val="none"/>
                <w:lang w:val="en-US" w:eastAsia="zh-CN"/>
              </w:rPr>
              <w:t>地面洒水</w:t>
            </w:r>
            <w:r>
              <w:rPr>
                <w:color w:val="auto"/>
                <w:kern w:val="0"/>
                <w:szCs w:val="22"/>
                <w:highlight w:val="none"/>
              </w:rPr>
              <w:t>。</w:t>
            </w:r>
            <w:r>
              <w:rPr>
                <w:color w:val="auto"/>
                <w:highlight w:val="none"/>
                <w:shd w:val="clear" w:color="auto" w:fill="FFFFFF"/>
              </w:rPr>
              <w:t>根据</w:t>
            </w:r>
            <w:r>
              <w:rPr>
                <w:color w:val="auto"/>
                <w:kern w:val="0"/>
                <w:highlight w:val="none"/>
                <w:lang w:bidi="ar"/>
              </w:rPr>
              <w:t>《环境影响评价技术导则地表水环境》（HJ/2.3-2018）中评价等级判定，建设项目生产工艺中有废水产生，但作为回水利用，不排放到外环境的，按三级B评价。水污染影响型三级B评价可不进行水环境影响预测。</w:t>
            </w:r>
          </w:p>
          <w:p>
            <w:pPr>
              <w:spacing w:line="360" w:lineRule="auto"/>
              <w:ind w:firstLine="470" w:firstLineChars="196"/>
              <w:rPr>
                <w:rFonts w:hint="eastAsia"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w:t>
            </w:r>
            <w:r>
              <w:rPr>
                <w:rFonts w:hAnsi="宋体"/>
                <w:color w:val="000000" w:themeColor="text1"/>
                <w:sz w:val="24"/>
                <w14:textFill>
                  <w14:solidFill>
                    <w14:schemeClr w14:val="tx1"/>
                  </w14:solidFill>
                </w14:textFill>
              </w:rPr>
              <w:t>2</w:t>
            </w:r>
            <w:r>
              <w:rPr>
                <w:rFonts w:hint="eastAsia" w:hAnsi="宋体"/>
                <w:color w:val="000000" w:themeColor="text1"/>
                <w:sz w:val="24"/>
                <w14:textFill>
                  <w14:solidFill>
                    <w14:schemeClr w14:val="tx1"/>
                  </w14:solidFill>
                </w14:textFill>
              </w:rPr>
              <w:t>）地表水</w:t>
            </w:r>
            <w:r>
              <w:rPr>
                <w:rFonts w:hAnsi="宋体"/>
                <w:color w:val="000000" w:themeColor="text1"/>
                <w:sz w:val="24"/>
                <w14:textFill>
                  <w14:solidFill>
                    <w14:schemeClr w14:val="tx1"/>
                  </w14:solidFill>
                </w14:textFill>
              </w:rPr>
              <w:t>环境影响分析</w:t>
            </w:r>
          </w:p>
          <w:p>
            <w:pPr>
              <w:spacing w:line="360" w:lineRule="auto"/>
              <w:ind w:firstLine="470" w:firstLineChars="196"/>
              <w:rPr>
                <w:rFonts w:hAnsi="宋体"/>
                <w:color w:val="FF0000"/>
                <w:sz w:val="24"/>
              </w:rPr>
            </w:pPr>
            <w:r>
              <w:rPr>
                <w:rFonts w:hint="eastAsia" w:hAnsi="宋体"/>
                <w:color w:val="000000" w:themeColor="text1"/>
                <w:sz w:val="24"/>
                <w14:textFill>
                  <w14:solidFill>
                    <w14:schemeClr w14:val="tx1"/>
                  </w14:solidFill>
                </w14:textFill>
              </w:rPr>
              <w:t>本项目运营过程中</w:t>
            </w:r>
            <w:r>
              <w:rPr>
                <w:rFonts w:hint="eastAsia"/>
                <w:color w:val="000000" w:themeColor="text1"/>
                <w:sz w:val="24"/>
                <w:lang w:val="en-US" w:eastAsia="zh-CN"/>
                <w14:textFill>
                  <w14:solidFill>
                    <w14:schemeClr w14:val="tx1"/>
                  </w14:solidFill>
                </w14:textFill>
              </w:rPr>
              <w:t>主要为场地洒水、初期雨水、</w:t>
            </w:r>
            <w:r>
              <w:rPr>
                <w:rFonts w:hint="eastAsia" w:hAnsi="宋体"/>
                <w:color w:val="000000" w:themeColor="text1"/>
                <w:sz w:val="24"/>
                <w14:textFill>
                  <w14:solidFill>
                    <w14:schemeClr w14:val="tx1"/>
                  </w14:solidFill>
                </w14:textFill>
              </w:rPr>
              <w:t>员工生活污水。项目租用原</w:t>
            </w:r>
            <w:r>
              <w:rPr>
                <w:rFonts w:hint="eastAsia" w:hAnsi="宋体"/>
                <w:color w:val="000000" w:themeColor="text1"/>
                <w:sz w:val="24"/>
                <w:lang w:val="en-US" w:eastAsia="zh-CN"/>
                <w14:textFill>
                  <w14:solidFill>
                    <w14:schemeClr w14:val="tx1"/>
                  </w14:solidFill>
                </w14:textFill>
              </w:rPr>
              <w:t>崩崩冲村砂厂</w:t>
            </w:r>
            <w:r>
              <w:rPr>
                <w:rFonts w:hint="eastAsia" w:hAnsi="宋体"/>
                <w:color w:val="000000" w:themeColor="text1"/>
                <w:sz w:val="24"/>
                <w14:textFill>
                  <w14:solidFill>
                    <w14:schemeClr w14:val="tx1"/>
                  </w14:solidFill>
                </w14:textFill>
              </w:rPr>
              <w:t>施工营地作为工人</w:t>
            </w:r>
            <w:r>
              <w:rPr>
                <w:rFonts w:hint="eastAsia" w:hAnsi="宋体"/>
                <w:color w:val="000000" w:themeColor="text1"/>
                <w:sz w:val="24"/>
                <w:lang w:val="en-US" w:eastAsia="zh-CN"/>
                <w14:textFill>
                  <w14:solidFill>
                    <w14:schemeClr w14:val="tx1"/>
                  </w14:solidFill>
                </w14:textFill>
              </w:rPr>
              <w:t>生活</w:t>
            </w:r>
            <w:r>
              <w:rPr>
                <w:rFonts w:hint="eastAsia" w:hAnsi="宋体"/>
                <w:color w:val="000000" w:themeColor="text1"/>
                <w:sz w:val="24"/>
                <w14:textFill>
                  <w14:solidFill>
                    <w14:schemeClr w14:val="tx1"/>
                  </w14:solidFill>
                </w14:textFill>
              </w:rPr>
              <w:t>场地。项目</w:t>
            </w:r>
            <w:r>
              <w:rPr>
                <w:rFonts w:hAnsi="宋体"/>
                <w:color w:val="000000" w:themeColor="text1"/>
                <w:sz w:val="24"/>
                <w14:textFill>
                  <w14:solidFill>
                    <w14:schemeClr w14:val="tx1"/>
                  </w14:solidFill>
                </w14:textFill>
              </w:rPr>
              <w:t>运营期生活污水</w:t>
            </w:r>
            <w:r>
              <w:rPr>
                <w:rFonts w:hint="eastAsia" w:hAnsi="宋体"/>
                <w:color w:val="000000" w:themeColor="text1"/>
                <w:sz w:val="24"/>
                <w:lang w:val="en-US" w:eastAsia="zh-CN"/>
                <w14:textFill>
                  <w14:solidFill>
                    <w14:schemeClr w14:val="tx1"/>
                  </w14:solidFill>
                </w14:textFill>
              </w:rPr>
              <w:t>经</w:t>
            </w:r>
            <w:r>
              <w:rPr>
                <w:rFonts w:hint="eastAsia"/>
                <w:color w:val="000000" w:themeColor="text1"/>
                <w:sz w:val="24"/>
                <w:lang w:val="en-US" w:eastAsia="zh-CN"/>
                <w14:textFill>
                  <w14:solidFill>
                    <w14:schemeClr w14:val="tx1"/>
                  </w14:solidFill>
                </w14:textFill>
              </w:rPr>
              <w:t>旱厕</w:t>
            </w:r>
            <w:r>
              <w:rPr>
                <w:rFonts w:hAnsi="宋体"/>
                <w:color w:val="000000" w:themeColor="text1"/>
                <w:sz w:val="24"/>
                <w14:textFill>
                  <w14:solidFill>
                    <w14:schemeClr w14:val="tx1"/>
                  </w14:solidFill>
                </w14:textFill>
              </w:rPr>
              <w:t>处理，</w:t>
            </w:r>
            <w:r>
              <w:rPr>
                <w:rFonts w:hint="eastAsia" w:hAnsi="宋体"/>
                <w:color w:val="000000" w:themeColor="text1"/>
                <w:sz w:val="24"/>
                <w14:textFill>
                  <w14:solidFill>
                    <w14:schemeClr w14:val="tx1"/>
                  </w14:solidFill>
                </w14:textFill>
              </w:rPr>
              <w:t>经</w:t>
            </w:r>
            <w:r>
              <w:rPr>
                <w:rFonts w:hint="eastAsia"/>
                <w:color w:val="000000" w:themeColor="text1"/>
                <w:sz w:val="24"/>
                <w:lang w:val="en-US" w:eastAsia="zh-CN"/>
                <w14:textFill>
                  <w14:solidFill>
                    <w14:schemeClr w14:val="tx1"/>
                  </w14:solidFill>
                </w14:textFill>
              </w:rPr>
              <w:t>旱厕</w:t>
            </w:r>
            <w:r>
              <w:rPr>
                <w:rFonts w:hAnsi="宋体"/>
                <w:color w:val="000000" w:themeColor="text1"/>
                <w:sz w:val="24"/>
                <w14:textFill>
                  <w14:solidFill>
                    <w14:schemeClr w14:val="tx1"/>
                  </w14:solidFill>
                </w14:textFill>
              </w:rPr>
              <w:t>处理后的废水用于周围林</w:t>
            </w:r>
            <w:r>
              <w:rPr>
                <w:rFonts w:hint="eastAsia" w:hAnsi="宋体"/>
                <w:color w:val="000000" w:themeColor="text1"/>
                <w:sz w:val="24"/>
                <w14:textFill>
                  <w14:solidFill>
                    <w14:schemeClr w14:val="tx1"/>
                  </w14:solidFill>
                </w14:textFill>
              </w:rPr>
              <w:t>草</w:t>
            </w:r>
            <w:r>
              <w:rPr>
                <w:rFonts w:hAnsi="宋体"/>
                <w:color w:val="000000" w:themeColor="text1"/>
                <w:sz w:val="24"/>
                <w14:textFill>
                  <w14:solidFill>
                    <w14:schemeClr w14:val="tx1"/>
                  </w14:solidFill>
                </w14:textFill>
              </w:rPr>
              <w:t>地浇灌，不外排，对地表水的影响</w:t>
            </w:r>
            <w:r>
              <w:rPr>
                <w:rFonts w:hint="eastAsia" w:hAnsi="宋体"/>
                <w:color w:val="000000" w:themeColor="text1"/>
                <w:sz w:val="24"/>
                <w14:textFill>
                  <w14:solidFill>
                    <w14:schemeClr w14:val="tx1"/>
                  </w14:solidFill>
                </w14:textFill>
              </w:rPr>
              <w:t>较小</w:t>
            </w:r>
            <w:r>
              <w:rPr>
                <w:rFonts w:hAnsi="宋体"/>
                <w:color w:val="000000" w:themeColor="text1"/>
                <w:sz w:val="24"/>
                <w14:textFill>
                  <w14:solidFill>
                    <w14:schemeClr w14:val="tx1"/>
                  </w14:solidFill>
                </w14:textFill>
              </w:rPr>
              <w:t>。</w:t>
            </w:r>
          </w:p>
          <w:p>
            <w:pPr>
              <w:pStyle w:val="17"/>
              <w:ind w:firstLine="480"/>
              <w:rPr>
                <w:rFonts w:hint="eastAsia"/>
                <w:color w:val="000000" w:themeColor="text1"/>
                <w:highlight w:val="none"/>
                <w14:textFill>
                  <w14:solidFill>
                    <w14:schemeClr w14:val="tx1"/>
                  </w14:solidFill>
                </w14:textFill>
              </w:rPr>
            </w:pPr>
            <w:r>
              <w:rPr>
                <w:rFonts w:hint="eastAsia"/>
                <w:color w:val="000000" w:themeColor="text1"/>
                <w14:textFill>
                  <w14:solidFill>
                    <w14:schemeClr w14:val="tx1"/>
                  </w14:solidFill>
                </w14:textFill>
              </w:rPr>
              <w:t>项目场地内</w:t>
            </w:r>
            <w:r>
              <w:rPr>
                <w:rFonts w:hint="eastAsia"/>
                <w:color w:val="000000" w:themeColor="text1"/>
                <w:sz w:val="24"/>
                <w:lang w:val="en-US" w:eastAsia="zh-CN"/>
                <w14:textFill>
                  <w14:solidFill>
                    <w14:schemeClr w14:val="tx1"/>
                  </w14:solidFill>
                </w14:textFill>
              </w:rPr>
              <w:t>场地洒水、初期雨水</w:t>
            </w:r>
            <w:r>
              <w:rPr>
                <w:color w:val="000000" w:themeColor="text1"/>
                <w14:textFill>
                  <w14:solidFill>
                    <w14:schemeClr w14:val="tx1"/>
                  </w14:solidFill>
                </w14:textFill>
              </w:rPr>
              <w:t>经</w:t>
            </w:r>
            <w:r>
              <w:rPr>
                <w:rFonts w:hint="eastAsia"/>
                <w:color w:val="000000" w:themeColor="text1"/>
                <w14:textFill>
                  <w14:solidFill>
                    <w14:schemeClr w14:val="tx1"/>
                  </w14:solidFill>
                </w14:textFill>
              </w:rPr>
              <w:t>雨水收集沉淀池处理</w:t>
            </w:r>
            <w:r>
              <w:rPr>
                <w:color w:val="000000" w:themeColor="text1"/>
                <w14:textFill>
                  <w14:solidFill>
                    <w14:schemeClr w14:val="tx1"/>
                  </w14:solidFill>
                </w14:textFill>
              </w:rPr>
              <w:t>避免直接排放造成周边水体悬浮物含量增加，对周边水体影响较小。</w:t>
            </w:r>
            <w:r>
              <w:rPr>
                <w:rFonts w:hint="eastAsia"/>
                <w:color w:val="000000" w:themeColor="text1"/>
                <w14:textFill>
                  <w14:solidFill>
                    <w14:schemeClr w14:val="tx1"/>
                  </w14:solidFill>
                </w14:textFill>
              </w:rPr>
              <w:t>项目在场区</w:t>
            </w:r>
            <w:r>
              <w:rPr>
                <w:color w:val="000000" w:themeColor="text1"/>
                <w14:textFill>
                  <w14:solidFill>
                    <w14:schemeClr w14:val="tx1"/>
                  </w14:solidFill>
                </w14:textFill>
              </w:rPr>
              <w:t>设</w:t>
            </w:r>
            <w:r>
              <w:rPr>
                <w:color w:val="000000" w:themeColor="text1"/>
                <w:highlight w:val="none"/>
                <w14:textFill>
                  <w14:solidFill>
                    <w14:schemeClr w14:val="tx1"/>
                  </w14:solidFill>
                </w14:textFill>
              </w:rPr>
              <w:t>置一座</w:t>
            </w:r>
            <w:r>
              <w:rPr>
                <w:rFonts w:hint="eastAsia"/>
                <w:color w:val="000000" w:themeColor="text1"/>
                <w:highlight w:val="none"/>
                <w:lang w:val="en-US" w:eastAsia="zh-CN"/>
                <w14:textFill>
                  <w14:solidFill>
                    <w14:schemeClr w14:val="tx1"/>
                  </w14:solidFill>
                </w14:textFill>
              </w:rPr>
              <w:t>三级</w:t>
            </w:r>
            <w:r>
              <w:rPr>
                <w:rFonts w:hint="eastAsia"/>
                <w:color w:val="000000" w:themeColor="text1"/>
                <w:highlight w:val="none"/>
                <w14:textFill>
                  <w14:solidFill>
                    <w14:schemeClr w14:val="tx1"/>
                  </w14:solidFill>
                </w14:textFill>
              </w:rPr>
              <w:t>沉淀池</w:t>
            </w:r>
            <w:r>
              <w:rPr>
                <w:color w:val="000000" w:themeColor="text1"/>
                <w:highlight w:val="none"/>
                <w14:textFill>
                  <w14:solidFill>
                    <w14:schemeClr w14:val="tx1"/>
                  </w14:solidFill>
                </w14:textFill>
              </w:rPr>
              <w:t>，用于初期雨水处理，可满足需要。</w:t>
            </w:r>
          </w:p>
          <w:p>
            <w:pPr>
              <w:spacing w:line="360" w:lineRule="auto"/>
              <w:ind w:firstLine="470" w:firstLineChars="196"/>
              <w:rPr>
                <w:rFonts w:hAnsi="宋体"/>
                <w:color w:val="000000" w:themeColor="text1"/>
                <w:sz w:val="24"/>
                <w14:textFill>
                  <w14:solidFill>
                    <w14:schemeClr w14:val="tx1"/>
                  </w14:solidFill>
                </w14:textFill>
              </w:rPr>
            </w:pPr>
            <w:r>
              <w:rPr>
                <w:rFonts w:hint="eastAsia" w:hAnsi="宋体"/>
                <w:color w:val="000000" w:themeColor="text1"/>
                <w:sz w:val="24"/>
                <w14:textFill>
                  <w14:solidFill>
                    <w14:schemeClr w14:val="tx1"/>
                  </w14:solidFill>
                </w14:textFill>
              </w:rPr>
              <w:t>（</w:t>
            </w:r>
            <w:r>
              <w:rPr>
                <w:rFonts w:hAnsi="宋体"/>
                <w:color w:val="000000" w:themeColor="text1"/>
                <w:sz w:val="24"/>
                <w14:textFill>
                  <w14:solidFill>
                    <w14:schemeClr w14:val="tx1"/>
                  </w14:solidFill>
                </w14:textFill>
              </w:rPr>
              <w:t>3</w:t>
            </w:r>
            <w:r>
              <w:rPr>
                <w:rFonts w:hint="eastAsia" w:hAnsi="宋体"/>
                <w:color w:val="000000" w:themeColor="text1"/>
                <w:sz w:val="24"/>
                <w14:textFill>
                  <w14:solidFill>
                    <w14:schemeClr w14:val="tx1"/>
                  </w14:solidFill>
                </w14:textFill>
              </w:rPr>
              <w:t>）污水处理设施依托可行性</w:t>
            </w:r>
            <w:r>
              <w:rPr>
                <w:rFonts w:hAnsi="宋体"/>
                <w:color w:val="000000" w:themeColor="text1"/>
                <w:sz w:val="24"/>
                <w14:textFill>
                  <w14:solidFill>
                    <w14:schemeClr w14:val="tx1"/>
                  </w14:solidFill>
                </w14:textFill>
              </w:rPr>
              <w:t>分析</w:t>
            </w:r>
          </w:p>
          <w:p>
            <w:pPr>
              <w:pStyle w:val="17"/>
              <w:ind w:firstLine="480"/>
              <w:rPr>
                <w:rFonts w:hint="eastAsia" w:eastAsia="宋体"/>
                <w:color w:val="FF0000"/>
                <w:lang w:eastAsia="zh-CN"/>
              </w:rPr>
            </w:pPr>
            <w:r>
              <w:rPr>
                <w:rFonts w:hint="eastAsia"/>
                <w:color w:val="auto"/>
              </w:rPr>
              <w:t>根据现场</w:t>
            </w:r>
            <w:r>
              <w:rPr>
                <w:color w:val="000000" w:themeColor="text1"/>
                <w14:textFill>
                  <w14:solidFill>
                    <w14:schemeClr w14:val="tx1"/>
                  </w14:solidFill>
                </w14:textFill>
              </w:rPr>
              <w:t>勘察，本项目租用的</w:t>
            </w:r>
            <w:r>
              <w:rPr>
                <w:rFonts w:hint="eastAsia" w:hAnsi="宋体"/>
                <w:color w:val="000000" w:themeColor="text1"/>
                <w:sz w:val="24"/>
                <w14:textFill>
                  <w14:solidFill>
                    <w14:schemeClr w14:val="tx1"/>
                  </w14:solidFill>
                </w14:textFill>
              </w:rPr>
              <w:t>项目租用原</w:t>
            </w:r>
            <w:r>
              <w:rPr>
                <w:rFonts w:hint="eastAsia" w:hAnsi="宋体"/>
                <w:color w:val="000000" w:themeColor="text1"/>
                <w:sz w:val="24"/>
                <w:lang w:val="en-US" w:eastAsia="zh-CN"/>
                <w14:textFill>
                  <w14:solidFill>
                    <w14:schemeClr w14:val="tx1"/>
                  </w14:solidFill>
                </w14:textFill>
              </w:rPr>
              <w:t>崩崩冲村砂厂</w:t>
            </w:r>
            <w:r>
              <w:rPr>
                <w:rFonts w:hint="eastAsia" w:hAnsi="宋体"/>
                <w:color w:val="000000" w:themeColor="text1"/>
                <w:sz w:val="24"/>
                <w14:textFill>
                  <w14:solidFill>
                    <w14:schemeClr w14:val="tx1"/>
                  </w14:solidFill>
                </w14:textFill>
              </w:rPr>
              <w:t>施工营地作为工人</w:t>
            </w:r>
            <w:r>
              <w:rPr>
                <w:rFonts w:hint="eastAsia" w:hAnsi="宋体"/>
                <w:color w:val="000000" w:themeColor="text1"/>
                <w:sz w:val="24"/>
                <w:lang w:val="en-US" w:eastAsia="zh-CN"/>
                <w14:textFill>
                  <w14:solidFill>
                    <w14:schemeClr w14:val="tx1"/>
                  </w14:solidFill>
                </w14:textFill>
              </w:rPr>
              <w:t>生活</w:t>
            </w:r>
            <w:r>
              <w:rPr>
                <w:rFonts w:hint="eastAsia" w:hAnsi="宋体"/>
                <w:color w:val="000000" w:themeColor="text1"/>
                <w:sz w:val="24"/>
                <w14:textFill>
                  <w14:solidFill>
                    <w14:schemeClr w14:val="tx1"/>
                  </w14:solidFill>
                </w14:textFill>
              </w:rPr>
              <w:t>场地</w:t>
            </w:r>
            <w:r>
              <w:rPr>
                <w:rFonts w:hint="eastAsia" w:hAnsi="宋体"/>
                <w:color w:val="000000" w:themeColor="text1"/>
                <w14:textFill>
                  <w14:solidFill>
                    <w14:schemeClr w14:val="tx1"/>
                  </w14:solidFill>
                </w14:textFill>
              </w:rPr>
              <w:t>位于</w:t>
            </w:r>
            <w:r>
              <w:rPr>
                <w:rFonts w:hAnsi="宋体"/>
                <w:color w:val="000000" w:themeColor="text1"/>
                <w14:textFill>
                  <w14:solidFill>
                    <w14:schemeClr w14:val="tx1"/>
                  </w14:solidFill>
                </w14:textFill>
              </w:rPr>
              <w:t>本项目</w:t>
            </w:r>
            <w:r>
              <w:rPr>
                <w:rFonts w:hint="eastAsia" w:hAnsi="宋体"/>
                <w:color w:val="000000" w:themeColor="text1"/>
                <w14:textFill>
                  <w14:solidFill>
                    <w14:schemeClr w14:val="tx1"/>
                  </w14:solidFill>
                </w14:textFill>
              </w:rPr>
              <w:t>东南</w:t>
            </w:r>
            <w:r>
              <w:rPr>
                <w:rFonts w:hint="eastAsia" w:hAnsi="宋体"/>
                <w:color w:val="auto"/>
              </w:rPr>
              <w:t>侧</w:t>
            </w:r>
            <w:r>
              <w:rPr>
                <w:rFonts w:hint="eastAsia" w:hAnsi="宋体"/>
                <w:color w:val="auto"/>
                <w:lang w:val="en-US" w:eastAsia="zh-CN"/>
              </w:rPr>
              <w:t>200</w:t>
            </w:r>
            <w:r>
              <w:rPr>
                <w:rFonts w:hint="eastAsia" w:hAnsi="宋体"/>
                <w:color w:val="auto"/>
              </w:rPr>
              <w:t>m，</w:t>
            </w:r>
            <w:r>
              <w:rPr>
                <w:rFonts w:hAnsi="宋体"/>
                <w:color w:val="auto"/>
              </w:rPr>
              <w:t>现</w:t>
            </w:r>
            <w:r>
              <w:rPr>
                <w:rFonts w:hint="eastAsia" w:hAnsi="宋体"/>
                <w:color w:val="000000" w:themeColor="text1"/>
                <w14:textFill>
                  <w14:solidFill>
                    <w14:schemeClr w14:val="tx1"/>
                  </w14:solidFill>
                </w14:textFill>
              </w:rPr>
              <w:t>该</w:t>
            </w:r>
            <w:r>
              <w:rPr>
                <w:rFonts w:hAnsi="宋体"/>
                <w:color w:val="000000" w:themeColor="text1"/>
                <w14:textFill>
                  <w14:solidFill>
                    <w14:schemeClr w14:val="tx1"/>
                  </w14:solidFill>
                </w14:textFill>
              </w:rPr>
              <w:t>营地内</w:t>
            </w:r>
            <w:r>
              <w:rPr>
                <w:color w:val="000000" w:themeColor="text1"/>
                <w14:textFill>
                  <w14:solidFill>
                    <w14:schemeClr w14:val="tx1"/>
                  </w14:solidFill>
                </w14:textFill>
              </w:rPr>
              <w:t>设置有</w:t>
            </w:r>
            <w:r>
              <w:rPr>
                <w:rFonts w:hint="eastAsia"/>
                <w:color w:val="000000" w:themeColor="text1"/>
                <w14:textFill>
                  <w14:solidFill>
                    <w14:schemeClr w14:val="tx1"/>
                  </w14:solidFill>
                </w14:textFill>
              </w:rPr>
              <w:t>一座</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w:t>
            </w:r>
            <w:r>
              <w:rPr>
                <w:rFonts w:hint="eastAsia"/>
                <w:color w:val="000000" w:themeColor="text1"/>
                <w:sz w:val="24"/>
                <w:lang w:val="en-US" w:eastAsia="zh-CN"/>
                <w14:textFill>
                  <w14:solidFill>
                    <w14:schemeClr w14:val="tx1"/>
                  </w14:solidFill>
                </w14:textFill>
              </w:rPr>
              <w:t>旱厕</w:t>
            </w:r>
            <w:r>
              <w:rPr>
                <w:rFonts w:hint="eastAsia"/>
                <w:color w:val="000000" w:themeColor="text1"/>
                <w:lang w:eastAsia="zh-CN"/>
                <w14:textFill>
                  <w14:solidFill>
                    <w14:schemeClr w14:val="tx1"/>
                  </w14:solidFill>
                </w14:textFill>
              </w:rPr>
              <w:t>。</w:t>
            </w:r>
          </w:p>
          <w:p>
            <w:pPr>
              <w:pStyle w:val="3"/>
              <w:ind w:firstLine="480"/>
              <w:rPr>
                <w:rFonts w:hAnsi="宋体"/>
                <w:color w:val="000000" w:themeColor="text1"/>
                <w14:textFill>
                  <w14:solidFill>
                    <w14:schemeClr w14:val="tx1"/>
                  </w14:solidFill>
                </w14:textFill>
              </w:rPr>
            </w:pP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运营期生活污水产生量为</w:t>
            </w:r>
            <w:r>
              <w:rPr>
                <w:rFonts w:hint="eastAsia"/>
                <w:color w:val="000000" w:themeColor="text1"/>
                <w14:textFill>
                  <w14:solidFill>
                    <w14:schemeClr w14:val="tx1"/>
                  </w14:solidFill>
                </w14:textFill>
              </w:rPr>
              <w:t>0.85m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/d，现</w:t>
            </w:r>
            <w:r>
              <w:rPr>
                <w:color w:val="000000" w:themeColor="text1"/>
                <w14:textFill>
                  <w14:solidFill>
                    <w14:schemeClr w14:val="tx1"/>
                  </w14:solidFill>
                </w14:textFill>
              </w:rPr>
              <w:t>租用营地内的</w:t>
            </w:r>
            <w:r>
              <w:rPr>
                <w:rFonts w:hint="eastAsia"/>
                <w:color w:val="000000" w:themeColor="text1"/>
                <w:sz w:val="24"/>
                <w:lang w:val="en-US" w:eastAsia="zh-CN"/>
                <w14:textFill>
                  <w14:solidFill>
                    <w14:schemeClr w14:val="tx1"/>
                  </w14:solidFill>
                </w14:textFill>
              </w:rPr>
              <w:t>旱厕</w:t>
            </w:r>
            <w:r>
              <w:rPr>
                <w:color w:val="000000" w:themeColor="text1"/>
                <w14:textFill>
                  <w14:solidFill>
                    <w14:schemeClr w14:val="tx1"/>
                  </w14:solidFill>
                </w14:textFill>
              </w:rPr>
              <w:t>容积可满足本项目生活需要。故</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生活污水</w:t>
            </w:r>
            <w:r>
              <w:rPr>
                <w:rFonts w:hint="eastAsia" w:hAnsi="宋体"/>
                <w:color w:val="000000" w:themeColor="text1"/>
                <w14:textFill>
                  <w14:solidFill>
                    <w14:schemeClr w14:val="tx1"/>
                  </w14:solidFill>
                </w14:textFill>
              </w:rPr>
              <w:t>处理设施依托依托</w:t>
            </w:r>
            <w:r>
              <w:rPr>
                <w:rFonts w:hAnsi="宋体"/>
                <w:color w:val="000000" w:themeColor="text1"/>
                <w14:textFill>
                  <w14:solidFill>
                    <w14:schemeClr w14:val="tx1"/>
                  </w14:solidFill>
                </w14:textFill>
              </w:rPr>
              <w:t>可行。</w:t>
            </w:r>
          </w:p>
          <w:p>
            <w:pPr>
              <w:pStyle w:val="3"/>
              <w:ind w:firstLine="48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4</w:t>
            </w:r>
            <w:r>
              <w:rPr>
                <w:rFonts w:hint="eastAsia" w:hAnsi="宋体"/>
                <w:color w:val="000000" w:themeColor="text1"/>
                <w14:textFill>
                  <w14:solidFill>
                    <w14:schemeClr w14:val="tx1"/>
                  </w14:solidFill>
                </w14:textFill>
              </w:rPr>
              <w:t>）生活污水林灌</w:t>
            </w:r>
            <w:r>
              <w:rPr>
                <w:rFonts w:hAnsi="宋体"/>
                <w:color w:val="000000" w:themeColor="text1"/>
                <w14:textFill>
                  <w14:solidFill>
                    <w14:schemeClr w14:val="tx1"/>
                  </w14:solidFill>
                </w14:textFill>
              </w:rPr>
              <w:t>可行性</w:t>
            </w:r>
          </w:p>
          <w:p>
            <w:pPr>
              <w:pStyle w:val="3"/>
              <w:ind w:firstLine="480"/>
              <w:rPr>
                <w:rFonts w:hAnsi="宋体"/>
                <w:color w:val="000000" w:themeColor="text1"/>
                <w14:textFill>
                  <w14:solidFill>
                    <w14:schemeClr w14:val="tx1"/>
                  </w14:solidFill>
                </w14:textFill>
              </w:rPr>
            </w:pPr>
            <w:r>
              <w:rPr>
                <w:rFonts w:hint="eastAsia" w:hAnsi="宋体"/>
                <w:color w:val="000000" w:themeColor="text1"/>
                <w14:textFill>
                  <w14:solidFill>
                    <w14:schemeClr w14:val="tx1"/>
                  </w14:solidFill>
                </w14:textFill>
              </w:rPr>
              <w:t>经类比，林灌用水量约3L/m</w:t>
            </w:r>
            <w:r>
              <w:rPr>
                <w:rFonts w:hint="eastAsia" w:hAnsi="宋体"/>
                <w:color w:val="000000" w:themeColor="text1"/>
                <w:vertAlign w:val="superscript"/>
                <w14:textFill>
                  <w14:solidFill>
                    <w14:schemeClr w14:val="tx1"/>
                  </w14:solidFill>
                </w14:textFill>
              </w:rPr>
              <w:t>2</w:t>
            </w:r>
            <w:r>
              <w:rPr>
                <w:rFonts w:hint="eastAsia" w:hAnsi="宋体"/>
                <w:color w:val="000000" w:themeColor="text1"/>
                <w14:textFill>
                  <w14:solidFill>
                    <w14:schemeClr w14:val="tx1"/>
                  </w14:solidFill>
                </w14:textFill>
              </w:rPr>
              <w:t>·d。本项目租用</w:t>
            </w:r>
            <w:r>
              <w:rPr>
                <w:rFonts w:hAnsi="宋体"/>
                <w:color w:val="000000" w:themeColor="text1"/>
                <w14:textFill>
                  <w14:solidFill>
                    <w14:schemeClr w14:val="tx1"/>
                  </w14:solidFill>
                </w14:textFill>
              </w:rPr>
              <w:t>生活营地</w:t>
            </w:r>
            <w:r>
              <w:rPr>
                <w:rFonts w:hint="eastAsia" w:hAnsi="宋体"/>
                <w:color w:val="000000" w:themeColor="text1"/>
                <w:lang w:val="en-US" w:eastAsia="zh-CN"/>
                <w14:textFill>
                  <w14:solidFill>
                    <w14:schemeClr w14:val="tx1"/>
                  </w14:solidFill>
                </w14:textFill>
              </w:rPr>
              <w:t>四周</w:t>
            </w:r>
            <w:r>
              <w:rPr>
                <w:rFonts w:hint="eastAsia" w:hAnsi="宋体"/>
                <w:color w:val="000000" w:themeColor="text1"/>
                <w14:textFill>
                  <w14:solidFill>
                    <w14:schemeClr w14:val="tx1"/>
                  </w14:solidFill>
                </w14:textFill>
              </w:rPr>
              <w:t>含有</w:t>
            </w:r>
            <w:r>
              <w:rPr>
                <w:rFonts w:hAnsi="宋体"/>
                <w:color w:val="000000" w:themeColor="text1"/>
                <w14:textFill>
                  <w14:solidFill>
                    <w14:schemeClr w14:val="tx1"/>
                  </w14:solidFill>
                </w14:textFill>
              </w:rPr>
              <w:t>大面积林草地</w:t>
            </w:r>
            <w:r>
              <w:rPr>
                <w:rFonts w:hint="eastAsia" w:hAnsi="宋体"/>
                <w:color w:val="000000" w:themeColor="text1"/>
                <w14:textFill>
                  <w14:solidFill>
                    <w14:schemeClr w14:val="tx1"/>
                  </w14:solidFill>
                </w14:textFill>
              </w:rPr>
              <w:t>（面积超</w:t>
            </w:r>
            <w:r>
              <w:rPr>
                <w:rFonts w:hAnsi="宋体"/>
                <w:color w:val="000000" w:themeColor="text1"/>
                <w14:textFill>
                  <w14:solidFill>
                    <w14:schemeClr w14:val="tx1"/>
                  </w14:solidFill>
                </w14:textFill>
              </w:rPr>
              <w:t>5</w:t>
            </w:r>
            <w:r>
              <w:rPr>
                <w:rFonts w:hint="eastAsia" w:hAnsi="宋体"/>
                <w:color w:val="000000" w:themeColor="text1"/>
                <w14:textFill>
                  <w14:solidFill>
                    <w14:schemeClr w14:val="tx1"/>
                  </w14:solidFill>
                </w14:textFill>
              </w:rPr>
              <w:t>0000m</w:t>
            </w:r>
            <w:r>
              <w:rPr>
                <w:rFonts w:hint="eastAsia" w:hAnsi="宋体"/>
                <w:color w:val="000000" w:themeColor="text1"/>
                <w:vertAlign w:val="superscript"/>
                <w14:textFill>
                  <w14:solidFill>
                    <w14:schemeClr w14:val="tx1"/>
                  </w14:solidFill>
                </w14:textFill>
              </w:rPr>
              <w:t>2</w:t>
            </w:r>
            <w:r>
              <w:rPr>
                <w:rFonts w:hint="eastAsia" w:hAnsi="宋体"/>
                <w:color w:val="000000" w:themeColor="text1"/>
                <w14:textFill>
                  <w14:solidFill>
                    <w14:schemeClr w14:val="tx1"/>
                  </w14:solidFill>
                </w14:textFill>
              </w:rPr>
              <w:t>），林草地</w:t>
            </w:r>
            <w:r>
              <w:rPr>
                <w:rFonts w:hAnsi="宋体"/>
                <w:color w:val="000000" w:themeColor="text1"/>
                <w14:textFill>
                  <w14:solidFill>
                    <w14:schemeClr w14:val="tx1"/>
                  </w14:solidFill>
                </w14:textFill>
              </w:rPr>
              <w:t>灌溉用水量（</w:t>
            </w:r>
            <w:r>
              <w:rPr>
                <w:rFonts w:hint="eastAsia" w:hAnsi="宋体"/>
                <w:color w:val="000000" w:themeColor="text1"/>
                <w14:textFill>
                  <w14:solidFill>
                    <w14:schemeClr w14:val="tx1"/>
                  </w14:solidFill>
                </w14:textFill>
              </w:rPr>
              <w:t>150m</w:t>
            </w:r>
            <w:r>
              <w:rPr>
                <w:rFonts w:hint="eastAsia" w:hAnsi="宋体"/>
                <w:color w:val="000000" w:themeColor="text1"/>
                <w:vertAlign w:val="superscript"/>
                <w14:textFill>
                  <w14:solidFill>
                    <w14:schemeClr w14:val="tx1"/>
                  </w14:solidFill>
                </w14:textFill>
              </w:rPr>
              <w:t>3</w:t>
            </w:r>
            <w:r>
              <w:rPr>
                <w:rFonts w:hint="eastAsia" w:hAnsi="宋体"/>
                <w:color w:val="000000" w:themeColor="text1"/>
                <w14:textFill>
                  <w14:solidFill>
                    <w14:schemeClr w14:val="tx1"/>
                  </w14:solidFill>
                </w14:textFill>
              </w:rPr>
              <w:t>/</w:t>
            </w:r>
            <w:r>
              <w:rPr>
                <w:rFonts w:hAnsi="宋体"/>
                <w:color w:val="000000" w:themeColor="text1"/>
                <w14:textFill>
                  <w14:solidFill>
                    <w14:schemeClr w14:val="tx1"/>
                  </w14:solidFill>
                </w14:textFill>
              </w:rPr>
              <w:t>d）</w:t>
            </w:r>
            <w:r>
              <w:rPr>
                <w:rFonts w:hint="eastAsia" w:hAnsi="宋体"/>
                <w:color w:val="000000" w:themeColor="text1"/>
                <w14:textFill>
                  <w14:solidFill>
                    <w14:schemeClr w14:val="tx1"/>
                  </w14:solidFill>
                </w14:textFill>
              </w:rPr>
              <w:t>远超</w:t>
            </w:r>
            <w:r>
              <w:rPr>
                <w:rFonts w:hAnsi="宋体"/>
                <w:color w:val="000000" w:themeColor="text1"/>
                <w14:textFill>
                  <w14:solidFill>
                    <w14:schemeClr w14:val="tx1"/>
                  </w14:solidFill>
                </w14:textFill>
              </w:rPr>
              <w:t>本项目生活污水产生量，故本项目生活污水林灌可行。</w:t>
            </w:r>
          </w:p>
          <w:p>
            <w:pPr>
              <w:pStyle w:val="3"/>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综上，本项目产生的生活废水不会对周边水环境产生明显影响</w:t>
            </w:r>
            <w:r>
              <w:rPr>
                <w:color w:val="000000" w:themeColor="text1"/>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b/>
                <w:color w:val="auto"/>
                <w:sz w:val="24"/>
                <w:highlight w:val="none"/>
              </w:rPr>
            </w:pPr>
            <w:r>
              <w:rPr>
                <w:b/>
                <w:color w:val="auto"/>
                <w:sz w:val="24"/>
                <w:highlight w:val="none"/>
              </w:rPr>
              <w:t>2、大气环境影响分析</w:t>
            </w:r>
          </w:p>
          <w:p>
            <w:pPr>
              <w:pStyle w:val="3"/>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本项目营运期大气污染物主要为</w:t>
            </w:r>
            <w:r>
              <w:rPr>
                <w:rFonts w:hint="default" w:ascii="Times New Roman" w:hAnsi="Times New Roman" w:cs="Times New Roman"/>
                <w:color w:val="auto"/>
                <w:szCs w:val="21"/>
                <w:highlight w:val="none"/>
              </w:rPr>
              <w:t>骨料堆场</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冷料仓上料扬尘</w:t>
            </w:r>
            <w:r>
              <w:rPr>
                <w:rFonts w:hint="default" w:ascii="Times New Roman" w:hAnsi="Times New Roman" w:cs="Times New Roman"/>
                <w:color w:val="auto"/>
                <w:highlight w:val="none"/>
              </w:rPr>
              <w:t>，矿粉仓粉尘，烘干及筛分废气，沥青烟，苯并(a)芘</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非甲烷总烃</w:t>
            </w:r>
            <w:r>
              <w:rPr>
                <w:rFonts w:hint="default" w:ascii="Times New Roman" w:hAnsi="Times New Roman" w:cs="Times New Roman"/>
                <w:color w:val="auto"/>
                <w:highlight w:val="none"/>
              </w:rPr>
              <w:t>，柴油燃烧产生的颗粒物、NO</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rPr>
              <w:t>和SO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。因此，本项目有组织排放的估算因子为颗粒物、苯并（a）芘、</w:t>
            </w:r>
            <w:r>
              <w:rPr>
                <w:rFonts w:hint="default" w:ascii="Times New Roman" w:hAnsi="Times New Roman" w:cs="Times New Roman"/>
                <w:color w:val="auto"/>
                <w:highlight w:val="none"/>
                <w:lang w:val="en-US" w:eastAsia="zh-CN"/>
              </w:rPr>
              <w:t>非甲烷总烃、</w:t>
            </w:r>
            <w:r>
              <w:rPr>
                <w:rFonts w:hint="default" w:ascii="Times New Roman" w:hAnsi="Times New Roman" w:cs="Times New Roman"/>
                <w:color w:val="auto"/>
                <w:highlight w:val="none"/>
              </w:rPr>
              <w:t>NO</w:t>
            </w:r>
            <w:r>
              <w:rPr>
                <w:rFonts w:hint="default" w:ascii="Times New Roman" w:hAnsi="Times New Roman" w:cs="Times New Roman"/>
                <w:color w:val="auto"/>
                <w:highlight w:val="none"/>
                <w:vertAlign w:val="subscript"/>
                <w:lang w:val="en-US" w:eastAsia="zh-CN"/>
              </w:rPr>
              <w:t>2</w:t>
            </w:r>
            <w:r>
              <w:rPr>
                <w:rFonts w:hint="default" w:ascii="Times New Roman" w:hAnsi="Times New Roman" w:cs="Times New Roman"/>
                <w:color w:val="auto"/>
                <w:highlight w:val="none"/>
              </w:rPr>
              <w:t>、SO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，无组织排放的估算因子为颗粒物、苯并(a)芘</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非甲烷总烃</w:t>
            </w:r>
            <w:r>
              <w:rPr>
                <w:rFonts w:hint="default" w:ascii="Times New Roman" w:hAnsi="Times New Roman" w:cs="Times New Roman"/>
                <w:color w:val="auto"/>
                <w:highlight w:val="none"/>
              </w:rPr>
              <w:t>。</w:t>
            </w:r>
          </w:p>
          <w:p>
            <w:pPr>
              <w:spacing w:line="360" w:lineRule="auto"/>
              <w:ind w:firstLine="470" w:firstLineChars="196"/>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根据《环境影响评价技术导则 大气环境》（HJ 2.2-2018）推荐的估算模式ARESCREEN 进行估算。</w:t>
            </w:r>
          </w:p>
          <w:p>
            <w:pPr>
              <w:pStyle w:val="17"/>
              <w:ind w:firstLine="482"/>
              <w:rPr>
                <w:b/>
                <w:color w:val="auto"/>
                <w:highlight w:val="none"/>
              </w:rPr>
            </w:pPr>
            <w:r>
              <w:rPr>
                <w:b/>
                <w:color w:val="auto"/>
                <w:highlight w:val="none"/>
              </w:rPr>
              <w:t>（1）环境空气污染源调查</w:t>
            </w:r>
          </w:p>
          <w:p>
            <w:pPr>
              <w:pStyle w:val="3"/>
              <w:ind w:firstLine="480"/>
              <w:rPr>
                <w:color w:val="auto"/>
                <w:highlight w:val="none"/>
              </w:rPr>
            </w:pPr>
            <w:r>
              <w:rPr>
                <w:rFonts w:hint="eastAsia" w:ascii="宋体" w:hAnsi="宋体" w:cs="宋体"/>
                <w:color w:val="auto"/>
                <w:highlight w:val="none"/>
              </w:rPr>
              <w:t>①</w:t>
            </w:r>
            <w:r>
              <w:rPr>
                <w:color w:val="auto"/>
                <w:highlight w:val="none"/>
              </w:rPr>
              <w:t>有组织排放源</w:t>
            </w:r>
          </w:p>
          <w:p>
            <w:pPr>
              <w:pStyle w:val="3"/>
              <w:ind w:firstLine="480"/>
              <w:rPr>
                <w:color w:val="auto"/>
                <w:highlight w:val="none"/>
              </w:rPr>
            </w:pPr>
            <w:r>
              <w:rPr>
                <w:color w:val="auto"/>
                <w:highlight w:val="none"/>
              </w:rPr>
              <w:t>本项目营运期参与环境影响预测的有组织污染源主要为颗粒物、苯并（a）芘、NO</w:t>
            </w:r>
            <w:r>
              <w:rPr>
                <w:rFonts w:hint="eastAsia"/>
                <w:color w:val="auto"/>
                <w:highlight w:val="none"/>
                <w:vertAlign w:val="subscript"/>
                <w:lang w:val="en-US" w:eastAsia="zh-CN"/>
              </w:rPr>
              <w:t>2</w:t>
            </w:r>
            <w:r>
              <w:rPr>
                <w:color w:val="auto"/>
                <w:highlight w:val="none"/>
              </w:rPr>
              <w:t>、SO</w:t>
            </w:r>
            <w:r>
              <w:rPr>
                <w:color w:val="auto"/>
                <w:highlight w:val="none"/>
                <w:vertAlign w:val="subscript"/>
              </w:rPr>
              <w:t>2</w:t>
            </w:r>
            <w:r>
              <w:rPr>
                <w:color w:val="auto"/>
                <w:highlight w:val="none"/>
              </w:rPr>
              <w:t>。项目点源参数表见表</w:t>
            </w:r>
            <w:r>
              <w:rPr>
                <w:rFonts w:hint="eastAsia"/>
                <w:color w:val="auto"/>
                <w:highlight w:val="none"/>
                <w:lang w:val="en-US" w:eastAsia="zh-CN"/>
              </w:rPr>
              <w:t>4-12</w:t>
            </w:r>
            <w:r>
              <w:rPr>
                <w:color w:val="auto"/>
                <w:highlight w:val="none"/>
              </w:rPr>
              <w:t>。</w:t>
            </w:r>
          </w:p>
          <w:p>
            <w:pPr>
              <w:pStyle w:val="15"/>
              <w:jc w:val="center"/>
              <w:rPr>
                <w:rFonts w:hint="eastAsia" w:ascii="Times New Roman" w:hAnsi="Times New Roman" w:eastAsia="宋体" w:cs="Times New Roman"/>
                <w:b/>
                <w:bCs/>
                <w:color w:val="auto"/>
                <w:sz w:val="21"/>
                <w:szCs w:val="21"/>
                <w:highlight w:val="none"/>
                <w:lang w:val="zh-CN" w:eastAsia="zh-CN" w:bidi="zh-CN"/>
              </w:rPr>
            </w:pPr>
            <w:r>
              <w:rPr>
                <w:rFonts w:hint="eastAsia" w:ascii="Times New Roman" w:hAnsi="Times New Roman" w:eastAsia="宋体" w:cs="Times New Roman"/>
                <w:b/>
                <w:bCs/>
                <w:color w:val="auto"/>
                <w:sz w:val="21"/>
                <w:szCs w:val="21"/>
                <w:highlight w:val="none"/>
                <w:lang w:val="zh-CN" w:eastAsia="zh-CN" w:bidi="zh-CN"/>
              </w:rPr>
              <w:t>表</w:t>
            </w:r>
            <w:r>
              <w:rPr>
                <w:rFonts w:hint="eastAsia" w:ascii="Times New Roman" w:hAnsi="Times New Roman" w:eastAsia="宋体" w:cs="Times New Roman"/>
                <w:b/>
                <w:bCs/>
                <w:color w:val="auto"/>
                <w:sz w:val="21"/>
                <w:szCs w:val="21"/>
                <w:highlight w:val="none"/>
                <w:lang w:val="en-US" w:eastAsia="zh-CN" w:bidi="zh-CN"/>
              </w:rPr>
              <w:t>4-12</w:t>
            </w:r>
            <w:r>
              <w:rPr>
                <w:rFonts w:hint="eastAsia" w:ascii="Times New Roman" w:hAnsi="Times New Roman" w:eastAsia="宋体" w:cs="Times New Roman"/>
                <w:b/>
                <w:bCs/>
                <w:color w:val="auto"/>
                <w:sz w:val="21"/>
                <w:szCs w:val="21"/>
                <w:highlight w:val="none"/>
                <w:lang w:val="zh-CN" w:eastAsia="zh-CN" w:bidi="zh-CN"/>
              </w:rPr>
              <w:t xml:space="preserve">  有组织排放污染源强情况</w:t>
            </w:r>
          </w:p>
          <w:p>
            <w:pPr>
              <w:pStyle w:val="15"/>
              <w:rPr>
                <w:rFonts w:ascii="黑体"/>
                <w:color w:val="FF0000"/>
                <w:sz w:val="20"/>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723"/>
              <w:gridCol w:w="736"/>
              <w:gridCol w:w="763"/>
              <w:gridCol w:w="750"/>
              <w:gridCol w:w="682"/>
              <w:gridCol w:w="935"/>
              <w:gridCol w:w="1000"/>
              <w:gridCol w:w="710"/>
              <w:gridCol w:w="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869" w:type="dxa"/>
                  <w:vMerge w:val="restart"/>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污染源名称</w:t>
                  </w:r>
                </w:p>
              </w:tc>
              <w:tc>
                <w:tcPr>
                  <w:tcW w:w="2972" w:type="dxa"/>
                  <w:gridSpan w:val="4"/>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排气筒参数</w:t>
                  </w:r>
                </w:p>
              </w:tc>
              <w:tc>
                <w:tcPr>
                  <w:tcW w:w="3928" w:type="dxa"/>
                  <w:gridSpan w:val="5"/>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69" w:type="dxa"/>
                  <w:vMerge w:val="continue"/>
                  <w:noWrap w:val="0"/>
                  <w:vAlign w:val="center"/>
                </w:tcPr>
                <w:p>
                  <w:pPr>
                    <w:jc w:val="center"/>
                    <w:rPr>
                      <w:rFonts w:hint="default" w:ascii="Times New Roman" w:hAnsi="Times New Roman" w:eastAsia="宋体" w:cs="Times New Roman"/>
                      <w:color w:val="auto"/>
                      <w:sz w:val="21"/>
                      <w:szCs w:val="21"/>
                      <w:highlight w:val="none"/>
                    </w:rPr>
                  </w:pPr>
                </w:p>
              </w:tc>
              <w:tc>
                <w:tcPr>
                  <w:tcW w:w="723"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高度(m)</w:t>
                  </w:r>
                </w:p>
              </w:tc>
              <w:tc>
                <w:tcPr>
                  <w:tcW w:w="736"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内径(m)</w:t>
                  </w:r>
                </w:p>
              </w:tc>
              <w:tc>
                <w:tcPr>
                  <w:tcW w:w="763"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温度(℃)</w:t>
                  </w:r>
                </w:p>
              </w:tc>
              <w:tc>
                <w:tcPr>
                  <w:tcW w:w="750"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流速(m/s)</w:t>
                  </w:r>
                </w:p>
              </w:tc>
              <w:tc>
                <w:tcPr>
                  <w:tcW w:w="682" w:type="dxa"/>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lang w:val="en-US" w:eastAsia="zh-CN"/>
                    </w:rPr>
                    <w:t>2</w:t>
                  </w:r>
                </w:p>
              </w:tc>
              <w:tc>
                <w:tcPr>
                  <w:tcW w:w="935"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苯并(a)芘</w:t>
                  </w:r>
                </w:p>
              </w:tc>
              <w:tc>
                <w:tcPr>
                  <w:tcW w:w="1000"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710"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601"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69"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1#排气筒</w:t>
                  </w:r>
                </w:p>
              </w:tc>
              <w:tc>
                <w:tcPr>
                  <w:tcW w:w="723"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.00</w:t>
                  </w:r>
                </w:p>
              </w:tc>
              <w:tc>
                <w:tcPr>
                  <w:tcW w:w="736"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0.50</w:t>
                  </w:r>
                </w:p>
              </w:tc>
              <w:tc>
                <w:tcPr>
                  <w:tcW w:w="763"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20.00</w:t>
                  </w:r>
                </w:p>
              </w:tc>
              <w:tc>
                <w:tcPr>
                  <w:tcW w:w="75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7.73</w:t>
                  </w:r>
                </w:p>
              </w:tc>
              <w:tc>
                <w:tcPr>
                  <w:tcW w:w="682"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0.63</w:t>
                  </w:r>
                </w:p>
              </w:tc>
              <w:tc>
                <w:tcPr>
                  <w:tcW w:w="935"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00"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1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0.14</w:t>
                  </w:r>
                </w:p>
              </w:tc>
              <w:tc>
                <w:tcPr>
                  <w:tcW w:w="601"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69"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2#排气筒</w:t>
                  </w:r>
                </w:p>
              </w:tc>
              <w:tc>
                <w:tcPr>
                  <w:tcW w:w="723"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15.00</w:t>
                  </w:r>
                </w:p>
              </w:tc>
              <w:tc>
                <w:tcPr>
                  <w:tcW w:w="736"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0.50</w:t>
                  </w:r>
                </w:p>
              </w:tc>
              <w:tc>
                <w:tcPr>
                  <w:tcW w:w="763"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20.00</w:t>
                  </w:r>
                </w:p>
              </w:tc>
              <w:tc>
                <w:tcPr>
                  <w:tcW w:w="7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eastAsia" w:ascii="Times New Roman" w:hAnsi="Times New Roman" w:cs="Times New Roman"/>
                      <w:i w:val="0"/>
                      <w:color w:val="auto"/>
                      <w:kern w:val="0"/>
                      <w:sz w:val="21"/>
                      <w:szCs w:val="21"/>
                      <w:highlight w:val="none"/>
                      <w:u w:val="none"/>
                      <w:lang w:val="en-US" w:eastAsia="zh-CN" w:bidi="ar"/>
                    </w:rPr>
                    <w:t>9.66</w:t>
                  </w:r>
                </w:p>
              </w:tc>
              <w:tc>
                <w:tcPr>
                  <w:tcW w:w="682"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935"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1.5×10</w:t>
                  </w:r>
                  <w:r>
                    <w:rPr>
                      <w:rFonts w:hint="default" w:ascii="Times New Roman" w:hAnsi="Times New Roman" w:eastAsia="宋体" w:cs="Times New Roman"/>
                      <w:color w:val="auto"/>
                      <w:sz w:val="21"/>
                      <w:szCs w:val="21"/>
                      <w:highlight w:val="none"/>
                      <w:vertAlign w:val="superscript"/>
                      <w:lang w:val="en-US" w:eastAsia="zh-CN"/>
                    </w:rPr>
                    <w:t>-6</w:t>
                  </w:r>
                </w:p>
              </w:tc>
              <w:tc>
                <w:tcPr>
                  <w:tcW w:w="100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2.9510</w:t>
                  </w:r>
                  <w:r>
                    <w:rPr>
                      <w:rFonts w:hint="default" w:ascii="Times New Roman" w:hAnsi="Times New Roman" w:eastAsia="宋体" w:cs="Times New Roman"/>
                      <w:color w:val="auto"/>
                      <w:sz w:val="21"/>
                      <w:szCs w:val="21"/>
                      <w:highlight w:val="none"/>
                      <w:vertAlign w:val="superscript"/>
                      <w:lang w:val="en-US" w:eastAsia="zh-CN"/>
                    </w:rPr>
                    <w:t>-5</w:t>
                  </w:r>
                </w:p>
              </w:tc>
              <w:tc>
                <w:tcPr>
                  <w:tcW w:w="710"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601"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69"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3#排气筒</w:t>
                  </w:r>
                </w:p>
              </w:tc>
              <w:tc>
                <w:tcPr>
                  <w:tcW w:w="723"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.00</w:t>
                  </w:r>
                </w:p>
              </w:tc>
              <w:tc>
                <w:tcPr>
                  <w:tcW w:w="736"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0.25</w:t>
                  </w:r>
                </w:p>
              </w:tc>
              <w:tc>
                <w:tcPr>
                  <w:tcW w:w="763"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25.00</w:t>
                  </w:r>
                </w:p>
              </w:tc>
              <w:tc>
                <w:tcPr>
                  <w:tcW w:w="7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color w:val="auto"/>
                      <w:kern w:val="0"/>
                      <w:sz w:val="21"/>
                      <w:szCs w:val="21"/>
                      <w:highlight w:val="none"/>
                      <w:u w:val="none"/>
                      <w:lang w:val="en-US" w:eastAsia="zh-CN" w:bidi="ar"/>
                    </w:rPr>
                    <w:t>15.46</w:t>
                  </w:r>
                </w:p>
              </w:tc>
              <w:tc>
                <w:tcPr>
                  <w:tcW w:w="682"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0.016</w:t>
                  </w:r>
                </w:p>
              </w:tc>
              <w:tc>
                <w:tcPr>
                  <w:tcW w:w="935"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1000"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71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0.09</w:t>
                  </w:r>
                </w:p>
              </w:tc>
              <w:tc>
                <w:tcPr>
                  <w:tcW w:w="601"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0.04</w:t>
                  </w:r>
                </w:p>
              </w:tc>
            </w:tr>
          </w:tbl>
          <w:p>
            <w:pPr>
              <w:pStyle w:val="15"/>
              <w:rPr>
                <w:rFonts w:ascii="黑体"/>
                <w:color w:val="FF0000"/>
                <w:sz w:val="20"/>
              </w:rPr>
            </w:pPr>
          </w:p>
          <w:p>
            <w:pPr>
              <w:pStyle w:val="3"/>
              <w:ind w:firstLine="480"/>
              <w:rPr>
                <w:color w:val="auto"/>
              </w:rPr>
            </w:pPr>
            <w:r>
              <w:rPr>
                <w:rFonts w:hint="eastAsia"/>
                <w:color w:val="auto"/>
              </w:rPr>
              <w:t>②无</w:t>
            </w:r>
            <w:r>
              <w:rPr>
                <w:color w:val="auto"/>
              </w:rPr>
              <w:t>组织</w:t>
            </w:r>
            <w:r>
              <w:rPr>
                <w:rFonts w:hint="eastAsia"/>
                <w:color w:val="auto"/>
              </w:rPr>
              <w:t>排放源</w:t>
            </w:r>
          </w:p>
          <w:p>
            <w:pPr>
              <w:pStyle w:val="3"/>
              <w:ind w:firstLine="480"/>
              <w:rPr>
                <w:color w:val="auto"/>
              </w:rPr>
            </w:pPr>
            <w:r>
              <w:rPr>
                <w:rFonts w:hint="eastAsia"/>
                <w:color w:val="auto"/>
              </w:rPr>
              <w:t>项目</w:t>
            </w:r>
            <w:r>
              <w:rPr>
                <w:color w:val="auto"/>
              </w:rPr>
              <w:t>无组织排放源为</w:t>
            </w:r>
            <w:r>
              <w:rPr>
                <w:rFonts w:hint="eastAsia"/>
                <w:color w:val="auto"/>
              </w:rPr>
              <w:t>运输扬尘，</w:t>
            </w:r>
            <w:r>
              <w:rPr>
                <w:color w:val="auto"/>
              </w:rPr>
              <w:t>原料堆场</w:t>
            </w:r>
            <w:r>
              <w:rPr>
                <w:rFonts w:hint="eastAsia"/>
                <w:color w:val="auto"/>
              </w:rPr>
              <w:t>、冷料仓上料及</w:t>
            </w:r>
            <w:r>
              <w:rPr>
                <w:color w:val="auto"/>
              </w:rPr>
              <w:t>矿粉仓产生的</w:t>
            </w:r>
            <w:r>
              <w:rPr>
                <w:rFonts w:hint="eastAsia"/>
                <w:color w:val="auto"/>
              </w:rPr>
              <w:t>颗粒物</w:t>
            </w:r>
            <w:r>
              <w:rPr>
                <w:color w:val="auto"/>
              </w:rPr>
              <w:t>，以及</w:t>
            </w:r>
            <w:r>
              <w:rPr>
                <w:rFonts w:hint="eastAsia"/>
                <w:color w:val="auto"/>
              </w:rPr>
              <w:t>沥青混凝土</w:t>
            </w:r>
            <w:r>
              <w:rPr>
                <w:color w:val="auto"/>
              </w:rPr>
              <w:t>放料门产生的</w:t>
            </w:r>
            <w:r>
              <w:rPr>
                <w:rFonts w:hint="eastAsia"/>
                <w:color w:val="auto"/>
              </w:rPr>
              <w:t>苯并</w:t>
            </w:r>
            <w:r>
              <w:rPr>
                <w:rFonts w:hint="eastAsia"/>
                <w:color w:val="auto"/>
                <w:szCs w:val="22"/>
              </w:rPr>
              <w:t>(a)</w:t>
            </w:r>
            <w:r>
              <w:rPr>
                <w:rFonts w:hint="eastAsia"/>
                <w:color w:val="auto"/>
              </w:rPr>
              <w:t>芘。鉴于原料堆场</w:t>
            </w:r>
            <w:r>
              <w:rPr>
                <w:color w:val="auto"/>
              </w:rPr>
              <w:t>、冷料仓上料区域及矿粉仓紧邻，故将</w:t>
            </w:r>
            <w:r>
              <w:rPr>
                <w:rFonts w:hint="eastAsia"/>
                <w:color w:val="auto"/>
              </w:rPr>
              <w:t>运输扬尘</w:t>
            </w:r>
            <w:r>
              <w:rPr>
                <w:color w:val="auto"/>
              </w:rPr>
              <w:t>、原料堆场</w:t>
            </w:r>
            <w:r>
              <w:rPr>
                <w:rFonts w:hint="eastAsia"/>
                <w:color w:val="auto"/>
              </w:rPr>
              <w:t>、冷料仓上料及</w:t>
            </w:r>
            <w:r>
              <w:rPr>
                <w:color w:val="auto"/>
              </w:rPr>
              <w:t>矿粉仓产生的</w:t>
            </w:r>
            <w:r>
              <w:rPr>
                <w:rFonts w:hint="eastAsia"/>
                <w:color w:val="auto"/>
              </w:rPr>
              <w:t>颗粒物视为</w:t>
            </w:r>
            <w:r>
              <w:rPr>
                <w:color w:val="auto"/>
              </w:rPr>
              <w:t>一个无组织排放源，</w:t>
            </w:r>
            <w:r>
              <w:rPr>
                <w:rFonts w:hint="eastAsia"/>
                <w:color w:val="auto"/>
              </w:rPr>
              <w:t>项目面源</w:t>
            </w:r>
            <w:r>
              <w:rPr>
                <w:color w:val="auto"/>
              </w:rPr>
              <w:t>污染参数</w:t>
            </w:r>
            <w:r>
              <w:rPr>
                <w:rFonts w:hint="eastAsia"/>
                <w:color w:val="auto"/>
              </w:rPr>
              <w:t>见</w:t>
            </w:r>
            <w:r>
              <w:rPr>
                <w:color w:val="auto"/>
              </w:rPr>
              <w:t>表</w:t>
            </w:r>
            <w:r>
              <w:rPr>
                <w:rFonts w:hint="eastAsia"/>
                <w:color w:val="auto"/>
                <w:lang w:val="en-US" w:eastAsia="zh-CN"/>
              </w:rPr>
              <w:t>4-13</w:t>
            </w:r>
            <w:r>
              <w:rPr>
                <w:rFonts w:hint="eastAsia"/>
                <w:color w:val="auto"/>
              </w:rPr>
              <w:t>。</w:t>
            </w:r>
          </w:p>
          <w:p>
            <w:pPr>
              <w:pStyle w:val="3"/>
              <w:ind w:firstLine="480"/>
              <w:jc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bCs/>
                <w:color w:val="auto"/>
                <w:sz w:val="21"/>
                <w:szCs w:val="21"/>
                <w:highlight w:val="none"/>
                <w:lang w:val="zh-CN" w:eastAsia="zh-CN" w:bidi="zh-CN"/>
              </w:rPr>
              <w:t>表</w:t>
            </w:r>
            <w:r>
              <w:rPr>
                <w:rFonts w:hint="eastAsia" w:ascii="Times New Roman" w:hAnsi="Times New Roman" w:eastAsia="宋体" w:cs="Times New Roman"/>
                <w:b/>
                <w:bCs/>
                <w:color w:val="auto"/>
                <w:sz w:val="21"/>
                <w:szCs w:val="21"/>
                <w:highlight w:val="none"/>
                <w:lang w:val="en-US" w:eastAsia="zh-CN" w:bidi="zh-CN"/>
              </w:rPr>
              <w:t>4-13</w:t>
            </w:r>
            <w:r>
              <w:rPr>
                <w:rFonts w:hint="eastAsia" w:ascii="Times New Roman" w:hAnsi="Times New Roman" w:eastAsia="宋体" w:cs="Times New Roman"/>
                <w:b/>
                <w:bCs/>
                <w:color w:val="auto"/>
                <w:sz w:val="21"/>
                <w:szCs w:val="21"/>
                <w:highlight w:val="none"/>
                <w:lang w:val="zh-CN" w:eastAsia="zh-CN" w:bidi="zh-CN"/>
              </w:rPr>
              <w:t xml:space="preserve">  无组织排放污染源强情况</w:t>
            </w:r>
          </w:p>
          <w:tbl>
            <w:tblPr>
              <w:tblStyle w:val="11"/>
              <w:tblW w:w="7897"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182"/>
              <w:gridCol w:w="823"/>
              <w:gridCol w:w="804"/>
              <w:gridCol w:w="673"/>
              <w:gridCol w:w="579"/>
              <w:gridCol w:w="650"/>
              <w:gridCol w:w="721"/>
              <w:gridCol w:w="791"/>
              <w:gridCol w:w="982"/>
              <w:gridCol w:w="69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PrEx>
              <w:trPr>
                <w:trHeight w:val="333" w:hRule="atLeast"/>
                <w:jc w:val="center"/>
              </w:trPr>
              <w:tc>
                <w:tcPr>
                  <w:tcW w:w="1182" w:type="dxa"/>
                  <w:vMerge w:val="restar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污染源名称</w:t>
                  </w:r>
                </w:p>
              </w:tc>
              <w:tc>
                <w:tcPr>
                  <w:tcW w:w="1627" w:type="dxa"/>
                  <w:gridSpan w:val="2"/>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坐标(°)</w:t>
                  </w:r>
                </w:p>
              </w:tc>
              <w:tc>
                <w:tcPr>
                  <w:tcW w:w="673" w:type="dxa"/>
                  <w:vMerge w:val="restar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海拔高度(m)</w:t>
                  </w:r>
                </w:p>
              </w:tc>
              <w:tc>
                <w:tcPr>
                  <w:tcW w:w="1950" w:type="dxa"/>
                  <w:gridSpan w:val="3"/>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矩形面源</w:t>
                  </w:r>
                </w:p>
              </w:tc>
              <w:tc>
                <w:tcPr>
                  <w:tcW w:w="2465" w:type="dxa"/>
                  <w:gridSpan w:val="3"/>
                  <w:noWrap w:val="0"/>
                  <w:vAlign w:val="center"/>
                </w:tcPr>
                <w:p>
                  <w:pPr>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污染物排放速率(kg/h)</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289" w:hRule="atLeast"/>
                <w:jc w:val="center"/>
              </w:trPr>
              <w:tc>
                <w:tcPr>
                  <w:tcW w:w="1182" w:type="dxa"/>
                  <w:vMerge w:val="continue"/>
                  <w:noWrap w:val="0"/>
                  <w:vAlign w:val="center"/>
                </w:tcPr>
                <w:p>
                  <w:pPr>
                    <w:jc w:val="center"/>
                    <w:rPr>
                      <w:rFonts w:hint="default" w:ascii="Times New Roman" w:hAnsi="Times New Roman" w:cs="Times New Roman"/>
                      <w:color w:val="FF0000"/>
                      <w:sz w:val="21"/>
                      <w:szCs w:val="21"/>
                      <w:highlight w:val="none"/>
                    </w:rPr>
                  </w:pPr>
                </w:p>
              </w:tc>
              <w:tc>
                <w:tcPr>
                  <w:tcW w:w="823"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经度</w:t>
                  </w:r>
                </w:p>
              </w:tc>
              <w:tc>
                <w:tcPr>
                  <w:tcW w:w="804"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纬度</w:t>
                  </w:r>
                </w:p>
              </w:tc>
              <w:tc>
                <w:tcPr>
                  <w:tcW w:w="673" w:type="dxa"/>
                  <w:vMerge w:val="continue"/>
                  <w:noWrap w:val="0"/>
                  <w:vAlign w:val="center"/>
                </w:tcPr>
                <w:p>
                  <w:pPr>
                    <w:jc w:val="center"/>
                    <w:rPr>
                      <w:rFonts w:hint="default" w:ascii="Times New Roman" w:hAnsi="Times New Roman" w:cs="Times New Roman"/>
                      <w:color w:val="FF0000"/>
                      <w:sz w:val="21"/>
                      <w:szCs w:val="21"/>
                      <w:highlight w:val="none"/>
                    </w:rPr>
                  </w:pPr>
                </w:p>
              </w:tc>
              <w:tc>
                <w:tcPr>
                  <w:tcW w:w="579"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长度(m)</w:t>
                  </w:r>
                </w:p>
              </w:tc>
              <w:tc>
                <w:tcPr>
                  <w:tcW w:w="650"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宽度(m)</w:t>
                  </w:r>
                </w:p>
              </w:tc>
              <w:tc>
                <w:tcPr>
                  <w:tcW w:w="721"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有效高度(m)</w:t>
                  </w:r>
                </w:p>
              </w:tc>
              <w:tc>
                <w:tcPr>
                  <w:tcW w:w="791"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苯并(a)芘</w:t>
                  </w:r>
                </w:p>
              </w:tc>
              <w:tc>
                <w:tcPr>
                  <w:tcW w:w="982"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非甲烷总烃</w:t>
                  </w:r>
                </w:p>
              </w:tc>
              <w:tc>
                <w:tcPr>
                  <w:tcW w:w="692" w:type="dxa"/>
                  <w:noWrap w:val="0"/>
                  <w:vAlign w:val="center"/>
                </w:tcPr>
                <w:p>
                  <w:pPr>
                    <w:jc w:val="both"/>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TSP</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547" w:hRule="atLeast"/>
                <w:jc w:val="center"/>
              </w:trPr>
              <w:tc>
                <w:tcPr>
                  <w:tcW w:w="1182"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骨料堆场及冷料仓上料、矿粉仓</w:t>
                  </w:r>
                </w:p>
              </w:tc>
              <w:tc>
                <w:tcPr>
                  <w:tcW w:w="823" w:type="dxa"/>
                  <w:noWrap w:val="0"/>
                  <w:vAlign w:val="center"/>
                </w:tcPr>
                <w:p>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rPr>
                    <w:t>101:30:15.06143</w:t>
                  </w:r>
                </w:p>
              </w:tc>
              <w:tc>
                <w:tcPr>
                  <w:tcW w:w="804" w:type="dxa"/>
                  <w:noWrap w:val="0"/>
                  <w:vAlign w:val="center"/>
                </w:tcPr>
                <w:p>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29:5:29.67867</w:t>
                  </w:r>
                </w:p>
              </w:tc>
              <w:tc>
                <w:tcPr>
                  <w:tcW w:w="673" w:type="dxa"/>
                  <w:noWrap w:val="0"/>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306</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3</w:t>
                  </w:r>
                </w:p>
              </w:tc>
              <w:tc>
                <w:tcPr>
                  <w:tcW w:w="579" w:type="dxa"/>
                  <w:noWrap w:val="0"/>
                  <w:vAlign w:val="center"/>
                </w:tcPr>
                <w:p>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100</w:t>
                  </w:r>
                  <w:r>
                    <w:rPr>
                      <w:rFonts w:hint="default" w:ascii="Times New Roman" w:hAnsi="Times New Roman" w:cs="Times New Roman"/>
                      <w:color w:val="000000" w:themeColor="text1"/>
                      <w:sz w:val="21"/>
                      <w:szCs w:val="21"/>
                      <w:highlight w:val="none"/>
                      <w14:textFill>
                        <w14:solidFill>
                          <w14:schemeClr w14:val="tx1"/>
                        </w14:solidFill>
                      </w14:textFill>
                    </w:rPr>
                    <w:t>.0</w:t>
                  </w:r>
                </w:p>
              </w:tc>
              <w:tc>
                <w:tcPr>
                  <w:tcW w:w="650"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50</w:t>
                  </w:r>
                  <w:r>
                    <w:rPr>
                      <w:rFonts w:hint="default" w:ascii="Times New Roman" w:hAnsi="Times New Roman" w:cs="Times New Roman"/>
                      <w:color w:val="auto"/>
                      <w:sz w:val="21"/>
                      <w:szCs w:val="21"/>
                      <w:highlight w:val="none"/>
                    </w:rPr>
                    <w:t>.0</w:t>
                  </w:r>
                </w:p>
              </w:tc>
              <w:tc>
                <w:tcPr>
                  <w:tcW w:w="721"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791"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982"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92" w:type="dxa"/>
                  <w:noWrap w:val="0"/>
                  <w:vAlign w:val="center"/>
                </w:tcPr>
                <w:p>
                  <w:pPr>
                    <w:jc w:val="both"/>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0.075</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693" w:hRule="atLeast"/>
                <w:jc w:val="center"/>
              </w:trPr>
              <w:tc>
                <w:tcPr>
                  <w:tcW w:w="1182"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沥青混凝土放料门</w:t>
                  </w:r>
                </w:p>
              </w:tc>
              <w:tc>
                <w:tcPr>
                  <w:tcW w:w="823" w:type="dxa"/>
                  <w:noWrap w:val="0"/>
                  <w:vAlign w:val="center"/>
                </w:tcPr>
                <w:p>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101:30:16.10433</w:t>
                  </w:r>
                </w:p>
              </w:tc>
              <w:tc>
                <w:tcPr>
                  <w:tcW w:w="804" w:type="dxa"/>
                  <w:noWrap w:val="0"/>
                  <w:vAlign w:val="center"/>
                </w:tcPr>
                <w:p>
                  <w:pPr>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29:5:30.10339</w:t>
                  </w:r>
                </w:p>
              </w:tc>
              <w:tc>
                <w:tcPr>
                  <w:tcW w:w="673" w:type="dxa"/>
                  <w:noWrap w:val="0"/>
                  <w:vAlign w:val="center"/>
                </w:tcPr>
                <w:p>
                  <w:pPr>
                    <w:jc w:val="cente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306</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w:t>
                  </w:r>
                </w:p>
              </w:tc>
              <w:tc>
                <w:tcPr>
                  <w:tcW w:w="579" w:type="dxa"/>
                  <w:noWrap w:val="0"/>
                  <w:vAlign w:val="center"/>
                </w:tcPr>
                <w:p>
                  <w:pPr>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100.0</w:t>
                  </w:r>
                </w:p>
              </w:tc>
              <w:tc>
                <w:tcPr>
                  <w:tcW w:w="65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50.0</w:t>
                  </w:r>
                </w:p>
              </w:tc>
              <w:tc>
                <w:tcPr>
                  <w:tcW w:w="721" w:type="dxa"/>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791" w:type="dxa"/>
                  <w:noWrap w:val="0"/>
                  <w:vAlign w:val="center"/>
                </w:tcPr>
                <w:p>
                  <w:pPr>
                    <w:jc w:val="center"/>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2.94</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-6</w:t>
                  </w:r>
                </w:p>
              </w:tc>
              <w:tc>
                <w:tcPr>
                  <w:tcW w:w="982" w:type="dxa"/>
                  <w:noWrap w:val="0"/>
                  <w:vAlign w:val="center"/>
                </w:tcPr>
                <w:p>
                  <w:pPr>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5.9</w:t>
                  </w:r>
                  <w:r>
                    <w:rPr>
                      <w:rFonts w:hint="default" w:ascii="Times New Roman" w:hAnsi="Times New Roman" w:cs="Times New Roman"/>
                      <w:color w:val="auto"/>
                      <w:sz w:val="21"/>
                      <w:szCs w:val="21"/>
                      <w:highlight w:val="none"/>
                    </w:rPr>
                    <w:t>×10</w:t>
                  </w:r>
                  <w:r>
                    <w:rPr>
                      <w:rFonts w:hint="default" w:ascii="Times New Roman" w:hAnsi="Times New Roman" w:cs="Times New Roman"/>
                      <w:color w:val="auto"/>
                      <w:sz w:val="21"/>
                      <w:szCs w:val="21"/>
                      <w:highlight w:val="none"/>
                      <w:vertAlign w:val="superscript"/>
                    </w:rPr>
                    <w:t>-</w:t>
                  </w:r>
                  <w:r>
                    <w:rPr>
                      <w:rFonts w:hint="eastAsia" w:ascii="Times New Roman" w:hAnsi="Times New Roman" w:cs="Times New Roman"/>
                      <w:color w:val="auto"/>
                      <w:sz w:val="21"/>
                      <w:szCs w:val="21"/>
                      <w:highlight w:val="none"/>
                      <w:vertAlign w:val="superscript"/>
                      <w:lang w:val="en-US" w:eastAsia="zh-CN"/>
                    </w:rPr>
                    <w:t>5</w:t>
                  </w:r>
                </w:p>
              </w:tc>
              <w:tc>
                <w:tcPr>
                  <w:tcW w:w="692" w:type="dxa"/>
                  <w:noWrap w:val="0"/>
                  <w:vAlign w:val="center"/>
                </w:tcPr>
                <w:p>
                  <w:pPr>
                    <w:jc w:val="center"/>
                    <w:rPr>
                      <w:rFonts w:hint="default" w:ascii="Times New Roman" w:hAnsi="Times New Roman" w:cs="Times New Roman"/>
                      <w:color w:val="auto"/>
                      <w:sz w:val="21"/>
                      <w:szCs w:val="21"/>
                      <w:highlight w:val="none"/>
                    </w:rPr>
                  </w:pPr>
                </w:p>
              </w:tc>
            </w:tr>
          </w:tbl>
          <w:p>
            <w:pPr>
              <w:pStyle w:val="15"/>
              <w:rPr>
                <w:rFonts w:ascii="黑体"/>
                <w:color w:val="FF0000"/>
                <w:sz w:val="20"/>
                <w:highlight w:val="none"/>
              </w:rPr>
            </w:pPr>
          </w:p>
          <w:p>
            <w:pPr>
              <w:pStyle w:val="15"/>
              <w:rPr>
                <w:rFonts w:ascii="黑体"/>
                <w:color w:val="FF0000"/>
                <w:sz w:val="20"/>
                <w:highlight w:val="none"/>
              </w:rPr>
            </w:pPr>
          </w:p>
          <w:p>
            <w:pPr>
              <w:pStyle w:val="17"/>
              <w:ind w:firstLine="482"/>
              <w:rPr>
                <w:rFonts w:hint="eastAsia"/>
                <w:b/>
                <w:color w:val="auto"/>
                <w:highlight w:val="none"/>
              </w:rPr>
            </w:pPr>
            <w:r>
              <w:rPr>
                <w:rFonts w:hint="eastAsia"/>
                <w:b/>
                <w:color w:val="auto"/>
                <w:highlight w:val="none"/>
              </w:rPr>
              <w:t>（</w:t>
            </w:r>
            <w:r>
              <w:rPr>
                <w:b/>
                <w:color w:val="auto"/>
                <w:highlight w:val="none"/>
              </w:rPr>
              <w:t>2</w:t>
            </w:r>
            <w:r>
              <w:rPr>
                <w:rFonts w:hint="eastAsia"/>
                <w:b/>
                <w:color w:val="auto"/>
                <w:highlight w:val="none"/>
              </w:rPr>
              <w:t>）评价等级判断</w:t>
            </w:r>
          </w:p>
          <w:p>
            <w:pPr>
              <w:pStyle w:val="3"/>
              <w:ind w:firstLine="480"/>
              <w:rPr>
                <w:rFonts w:hint="eastAsia"/>
                <w:color w:val="auto"/>
                <w:highlight w:val="none"/>
              </w:rPr>
            </w:pPr>
            <w:r>
              <w:rPr>
                <w:rFonts w:hint="eastAsia"/>
                <w:color w:val="auto"/>
                <w:highlight w:val="none"/>
              </w:rPr>
              <w:t>①评价因子和评价标准筛选</w:t>
            </w:r>
          </w:p>
          <w:p>
            <w:pPr>
              <w:pStyle w:val="3"/>
              <w:ind w:firstLine="480"/>
              <w:rPr>
                <w:rFonts w:hint="eastAsia"/>
                <w:color w:val="auto"/>
                <w:highlight w:val="none"/>
              </w:rPr>
            </w:pPr>
            <w:r>
              <w:rPr>
                <w:rFonts w:hint="eastAsia"/>
                <w:color w:val="auto"/>
                <w:highlight w:val="none"/>
              </w:rPr>
              <w:t>评价因子和评价标准表见表</w:t>
            </w:r>
            <w:r>
              <w:rPr>
                <w:rFonts w:hint="eastAsia"/>
                <w:color w:val="auto"/>
                <w:highlight w:val="none"/>
                <w:lang w:val="en-US" w:eastAsia="zh-CN"/>
              </w:rPr>
              <w:t>4-13</w:t>
            </w:r>
            <w:r>
              <w:rPr>
                <w:rFonts w:hint="eastAsia"/>
                <w:color w:val="auto"/>
                <w:highlight w:val="none"/>
              </w:rPr>
              <w:t>。</w:t>
            </w:r>
          </w:p>
          <w:p>
            <w:pPr>
              <w:pStyle w:val="15"/>
              <w:jc w:val="center"/>
              <w:rPr>
                <w:rFonts w:hint="eastAsia" w:ascii="Times New Roman" w:hAnsi="Times New Roman" w:eastAsia="宋体" w:cs="Times New Roman"/>
                <w:b/>
                <w:bCs/>
                <w:color w:val="auto"/>
                <w:sz w:val="21"/>
                <w:szCs w:val="21"/>
                <w:highlight w:val="none"/>
                <w:lang w:val="zh-CN" w:eastAsia="zh-CN" w:bidi="zh-CN"/>
              </w:rPr>
            </w:pPr>
            <w:r>
              <w:rPr>
                <w:rFonts w:hint="eastAsia" w:ascii="Times New Roman" w:hAnsi="Times New Roman" w:eastAsia="宋体" w:cs="Times New Roman"/>
                <w:b/>
                <w:bCs/>
                <w:color w:val="auto"/>
                <w:sz w:val="21"/>
                <w:szCs w:val="21"/>
                <w:highlight w:val="none"/>
                <w:lang w:val="zh-CN" w:eastAsia="zh-CN" w:bidi="zh-CN"/>
              </w:rPr>
              <w:t>表</w:t>
            </w:r>
            <w:r>
              <w:rPr>
                <w:rFonts w:hint="eastAsia" w:ascii="Times New Roman" w:hAnsi="Times New Roman" w:eastAsia="宋体" w:cs="Times New Roman"/>
                <w:b/>
                <w:bCs/>
                <w:color w:val="auto"/>
                <w:sz w:val="21"/>
                <w:szCs w:val="21"/>
                <w:highlight w:val="none"/>
                <w:lang w:val="en-US" w:eastAsia="zh-CN" w:bidi="zh-CN"/>
              </w:rPr>
              <w:t>4-13</w:t>
            </w:r>
            <w:r>
              <w:rPr>
                <w:rFonts w:hint="eastAsia" w:ascii="Times New Roman" w:hAnsi="Times New Roman" w:eastAsia="宋体" w:cs="Times New Roman"/>
                <w:b/>
                <w:bCs/>
                <w:color w:val="auto"/>
                <w:sz w:val="21"/>
                <w:szCs w:val="21"/>
                <w:highlight w:val="none"/>
                <w:lang w:val="zh-CN" w:eastAsia="zh-CN" w:bidi="zh-CN"/>
              </w:rPr>
              <w:t xml:space="preserve">  评价因子和评价标准表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1730"/>
              <w:gridCol w:w="1830"/>
              <w:gridCol w:w="1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733"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评价因子</w:t>
                  </w:r>
                </w:p>
              </w:tc>
              <w:tc>
                <w:tcPr>
                  <w:tcW w:w="1730"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平均时段</w:t>
                  </w:r>
                </w:p>
              </w:tc>
              <w:tc>
                <w:tcPr>
                  <w:tcW w:w="1830"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标准值（ug/m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rPr>
                    <w:t>）</w:t>
                  </w:r>
                </w:p>
              </w:tc>
              <w:tc>
                <w:tcPr>
                  <w:tcW w:w="1945"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733"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总悬浮颗粒物</w:t>
                  </w:r>
                </w:p>
              </w:tc>
              <w:tc>
                <w:tcPr>
                  <w:tcW w:w="1730"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24小时平均</w:t>
                  </w:r>
                </w:p>
              </w:tc>
              <w:tc>
                <w:tcPr>
                  <w:tcW w:w="1830"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300</w:t>
                  </w:r>
                </w:p>
              </w:tc>
              <w:tc>
                <w:tcPr>
                  <w:tcW w:w="1945" w:type="dxa"/>
                  <w:vMerge w:val="restart"/>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环境空气质量标准（GB3095-2012）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733"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二氧化硫</w:t>
                  </w:r>
                </w:p>
              </w:tc>
              <w:tc>
                <w:tcPr>
                  <w:tcW w:w="1730"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1小时平均</w:t>
                  </w:r>
                </w:p>
              </w:tc>
              <w:tc>
                <w:tcPr>
                  <w:tcW w:w="1830"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500</w:t>
                  </w:r>
                </w:p>
              </w:tc>
              <w:tc>
                <w:tcPr>
                  <w:tcW w:w="1945" w:type="dxa"/>
                  <w:vMerge w:val="continue"/>
                  <w:noWrap w:val="0"/>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733"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氮氧化物</w:t>
                  </w:r>
                </w:p>
              </w:tc>
              <w:tc>
                <w:tcPr>
                  <w:tcW w:w="1730"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1小时平均</w:t>
                  </w:r>
                </w:p>
              </w:tc>
              <w:tc>
                <w:tcPr>
                  <w:tcW w:w="1830"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250</w:t>
                  </w:r>
                </w:p>
              </w:tc>
              <w:tc>
                <w:tcPr>
                  <w:tcW w:w="1945" w:type="dxa"/>
                  <w:vMerge w:val="continue"/>
                  <w:noWrap w:val="0"/>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733"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苯并(a)芘</w:t>
                  </w:r>
                </w:p>
              </w:tc>
              <w:tc>
                <w:tcPr>
                  <w:tcW w:w="1730"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24小时平均</w:t>
                  </w:r>
                </w:p>
              </w:tc>
              <w:tc>
                <w:tcPr>
                  <w:tcW w:w="1830"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0.0025</w:t>
                  </w:r>
                </w:p>
              </w:tc>
              <w:tc>
                <w:tcPr>
                  <w:tcW w:w="1945" w:type="dxa"/>
                  <w:vMerge w:val="continue"/>
                  <w:noWrap w:val="0"/>
                  <w:vAlign w:val="center"/>
                </w:tcPr>
                <w:p>
                  <w:pPr>
                    <w:jc w:val="center"/>
                    <w:rPr>
                      <w:rFonts w:hint="default" w:ascii="Times New Roman" w:hAnsi="Times New Roman" w:cs="Times New Roman"/>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1733" w:type="dxa"/>
                  <w:vMerge w:val="restart"/>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非甲烷总烃</w:t>
                  </w:r>
                </w:p>
              </w:tc>
              <w:tc>
                <w:tcPr>
                  <w:tcW w:w="1730" w:type="dxa"/>
                  <w:vMerge w:val="restart"/>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1小时平均</w:t>
                  </w:r>
                </w:p>
              </w:tc>
              <w:tc>
                <w:tcPr>
                  <w:tcW w:w="1830" w:type="dxa"/>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2000</w:t>
                  </w:r>
                </w:p>
              </w:tc>
              <w:tc>
                <w:tcPr>
                  <w:tcW w:w="1945" w:type="dxa"/>
                  <w:noWrap w:val="0"/>
                  <w:vAlign w:val="center"/>
                </w:tcPr>
                <w:p>
                  <w:pPr>
                    <w:jc w:val="center"/>
                    <w:rPr>
                      <w:rFonts w:hint="default" w:ascii="Times New Roman" w:hAnsi="Times New Roman" w:eastAsia="宋体" w:cs="Times New Roman"/>
                      <w:bCs/>
                      <w:color w:val="auto"/>
                      <w:sz w:val="21"/>
                      <w:szCs w:val="21"/>
                      <w:highlight w:val="none"/>
                      <w:lang w:eastAsia="zh-CN"/>
                    </w:rPr>
                  </w:pPr>
                  <w:r>
                    <w:rPr>
                      <w:rFonts w:hint="default" w:ascii="Times New Roman" w:hAnsi="Times New Roman" w:cs="Times New Roman"/>
                      <w:bCs/>
                      <w:color w:val="auto"/>
                      <w:sz w:val="21"/>
                      <w:szCs w:val="21"/>
                      <w:highlight w:val="none"/>
                    </w:rPr>
                    <w:t>《大气污染物综合排放标准详解》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jc w:val="center"/>
              </w:trPr>
              <w:tc>
                <w:tcPr>
                  <w:tcW w:w="1733" w:type="dxa"/>
                  <w:vMerge w:val="continue"/>
                  <w:noWrap w:val="0"/>
                  <w:vAlign w:val="center"/>
                </w:tcPr>
                <w:p>
                  <w:pPr>
                    <w:jc w:val="center"/>
                    <w:rPr>
                      <w:rFonts w:hint="default" w:ascii="Times New Roman" w:hAnsi="Times New Roman" w:cs="Times New Roman"/>
                      <w:bCs/>
                      <w:color w:val="auto"/>
                      <w:sz w:val="21"/>
                      <w:szCs w:val="21"/>
                      <w:highlight w:val="none"/>
                    </w:rPr>
                  </w:pPr>
                </w:p>
              </w:tc>
              <w:tc>
                <w:tcPr>
                  <w:tcW w:w="1730" w:type="dxa"/>
                  <w:vMerge w:val="continue"/>
                  <w:noWrap w:val="0"/>
                  <w:vAlign w:val="center"/>
                </w:tcPr>
                <w:p>
                  <w:pPr>
                    <w:jc w:val="center"/>
                    <w:rPr>
                      <w:rFonts w:hint="default" w:ascii="Times New Roman" w:hAnsi="Times New Roman" w:cs="Times New Roman"/>
                      <w:bCs/>
                      <w:color w:val="auto"/>
                      <w:sz w:val="21"/>
                      <w:szCs w:val="21"/>
                      <w:highlight w:val="none"/>
                    </w:rPr>
                  </w:pPr>
                </w:p>
              </w:tc>
              <w:tc>
                <w:tcPr>
                  <w:tcW w:w="1830" w:type="dxa"/>
                  <w:noWrap w:val="0"/>
                  <w:vAlign w:val="center"/>
                </w:tcPr>
                <w:p>
                  <w:pPr>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10000</w:t>
                  </w:r>
                </w:p>
              </w:tc>
              <w:tc>
                <w:tcPr>
                  <w:tcW w:w="1945"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《挥发性有机物无组织排放控制标准》</w:t>
                  </w:r>
                  <w:r>
                    <w:rPr>
                      <w:rFonts w:hint="default" w:ascii="Times New Roman" w:hAnsi="Times New Roman" w:cs="Times New Roman"/>
                      <w:bCs/>
                      <w:color w:val="auto"/>
                      <w:sz w:val="21"/>
                      <w:szCs w:val="21"/>
                      <w:highlight w:val="none"/>
                      <w:lang w:eastAsia="zh-CN"/>
                    </w:rPr>
                    <w:t>（</w:t>
                  </w:r>
                  <w:r>
                    <w:rPr>
                      <w:rFonts w:hint="default" w:ascii="Times New Roman" w:hAnsi="Times New Roman" w:cs="Times New Roman"/>
                      <w:bCs/>
                      <w:color w:val="auto"/>
                      <w:sz w:val="21"/>
                      <w:szCs w:val="21"/>
                      <w:highlight w:val="none"/>
                      <w:lang w:val="en-US" w:eastAsia="zh-CN"/>
                    </w:rPr>
                    <w:t>GB37822-2019</w:t>
                  </w:r>
                  <w:r>
                    <w:rPr>
                      <w:rFonts w:hint="default" w:ascii="Times New Roman" w:hAnsi="Times New Roman" w:cs="Times New Roman"/>
                      <w:bCs/>
                      <w:color w:val="auto"/>
                      <w:sz w:val="21"/>
                      <w:szCs w:val="21"/>
                      <w:highlight w:val="none"/>
                      <w:lang w:eastAsia="zh-CN"/>
                    </w:rPr>
                    <w:t>）</w:t>
                  </w:r>
                </w:p>
              </w:tc>
            </w:tr>
          </w:tbl>
          <w:p>
            <w:pPr>
              <w:pStyle w:val="3"/>
              <w:ind w:firstLine="480"/>
              <w:rPr>
                <w:rFonts w:hint="eastAsia"/>
                <w:color w:val="auto"/>
                <w:highlight w:val="none"/>
              </w:rPr>
            </w:pPr>
            <w:r>
              <w:rPr>
                <w:rFonts w:hint="eastAsia"/>
                <w:color w:val="auto"/>
                <w:highlight w:val="none"/>
              </w:rPr>
              <w:t>②估算模型参数</w:t>
            </w:r>
          </w:p>
          <w:p>
            <w:pPr>
              <w:pStyle w:val="3"/>
              <w:ind w:firstLine="480"/>
              <w:rPr>
                <w:color w:val="auto"/>
                <w:highlight w:val="none"/>
              </w:rPr>
            </w:pPr>
            <w:r>
              <w:rPr>
                <w:rFonts w:hint="eastAsia"/>
                <w:color w:val="auto"/>
                <w:highlight w:val="none"/>
              </w:rPr>
              <w:t>估算模型参数表见表</w:t>
            </w:r>
            <w:r>
              <w:rPr>
                <w:rFonts w:hint="eastAsia"/>
                <w:color w:val="auto"/>
                <w:highlight w:val="none"/>
                <w:lang w:val="en-US" w:eastAsia="zh-CN"/>
              </w:rPr>
              <w:t>4-14</w:t>
            </w:r>
            <w:r>
              <w:rPr>
                <w:rFonts w:hint="eastAsia"/>
                <w:color w:val="auto"/>
                <w:highlight w:val="none"/>
              </w:rPr>
              <w:t>。</w:t>
            </w:r>
          </w:p>
          <w:p>
            <w:pPr>
              <w:ind w:firstLine="420"/>
              <w:contextualSpacing/>
              <w:jc w:val="center"/>
              <w:rPr>
                <w:rFonts w:eastAsia="黑体"/>
                <w:color w:val="auto"/>
                <w:sz w:val="24"/>
                <w:highlight w:val="none"/>
              </w:rPr>
            </w:pPr>
            <w:r>
              <w:rPr>
                <w:rFonts w:hint="eastAsia" w:ascii="Times New Roman" w:hAnsi="Times New Roman" w:eastAsia="宋体" w:cs="Times New Roman"/>
                <w:b/>
                <w:bCs/>
                <w:color w:val="auto"/>
                <w:sz w:val="21"/>
                <w:szCs w:val="21"/>
                <w:highlight w:val="none"/>
                <w:lang w:val="zh-CN" w:eastAsia="zh-CN" w:bidi="zh-CN"/>
              </w:rPr>
              <w:t>表</w:t>
            </w:r>
            <w:r>
              <w:rPr>
                <w:rFonts w:hint="eastAsia" w:ascii="Times New Roman" w:hAnsi="Times New Roman" w:eastAsia="宋体" w:cs="Times New Roman"/>
                <w:b/>
                <w:bCs/>
                <w:color w:val="auto"/>
                <w:sz w:val="21"/>
                <w:szCs w:val="21"/>
                <w:highlight w:val="none"/>
                <w:lang w:val="en-US" w:eastAsia="zh-CN" w:bidi="zh-CN"/>
              </w:rPr>
              <w:t>4-14</w:t>
            </w:r>
            <w:r>
              <w:rPr>
                <w:rFonts w:hint="eastAsia" w:ascii="Times New Roman" w:hAnsi="Times New Roman" w:eastAsia="宋体" w:cs="Times New Roman"/>
                <w:b/>
                <w:bCs/>
                <w:color w:val="auto"/>
                <w:sz w:val="21"/>
                <w:szCs w:val="21"/>
                <w:highlight w:val="none"/>
                <w:lang w:val="zh-CN" w:eastAsia="zh-CN" w:bidi="zh-CN"/>
              </w:rPr>
              <w:t xml:space="preserve">  估算模型参数表</w:t>
            </w:r>
          </w:p>
          <w:tbl>
            <w:tblPr>
              <w:tblStyle w:val="11"/>
              <w:tblW w:w="0" w:type="auto"/>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996"/>
              <w:gridCol w:w="2438"/>
              <w:gridCol w:w="306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55" w:hRule="atLeast"/>
                <w:jc w:val="center"/>
              </w:trPr>
              <w:tc>
                <w:tcPr>
                  <w:tcW w:w="4434" w:type="dxa"/>
                  <w:gridSpan w:val="2"/>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参数</w:t>
                  </w:r>
                </w:p>
              </w:tc>
              <w:tc>
                <w:tcPr>
                  <w:tcW w:w="3065"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取值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55" w:hRule="atLeast"/>
                <w:jc w:val="center"/>
              </w:trPr>
              <w:tc>
                <w:tcPr>
                  <w:tcW w:w="1996" w:type="dxa"/>
                  <w:vMerge w:val="restart"/>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城市/农村选项</w:t>
                  </w:r>
                </w:p>
              </w:tc>
              <w:tc>
                <w:tcPr>
                  <w:tcW w:w="2438"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城市/农村</w:t>
                  </w:r>
                </w:p>
              </w:tc>
              <w:tc>
                <w:tcPr>
                  <w:tcW w:w="3065"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农村</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55" w:hRule="atLeast"/>
                <w:jc w:val="center"/>
              </w:trPr>
              <w:tc>
                <w:tcPr>
                  <w:tcW w:w="1996" w:type="dxa"/>
                  <w:vMerge w:val="continue"/>
                  <w:noWrap w:val="0"/>
                  <w:vAlign w:val="center"/>
                </w:tcPr>
                <w:p>
                  <w:pPr>
                    <w:jc w:val="center"/>
                    <w:rPr>
                      <w:rFonts w:hint="default" w:ascii="Times New Roman" w:hAnsi="Times New Roman" w:cs="Times New Roman"/>
                      <w:bCs/>
                      <w:color w:val="auto"/>
                      <w:sz w:val="21"/>
                      <w:szCs w:val="21"/>
                      <w:highlight w:val="none"/>
                    </w:rPr>
                  </w:pPr>
                </w:p>
              </w:tc>
              <w:tc>
                <w:tcPr>
                  <w:tcW w:w="2438"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人口数(城市人口数)</w:t>
                  </w:r>
                </w:p>
              </w:tc>
              <w:tc>
                <w:tcPr>
                  <w:tcW w:w="3065"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55" w:hRule="atLeast"/>
                <w:jc w:val="center"/>
              </w:trPr>
              <w:tc>
                <w:tcPr>
                  <w:tcW w:w="4434" w:type="dxa"/>
                  <w:gridSpan w:val="2"/>
                  <w:noWrap w:val="0"/>
                  <w:vAlign w:val="center"/>
                </w:tcPr>
                <w:p>
                  <w:pPr>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最高环境温度</w:t>
                  </w:r>
                </w:p>
              </w:tc>
              <w:tc>
                <w:tcPr>
                  <w:tcW w:w="3065" w:type="dxa"/>
                  <w:noWrap w:val="0"/>
                  <w:vAlign w:val="center"/>
                </w:tcPr>
                <w:p>
                  <w:pPr>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30</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55" w:hRule="atLeast"/>
                <w:jc w:val="center"/>
              </w:trPr>
              <w:tc>
                <w:tcPr>
                  <w:tcW w:w="4434" w:type="dxa"/>
                  <w:gridSpan w:val="2"/>
                  <w:noWrap w:val="0"/>
                  <w:vAlign w:val="center"/>
                </w:tcPr>
                <w:p>
                  <w:pPr>
                    <w:jc w:val="center"/>
                    <w:rPr>
                      <w:rFonts w:hint="default" w:ascii="Times New Roman" w:hAnsi="Times New Roman" w:cs="Times New Roman"/>
                      <w:bCs/>
                      <w:color w:val="000000" w:themeColor="text1"/>
                      <w:sz w:val="21"/>
                      <w:szCs w:val="21"/>
                      <w:highlight w:val="none"/>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最低环境温度</w:t>
                  </w:r>
                </w:p>
              </w:tc>
              <w:tc>
                <w:tcPr>
                  <w:tcW w:w="3065" w:type="dxa"/>
                  <w:noWrap w:val="0"/>
                  <w:vAlign w:val="center"/>
                </w:tcPr>
                <w:p>
                  <w:pPr>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bCs/>
                      <w:color w:val="000000" w:themeColor="text1"/>
                      <w:sz w:val="21"/>
                      <w:szCs w:val="21"/>
                      <w:highlight w:val="none"/>
                      <w14:textFill>
                        <w14:solidFill>
                          <w14:schemeClr w14:val="tx1"/>
                        </w14:solidFill>
                      </w14:textFill>
                    </w:rPr>
                    <w:t>-1</w:t>
                  </w:r>
                  <w:r>
                    <w:rPr>
                      <w:rFonts w:hint="default" w:ascii="Times New Roman" w:hAnsi="Times New Roman" w:cs="Times New Roman"/>
                      <w:bCs/>
                      <w:color w:val="000000" w:themeColor="text1"/>
                      <w:sz w:val="21"/>
                      <w:szCs w:val="21"/>
                      <w:highlight w:val="none"/>
                      <w:lang w:val="en-US" w:eastAsia="zh-CN"/>
                      <w14:textFill>
                        <w14:solidFill>
                          <w14:schemeClr w14:val="tx1"/>
                        </w14:solidFill>
                      </w14:textFill>
                    </w:rPr>
                    <w:t>2</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55" w:hRule="atLeast"/>
                <w:jc w:val="center"/>
              </w:trPr>
              <w:tc>
                <w:tcPr>
                  <w:tcW w:w="4434" w:type="dxa"/>
                  <w:gridSpan w:val="2"/>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土地利用类型</w:t>
                  </w:r>
                </w:p>
              </w:tc>
              <w:tc>
                <w:tcPr>
                  <w:tcW w:w="3065"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临时建设用地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55" w:hRule="atLeast"/>
                <w:jc w:val="center"/>
              </w:trPr>
              <w:tc>
                <w:tcPr>
                  <w:tcW w:w="4434" w:type="dxa"/>
                  <w:gridSpan w:val="2"/>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区域湿度条件</w:t>
                  </w:r>
                </w:p>
              </w:tc>
              <w:tc>
                <w:tcPr>
                  <w:tcW w:w="3065"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中等湿度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55" w:hRule="atLeast"/>
                <w:jc w:val="center"/>
              </w:trPr>
              <w:tc>
                <w:tcPr>
                  <w:tcW w:w="1996" w:type="dxa"/>
                  <w:vMerge w:val="restart"/>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是否考虑地形</w:t>
                  </w:r>
                </w:p>
              </w:tc>
              <w:tc>
                <w:tcPr>
                  <w:tcW w:w="2438"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考虑地形</w:t>
                  </w:r>
                </w:p>
              </w:tc>
              <w:tc>
                <w:tcPr>
                  <w:tcW w:w="3065"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55" w:hRule="atLeast"/>
                <w:jc w:val="center"/>
              </w:trPr>
              <w:tc>
                <w:tcPr>
                  <w:tcW w:w="1996" w:type="dxa"/>
                  <w:vMerge w:val="continue"/>
                  <w:noWrap w:val="0"/>
                  <w:vAlign w:val="center"/>
                </w:tcPr>
                <w:p>
                  <w:pPr>
                    <w:jc w:val="center"/>
                    <w:rPr>
                      <w:rFonts w:hint="default" w:ascii="Times New Roman" w:hAnsi="Times New Roman" w:cs="Times New Roman"/>
                      <w:bCs/>
                      <w:color w:val="FF0000"/>
                      <w:sz w:val="21"/>
                      <w:szCs w:val="21"/>
                      <w:highlight w:val="none"/>
                    </w:rPr>
                  </w:pPr>
                </w:p>
              </w:tc>
              <w:tc>
                <w:tcPr>
                  <w:tcW w:w="2438"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地形数据分辨率(m)</w:t>
                  </w:r>
                </w:p>
              </w:tc>
              <w:tc>
                <w:tcPr>
                  <w:tcW w:w="3065"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55" w:hRule="atLeast"/>
                <w:jc w:val="center"/>
              </w:trPr>
              <w:tc>
                <w:tcPr>
                  <w:tcW w:w="1996" w:type="dxa"/>
                  <w:vMerge w:val="restart"/>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是否考虑岸线熏烟</w:t>
                  </w:r>
                </w:p>
              </w:tc>
              <w:tc>
                <w:tcPr>
                  <w:tcW w:w="2438"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考虑岸线熏烟</w:t>
                  </w:r>
                </w:p>
              </w:tc>
              <w:tc>
                <w:tcPr>
                  <w:tcW w:w="3065"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否</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55" w:hRule="atLeast"/>
                <w:jc w:val="center"/>
              </w:trPr>
              <w:tc>
                <w:tcPr>
                  <w:tcW w:w="1996" w:type="dxa"/>
                  <w:vMerge w:val="continue"/>
                  <w:noWrap w:val="0"/>
                  <w:vAlign w:val="center"/>
                </w:tcPr>
                <w:p>
                  <w:pPr>
                    <w:jc w:val="center"/>
                    <w:rPr>
                      <w:rFonts w:hint="default" w:ascii="Times New Roman" w:hAnsi="Times New Roman" w:cs="Times New Roman"/>
                      <w:bCs/>
                      <w:color w:val="auto"/>
                      <w:sz w:val="21"/>
                      <w:szCs w:val="21"/>
                      <w:highlight w:val="none"/>
                    </w:rPr>
                  </w:pPr>
                </w:p>
              </w:tc>
              <w:tc>
                <w:tcPr>
                  <w:tcW w:w="2438"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岸线距离/m</w:t>
                  </w:r>
                </w:p>
              </w:tc>
              <w:tc>
                <w:tcPr>
                  <w:tcW w:w="3065"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59" w:hRule="atLeast"/>
                <w:jc w:val="center"/>
              </w:trPr>
              <w:tc>
                <w:tcPr>
                  <w:tcW w:w="1996" w:type="dxa"/>
                  <w:vMerge w:val="continue"/>
                  <w:noWrap w:val="0"/>
                  <w:vAlign w:val="center"/>
                </w:tcPr>
                <w:p>
                  <w:pPr>
                    <w:jc w:val="center"/>
                    <w:rPr>
                      <w:rFonts w:hint="default" w:ascii="Times New Roman" w:hAnsi="Times New Roman" w:cs="Times New Roman"/>
                      <w:bCs/>
                      <w:color w:val="FF0000"/>
                      <w:sz w:val="21"/>
                      <w:szCs w:val="21"/>
                      <w:highlight w:val="none"/>
                    </w:rPr>
                  </w:pPr>
                </w:p>
              </w:tc>
              <w:tc>
                <w:tcPr>
                  <w:tcW w:w="2438"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岸线方向/°</w:t>
                  </w:r>
                </w:p>
              </w:tc>
              <w:tc>
                <w:tcPr>
                  <w:tcW w:w="3065"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w:t>
                  </w:r>
                </w:p>
              </w:tc>
            </w:tr>
          </w:tbl>
          <w:p>
            <w:pPr>
              <w:pStyle w:val="15"/>
              <w:rPr>
                <w:rFonts w:ascii="黑体"/>
                <w:color w:val="FF0000"/>
                <w:sz w:val="20"/>
                <w:highlight w:val="none"/>
              </w:rPr>
            </w:pPr>
          </w:p>
          <w:p>
            <w:pPr>
              <w:pStyle w:val="3"/>
              <w:spacing w:before="312" w:beforeLines="100"/>
              <w:ind w:firstLine="480"/>
              <w:rPr>
                <w:color w:val="auto"/>
                <w:highlight w:val="none"/>
              </w:rPr>
            </w:pPr>
            <w:r>
              <w:rPr>
                <w:rFonts w:hint="eastAsia"/>
                <w:color w:val="auto"/>
                <w:highlight w:val="none"/>
              </w:rPr>
              <w:t>③主要污染源估算模型计算结果</w:t>
            </w:r>
          </w:p>
          <w:p>
            <w:pPr>
              <w:pStyle w:val="3"/>
              <w:ind w:firstLine="480"/>
              <w:rPr>
                <w:color w:val="auto"/>
                <w:highlight w:val="none"/>
              </w:rPr>
            </w:pPr>
            <w:r>
              <w:rPr>
                <w:color w:val="auto"/>
                <w:szCs w:val="20"/>
                <w:highlight w:val="none"/>
              </w:rPr>
              <w:t>项目根据AERSCREEN估算模式对其正常排放情况下的污染影响进行预测，具体情况如下：</w:t>
            </w:r>
          </w:p>
          <w:p>
            <w:pPr>
              <w:pStyle w:val="15"/>
              <w:rPr>
                <w:rFonts w:ascii="黑体"/>
                <w:color w:val="auto"/>
                <w:sz w:val="20"/>
                <w:highlight w:val="none"/>
              </w:rPr>
            </w:pPr>
          </w:p>
          <w:p>
            <w:pPr>
              <w:ind w:firstLine="420"/>
              <w:contextualSpacing/>
              <w:jc w:val="center"/>
              <w:rPr>
                <w:rFonts w:eastAsia="黑体"/>
                <w:color w:val="auto"/>
                <w:sz w:val="24"/>
                <w:highlight w:val="none"/>
              </w:rPr>
            </w:pPr>
            <w:r>
              <w:rPr>
                <w:rFonts w:hint="eastAsia" w:ascii="Times New Roman" w:hAnsi="Times New Roman" w:eastAsia="宋体" w:cs="Times New Roman"/>
                <w:b/>
                <w:bCs/>
                <w:color w:val="auto"/>
                <w:sz w:val="21"/>
                <w:szCs w:val="21"/>
                <w:highlight w:val="none"/>
                <w:lang w:val="zh-CN" w:eastAsia="zh-CN" w:bidi="zh-CN"/>
              </w:rPr>
              <w:t>表7-7   1#排气筒废气排放估算模式计算结果表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5"/>
              <w:gridCol w:w="1210"/>
              <w:gridCol w:w="917"/>
              <w:gridCol w:w="1110"/>
              <w:gridCol w:w="917"/>
              <w:gridCol w:w="1121"/>
              <w:gridCol w:w="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45" w:type="dxa"/>
                  <w:vMerge w:val="restart"/>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下风向距离（m）</w:t>
                  </w:r>
                </w:p>
              </w:tc>
              <w:tc>
                <w:tcPr>
                  <w:tcW w:w="2127" w:type="dxa"/>
                  <w:gridSpan w:val="2"/>
                  <w:noWrap w:val="0"/>
                  <w:vAlign w:val="center"/>
                </w:tcPr>
                <w:p>
                  <w:pP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rPr>
                    <w:t>NO</w:t>
                  </w:r>
                  <w:r>
                    <w:rPr>
                      <w:rFonts w:hint="default" w:ascii="Times New Roman" w:hAnsi="Times New Roman" w:cs="Times New Roman"/>
                      <w:bCs/>
                      <w:color w:val="auto"/>
                      <w:sz w:val="21"/>
                      <w:szCs w:val="21"/>
                      <w:highlight w:val="none"/>
                      <w:vertAlign w:val="subscript"/>
                      <w:lang w:val="en-US" w:eastAsia="zh-CN"/>
                    </w:rPr>
                    <w:t>2</w:t>
                  </w:r>
                </w:p>
              </w:tc>
              <w:tc>
                <w:tcPr>
                  <w:tcW w:w="2027" w:type="dxa"/>
                  <w:gridSpan w:val="2"/>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SO</w:t>
                  </w:r>
                  <w:r>
                    <w:rPr>
                      <w:rFonts w:hint="default" w:ascii="Times New Roman" w:hAnsi="Times New Roman" w:cs="Times New Roman"/>
                      <w:bCs/>
                      <w:color w:val="auto"/>
                      <w:sz w:val="21"/>
                      <w:szCs w:val="21"/>
                      <w:highlight w:val="none"/>
                      <w:vertAlign w:val="subscript"/>
                    </w:rPr>
                    <w:t>2</w:t>
                  </w:r>
                </w:p>
              </w:tc>
              <w:tc>
                <w:tcPr>
                  <w:tcW w:w="2039" w:type="dxa"/>
                  <w:gridSpan w:val="2"/>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45" w:type="dxa"/>
                  <w:vMerge w:val="continue"/>
                  <w:noWrap w:val="0"/>
                  <w:vAlign w:val="center"/>
                </w:tcPr>
                <w:p>
                  <w:pPr>
                    <w:jc w:val="center"/>
                    <w:rPr>
                      <w:rFonts w:hint="default" w:ascii="Times New Roman" w:hAnsi="Times New Roman" w:cs="Times New Roman"/>
                      <w:bCs/>
                      <w:color w:val="auto"/>
                      <w:sz w:val="21"/>
                      <w:szCs w:val="21"/>
                      <w:highlight w:val="none"/>
                    </w:rPr>
                  </w:pPr>
                </w:p>
              </w:tc>
              <w:tc>
                <w:tcPr>
                  <w:tcW w:w="1210"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浓度mg/m</w:t>
                  </w:r>
                  <w:r>
                    <w:rPr>
                      <w:rFonts w:hint="default" w:ascii="Times New Roman" w:hAnsi="Times New Roman" w:cs="Times New Roman"/>
                      <w:bCs/>
                      <w:color w:val="auto"/>
                      <w:sz w:val="21"/>
                      <w:szCs w:val="21"/>
                      <w:highlight w:val="none"/>
                      <w:vertAlign w:val="superscript"/>
                    </w:rPr>
                    <w:t>3</w:t>
                  </w:r>
                </w:p>
              </w:tc>
              <w:tc>
                <w:tcPr>
                  <w:tcW w:w="917"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占标率%</w:t>
                  </w:r>
                </w:p>
              </w:tc>
              <w:tc>
                <w:tcPr>
                  <w:tcW w:w="1110"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浓度mg/m</w:t>
                  </w:r>
                  <w:r>
                    <w:rPr>
                      <w:rFonts w:hint="default" w:ascii="Times New Roman" w:hAnsi="Times New Roman" w:cs="Times New Roman"/>
                      <w:bCs/>
                      <w:color w:val="auto"/>
                      <w:sz w:val="21"/>
                      <w:szCs w:val="21"/>
                      <w:highlight w:val="none"/>
                      <w:vertAlign w:val="superscript"/>
                    </w:rPr>
                    <w:t>3</w:t>
                  </w:r>
                </w:p>
              </w:tc>
              <w:tc>
                <w:tcPr>
                  <w:tcW w:w="917"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占标率%</w:t>
                  </w:r>
                </w:p>
              </w:tc>
              <w:tc>
                <w:tcPr>
                  <w:tcW w:w="1121"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浓度mg/m</w:t>
                  </w:r>
                  <w:r>
                    <w:rPr>
                      <w:rFonts w:hint="default" w:ascii="Times New Roman" w:hAnsi="Times New Roman" w:cs="Times New Roman"/>
                      <w:bCs/>
                      <w:color w:val="auto"/>
                      <w:sz w:val="21"/>
                      <w:szCs w:val="21"/>
                      <w:highlight w:val="none"/>
                      <w:vertAlign w:val="superscript"/>
                    </w:rPr>
                    <w:t>3</w:t>
                  </w:r>
                </w:p>
              </w:tc>
              <w:tc>
                <w:tcPr>
                  <w:tcW w:w="918"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45"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2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1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12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918"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45"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2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0.0266</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0.011</w:t>
                  </w:r>
                </w:p>
              </w:tc>
              <w:tc>
                <w:tcPr>
                  <w:tcW w:w="11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0.00591</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12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0.02828</w:t>
                  </w:r>
                </w:p>
              </w:tc>
              <w:tc>
                <w:tcPr>
                  <w:tcW w:w="918"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45"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2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0.0266</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0.011</w:t>
                  </w:r>
                </w:p>
              </w:tc>
              <w:tc>
                <w:tcPr>
                  <w:tcW w:w="11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0.00591</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12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0.02828</w:t>
                  </w:r>
                </w:p>
              </w:tc>
              <w:tc>
                <w:tcPr>
                  <w:tcW w:w="918"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45"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2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0.03199</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0.013</w:t>
                  </w:r>
                </w:p>
              </w:tc>
              <w:tc>
                <w:tcPr>
                  <w:tcW w:w="11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0.007109</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12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0.03402</w:t>
                  </w:r>
                </w:p>
              </w:tc>
              <w:tc>
                <w:tcPr>
                  <w:tcW w:w="918"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45"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264</w:t>
                  </w:r>
                </w:p>
              </w:tc>
              <w:tc>
                <w:tcPr>
                  <w:tcW w:w="12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0.03451</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0.014</w:t>
                  </w:r>
                </w:p>
              </w:tc>
              <w:tc>
                <w:tcPr>
                  <w:tcW w:w="11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0.007669</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0.001</w:t>
                  </w:r>
                </w:p>
              </w:tc>
              <w:tc>
                <w:tcPr>
                  <w:tcW w:w="112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0.0367</w:t>
                  </w:r>
                </w:p>
              </w:tc>
              <w:tc>
                <w:tcPr>
                  <w:tcW w:w="918"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45"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12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0.03369</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0.014</w:t>
                  </w:r>
                </w:p>
              </w:tc>
              <w:tc>
                <w:tcPr>
                  <w:tcW w:w="11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0.007487</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12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0.03583</w:t>
                  </w:r>
                </w:p>
              </w:tc>
              <w:tc>
                <w:tcPr>
                  <w:tcW w:w="918"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45"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12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0.02851</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0.012</w:t>
                  </w:r>
                </w:p>
              </w:tc>
              <w:tc>
                <w:tcPr>
                  <w:tcW w:w="11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0.006335</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12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0.03032</w:t>
                  </w:r>
                </w:p>
              </w:tc>
              <w:tc>
                <w:tcPr>
                  <w:tcW w:w="918"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45"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12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0.02938</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0.012</w:t>
                  </w:r>
                </w:p>
              </w:tc>
              <w:tc>
                <w:tcPr>
                  <w:tcW w:w="11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0.006528</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12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0.03124</w:t>
                  </w:r>
                </w:p>
              </w:tc>
              <w:tc>
                <w:tcPr>
                  <w:tcW w:w="918"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45"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12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0.0275</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0.011</w:t>
                  </w:r>
                </w:p>
              </w:tc>
              <w:tc>
                <w:tcPr>
                  <w:tcW w:w="11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0.006111</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12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0.02925</w:t>
                  </w:r>
                </w:p>
              </w:tc>
              <w:tc>
                <w:tcPr>
                  <w:tcW w:w="918"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45"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700</w:t>
                  </w:r>
                </w:p>
              </w:tc>
              <w:tc>
                <w:tcPr>
                  <w:tcW w:w="12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0.02478</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0.010</w:t>
                  </w:r>
                </w:p>
              </w:tc>
              <w:tc>
                <w:tcPr>
                  <w:tcW w:w="11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0.005506</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12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0.02635</w:t>
                  </w:r>
                </w:p>
              </w:tc>
              <w:tc>
                <w:tcPr>
                  <w:tcW w:w="918"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45"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12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0.02201</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0.009</w:t>
                  </w:r>
                </w:p>
              </w:tc>
              <w:tc>
                <w:tcPr>
                  <w:tcW w:w="11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0.004891</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12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0.02341</w:t>
                  </w:r>
                </w:p>
              </w:tc>
              <w:tc>
                <w:tcPr>
                  <w:tcW w:w="918"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45"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900</w:t>
                  </w:r>
                </w:p>
              </w:tc>
              <w:tc>
                <w:tcPr>
                  <w:tcW w:w="12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0.01948</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0.008</w:t>
                  </w:r>
                </w:p>
              </w:tc>
              <w:tc>
                <w:tcPr>
                  <w:tcW w:w="11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0.004329</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12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0.02072</w:t>
                  </w:r>
                </w:p>
              </w:tc>
              <w:tc>
                <w:tcPr>
                  <w:tcW w:w="918"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45"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12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0.01726</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11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0.003835</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12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0.01836</w:t>
                  </w:r>
                </w:p>
              </w:tc>
              <w:tc>
                <w:tcPr>
                  <w:tcW w:w="918"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45"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12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0.01557</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11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0.00346</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12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0.01656</w:t>
                  </w:r>
                </w:p>
              </w:tc>
              <w:tc>
                <w:tcPr>
                  <w:tcW w:w="918"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45"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1400</w:t>
                  </w:r>
                </w:p>
              </w:tc>
              <w:tc>
                <w:tcPr>
                  <w:tcW w:w="12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0.01589</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11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0.00353</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12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0.01689</w:t>
                  </w:r>
                </w:p>
              </w:tc>
              <w:tc>
                <w:tcPr>
                  <w:tcW w:w="918"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45"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1600</w:t>
                  </w:r>
                </w:p>
              </w:tc>
              <w:tc>
                <w:tcPr>
                  <w:tcW w:w="12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0.01562</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0.007</w:t>
                  </w:r>
                </w:p>
              </w:tc>
              <w:tc>
                <w:tcPr>
                  <w:tcW w:w="11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0.003472</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12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0.01661</w:t>
                  </w:r>
                </w:p>
              </w:tc>
              <w:tc>
                <w:tcPr>
                  <w:tcW w:w="918"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45"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1800</w:t>
                  </w:r>
                </w:p>
              </w:tc>
              <w:tc>
                <w:tcPr>
                  <w:tcW w:w="12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0.01505</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11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0.003343</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12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0.016</w:t>
                  </w:r>
                </w:p>
              </w:tc>
              <w:tc>
                <w:tcPr>
                  <w:tcW w:w="918"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45"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2000</w:t>
                  </w:r>
                </w:p>
              </w:tc>
              <w:tc>
                <w:tcPr>
                  <w:tcW w:w="12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0.01432</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0.006</w:t>
                  </w:r>
                </w:p>
              </w:tc>
              <w:tc>
                <w:tcPr>
                  <w:tcW w:w="11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0.003182</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0.001</w:t>
                  </w:r>
                </w:p>
              </w:tc>
              <w:tc>
                <w:tcPr>
                  <w:tcW w:w="112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0.01523</w:t>
                  </w:r>
                </w:p>
              </w:tc>
              <w:tc>
                <w:tcPr>
                  <w:tcW w:w="918"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45"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2500</w:t>
                  </w:r>
                </w:p>
              </w:tc>
              <w:tc>
                <w:tcPr>
                  <w:tcW w:w="12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0.01231</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0.005</w:t>
                  </w:r>
                </w:p>
              </w:tc>
              <w:tc>
                <w:tcPr>
                  <w:tcW w:w="11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0.002735</w:t>
                  </w:r>
                </w:p>
              </w:tc>
              <w:tc>
                <w:tcPr>
                  <w:tcW w:w="9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0.000</w:t>
                  </w:r>
                </w:p>
              </w:tc>
              <w:tc>
                <w:tcPr>
                  <w:tcW w:w="112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000000"/>
                      <w:kern w:val="0"/>
                      <w:sz w:val="21"/>
                      <w:szCs w:val="21"/>
                      <w:u w:val="none"/>
                      <w:lang w:val="en-US" w:eastAsia="zh-CN" w:bidi="ar"/>
                    </w:rPr>
                    <w:t>0.01309</w:t>
                  </w:r>
                </w:p>
              </w:tc>
              <w:tc>
                <w:tcPr>
                  <w:tcW w:w="918"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645"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下风向最大浓度（Cmax）</w:t>
                  </w:r>
                </w:p>
              </w:tc>
              <w:tc>
                <w:tcPr>
                  <w:tcW w:w="12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bidi="zh-CN"/>
                    </w:rPr>
                  </w:pPr>
                  <w:r>
                    <w:rPr>
                      <w:rFonts w:hint="default" w:ascii="Times New Roman" w:hAnsi="Times New Roman" w:eastAsia="宋体" w:cs="Times New Roman"/>
                      <w:b w:val="0"/>
                      <w:bCs w:val="0"/>
                      <w:i w:val="0"/>
                      <w:iCs w:val="0"/>
                      <w:color w:val="000000"/>
                      <w:kern w:val="0"/>
                      <w:sz w:val="21"/>
                      <w:szCs w:val="21"/>
                      <w:u w:val="none"/>
                      <w:lang w:val="en-US" w:eastAsia="zh-CN" w:bidi="ar"/>
                    </w:rPr>
                    <w:t>0.03451</w:t>
                  </w:r>
                </w:p>
              </w:tc>
              <w:tc>
                <w:tcPr>
                  <w:tcW w:w="917" w:type="dxa"/>
                  <w:noWrap w:val="0"/>
                  <w:vAlign w:val="center"/>
                </w:tcPr>
                <w:p>
                  <w:pPr>
                    <w:widowControl/>
                    <w:jc w:val="center"/>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color w:val="auto"/>
                      <w:sz w:val="21"/>
                      <w:szCs w:val="21"/>
                      <w:highlight w:val="none"/>
                    </w:rPr>
                    <w:t>/</w:t>
                  </w:r>
                </w:p>
              </w:tc>
              <w:tc>
                <w:tcPr>
                  <w:tcW w:w="111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b w:val="0"/>
                      <w:bCs w:val="0"/>
                      <w:color w:val="auto"/>
                      <w:sz w:val="21"/>
                      <w:szCs w:val="21"/>
                      <w:highlight w:val="none"/>
                      <w:lang w:val="en-US" w:eastAsia="zh-CN" w:bidi="zh-CN"/>
                    </w:rPr>
                  </w:pPr>
                  <w:r>
                    <w:rPr>
                      <w:rFonts w:hint="default" w:ascii="Times New Roman" w:hAnsi="Times New Roman" w:eastAsia="宋体" w:cs="Times New Roman"/>
                      <w:b w:val="0"/>
                      <w:bCs w:val="0"/>
                      <w:i w:val="0"/>
                      <w:iCs w:val="0"/>
                      <w:color w:val="000000"/>
                      <w:kern w:val="0"/>
                      <w:sz w:val="21"/>
                      <w:szCs w:val="21"/>
                      <w:u w:val="none"/>
                      <w:lang w:val="en-US" w:eastAsia="zh-CN" w:bidi="ar"/>
                    </w:rPr>
                    <w:t>0.007669</w:t>
                  </w:r>
                </w:p>
              </w:tc>
              <w:tc>
                <w:tcPr>
                  <w:tcW w:w="917" w:type="dxa"/>
                  <w:noWrap w:val="0"/>
                  <w:vAlign w:val="center"/>
                </w:tcPr>
                <w:p>
                  <w:pPr>
                    <w:widowControl/>
                    <w:jc w:val="center"/>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color w:val="auto"/>
                      <w:sz w:val="21"/>
                      <w:szCs w:val="21"/>
                      <w:highlight w:val="none"/>
                    </w:rPr>
                    <w:t>/</w:t>
                  </w:r>
                </w:p>
              </w:tc>
              <w:tc>
                <w:tcPr>
                  <w:tcW w:w="1121" w:type="dxa"/>
                  <w:noWrap w:val="0"/>
                  <w:vAlign w:val="center"/>
                </w:tcPr>
                <w:p>
                  <w:pPr>
                    <w:widowControl/>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0.0367</w:t>
                  </w:r>
                </w:p>
              </w:tc>
              <w:tc>
                <w:tcPr>
                  <w:tcW w:w="918" w:type="dxa"/>
                  <w:noWrap w:val="0"/>
                  <w:vAlign w:val="center"/>
                </w:tcPr>
                <w:p>
                  <w:pPr>
                    <w:widowControl/>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645"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下风向最大浓度占标率（Pmax）</w:t>
                  </w:r>
                </w:p>
              </w:tc>
              <w:tc>
                <w:tcPr>
                  <w:tcW w:w="1210" w:type="dxa"/>
                  <w:noWrap w:val="0"/>
                  <w:vAlign w:val="center"/>
                </w:tcPr>
                <w:p>
                  <w:pPr>
                    <w:widowControl/>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sz w:val="21"/>
                      <w:szCs w:val="21"/>
                      <w:highlight w:val="none"/>
                    </w:rPr>
                    <w:t>/</w:t>
                  </w:r>
                </w:p>
              </w:tc>
              <w:tc>
                <w:tcPr>
                  <w:tcW w:w="917" w:type="dxa"/>
                  <w:noWrap w:val="0"/>
                  <w:vAlign w:val="center"/>
                </w:tcPr>
                <w:p>
                  <w:pPr>
                    <w:widowControl/>
                    <w:jc w:val="center"/>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b w:val="0"/>
                      <w:bCs w:val="0"/>
                      <w:i w:val="0"/>
                      <w:iCs w:val="0"/>
                      <w:color w:val="000000"/>
                      <w:kern w:val="0"/>
                      <w:sz w:val="21"/>
                      <w:szCs w:val="21"/>
                      <w:u w:val="none"/>
                      <w:lang w:val="en-US" w:eastAsia="zh-CN" w:bidi="ar"/>
                    </w:rPr>
                    <w:t>0.014</w:t>
                  </w:r>
                </w:p>
              </w:tc>
              <w:tc>
                <w:tcPr>
                  <w:tcW w:w="1110" w:type="dxa"/>
                  <w:noWrap w:val="0"/>
                  <w:vAlign w:val="center"/>
                </w:tcPr>
                <w:p>
                  <w:pPr>
                    <w:widowControl/>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sz w:val="21"/>
                      <w:szCs w:val="21"/>
                      <w:highlight w:val="none"/>
                    </w:rPr>
                    <w:t>/</w:t>
                  </w:r>
                </w:p>
              </w:tc>
              <w:tc>
                <w:tcPr>
                  <w:tcW w:w="917" w:type="dxa"/>
                  <w:noWrap w:val="0"/>
                  <w:vAlign w:val="center"/>
                </w:tcPr>
                <w:p>
                  <w:pPr>
                    <w:widowControl/>
                    <w:jc w:val="center"/>
                    <w:rPr>
                      <w:rFonts w:hint="default" w:ascii="Times New Roman" w:hAnsi="Times New Roman" w:cs="Times New Roman"/>
                      <w:bCs/>
                      <w:color w:val="auto"/>
                      <w:sz w:val="21"/>
                      <w:szCs w:val="21"/>
                      <w:highlight w:val="none"/>
                      <w:lang w:val="en-US"/>
                    </w:rPr>
                  </w:pPr>
                  <w:r>
                    <w:rPr>
                      <w:rFonts w:hint="default" w:ascii="Times New Roman" w:hAnsi="Times New Roman" w:eastAsia="宋体" w:cs="Times New Roman"/>
                      <w:b w:val="0"/>
                      <w:bCs w:val="0"/>
                      <w:i w:val="0"/>
                      <w:iCs w:val="0"/>
                      <w:color w:val="000000"/>
                      <w:kern w:val="0"/>
                      <w:sz w:val="21"/>
                      <w:szCs w:val="21"/>
                      <w:u w:val="none"/>
                      <w:lang w:val="en-US" w:eastAsia="zh-CN" w:bidi="ar"/>
                    </w:rPr>
                    <w:t>0.001</w:t>
                  </w:r>
                </w:p>
              </w:tc>
              <w:tc>
                <w:tcPr>
                  <w:tcW w:w="1121" w:type="dxa"/>
                  <w:noWrap w:val="0"/>
                  <w:vAlign w:val="center"/>
                </w:tcPr>
                <w:p>
                  <w:pPr>
                    <w:widowControl/>
                    <w:jc w:val="center"/>
                    <w:rPr>
                      <w:rFonts w:hint="default" w:ascii="Times New Roman" w:hAnsi="Times New Roman" w:cs="Times New Roman"/>
                      <w:bCs/>
                      <w:color w:val="auto"/>
                      <w:sz w:val="21"/>
                      <w:szCs w:val="21"/>
                      <w:highlight w:val="none"/>
                    </w:rPr>
                  </w:pPr>
                  <w:r>
                    <w:rPr>
                      <w:rFonts w:hint="default" w:ascii="Times New Roman" w:hAnsi="Times New Roman" w:eastAsia="宋体" w:cs="Times New Roman"/>
                      <w:color w:val="auto"/>
                      <w:sz w:val="21"/>
                      <w:szCs w:val="21"/>
                      <w:highlight w:val="none"/>
                    </w:rPr>
                    <w:t>/</w:t>
                  </w:r>
                </w:p>
              </w:tc>
              <w:tc>
                <w:tcPr>
                  <w:tcW w:w="918" w:type="dxa"/>
                  <w:noWrap w:val="0"/>
                  <w:vAlign w:val="center"/>
                </w:tcPr>
                <w:p>
                  <w:pPr>
                    <w:widowControl/>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645" w:type="dxa"/>
                  <w:noWrap w:val="0"/>
                  <w:vAlign w:val="center"/>
                </w:tcPr>
                <w:p>
                  <w:pPr>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下风向最大浓度出现距离(m)</w:t>
                  </w:r>
                </w:p>
              </w:tc>
              <w:tc>
                <w:tcPr>
                  <w:tcW w:w="1210" w:type="dxa"/>
                  <w:noWrap w:val="0"/>
                  <w:vAlign w:val="center"/>
                </w:tcPr>
                <w:p>
                  <w:pPr>
                    <w:widowControl/>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264</w:t>
                  </w:r>
                </w:p>
              </w:tc>
              <w:tc>
                <w:tcPr>
                  <w:tcW w:w="917" w:type="dxa"/>
                  <w:noWrap w:val="0"/>
                  <w:vAlign w:val="center"/>
                </w:tcPr>
                <w:p>
                  <w:pPr>
                    <w:widowControl/>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264</w:t>
                  </w:r>
                </w:p>
              </w:tc>
              <w:tc>
                <w:tcPr>
                  <w:tcW w:w="1110" w:type="dxa"/>
                  <w:noWrap w:val="0"/>
                  <w:vAlign w:val="center"/>
                </w:tcPr>
                <w:p>
                  <w:pPr>
                    <w:widowControl/>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264</w:t>
                  </w:r>
                </w:p>
              </w:tc>
              <w:tc>
                <w:tcPr>
                  <w:tcW w:w="917" w:type="dxa"/>
                  <w:noWrap w:val="0"/>
                  <w:vAlign w:val="center"/>
                </w:tcPr>
                <w:p>
                  <w:pPr>
                    <w:widowControl/>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264</w:t>
                  </w:r>
                </w:p>
              </w:tc>
              <w:tc>
                <w:tcPr>
                  <w:tcW w:w="1121" w:type="dxa"/>
                  <w:noWrap w:val="0"/>
                  <w:vAlign w:val="center"/>
                </w:tcPr>
                <w:p>
                  <w:pPr>
                    <w:widowControl/>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264</w:t>
                  </w:r>
                </w:p>
              </w:tc>
              <w:tc>
                <w:tcPr>
                  <w:tcW w:w="918" w:type="dxa"/>
                  <w:noWrap w:val="0"/>
                  <w:vAlign w:val="center"/>
                </w:tcPr>
                <w:p>
                  <w:pPr>
                    <w:widowControl/>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264</w:t>
                  </w:r>
                </w:p>
              </w:tc>
            </w:tr>
          </w:tbl>
          <w:p>
            <w:pPr>
              <w:pStyle w:val="15"/>
              <w:rPr>
                <w:rFonts w:ascii="黑体"/>
                <w:color w:val="auto"/>
                <w:sz w:val="20"/>
                <w:highlight w:val="none"/>
              </w:rPr>
            </w:pPr>
          </w:p>
          <w:p>
            <w:pPr>
              <w:pStyle w:val="3"/>
              <w:ind w:firstLine="480"/>
              <w:jc w:val="center"/>
              <w:rPr>
                <w:color w:val="auto"/>
                <w:highlight w:val="none"/>
              </w:rPr>
            </w:pPr>
            <w:r>
              <w:rPr>
                <w:rFonts w:hint="eastAsia" w:ascii="Times New Roman" w:hAnsi="Times New Roman" w:eastAsia="宋体" w:cs="Times New Roman"/>
                <w:b/>
                <w:bCs/>
                <w:color w:val="auto"/>
                <w:sz w:val="21"/>
                <w:szCs w:val="21"/>
                <w:highlight w:val="none"/>
                <w:lang w:val="zh-CN" w:eastAsia="zh-CN" w:bidi="zh-CN"/>
              </w:rPr>
              <w:t>表7-8   2#排气筒废气排放估算模式计算结果表</w:t>
            </w:r>
          </w:p>
          <w:tbl>
            <w:tblPr>
              <w:tblStyle w:val="11"/>
              <w:tblpPr w:leftFromText="180" w:rightFromText="180" w:vertAnchor="text" w:horzAnchor="page" w:tblpXSpec="center" w:tblpY="441"/>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8"/>
              <w:gridCol w:w="1241"/>
              <w:gridCol w:w="1717"/>
              <w:gridCol w:w="1602"/>
              <w:gridCol w:w="1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8" w:type="dxa"/>
                  <w:vMerge w:val="restart"/>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下风向距离（m）</w:t>
                  </w:r>
                </w:p>
              </w:tc>
              <w:tc>
                <w:tcPr>
                  <w:tcW w:w="6291" w:type="dxa"/>
                  <w:gridSpan w:val="4"/>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2#排气筒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8" w:type="dxa"/>
                  <w:vMerge w:val="continue"/>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958" w:type="dxa"/>
                  <w:gridSpan w:val="2"/>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苯并(a)芘</w:t>
                  </w:r>
                </w:p>
              </w:tc>
              <w:tc>
                <w:tcPr>
                  <w:tcW w:w="3333" w:type="dxa"/>
                  <w:gridSpan w:val="2"/>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68" w:type="dxa"/>
                  <w:vMerge w:val="continue"/>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24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浓度mg/m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7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占标率%</w:t>
                  </w:r>
                </w:p>
              </w:tc>
              <w:tc>
                <w:tcPr>
                  <w:tcW w:w="1602"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浓度mg/m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73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68"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w:t>
                  </w:r>
                </w:p>
              </w:tc>
              <w:tc>
                <w:tcPr>
                  <w:tcW w:w="1241"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2.238</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-7</w:t>
                  </w:r>
                </w:p>
              </w:tc>
              <w:tc>
                <w:tcPr>
                  <w:tcW w:w="17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c>
                <w:tcPr>
                  <w:tcW w:w="1602"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4.401</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-22</w:t>
                  </w:r>
                </w:p>
              </w:tc>
              <w:tc>
                <w:tcPr>
                  <w:tcW w:w="173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68"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100</w:t>
                  </w:r>
                </w:p>
              </w:tc>
              <w:tc>
                <w:tcPr>
                  <w:tcW w:w="1241"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5.133</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-7</w:t>
                  </w:r>
                </w:p>
              </w:tc>
              <w:tc>
                <w:tcPr>
                  <w:tcW w:w="17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0.17</w:t>
                  </w:r>
                </w:p>
              </w:tc>
              <w:tc>
                <w:tcPr>
                  <w:tcW w:w="1602"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r>
                    <w:rPr>
                      <w:rFonts w:hint="default"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009</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-5</w:t>
                  </w:r>
                </w:p>
              </w:tc>
              <w:tc>
                <w:tcPr>
                  <w:tcW w:w="173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68"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200</w:t>
                  </w:r>
                </w:p>
              </w:tc>
              <w:tc>
                <w:tcPr>
                  <w:tcW w:w="1241"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6.356</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-7</w:t>
                  </w:r>
                </w:p>
              </w:tc>
              <w:tc>
                <w:tcPr>
                  <w:tcW w:w="17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0.21</w:t>
                  </w:r>
                </w:p>
              </w:tc>
              <w:tc>
                <w:tcPr>
                  <w:tcW w:w="1602"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r>
                    <w:rPr>
                      <w:rFonts w:hint="default"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25</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-5</w:t>
                  </w:r>
                </w:p>
              </w:tc>
              <w:tc>
                <w:tcPr>
                  <w:tcW w:w="173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68"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300</w:t>
                  </w:r>
                </w:p>
              </w:tc>
              <w:tc>
                <w:tcPr>
                  <w:tcW w:w="1241"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6.723</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-7</w:t>
                  </w:r>
                </w:p>
              </w:tc>
              <w:tc>
                <w:tcPr>
                  <w:tcW w:w="17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w:t>
                  </w:r>
                </w:p>
              </w:tc>
              <w:tc>
                <w:tcPr>
                  <w:tcW w:w="1602"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r>
                    <w:rPr>
                      <w:rFonts w:hint="default"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322</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-5</w:t>
                  </w:r>
                </w:p>
              </w:tc>
              <w:tc>
                <w:tcPr>
                  <w:tcW w:w="173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68"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400</w:t>
                  </w:r>
                </w:p>
              </w:tc>
              <w:tc>
                <w:tcPr>
                  <w:tcW w:w="1241"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2"/>
                      <w:szCs w:val="22"/>
                      <w:u w:val="none"/>
                      <w:lang w:val="en-US" w:eastAsia="zh-CN" w:bidi="ar"/>
                    </w:rPr>
                    <w:t>6</w:t>
                  </w:r>
                  <w:r>
                    <w:rPr>
                      <w:rFonts w:hint="default" w:ascii="Times New Roman" w:hAnsi="Times New Roman" w:eastAsia="宋体" w:cs="Times New Roman"/>
                      <w:i w:val="0"/>
                      <w:iCs w:val="0"/>
                      <w:color w:val="auto"/>
                      <w:kern w:val="0"/>
                      <w:sz w:val="22"/>
                      <w:szCs w:val="22"/>
                      <w:u w:val="none"/>
                      <w:lang w:val="en-US" w:eastAsia="zh-CN" w:bidi="ar"/>
                    </w:rPr>
                    <w:t>.</w:t>
                  </w:r>
                  <w:r>
                    <w:rPr>
                      <w:rFonts w:hint="eastAsia" w:ascii="Times New Roman" w:hAnsi="Times New Roman" w:cs="Times New Roman"/>
                      <w:i w:val="0"/>
                      <w:iCs w:val="0"/>
                      <w:color w:val="auto"/>
                      <w:kern w:val="0"/>
                      <w:sz w:val="22"/>
                      <w:szCs w:val="22"/>
                      <w:u w:val="none"/>
                      <w:lang w:val="en-US" w:eastAsia="zh-CN" w:bidi="ar"/>
                    </w:rPr>
                    <w:t>73</w:t>
                  </w:r>
                  <w:r>
                    <w:rPr>
                      <w:rFonts w:hint="default" w:ascii="Times New Roman" w:hAnsi="Times New Roman" w:eastAsia="宋体" w:cs="Times New Roman"/>
                      <w:i w:val="0"/>
                      <w:iCs w:val="0"/>
                      <w:color w:val="auto"/>
                      <w:kern w:val="0"/>
                      <w:sz w:val="22"/>
                      <w:szCs w:val="22"/>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-7</w:t>
                  </w:r>
                </w:p>
              </w:tc>
              <w:tc>
                <w:tcPr>
                  <w:tcW w:w="17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w:t>
                  </w:r>
                  <w:r>
                    <w:rPr>
                      <w:rFonts w:hint="eastAsia" w:ascii="Times New Roman" w:hAnsi="Times New Roman" w:cs="Times New Roman"/>
                      <w:i w:val="0"/>
                      <w:iCs w:val="0"/>
                      <w:color w:val="000000"/>
                      <w:kern w:val="0"/>
                      <w:sz w:val="22"/>
                      <w:szCs w:val="22"/>
                      <w:u w:val="none"/>
                      <w:lang w:val="en-US" w:eastAsia="zh-CN" w:bidi="ar"/>
                    </w:rPr>
                    <w:t>2</w:t>
                  </w:r>
                </w:p>
              </w:tc>
              <w:tc>
                <w:tcPr>
                  <w:tcW w:w="1602"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r>
                    <w:rPr>
                      <w:rFonts w:hint="default"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165</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-5</w:t>
                  </w:r>
                </w:p>
              </w:tc>
              <w:tc>
                <w:tcPr>
                  <w:tcW w:w="173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68"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500</w:t>
                  </w:r>
                </w:p>
              </w:tc>
              <w:tc>
                <w:tcPr>
                  <w:tcW w:w="1241"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w:t>
                  </w:r>
                  <w:r>
                    <w:rPr>
                      <w:rFonts w:hint="eastAsia" w:ascii="Times New Roman" w:hAnsi="Times New Roman" w:cs="Times New Roman"/>
                      <w:i w:val="0"/>
                      <w:iCs w:val="0"/>
                      <w:color w:val="auto"/>
                      <w:kern w:val="0"/>
                      <w:sz w:val="22"/>
                      <w:szCs w:val="22"/>
                      <w:u w:val="none"/>
                      <w:lang w:val="en-US" w:eastAsia="zh-CN" w:bidi="ar"/>
                    </w:rPr>
                    <w:t>75</w:t>
                  </w:r>
                  <w:r>
                    <w:rPr>
                      <w:rFonts w:hint="default" w:ascii="Times New Roman" w:hAnsi="Times New Roman" w:eastAsia="宋体" w:cs="Times New Roman"/>
                      <w:i w:val="0"/>
                      <w:iCs w:val="0"/>
                      <w:color w:val="auto"/>
                      <w:kern w:val="0"/>
                      <w:sz w:val="22"/>
                      <w:szCs w:val="22"/>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-7</w:t>
                  </w:r>
                </w:p>
              </w:tc>
              <w:tc>
                <w:tcPr>
                  <w:tcW w:w="17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vertAlign w:val="baseli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w:t>
                  </w:r>
                  <w:r>
                    <w:rPr>
                      <w:rFonts w:hint="eastAsia" w:ascii="Times New Roman" w:hAnsi="Times New Roman" w:cs="Times New Roman"/>
                      <w:i w:val="0"/>
                      <w:iCs w:val="0"/>
                      <w:color w:val="000000"/>
                      <w:kern w:val="0"/>
                      <w:sz w:val="22"/>
                      <w:szCs w:val="22"/>
                      <w:u w:val="none"/>
                      <w:lang w:val="en-US" w:eastAsia="zh-CN" w:bidi="ar"/>
                    </w:rPr>
                    <w:t>2</w:t>
                  </w:r>
                </w:p>
              </w:tc>
              <w:tc>
                <w:tcPr>
                  <w:tcW w:w="1602"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r>
                    <w:rPr>
                      <w:rFonts w:hint="default"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225</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-5</w:t>
                  </w:r>
                </w:p>
              </w:tc>
              <w:tc>
                <w:tcPr>
                  <w:tcW w:w="173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68"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600</w:t>
                  </w:r>
                </w:p>
              </w:tc>
              <w:tc>
                <w:tcPr>
                  <w:tcW w:w="1241"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6.803</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-7</w:t>
                  </w:r>
                </w:p>
              </w:tc>
              <w:tc>
                <w:tcPr>
                  <w:tcW w:w="17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0.23</w:t>
                  </w:r>
                </w:p>
              </w:tc>
              <w:tc>
                <w:tcPr>
                  <w:tcW w:w="1602"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r>
                    <w:rPr>
                      <w:rFonts w:hint="default"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338</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-5</w:t>
                  </w:r>
                </w:p>
              </w:tc>
              <w:tc>
                <w:tcPr>
                  <w:tcW w:w="173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8"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653</w:t>
                  </w:r>
                </w:p>
              </w:tc>
              <w:tc>
                <w:tcPr>
                  <w:tcW w:w="1241"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6.864</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-7</w:t>
                  </w:r>
                </w:p>
              </w:tc>
              <w:tc>
                <w:tcPr>
                  <w:tcW w:w="17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0.23</w:t>
                  </w:r>
                </w:p>
              </w:tc>
              <w:tc>
                <w:tcPr>
                  <w:tcW w:w="1602"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r>
                    <w:rPr>
                      <w:rFonts w:hint="default"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35</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-5</w:t>
                  </w:r>
                </w:p>
              </w:tc>
              <w:tc>
                <w:tcPr>
                  <w:tcW w:w="173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68"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700</w:t>
                  </w:r>
                </w:p>
              </w:tc>
              <w:tc>
                <w:tcPr>
                  <w:tcW w:w="1241"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6.826</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-7</w:t>
                  </w:r>
                </w:p>
              </w:tc>
              <w:tc>
                <w:tcPr>
                  <w:tcW w:w="17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0.23</w:t>
                  </w:r>
                </w:p>
              </w:tc>
              <w:tc>
                <w:tcPr>
                  <w:tcW w:w="1602"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r>
                    <w:rPr>
                      <w:rFonts w:hint="default"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32</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-5</w:t>
                  </w:r>
                </w:p>
              </w:tc>
              <w:tc>
                <w:tcPr>
                  <w:tcW w:w="173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68"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800</w:t>
                  </w:r>
                </w:p>
              </w:tc>
              <w:tc>
                <w:tcPr>
                  <w:tcW w:w="1241"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6.561</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-7</w:t>
                  </w:r>
                </w:p>
              </w:tc>
              <w:tc>
                <w:tcPr>
                  <w:tcW w:w="17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0.22</w:t>
                  </w:r>
                </w:p>
              </w:tc>
              <w:tc>
                <w:tcPr>
                  <w:tcW w:w="1602"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r>
                    <w:rPr>
                      <w:rFonts w:hint="default"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29</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-5</w:t>
                  </w:r>
                </w:p>
              </w:tc>
              <w:tc>
                <w:tcPr>
                  <w:tcW w:w="173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68"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900</w:t>
                  </w:r>
                </w:p>
              </w:tc>
              <w:tc>
                <w:tcPr>
                  <w:tcW w:w="1241"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6.166</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-7</w:t>
                  </w:r>
                </w:p>
              </w:tc>
              <w:tc>
                <w:tcPr>
                  <w:tcW w:w="17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0.21</w:t>
                  </w:r>
                </w:p>
              </w:tc>
              <w:tc>
                <w:tcPr>
                  <w:tcW w:w="1602"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r>
                    <w:rPr>
                      <w:rFonts w:hint="default"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213</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-5</w:t>
                  </w:r>
                </w:p>
              </w:tc>
              <w:tc>
                <w:tcPr>
                  <w:tcW w:w="173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68"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1000</w:t>
                  </w:r>
                </w:p>
              </w:tc>
              <w:tc>
                <w:tcPr>
                  <w:tcW w:w="1241"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6.069</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-7</w:t>
                  </w:r>
                </w:p>
              </w:tc>
              <w:tc>
                <w:tcPr>
                  <w:tcW w:w="17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w:t>
                  </w:r>
                </w:p>
              </w:tc>
              <w:tc>
                <w:tcPr>
                  <w:tcW w:w="1602"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r>
                    <w:rPr>
                      <w:rFonts w:hint="default"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193</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-5</w:t>
                  </w:r>
                </w:p>
              </w:tc>
              <w:tc>
                <w:tcPr>
                  <w:tcW w:w="173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68"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1200</w:t>
                  </w:r>
                </w:p>
              </w:tc>
              <w:tc>
                <w:tcPr>
                  <w:tcW w:w="1241"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5.964</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-7</w:t>
                  </w:r>
                </w:p>
              </w:tc>
              <w:tc>
                <w:tcPr>
                  <w:tcW w:w="17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0.2</w:t>
                  </w:r>
                </w:p>
              </w:tc>
              <w:tc>
                <w:tcPr>
                  <w:tcW w:w="1602"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r>
                    <w:rPr>
                      <w:rFonts w:hint="default"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173</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-5</w:t>
                  </w:r>
                </w:p>
              </w:tc>
              <w:tc>
                <w:tcPr>
                  <w:tcW w:w="173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68"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1400</w:t>
                  </w:r>
                </w:p>
              </w:tc>
              <w:tc>
                <w:tcPr>
                  <w:tcW w:w="1241" w:type="dxa"/>
                  <w:noWrap w:val="0"/>
                  <w:vAlign w:val="center"/>
                </w:tcPr>
                <w:p>
                  <w:pPr>
                    <w:keepNext w:val="0"/>
                    <w:keepLines w:val="0"/>
                    <w:widowControl/>
                    <w:suppressLineNumbers w:val="0"/>
                    <w:ind w:left="0" w:leftChars="0" w:right="0" w:rightChars="0"/>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5</w:t>
                  </w:r>
                  <w:r>
                    <w:rPr>
                      <w:rFonts w:hint="default"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64</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-7</w:t>
                  </w:r>
                </w:p>
              </w:tc>
              <w:tc>
                <w:tcPr>
                  <w:tcW w:w="17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0.19</w:t>
                  </w:r>
                </w:p>
              </w:tc>
              <w:tc>
                <w:tcPr>
                  <w:tcW w:w="1602"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r>
                    <w:rPr>
                      <w:rFonts w:hint="default"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109</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-5</w:t>
                  </w:r>
                </w:p>
              </w:tc>
              <w:tc>
                <w:tcPr>
                  <w:tcW w:w="173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68"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1600</w:t>
                  </w:r>
                </w:p>
              </w:tc>
              <w:tc>
                <w:tcPr>
                  <w:tcW w:w="1241"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5.239</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-7</w:t>
                  </w:r>
                </w:p>
              </w:tc>
              <w:tc>
                <w:tcPr>
                  <w:tcW w:w="17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0.17</w:t>
                  </w:r>
                </w:p>
              </w:tc>
              <w:tc>
                <w:tcPr>
                  <w:tcW w:w="1602"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r>
                    <w:rPr>
                      <w:rFonts w:hint="default"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03</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-5</w:t>
                  </w:r>
                </w:p>
              </w:tc>
              <w:tc>
                <w:tcPr>
                  <w:tcW w:w="173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68"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1800</w:t>
                  </w:r>
                </w:p>
              </w:tc>
              <w:tc>
                <w:tcPr>
                  <w:tcW w:w="1241"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4.828</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-7</w:t>
                  </w:r>
                </w:p>
              </w:tc>
              <w:tc>
                <w:tcPr>
                  <w:tcW w:w="17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0.16</w:t>
                  </w:r>
                </w:p>
              </w:tc>
              <w:tc>
                <w:tcPr>
                  <w:tcW w:w="1602"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9</w:t>
                  </w:r>
                  <w:r>
                    <w:rPr>
                      <w:rFonts w:hint="default"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496</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-5</w:t>
                  </w:r>
                </w:p>
              </w:tc>
              <w:tc>
                <w:tcPr>
                  <w:tcW w:w="173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68"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2000</w:t>
                  </w:r>
                </w:p>
              </w:tc>
              <w:tc>
                <w:tcPr>
                  <w:tcW w:w="1241" w:type="dxa"/>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4.437</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-7</w:t>
                  </w:r>
                </w:p>
              </w:tc>
              <w:tc>
                <w:tcPr>
                  <w:tcW w:w="17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0.15</w:t>
                  </w:r>
                </w:p>
              </w:tc>
              <w:tc>
                <w:tcPr>
                  <w:tcW w:w="1602"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8</w:t>
                  </w:r>
                  <w:r>
                    <w:rPr>
                      <w:rFonts w:hint="default"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727</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-6</w:t>
                  </w:r>
                </w:p>
              </w:tc>
              <w:tc>
                <w:tcPr>
                  <w:tcW w:w="173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2500</w:t>
                  </w:r>
                </w:p>
              </w:tc>
              <w:tc>
                <w:tcPr>
                  <w:tcW w:w="12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right="0" w:rightChars="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3.613</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-7</w:t>
                  </w:r>
                </w:p>
              </w:tc>
              <w:tc>
                <w:tcPr>
                  <w:tcW w:w="17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0.12</w:t>
                  </w:r>
                </w:p>
              </w:tc>
              <w:tc>
                <w:tcPr>
                  <w:tcW w:w="1602"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7</w:t>
                  </w:r>
                  <w:r>
                    <w:rPr>
                      <w:rFonts w:hint="default"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105</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-6</w:t>
                  </w:r>
                </w:p>
              </w:tc>
              <w:tc>
                <w:tcPr>
                  <w:tcW w:w="173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下风向最大浓度（Cmax）</w:t>
                  </w:r>
                </w:p>
              </w:tc>
              <w:tc>
                <w:tcPr>
                  <w:tcW w:w="12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6.864</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-7</w:t>
                  </w:r>
                </w:p>
              </w:tc>
              <w:tc>
                <w:tcPr>
                  <w:tcW w:w="17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highlight w:val="none"/>
                    </w:rPr>
                    <w:t>/</w:t>
                  </w:r>
                </w:p>
              </w:tc>
              <w:tc>
                <w:tcPr>
                  <w:tcW w:w="1602"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r>
                    <w:rPr>
                      <w:rFonts w:hint="default"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35</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-5</w:t>
                  </w:r>
                </w:p>
              </w:tc>
              <w:tc>
                <w:tcPr>
                  <w:tcW w:w="173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下风向最大浓度占标率（Pmax）</w:t>
                  </w:r>
                </w:p>
              </w:tc>
              <w:tc>
                <w:tcPr>
                  <w:tcW w:w="12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color w:val="auto"/>
                      <w:sz w:val="21"/>
                      <w:szCs w:val="21"/>
                      <w:highlight w:val="none"/>
                    </w:rPr>
                    <w:t>/</w:t>
                  </w:r>
                </w:p>
              </w:tc>
              <w:tc>
                <w:tcPr>
                  <w:tcW w:w="17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1602"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color w:val="auto"/>
                      <w:sz w:val="21"/>
                      <w:szCs w:val="21"/>
                      <w:highlight w:val="none"/>
                    </w:rPr>
                    <w:t>/</w:t>
                  </w:r>
                </w:p>
              </w:tc>
              <w:tc>
                <w:tcPr>
                  <w:tcW w:w="173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16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下风向最大浓度出现距离(m)</w:t>
                  </w:r>
                </w:p>
              </w:tc>
              <w:tc>
                <w:tcPr>
                  <w:tcW w:w="12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653</w:t>
                  </w:r>
                </w:p>
              </w:tc>
              <w:tc>
                <w:tcPr>
                  <w:tcW w:w="171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653</w:t>
                  </w:r>
                </w:p>
              </w:tc>
              <w:tc>
                <w:tcPr>
                  <w:tcW w:w="1602"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653</w:t>
                  </w:r>
                </w:p>
              </w:tc>
              <w:tc>
                <w:tcPr>
                  <w:tcW w:w="173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653</w:t>
                  </w:r>
                </w:p>
              </w:tc>
            </w:tr>
          </w:tbl>
          <w:p>
            <w:pPr>
              <w:pStyle w:val="15"/>
              <w:rPr>
                <w:rFonts w:ascii="黑体"/>
                <w:color w:val="auto"/>
                <w:sz w:val="20"/>
                <w:highlight w:val="none"/>
              </w:rPr>
            </w:pPr>
          </w:p>
          <w:p>
            <w:pPr>
              <w:pStyle w:val="15"/>
              <w:rPr>
                <w:rFonts w:ascii="黑体"/>
                <w:color w:val="auto"/>
                <w:sz w:val="20"/>
                <w:highlight w:val="none"/>
              </w:rPr>
            </w:pPr>
          </w:p>
          <w:p>
            <w:pPr>
              <w:pStyle w:val="15"/>
              <w:jc w:val="center"/>
              <w:rPr>
                <w:rFonts w:hint="eastAsia" w:ascii="Times New Roman" w:hAnsi="Times New Roman" w:eastAsia="宋体" w:cs="Times New Roman"/>
                <w:b/>
                <w:bCs/>
                <w:color w:val="auto"/>
                <w:sz w:val="21"/>
                <w:szCs w:val="21"/>
                <w:highlight w:val="none"/>
                <w:lang w:val="en-US" w:eastAsia="zh-CN" w:bidi="zh-CN"/>
              </w:rPr>
            </w:pPr>
            <w:r>
              <w:rPr>
                <w:rFonts w:hint="eastAsia" w:ascii="Times New Roman" w:hAnsi="Times New Roman" w:eastAsia="宋体" w:cs="Times New Roman"/>
                <w:b/>
                <w:bCs/>
                <w:color w:val="auto"/>
                <w:sz w:val="21"/>
                <w:szCs w:val="21"/>
                <w:highlight w:val="none"/>
                <w:lang w:val="en-US" w:eastAsia="zh-CN" w:bidi="zh-CN"/>
              </w:rPr>
              <w:t>表7-9   3#排气筒废气排放估算模式计算结果表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054"/>
              <w:gridCol w:w="1265"/>
              <w:gridCol w:w="1230"/>
              <w:gridCol w:w="1282"/>
              <w:gridCol w:w="1268"/>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645" w:type="dxa"/>
                  <w:vMerge w:val="restart"/>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下风向距离（m）</w:t>
                  </w:r>
                </w:p>
              </w:tc>
              <w:tc>
                <w:tcPr>
                  <w:tcW w:w="2319" w:type="dxa"/>
                  <w:gridSpan w:val="2"/>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NO2</w:t>
                  </w:r>
                </w:p>
              </w:tc>
              <w:tc>
                <w:tcPr>
                  <w:tcW w:w="2512" w:type="dxa"/>
                  <w:gridSpan w:val="2"/>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SO2</w:t>
                  </w:r>
                </w:p>
              </w:tc>
              <w:tc>
                <w:tcPr>
                  <w:tcW w:w="2468" w:type="dxa"/>
                  <w:gridSpan w:val="2"/>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645" w:type="dxa"/>
                  <w:vMerge w:val="continue"/>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10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浓度mg/m3</w:t>
                  </w:r>
                </w:p>
              </w:tc>
              <w:tc>
                <w:tcPr>
                  <w:tcW w:w="126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占标率%</w:t>
                  </w:r>
                </w:p>
              </w:tc>
              <w:tc>
                <w:tcPr>
                  <w:tcW w:w="123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浓度mg/m3</w:t>
                  </w:r>
                </w:p>
              </w:tc>
              <w:tc>
                <w:tcPr>
                  <w:tcW w:w="1282"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占标率%</w:t>
                  </w:r>
                </w:p>
              </w:tc>
              <w:tc>
                <w:tcPr>
                  <w:tcW w:w="1268"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浓度mg/m3</w:t>
                  </w:r>
                </w:p>
              </w:tc>
              <w:tc>
                <w:tcPr>
                  <w:tcW w:w="120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4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w:t>
                  </w:r>
                </w:p>
              </w:tc>
              <w:tc>
                <w:tcPr>
                  <w:tcW w:w="1054"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1.394</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-18</w:t>
                  </w:r>
                </w:p>
              </w:tc>
              <w:tc>
                <w:tcPr>
                  <w:tcW w:w="126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2.535</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-19</w:t>
                  </w:r>
                </w:p>
              </w:tc>
              <w:tc>
                <w:tcPr>
                  <w:tcW w:w="123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2.478</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-19</w:t>
                  </w:r>
                </w:p>
              </w:tc>
              <w:tc>
                <w:tcPr>
                  <w:tcW w:w="1282"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1.0325</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-19</w:t>
                  </w:r>
                </w:p>
              </w:tc>
              <w:tc>
                <w:tcPr>
                  <w:tcW w:w="1268"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6.194</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-19</w:t>
                  </w:r>
                </w:p>
              </w:tc>
              <w:tc>
                <w:tcPr>
                  <w:tcW w:w="120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5.16</w:t>
                  </w:r>
                  <w:r>
                    <w:rPr>
                      <w:rFonts w:hint="eastAsia" w:ascii="Times New Roman" w:hAnsi="Times New Roman"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×10-19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4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100</w:t>
                  </w:r>
                </w:p>
              </w:tc>
              <w:tc>
                <w:tcPr>
                  <w:tcW w:w="10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799</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26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907</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3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754</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82"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814</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68"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689</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20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40</w:t>
                  </w:r>
                  <w:r>
                    <w:rPr>
                      <w:rFonts w:hint="eastAsia" w:ascii="Times New Roman" w:hAnsi="Times New Roman" w:cs="Times New Roman"/>
                      <w:i w:val="0"/>
                      <w:iCs w:val="0"/>
                      <w:color w:val="000000"/>
                      <w:kern w:val="0"/>
                      <w:sz w:val="21"/>
                      <w:szCs w:val="21"/>
                      <w:u w:val="none"/>
                      <w:lang w:val="en-US" w:eastAsia="zh-CN" w:bidi="ar"/>
                    </w:rPr>
                    <w:t>3</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64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200</w:t>
                  </w:r>
                </w:p>
              </w:tc>
              <w:tc>
                <w:tcPr>
                  <w:tcW w:w="10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57</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26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3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124</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82"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385</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68"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031</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20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69</w:t>
                  </w:r>
                  <w:r>
                    <w:rPr>
                      <w:rFonts w:hint="eastAsia" w:ascii="Times New Roman" w:hAnsi="Times New Roman" w:cs="Times New Roman"/>
                      <w:i w:val="0"/>
                      <w:iCs w:val="0"/>
                      <w:color w:val="000000"/>
                      <w:kern w:val="0"/>
                      <w:sz w:val="21"/>
                      <w:szCs w:val="21"/>
                      <w:u w:val="none"/>
                      <w:lang w:val="en-US" w:eastAsia="zh-CN" w:bidi="ar"/>
                    </w:rPr>
                    <w:t>3</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4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264</w:t>
                  </w:r>
                </w:p>
              </w:tc>
              <w:tc>
                <w:tcPr>
                  <w:tcW w:w="10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93</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26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96</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3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764</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82"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65</w:t>
                  </w:r>
                  <w:r>
                    <w:rPr>
                      <w:rFonts w:hint="eastAsia" w:ascii="Times New Roman" w:hAnsi="Times New Roman" w:cs="Times New Roman"/>
                      <w:i w:val="0"/>
                      <w:iCs w:val="0"/>
                      <w:color w:val="000000"/>
                      <w:kern w:val="0"/>
                      <w:sz w:val="21"/>
                      <w:szCs w:val="21"/>
                      <w:u w:val="none"/>
                      <w:lang w:val="en-US" w:eastAsia="zh-CN" w:bidi="ar"/>
                    </w:rPr>
                    <w:t>2</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68"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191</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20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82</w:t>
                  </w:r>
                  <w:r>
                    <w:rPr>
                      <w:rFonts w:hint="eastAsia" w:ascii="Times New Roman" w:hAnsi="Times New Roman" w:cs="Times New Roman"/>
                      <w:i w:val="0"/>
                      <w:iCs w:val="0"/>
                      <w:color w:val="000000"/>
                      <w:kern w:val="0"/>
                      <w:sz w:val="21"/>
                      <w:szCs w:val="21"/>
                      <w:u w:val="none"/>
                      <w:lang w:val="en-US" w:eastAsia="zh-CN" w:bidi="ar"/>
                    </w:rPr>
                    <w:t>6</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4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300</w:t>
                  </w:r>
                </w:p>
              </w:tc>
              <w:tc>
                <w:tcPr>
                  <w:tcW w:w="10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813</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26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75</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3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557</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82"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565</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68"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139</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20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78</w:t>
                  </w:r>
                  <w:r>
                    <w:rPr>
                      <w:rFonts w:hint="eastAsia" w:ascii="Times New Roman" w:hAnsi="Times New Roman" w:cs="Times New Roman"/>
                      <w:i w:val="0"/>
                      <w:iCs w:val="0"/>
                      <w:color w:val="000000"/>
                      <w:kern w:val="0"/>
                      <w:sz w:val="21"/>
                      <w:szCs w:val="21"/>
                      <w:u w:val="none"/>
                      <w:lang w:val="en-US" w:eastAsia="zh-CN" w:bidi="ar"/>
                    </w:rPr>
                    <w:t>3</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4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400</w:t>
                  </w:r>
                </w:p>
              </w:tc>
              <w:tc>
                <w:tcPr>
                  <w:tcW w:w="10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r>
                    <w:rPr>
                      <w:rFonts w:hint="eastAsia" w:ascii="Times New Roman" w:hAnsi="Times New Roman"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72</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26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40</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3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24</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82"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01</w:t>
                  </w:r>
                  <w:r>
                    <w:rPr>
                      <w:rFonts w:hint="eastAsia" w:ascii="Times New Roman" w:hAnsi="Times New Roman" w:cs="Times New Roman"/>
                      <w:i w:val="0"/>
                      <w:iCs w:val="0"/>
                      <w:color w:val="000000"/>
                      <w:kern w:val="0"/>
                      <w:sz w:val="21"/>
                      <w:szCs w:val="21"/>
                      <w:u w:val="none"/>
                      <w:lang w:val="en-US" w:eastAsia="zh-CN" w:bidi="ar"/>
                    </w:rPr>
                    <w:t>7</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68"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81</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20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508×10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64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500</w:t>
                  </w:r>
                </w:p>
              </w:tc>
              <w:tc>
                <w:tcPr>
                  <w:tcW w:w="10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r>
                    <w:rPr>
                      <w:rFonts w:hint="eastAsia" w:ascii="Times New Roman" w:hAnsi="Times New Roman"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97</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26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631</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3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461</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82"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lang w:val="en-US" w:eastAsia="zh-CN" w:bidi="ar"/>
                    </w:rPr>
                    <w:t>9</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68"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865</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20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554167×10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4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600</w:t>
                  </w:r>
                </w:p>
              </w:tc>
              <w:tc>
                <w:tcPr>
                  <w:tcW w:w="10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929</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26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144</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3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984</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82"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91</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68"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746</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20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455×10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4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700</w:t>
                  </w:r>
                </w:p>
              </w:tc>
              <w:tc>
                <w:tcPr>
                  <w:tcW w:w="10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54</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26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436</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3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293</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82"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622</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68"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573</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20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31</w:t>
                  </w:r>
                  <w:r>
                    <w:rPr>
                      <w:rFonts w:hint="eastAsia" w:ascii="Times New Roman" w:hAnsi="Times New Roman"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4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800</w:t>
                  </w:r>
                </w:p>
              </w:tc>
              <w:tc>
                <w:tcPr>
                  <w:tcW w:w="10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144</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26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716</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3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59</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82"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329</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68"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397</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20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164</w:t>
                  </w:r>
                  <w:r>
                    <w:rPr>
                      <w:rFonts w:hint="eastAsia" w:ascii="Times New Roman" w:hAnsi="Times New Roman"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4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900</w:t>
                  </w:r>
                </w:p>
              </w:tc>
              <w:tc>
                <w:tcPr>
                  <w:tcW w:w="10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783</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26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06</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3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947</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82"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06</w:t>
                  </w:r>
                  <w:r>
                    <w:rPr>
                      <w:rFonts w:hint="eastAsia" w:ascii="Times New Roman" w:hAnsi="Times New Roman"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68"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237</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20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03</w:t>
                  </w:r>
                  <w:r>
                    <w:rPr>
                      <w:rFonts w:hint="eastAsia" w:ascii="Times New Roman" w:hAnsi="Times New Roman"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4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1000</w:t>
                  </w:r>
                </w:p>
              </w:tc>
              <w:tc>
                <w:tcPr>
                  <w:tcW w:w="10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562</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26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658</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3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554</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82" w:type="dxa"/>
                  <w:noWrap w:val="0"/>
                  <w:vAlign w:val="center"/>
                </w:tcPr>
                <w:p>
                  <w:pPr>
                    <w:keepNext w:val="0"/>
                    <w:keepLines w:val="0"/>
                    <w:widowControl/>
                    <w:suppressLineNumbers w:val="0"/>
                    <w:ind w:right="0" w:rightChars="0"/>
                    <w:jc w:val="both"/>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8</w:t>
                  </w:r>
                  <w:r>
                    <w:rPr>
                      <w:rFonts w:hint="eastAsia" w:ascii="Times New Roman" w:hAnsi="Times New Roman" w:cs="Times New Roman"/>
                      <w:i w:val="0"/>
                      <w:iCs w:val="0"/>
                      <w:color w:val="000000"/>
                      <w:kern w:val="0"/>
                      <w:sz w:val="21"/>
                      <w:szCs w:val="21"/>
                      <w:u w:val="none"/>
                      <w:lang w:val="en-US" w:eastAsia="zh-CN" w:bidi="ar"/>
                    </w:rPr>
                    <w:t>98</w:t>
                  </w:r>
                  <w:r>
                    <w:rPr>
                      <w:rFonts w:hint="eastAsia" w:ascii="Times New Roman" w:hAnsi="Times New Roman" w:eastAsia="宋体" w:cs="Times New Roman"/>
                      <w:i w:val="0"/>
                      <w:iCs w:val="0"/>
                      <w:color w:val="000000"/>
                      <w:kern w:val="0"/>
                      <w:sz w:val="21"/>
                      <w:szCs w:val="21"/>
                      <w:u w:val="none"/>
                      <w:lang w:val="en-US" w:eastAsia="zh-CN" w:bidi="ar"/>
                    </w:rPr>
                    <w:t>5</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68"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139</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20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49</w:t>
                  </w:r>
                  <w:r>
                    <w:rPr>
                      <w:rFonts w:hint="eastAsia" w:ascii="Times New Roman" w:hAnsi="Times New Roman" w:cs="Times New Roman"/>
                      <w:i w:val="0"/>
                      <w:iCs w:val="0"/>
                      <w:color w:val="000000"/>
                      <w:kern w:val="0"/>
                      <w:sz w:val="21"/>
                      <w:szCs w:val="21"/>
                      <w:u w:val="none"/>
                      <w:lang w:val="en-US" w:eastAsia="zh-CN" w:bidi="ar"/>
                    </w:rPr>
                    <w:t>2</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w:t>
                  </w:r>
                  <w:r>
                    <w:rPr>
                      <w:rFonts w:hint="eastAsia" w:ascii="Times New Roman" w:hAnsi="Times New Roman"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45"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1200</w:t>
                  </w:r>
                </w:p>
              </w:tc>
              <w:tc>
                <w:tcPr>
                  <w:tcW w:w="10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543</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26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62</w:t>
                  </w:r>
                  <w:r>
                    <w:rPr>
                      <w:rFonts w:hint="eastAsia" w:ascii="Times New Roman" w:hAnsi="Times New Roman" w:cs="Times New Roman"/>
                      <w:i w:val="0"/>
                      <w:iCs w:val="0"/>
                      <w:color w:val="000000"/>
                      <w:kern w:val="0"/>
                      <w:sz w:val="21"/>
                      <w:szCs w:val="21"/>
                      <w:u w:val="none"/>
                      <w:lang w:val="en-US" w:eastAsia="zh-CN" w:bidi="ar"/>
                    </w:rPr>
                    <w:t>4</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3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52</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82"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883</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68"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13</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20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41</w:t>
                  </w:r>
                  <w:r>
                    <w:rPr>
                      <w:rFonts w:hint="eastAsia" w:ascii="Times New Roman" w:hAnsi="Times New Roman" w:cs="Times New Roman"/>
                      <w:i w:val="0"/>
                      <w:iCs w:val="0"/>
                      <w:color w:val="000000"/>
                      <w:kern w:val="0"/>
                      <w:sz w:val="21"/>
                      <w:szCs w:val="21"/>
                      <w:u w:val="none"/>
                      <w:lang w:val="en-US" w:eastAsia="zh-CN" w:bidi="ar"/>
                    </w:rPr>
                    <w:t>7</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w:t>
                  </w:r>
                  <w:r>
                    <w:rPr>
                      <w:rFonts w:hint="eastAsia" w:ascii="Times New Roman" w:hAnsi="Times New Roman"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4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1400</w:t>
                  </w:r>
                </w:p>
              </w:tc>
              <w:tc>
                <w:tcPr>
                  <w:tcW w:w="10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541</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26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62</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3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518</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82"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88</w:t>
                  </w:r>
                  <w:r>
                    <w:rPr>
                      <w:rFonts w:hint="eastAsia" w:ascii="Times New Roman" w:hAnsi="Times New Roman"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68"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129</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20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408×10</w:t>
                  </w:r>
                  <w:r>
                    <w:rPr>
                      <w:rFonts w:hint="eastAsia" w:ascii="Times New Roman" w:hAnsi="Times New Roman" w:eastAsia="宋体" w:cs="Times New Roman"/>
                      <w:i w:val="0"/>
                      <w:iCs w:val="0"/>
                      <w:color w:val="000000"/>
                      <w:kern w:val="0"/>
                      <w:sz w:val="21"/>
                      <w:szCs w:val="21"/>
                      <w:u w:val="none"/>
                      <w:vertAlign w:val="superscript"/>
                      <w:lang w:val="en-US" w:eastAsia="zh-CN" w:bidi="ar"/>
                    </w:rPr>
                    <w:t>-</w:t>
                  </w:r>
                  <w:r>
                    <w:rPr>
                      <w:rFonts w:hint="eastAsia" w:ascii="Times New Roman" w:hAnsi="Times New Roman"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4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1600</w:t>
                  </w:r>
                </w:p>
              </w:tc>
              <w:tc>
                <w:tcPr>
                  <w:tcW w:w="10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46</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26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47</w:t>
                  </w:r>
                  <w:r>
                    <w:rPr>
                      <w:rFonts w:hint="eastAsia" w:ascii="Times New Roman" w:hAnsi="Times New Roman"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3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373</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82"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822</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68"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093</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20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1083×10</w:t>
                  </w:r>
                  <w:r>
                    <w:rPr>
                      <w:rFonts w:hint="eastAsia" w:ascii="Times New Roman" w:hAnsi="Times New Roman" w:eastAsia="宋体" w:cs="Times New Roman"/>
                      <w:i w:val="0"/>
                      <w:iCs w:val="0"/>
                      <w:color w:val="000000"/>
                      <w:kern w:val="0"/>
                      <w:sz w:val="21"/>
                      <w:szCs w:val="21"/>
                      <w:u w:val="none"/>
                      <w:vertAlign w:val="superscript"/>
                      <w:lang w:val="en-US" w:eastAsia="zh-CN" w:bidi="ar"/>
                    </w:rPr>
                    <w:t>-</w:t>
                  </w:r>
                  <w:r>
                    <w:rPr>
                      <w:rFonts w:hint="eastAsia" w:ascii="Times New Roman" w:hAnsi="Times New Roman"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45"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1800</w:t>
                  </w:r>
                </w:p>
              </w:tc>
              <w:tc>
                <w:tcPr>
                  <w:tcW w:w="10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34</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26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255</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3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16</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82"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73</w:t>
                  </w:r>
                  <w:r>
                    <w:rPr>
                      <w:rFonts w:hint="eastAsia" w:ascii="Times New Roman" w:hAnsi="Times New Roman"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68"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04</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20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667×10</w:t>
                  </w:r>
                  <w:r>
                    <w:rPr>
                      <w:rFonts w:hint="eastAsia" w:ascii="Times New Roman" w:hAnsi="Times New Roman" w:eastAsia="宋体" w:cs="Times New Roman"/>
                      <w:i w:val="0"/>
                      <w:iCs w:val="0"/>
                      <w:color w:val="000000"/>
                      <w:kern w:val="0"/>
                      <w:sz w:val="21"/>
                      <w:szCs w:val="21"/>
                      <w:u w:val="none"/>
                      <w:vertAlign w:val="superscript"/>
                      <w:lang w:val="en-US" w:eastAsia="zh-CN" w:bidi="ar"/>
                    </w:rPr>
                    <w:t>-</w:t>
                  </w:r>
                  <w:r>
                    <w:rPr>
                      <w:rFonts w:hint="eastAsia" w:ascii="Times New Roman" w:hAnsi="Times New Roman"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4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2000</w:t>
                  </w:r>
                </w:p>
              </w:tc>
              <w:tc>
                <w:tcPr>
                  <w:tcW w:w="10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205</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26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009</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3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921</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82"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63375</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68"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802</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0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168×10</w:t>
                  </w:r>
                  <w:r>
                    <w:rPr>
                      <w:rFonts w:hint="eastAsia" w:ascii="Times New Roman" w:hAnsi="Times New Roman" w:eastAsia="宋体" w:cs="Times New Roman"/>
                      <w:i w:val="0"/>
                      <w:iCs w:val="0"/>
                      <w:color w:val="000000"/>
                      <w:kern w:val="0"/>
                      <w:sz w:val="21"/>
                      <w:szCs w:val="21"/>
                      <w:u w:val="none"/>
                      <w:vertAlign w:val="superscript"/>
                      <w:lang w:val="en-US" w:eastAsia="zh-CN" w:bidi="ar"/>
                    </w:rPr>
                    <w:t>-</w:t>
                  </w:r>
                  <w:r>
                    <w:rPr>
                      <w:rFonts w:hint="eastAsia" w:ascii="Times New Roman" w:hAnsi="Times New Roman"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64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2500</w:t>
                  </w:r>
                </w:p>
              </w:tc>
              <w:tc>
                <w:tcPr>
                  <w:tcW w:w="10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807</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26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285</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3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212</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82"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33833</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68"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029</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0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69</w:t>
                  </w:r>
                  <w:r>
                    <w:rPr>
                      <w:rFonts w:hint="eastAsia" w:ascii="Times New Roman" w:hAnsi="Times New Roman" w:cs="Times New Roman"/>
                      <w:i w:val="0"/>
                      <w:iCs w:val="0"/>
                      <w:color w:val="000000"/>
                      <w:kern w:val="0"/>
                      <w:sz w:val="21"/>
                      <w:szCs w:val="21"/>
                      <w:u w:val="none"/>
                      <w:lang w:val="en-US" w:eastAsia="zh-CN" w:bidi="ar"/>
                    </w:rPr>
                    <w:t>1</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w:t>
                  </w:r>
                  <w:r>
                    <w:rPr>
                      <w:rFonts w:hint="eastAsia" w:ascii="Times New Roman" w:hAnsi="Times New Roman"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7" w:hRule="atLeast"/>
                <w:jc w:val="center"/>
              </w:trPr>
              <w:tc>
                <w:tcPr>
                  <w:tcW w:w="64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下风向最大浓度（Cmax）</w:t>
                  </w:r>
                </w:p>
              </w:tc>
              <w:tc>
                <w:tcPr>
                  <w:tcW w:w="1054"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93</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26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23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764</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82"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268"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191</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20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64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下风向最大浓度占标率（Pmax）</w:t>
                  </w:r>
                </w:p>
              </w:tc>
              <w:tc>
                <w:tcPr>
                  <w:tcW w:w="10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265"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96</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3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282"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65</w:t>
                  </w:r>
                  <w:r>
                    <w:rPr>
                      <w:rFonts w:hint="eastAsia" w:ascii="Times New Roman" w:hAnsi="Times New Roman" w:cs="Times New Roman"/>
                      <w:i w:val="0"/>
                      <w:iCs w:val="0"/>
                      <w:color w:val="000000"/>
                      <w:kern w:val="0"/>
                      <w:sz w:val="21"/>
                      <w:szCs w:val="21"/>
                      <w:u w:val="none"/>
                      <w:lang w:val="en-US" w:eastAsia="zh-CN" w:bidi="ar"/>
                    </w:rPr>
                    <w:t>2</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1268"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c>
                <w:tcPr>
                  <w:tcW w:w="120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82</w:t>
                  </w:r>
                  <w:r>
                    <w:rPr>
                      <w:rFonts w:hint="eastAsia" w:ascii="Times New Roman" w:hAnsi="Times New Roman" w:cs="Times New Roman"/>
                      <w:i w:val="0"/>
                      <w:iCs w:val="0"/>
                      <w:color w:val="000000"/>
                      <w:kern w:val="0"/>
                      <w:sz w:val="21"/>
                      <w:szCs w:val="21"/>
                      <w:u w:val="none"/>
                      <w:lang w:val="en-US" w:eastAsia="zh-CN" w:bidi="ar"/>
                    </w:rPr>
                    <w:t>6</w:t>
                  </w:r>
                  <w:r>
                    <w:rPr>
                      <w:rFonts w:hint="eastAsia" w:ascii="Times New Roman" w:hAnsi="Times New Roman" w:eastAsia="宋体" w:cs="Times New Roman"/>
                      <w:i w:val="0"/>
                      <w:iCs w:val="0"/>
                      <w:color w:val="000000"/>
                      <w:kern w:val="0"/>
                      <w:sz w:val="21"/>
                      <w:szCs w:val="21"/>
                      <w:u w:val="none"/>
                      <w:lang w:val="en-US" w:eastAsia="zh-CN" w:bidi="ar"/>
                    </w:rPr>
                    <w:t>×10</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64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下风向最大浓度出现距离(m)</w:t>
                  </w:r>
                </w:p>
              </w:tc>
              <w:tc>
                <w:tcPr>
                  <w:tcW w:w="1054"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264</w:t>
                  </w:r>
                </w:p>
              </w:tc>
              <w:tc>
                <w:tcPr>
                  <w:tcW w:w="1265"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264</w:t>
                  </w:r>
                </w:p>
              </w:tc>
              <w:tc>
                <w:tcPr>
                  <w:tcW w:w="123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264</w:t>
                  </w:r>
                </w:p>
              </w:tc>
              <w:tc>
                <w:tcPr>
                  <w:tcW w:w="1282"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264</w:t>
                  </w:r>
                </w:p>
              </w:tc>
              <w:tc>
                <w:tcPr>
                  <w:tcW w:w="1268"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264</w:t>
                  </w:r>
                </w:p>
              </w:tc>
              <w:tc>
                <w:tcPr>
                  <w:tcW w:w="120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264</w:t>
                  </w:r>
                </w:p>
              </w:tc>
            </w:tr>
          </w:tbl>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p>
            <w:pPr>
              <w:pStyle w:val="15"/>
              <w:rPr>
                <w:rFonts w:ascii="黑体"/>
                <w:color w:val="auto"/>
                <w:sz w:val="20"/>
                <w:highlight w:val="none"/>
              </w:rPr>
            </w:pPr>
          </w:p>
          <w:p>
            <w:pPr>
              <w:keepNext w:val="0"/>
              <w:keepLines w:val="0"/>
              <w:widowControl/>
              <w:suppressLineNumbers w:val="0"/>
              <w:ind w:left="0" w:leftChars="0" w:right="0" w:rightChars="0"/>
              <w:jc w:val="center"/>
              <w:textAlignment w:val="center"/>
              <w:rPr>
                <w:rFonts w:hint="eastAsia"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color w:val="auto"/>
                <w:sz w:val="21"/>
                <w:szCs w:val="21"/>
                <w:highlight w:val="none"/>
                <w:lang w:val="en-US" w:eastAsia="zh-CN" w:bidi="zh-CN"/>
              </w:rPr>
              <w:t>表7-10  堆场、上料口及矿粉仓无组</w:t>
            </w:r>
            <w:r>
              <w:rPr>
                <w:rFonts w:hint="eastAsia" w:ascii="Times New Roman" w:hAnsi="Times New Roman" w:eastAsia="宋体" w:cs="Times New Roman"/>
                <w:b/>
                <w:bCs/>
                <w:color w:val="auto"/>
                <w:sz w:val="21"/>
                <w:szCs w:val="21"/>
                <w:highlight w:val="none"/>
                <w:lang w:val="zh-CN" w:eastAsia="zh-CN" w:bidi="zh-CN"/>
              </w:rPr>
              <w:t>织排放</w:t>
            </w:r>
            <w:r>
              <w:rPr>
                <w:rFonts w:hint="eastAsia" w:ascii="Times New Roman" w:hAnsi="Times New Roman" w:eastAsia="宋体" w:cs="Times New Roman"/>
                <w:b/>
                <w:bCs/>
                <w:color w:val="auto"/>
                <w:sz w:val="21"/>
                <w:szCs w:val="21"/>
                <w:highlight w:val="none"/>
                <w:lang w:val="en-US" w:eastAsia="zh-CN" w:bidi="zh-CN"/>
              </w:rPr>
              <w:t>估算模式计算结果表</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1"/>
              <w:gridCol w:w="2191"/>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551" w:type="dxa"/>
                  <w:vMerge w:val="restart"/>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下风向距离（m）</w:t>
                  </w:r>
                </w:p>
              </w:tc>
              <w:tc>
                <w:tcPr>
                  <w:tcW w:w="4048" w:type="dxa"/>
                  <w:gridSpan w:val="2"/>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551" w:type="dxa"/>
                  <w:vMerge w:val="continue"/>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219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浓度mg/m</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p>
              </w:tc>
              <w:tc>
                <w:tcPr>
                  <w:tcW w:w="185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55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w:t>
                  </w:r>
                </w:p>
              </w:tc>
              <w:tc>
                <w:tcPr>
                  <w:tcW w:w="219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7.381×10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85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6.0</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55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100</w:t>
                  </w:r>
                </w:p>
              </w:tc>
              <w:tc>
                <w:tcPr>
                  <w:tcW w:w="219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2.114×10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85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 xml:space="preserve">1.8 </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55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200</w:t>
                  </w:r>
                </w:p>
              </w:tc>
              <w:tc>
                <w:tcPr>
                  <w:tcW w:w="219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2.205×10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85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1.8</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r>
                    <w:rPr>
                      <w:rFonts w:hint="eastAsia" w:ascii="Times New Roman" w:hAnsi="Times New Roman" w:cs="Times New Roman"/>
                      <w:i w:val="0"/>
                      <w:iCs w:val="0"/>
                      <w:color w:val="000000"/>
                      <w:kern w:val="0"/>
                      <w:sz w:val="21"/>
                      <w:szCs w:val="21"/>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55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300</w:t>
                  </w:r>
                </w:p>
              </w:tc>
              <w:tc>
                <w:tcPr>
                  <w:tcW w:w="219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2.147×10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85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1.8</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r>
                    <w:rPr>
                      <w:rFonts w:hint="eastAsia" w:ascii="Times New Roman" w:hAnsi="Times New Roman" w:cs="Times New Roman"/>
                      <w:i w:val="0"/>
                      <w:iCs w:val="0"/>
                      <w:color w:val="000000"/>
                      <w:kern w:val="0"/>
                      <w:sz w:val="21"/>
                      <w:szCs w:val="21"/>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55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390</w:t>
                  </w:r>
                </w:p>
              </w:tc>
              <w:tc>
                <w:tcPr>
                  <w:tcW w:w="219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2.249×10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85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1.9</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r>
                    <w:rPr>
                      <w:rFonts w:hint="eastAsia" w:ascii="Times New Roman" w:hAnsi="Times New Roman" w:cs="Times New Roman"/>
                      <w:i w:val="0"/>
                      <w:iCs w:val="0"/>
                      <w:color w:val="000000"/>
                      <w:kern w:val="0"/>
                      <w:sz w:val="21"/>
                      <w:szCs w:val="21"/>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55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400</w:t>
                  </w:r>
                </w:p>
              </w:tc>
              <w:tc>
                <w:tcPr>
                  <w:tcW w:w="219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2.246×10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85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1.9</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r>
                    <w:rPr>
                      <w:rFonts w:hint="eastAsia" w:ascii="Times New Roman" w:hAnsi="Times New Roman" w:cs="Times New Roman"/>
                      <w:i w:val="0"/>
                      <w:iCs w:val="0"/>
                      <w:color w:val="000000"/>
                      <w:kern w:val="0"/>
                      <w:sz w:val="21"/>
                      <w:szCs w:val="21"/>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55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500</w:t>
                  </w:r>
                </w:p>
              </w:tc>
              <w:tc>
                <w:tcPr>
                  <w:tcW w:w="219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2.098×10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85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1.7</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r>
                    <w:rPr>
                      <w:rFonts w:hint="eastAsia" w:ascii="Times New Roman" w:hAnsi="Times New Roman" w:cs="Times New Roman"/>
                      <w:i w:val="0"/>
                      <w:iCs w:val="0"/>
                      <w:color w:val="000000"/>
                      <w:kern w:val="0"/>
                      <w:sz w:val="21"/>
                      <w:szCs w:val="21"/>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55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600</w:t>
                  </w:r>
                </w:p>
              </w:tc>
              <w:tc>
                <w:tcPr>
                  <w:tcW w:w="219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1.856×10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85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1.5</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r>
                    <w:rPr>
                      <w:rFonts w:hint="eastAsia" w:ascii="Times New Roman" w:hAnsi="Times New Roman" w:cs="Times New Roman"/>
                      <w:i w:val="0"/>
                      <w:iCs w:val="0"/>
                      <w:color w:val="000000"/>
                      <w:kern w:val="0"/>
                      <w:sz w:val="21"/>
                      <w:szCs w:val="21"/>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55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700</w:t>
                  </w:r>
                </w:p>
              </w:tc>
              <w:tc>
                <w:tcPr>
                  <w:tcW w:w="219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1.615×10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85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1.3</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r>
                    <w:rPr>
                      <w:rFonts w:hint="eastAsia" w:ascii="Times New Roman" w:hAnsi="Times New Roman" w:cs="Times New Roman"/>
                      <w:i w:val="0"/>
                      <w:iCs w:val="0"/>
                      <w:color w:val="000000"/>
                      <w:kern w:val="0"/>
                      <w:sz w:val="21"/>
                      <w:szCs w:val="21"/>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55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800</w:t>
                  </w:r>
                </w:p>
              </w:tc>
              <w:tc>
                <w:tcPr>
                  <w:tcW w:w="219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4.09×10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85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1.2</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r>
                    <w:rPr>
                      <w:rFonts w:hint="eastAsia" w:ascii="Times New Roman" w:hAnsi="Times New Roman" w:cs="Times New Roman"/>
                      <w:i w:val="0"/>
                      <w:iCs w:val="0"/>
                      <w:color w:val="000000"/>
                      <w:kern w:val="0"/>
                      <w:sz w:val="21"/>
                      <w:szCs w:val="21"/>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55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900</w:t>
                  </w:r>
                </w:p>
              </w:tc>
              <w:tc>
                <w:tcPr>
                  <w:tcW w:w="219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1.236×10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85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r>
                    <w:rPr>
                      <w:rFonts w:hint="eastAsia" w:ascii="Times New Roman" w:hAnsi="Times New Roman" w:cs="Times New Roman"/>
                      <w:i w:val="0"/>
                      <w:iCs w:val="0"/>
                      <w:color w:val="000000"/>
                      <w:kern w:val="0"/>
                      <w:sz w:val="21"/>
                      <w:szCs w:val="21"/>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55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1000</w:t>
                  </w:r>
                </w:p>
              </w:tc>
              <w:tc>
                <w:tcPr>
                  <w:tcW w:w="219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1.091×10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85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9.0</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55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1200</w:t>
                  </w:r>
                </w:p>
              </w:tc>
              <w:tc>
                <w:tcPr>
                  <w:tcW w:w="219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8.719×10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85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7.0</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55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1400</w:t>
                  </w:r>
                </w:p>
              </w:tc>
              <w:tc>
                <w:tcPr>
                  <w:tcW w:w="219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7.139×10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85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6.0</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55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1600</w:t>
                  </w:r>
                </w:p>
              </w:tc>
              <w:tc>
                <w:tcPr>
                  <w:tcW w:w="219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5.971×10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85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5.0</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55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1800</w:t>
                  </w:r>
                </w:p>
              </w:tc>
              <w:tc>
                <w:tcPr>
                  <w:tcW w:w="219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5.078×10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85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4.0</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55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2000</w:t>
                  </w:r>
                </w:p>
              </w:tc>
              <w:tc>
                <w:tcPr>
                  <w:tcW w:w="219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4.388×10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85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4.0</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55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2500</w:t>
                  </w:r>
                </w:p>
              </w:tc>
              <w:tc>
                <w:tcPr>
                  <w:tcW w:w="219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3.244×10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185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3.0</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55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下风向最大浓度（Cmax）</w:t>
                  </w:r>
                </w:p>
              </w:tc>
              <w:tc>
                <w:tcPr>
                  <w:tcW w:w="2191"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2.249×10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185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55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下风向最大浓度占标率（Pmax）</w:t>
                  </w:r>
                </w:p>
              </w:tc>
              <w:tc>
                <w:tcPr>
                  <w:tcW w:w="219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w:t>
                  </w:r>
                </w:p>
              </w:tc>
              <w:tc>
                <w:tcPr>
                  <w:tcW w:w="185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1.9</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355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下风向最大浓度出现距离(m)</w:t>
                  </w:r>
                </w:p>
              </w:tc>
              <w:tc>
                <w:tcPr>
                  <w:tcW w:w="2191"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390</w:t>
                  </w:r>
                </w:p>
              </w:tc>
              <w:tc>
                <w:tcPr>
                  <w:tcW w:w="185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390</w:t>
                  </w:r>
                </w:p>
              </w:tc>
            </w:tr>
          </w:tbl>
          <w:p>
            <w:pPr>
              <w:pStyle w:val="15"/>
              <w:rPr>
                <w:rFonts w:ascii="黑体"/>
                <w:color w:val="auto"/>
                <w:sz w:val="20"/>
                <w:highlight w:val="none"/>
              </w:rPr>
            </w:pPr>
          </w:p>
          <w:p>
            <w:pPr>
              <w:pStyle w:val="15"/>
              <w:rPr>
                <w:rFonts w:ascii="黑体"/>
                <w:color w:val="auto"/>
                <w:sz w:val="20"/>
                <w:highlight w:val="none"/>
              </w:rPr>
            </w:pPr>
          </w:p>
          <w:p>
            <w:pPr>
              <w:keepNext w:val="0"/>
              <w:keepLines w:val="0"/>
              <w:widowControl/>
              <w:suppressLineNumbers w:val="0"/>
              <w:ind w:left="0" w:leftChars="0" w:right="0" w:rightChars="0"/>
              <w:jc w:val="center"/>
              <w:textAlignment w:val="center"/>
              <w:rPr>
                <w:rFonts w:hint="eastAsia" w:ascii="Times New Roman" w:hAnsi="Times New Roman" w:eastAsia="宋体" w:cs="Times New Roman"/>
                <w:b/>
                <w:bCs/>
                <w:i w:val="0"/>
                <w:iCs w:val="0"/>
                <w:color w:val="000000"/>
                <w:kern w:val="0"/>
                <w:sz w:val="21"/>
                <w:szCs w:val="21"/>
                <w:u w:val="none"/>
                <w:lang w:val="en-US" w:eastAsia="zh-CN" w:bidi="ar"/>
              </w:rPr>
            </w:pPr>
            <w:r>
              <w:rPr>
                <w:rFonts w:hint="eastAsia" w:ascii="Times New Roman" w:hAnsi="Times New Roman" w:eastAsia="宋体" w:cs="Times New Roman"/>
                <w:b/>
                <w:bCs/>
                <w:i w:val="0"/>
                <w:iCs w:val="0"/>
                <w:color w:val="000000"/>
                <w:kern w:val="0"/>
                <w:sz w:val="21"/>
                <w:szCs w:val="21"/>
                <w:u w:val="none"/>
                <w:lang w:val="en-US" w:eastAsia="zh-CN" w:bidi="ar"/>
              </w:rPr>
              <w:t>表7-11   沥青混凝土出料口无组织排放估算模式计算结果表</w:t>
            </w:r>
          </w:p>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4"/>
              <w:gridCol w:w="2254"/>
              <w:gridCol w:w="1240"/>
              <w:gridCol w:w="1467"/>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574" w:type="dxa"/>
                  <w:vMerge w:val="restart"/>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下风向距离（m）</w:t>
                  </w:r>
                </w:p>
              </w:tc>
              <w:tc>
                <w:tcPr>
                  <w:tcW w:w="3494" w:type="dxa"/>
                  <w:gridSpan w:val="2"/>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sz w:val="21"/>
                      <w:szCs w:val="21"/>
                    </w:rPr>
                    <w:t>苯并(a)芘</w:t>
                  </w:r>
                </w:p>
              </w:tc>
              <w:tc>
                <w:tcPr>
                  <w:tcW w:w="2710" w:type="dxa"/>
                  <w:gridSpan w:val="2"/>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1574" w:type="dxa"/>
                  <w:vMerge w:val="continue"/>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p>
              </w:tc>
              <w:tc>
                <w:tcPr>
                  <w:tcW w:w="22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浓度mg/m3</w:t>
                  </w:r>
                </w:p>
              </w:tc>
              <w:tc>
                <w:tcPr>
                  <w:tcW w:w="124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占标率%</w:t>
                  </w:r>
                </w:p>
              </w:tc>
              <w:tc>
                <w:tcPr>
                  <w:tcW w:w="146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浓度mg/m3</w:t>
                  </w:r>
                </w:p>
              </w:tc>
              <w:tc>
                <w:tcPr>
                  <w:tcW w:w="1243"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占标率%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7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w:t>
                  </w:r>
                </w:p>
              </w:tc>
              <w:tc>
                <w:tcPr>
                  <w:tcW w:w="22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41</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-6</w:t>
                  </w:r>
                </w:p>
              </w:tc>
              <w:tc>
                <w:tcPr>
                  <w:tcW w:w="124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2.47</w:t>
                  </w:r>
                </w:p>
              </w:tc>
              <w:tc>
                <w:tcPr>
                  <w:tcW w:w="146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5.81</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-6</w:t>
                  </w:r>
                </w:p>
              </w:tc>
              <w:tc>
                <w:tcPr>
                  <w:tcW w:w="1243"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 xml:space="preserve">6 </w:t>
                  </w:r>
                  <w:r>
                    <w:rPr>
                      <w:rFonts w:hint="eastAsia" w:ascii="Times New Roman" w:hAnsi="Times New Roman" w:cs="Times New Roman"/>
                      <w:i w:val="0"/>
                      <w:iCs w:val="0"/>
                      <w:color w:val="000000"/>
                      <w:kern w:val="0"/>
                      <w:sz w:val="21"/>
                      <w:szCs w:val="21"/>
                      <w:u w:val="none"/>
                      <w:lang w:val="en-US" w:eastAsia="zh-CN" w:bidi="ar"/>
                    </w:rPr>
                    <w:t>.0</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7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56</w:t>
                  </w:r>
                </w:p>
              </w:tc>
              <w:tc>
                <w:tcPr>
                  <w:tcW w:w="22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804</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-6</w:t>
                  </w:r>
                </w:p>
              </w:tc>
              <w:tc>
                <w:tcPr>
                  <w:tcW w:w="124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2.93</w:t>
                  </w:r>
                </w:p>
              </w:tc>
              <w:tc>
                <w:tcPr>
                  <w:tcW w:w="146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1.66</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-5</w:t>
                  </w:r>
                </w:p>
              </w:tc>
              <w:tc>
                <w:tcPr>
                  <w:tcW w:w="1243"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 xml:space="preserve">7 </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7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100</w:t>
                  </w:r>
                </w:p>
              </w:tc>
              <w:tc>
                <w:tcPr>
                  <w:tcW w:w="22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212</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-6</w:t>
                  </w:r>
                </w:p>
              </w:tc>
              <w:tc>
                <w:tcPr>
                  <w:tcW w:w="124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1.07</w:t>
                  </w:r>
                </w:p>
              </w:tc>
              <w:tc>
                <w:tcPr>
                  <w:tcW w:w="146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1.74</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-5</w:t>
                  </w:r>
                </w:p>
              </w:tc>
              <w:tc>
                <w:tcPr>
                  <w:tcW w:w="1243"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7</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7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200</w:t>
                  </w:r>
                </w:p>
              </w:tc>
              <w:tc>
                <w:tcPr>
                  <w:tcW w:w="22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628</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-6</w:t>
                  </w:r>
                </w:p>
              </w:tc>
              <w:tc>
                <w:tcPr>
                  <w:tcW w:w="124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0.54</w:t>
                  </w:r>
                </w:p>
              </w:tc>
              <w:tc>
                <w:tcPr>
                  <w:tcW w:w="146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1.69</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-5</w:t>
                  </w:r>
                </w:p>
              </w:tc>
              <w:tc>
                <w:tcPr>
                  <w:tcW w:w="1243"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7</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7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300</w:t>
                  </w:r>
                </w:p>
              </w:tc>
              <w:tc>
                <w:tcPr>
                  <w:tcW w:w="22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14</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-6</w:t>
                  </w:r>
                </w:p>
              </w:tc>
              <w:tc>
                <w:tcPr>
                  <w:tcW w:w="124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0.38</w:t>
                  </w:r>
                </w:p>
              </w:tc>
              <w:tc>
                <w:tcPr>
                  <w:tcW w:w="146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1.77</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-5</w:t>
                  </w:r>
                </w:p>
              </w:tc>
              <w:tc>
                <w:tcPr>
                  <w:tcW w:w="1243"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8</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7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400</w:t>
                  </w:r>
                </w:p>
              </w:tc>
              <w:tc>
                <w:tcPr>
                  <w:tcW w:w="22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8.984</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-7</w:t>
                  </w:r>
                </w:p>
              </w:tc>
              <w:tc>
                <w:tcPr>
                  <w:tcW w:w="124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0.3</w:t>
                  </w:r>
                </w:p>
              </w:tc>
              <w:tc>
                <w:tcPr>
                  <w:tcW w:w="146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1.77</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-5</w:t>
                  </w:r>
                </w:p>
              </w:tc>
              <w:tc>
                <w:tcPr>
                  <w:tcW w:w="1243"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8</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7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500</w:t>
                  </w:r>
                </w:p>
              </w:tc>
              <w:tc>
                <w:tcPr>
                  <w:tcW w:w="22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7.454</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-7</w:t>
                  </w:r>
                </w:p>
              </w:tc>
              <w:tc>
                <w:tcPr>
                  <w:tcW w:w="124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0.25</w:t>
                  </w:r>
                </w:p>
              </w:tc>
              <w:tc>
                <w:tcPr>
                  <w:tcW w:w="146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1.65</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-5</w:t>
                  </w:r>
                </w:p>
              </w:tc>
              <w:tc>
                <w:tcPr>
                  <w:tcW w:w="1243"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7</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7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600</w:t>
                  </w:r>
                </w:p>
              </w:tc>
              <w:tc>
                <w:tcPr>
                  <w:tcW w:w="22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6.346</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-7</w:t>
                  </w:r>
                </w:p>
              </w:tc>
              <w:tc>
                <w:tcPr>
                  <w:tcW w:w="124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0.21</w:t>
                  </w:r>
                </w:p>
              </w:tc>
              <w:tc>
                <w:tcPr>
                  <w:tcW w:w="146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1.46</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-5</w:t>
                  </w:r>
                </w:p>
              </w:tc>
              <w:tc>
                <w:tcPr>
                  <w:tcW w:w="1243"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5</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7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700</w:t>
                  </w:r>
                </w:p>
              </w:tc>
              <w:tc>
                <w:tcPr>
                  <w:tcW w:w="22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5.481</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-7</w:t>
                  </w:r>
                </w:p>
              </w:tc>
              <w:tc>
                <w:tcPr>
                  <w:tcW w:w="124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0.18</w:t>
                  </w:r>
                </w:p>
              </w:tc>
              <w:tc>
                <w:tcPr>
                  <w:tcW w:w="146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1.27</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-5</w:t>
                  </w:r>
                </w:p>
              </w:tc>
              <w:tc>
                <w:tcPr>
                  <w:tcW w:w="1243"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 xml:space="preserve">3 </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7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800</w:t>
                  </w:r>
                </w:p>
              </w:tc>
              <w:tc>
                <w:tcPr>
                  <w:tcW w:w="22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8</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-7</w:t>
                  </w:r>
                </w:p>
              </w:tc>
              <w:tc>
                <w:tcPr>
                  <w:tcW w:w="124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0.16</w:t>
                  </w:r>
                </w:p>
              </w:tc>
              <w:tc>
                <w:tcPr>
                  <w:tcW w:w="146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1.11</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-5</w:t>
                  </w:r>
                </w:p>
              </w:tc>
              <w:tc>
                <w:tcPr>
                  <w:tcW w:w="1243"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7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900</w:t>
                  </w:r>
                </w:p>
              </w:tc>
              <w:tc>
                <w:tcPr>
                  <w:tcW w:w="22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24</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-7</w:t>
                  </w:r>
                </w:p>
              </w:tc>
              <w:tc>
                <w:tcPr>
                  <w:tcW w:w="124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0.14</w:t>
                  </w:r>
                </w:p>
              </w:tc>
              <w:tc>
                <w:tcPr>
                  <w:tcW w:w="146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9.72</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-6</w:t>
                  </w:r>
                </w:p>
              </w:tc>
              <w:tc>
                <w:tcPr>
                  <w:tcW w:w="1243"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 xml:space="preserve">0 </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7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1000</w:t>
                  </w:r>
                </w:p>
              </w:tc>
              <w:tc>
                <w:tcPr>
                  <w:tcW w:w="22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3.773</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-7</w:t>
                  </w:r>
                </w:p>
              </w:tc>
              <w:tc>
                <w:tcPr>
                  <w:tcW w:w="124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0.13</w:t>
                  </w:r>
                </w:p>
              </w:tc>
              <w:tc>
                <w:tcPr>
                  <w:tcW w:w="146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8.58</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-6</w:t>
                  </w:r>
                </w:p>
              </w:tc>
              <w:tc>
                <w:tcPr>
                  <w:tcW w:w="1243"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w:t>
                  </w:r>
                  <w:r>
                    <w:rPr>
                      <w:rFonts w:hint="eastAsia" w:ascii="Times New Roman" w:hAnsi="Times New Roman" w:cs="Times New Roman"/>
                      <w:i w:val="0"/>
                      <w:iCs w:val="0"/>
                      <w:color w:val="000000"/>
                      <w:kern w:val="0"/>
                      <w:sz w:val="21"/>
                      <w:szCs w:val="21"/>
                      <w:u w:val="none"/>
                      <w:lang w:val="en-US" w:eastAsia="zh-CN" w:bidi="ar"/>
                    </w:rPr>
                    <w:t>.0</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-5</w:t>
                  </w:r>
                  <w:r>
                    <w:rPr>
                      <w:rFonts w:hint="eastAsia" w:ascii="Times New Roman" w:hAnsi="Times New Roman" w:eastAsia="宋体" w:cs="Times New Roman"/>
                      <w:i w:val="0"/>
                      <w:iCs w:val="0"/>
                      <w:color w:val="000000"/>
                      <w:kern w:val="0"/>
                      <w:sz w:val="21"/>
                      <w:szCs w:val="21"/>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74"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1200</w:t>
                  </w:r>
                </w:p>
              </w:tc>
              <w:tc>
                <w:tcPr>
                  <w:tcW w:w="22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06</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-7</w:t>
                  </w:r>
                </w:p>
              </w:tc>
              <w:tc>
                <w:tcPr>
                  <w:tcW w:w="124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0.1</w:t>
                  </w:r>
                </w:p>
              </w:tc>
              <w:tc>
                <w:tcPr>
                  <w:tcW w:w="146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6.86</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-6</w:t>
                  </w:r>
                </w:p>
              </w:tc>
              <w:tc>
                <w:tcPr>
                  <w:tcW w:w="1243"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w:t>
                  </w:r>
                  <w:r>
                    <w:rPr>
                      <w:rFonts w:hint="eastAsia" w:ascii="Times New Roman" w:hAnsi="Times New Roman" w:cs="Times New Roman"/>
                      <w:i w:val="0"/>
                      <w:iCs w:val="0"/>
                      <w:color w:val="000000"/>
                      <w:kern w:val="0"/>
                      <w:sz w:val="21"/>
                      <w:szCs w:val="21"/>
                      <w:u w:val="none"/>
                      <w:lang w:val="en-US" w:eastAsia="zh-CN" w:bidi="ar"/>
                    </w:rPr>
                    <w:t>.0</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-5</w:t>
                  </w:r>
                  <w:r>
                    <w:rPr>
                      <w:rFonts w:hint="eastAsia" w:ascii="Times New Roman" w:hAnsi="Times New Roman" w:eastAsia="宋体" w:cs="Times New Roman"/>
                      <w:i w:val="0"/>
                      <w:iCs w:val="0"/>
                      <w:color w:val="000000"/>
                      <w:kern w:val="0"/>
                      <w:sz w:val="21"/>
                      <w:szCs w:val="21"/>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7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1400</w:t>
                  </w:r>
                </w:p>
              </w:tc>
              <w:tc>
                <w:tcPr>
                  <w:tcW w:w="22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2.537</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-7</w:t>
                  </w:r>
                </w:p>
              </w:tc>
              <w:tc>
                <w:tcPr>
                  <w:tcW w:w="124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0.08</w:t>
                  </w:r>
                </w:p>
              </w:tc>
              <w:tc>
                <w:tcPr>
                  <w:tcW w:w="146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5.62</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-6</w:t>
                  </w:r>
                </w:p>
              </w:tc>
              <w:tc>
                <w:tcPr>
                  <w:tcW w:w="1243"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w:t>
                  </w:r>
                  <w:r>
                    <w:rPr>
                      <w:rFonts w:hint="eastAsia" w:ascii="Times New Roman" w:hAnsi="Times New Roman" w:cs="Times New Roman"/>
                      <w:i w:val="0"/>
                      <w:iCs w:val="0"/>
                      <w:color w:val="000000"/>
                      <w:kern w:val="0"/>
                      <w:sz w:val="21"/>
                      <w:szCs w:val="21"/>
                      <w:u w:val="none"/>
                      <w:lang w:val="en-US" w:eastAsia="zh-CN" w:bidi="ar"/>
                    </w:rPr>
                    <w:t>.0</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-5</w:t>
                  </w:r>
                  <w:r>
                    <w:rPr>
                      <w:rFonts w:hint="eastAsia" w:ascii="Times New Roman" w:hAnsi="Times New Roman" w:eastAsia="宋体" w:cs="Times New Roman"/>
                      <w:i w:val="0"/>
                      <w:iCs w:val="0"/>
                      <w:color w:val="000000"/>
                      <w:kern w:val="0"/>
                      <w:sz w:val="21"/>
                      <w:szCs w:val="21"/>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7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1600</w:t>
                  </w:r>
                </w:p>
              </w:tc>
              <w:tc>
                <w:tcPr>
                  <w:tcW w:w="22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2.143</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-7</w:t>
                  </w:r>
                </w:p>
              </w:tc>
              <w:tc>
                <w:tcPr>
                  <w:tcW w:w="124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0.07</w:t>
                  </w:r>
                </w:p>
              </w:tc>
              <w:tc>
                <w:tcPr>
                  <w:tcW w:w="146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4.70</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-6</w:t>
                  </w:r>
                </w:p>
              </w:tc>
              <w:tc>
                <w:tcPr>
                  <w:tcW w:w="1243"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w:t>
                  </w:r>
                  <w:r>
                    <w:rPr>
                      <w:rFonts w:hint="eastAsia" w:ascii="Times New Roman" w:hAnsi="Times New Roman" w:cs="Times New Roman"/>
                      <w:i w:val="0"/>
                      <w:iCs w:val="0"/>
                      <w:color w:val="000000"/>
                      <w:kern w:val="0"/>
                      <w:sz w:val="21"/>
                      <w:szCs w:val="21"/>
                      <w:u w:val="none"/>
                      <w:lang w:val="en-US" w:eastAsia="zh-CN" w:bidi="ar"/>
                    </w:rPr>
                    <w:t>.0</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-5</w:t>
                  </w:r>
                  <w:r>
                    <w:rPr>
                      <w:rFonts w:hint="eastAsia" w:ascii="Times New Roman" w:hAnsi="Times New Roman" w:eastAsia="宋体" w:cs="Times New Roman"/>
                      <w:i w:val="0"/>
                      <w:iCs w:val="0"/>
                      <w:color w:val="000000"/>
                      <w:kern w:val="0"/>
                      <w:sz w:val="21"/>
                      <w:szCs w:val="21"/>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1574"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1800</w:t>
                  </w:r>
                </w:p>
              </w:tc>
              <w:tc>
                <w:tcPr>
                  <w:tcW w:w="22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1.838</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-7</w:t>
                  </w:r>
                </w:p>
              </w:tc>
              <w:tc>
                <w:tcPr>
                  <w:tcW w:w="124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0.06</w:t>
                  </w:r>
                </w:p>
              </w:tc>
              <w:tc>
                <w:tcPr>
                  <w:tcW w:w="146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4.00</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-6</w:t>
                  </w:r>
                </w:p>
              </w:tc>
              <w:tc>
                <w:tcPr>
                  <w:tcW w:w="1243"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4</w:t>
                  </w:r>
                  <w:r>
                    <w:rPr>
                      <w:rFonts w:hint="eastAsia" w:ascii="Times New Roman" w:hAnsi="Times New Roman" w:cs="Times New Roman"/>
                      <w:i w:val="0"/>
                      <w:iCs w:val="0"/>
                      <w:color w:val="000000"/>
                      <w:kern w:val="0"/>
                      <w:sz w:val="21"/>
                      <w:szCs w:val="21"/>
                      <w:u w:val="none"/>
                      <w:lang w:val="en-US" w:eastAsia="zh-CN" w:bidi="ar"/>
                    </w:rPr>
                    <w:t>.0</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-5</w:t>
                  </w:r>
                  <w:r>
                    <w:rPr>
                      <w:rFonts w:hint="eastAsia" w:ascii="Times New Roman" w:hAnsi="Times New Roman" w:eastAsia="宋体" w:cs="Times New Roman"/>
                      <w:i w:val="0"/>
                      <w:iCs w:val="0"/>
                      <w:color w:val="000000"/>
                      <w:kern w:val="0"/>
                      <w:sz w:val="21"/>
                      <w:szCs w:val="21"/>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7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2000</w:t>
                  </w:r>
                </w:p>
              </w:tc>
              <w:tc>
                <w:tcPr>
                  <w:tcW w:w="22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1.599</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-7</w:t>
                  </w:r>
                </w:p>
              </w:tc>
              <w:tc>
                <w:tcPr>
                  <w:tcW w:w="124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0.05</w:t>
                  </w:r>
                </w:p>
              </w:tc>
              <w:tc>
                <w:tcPr>
                  <w:tcW w:w="146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3.45</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-6</w:t>
                  </w:r>
                </w:p>
              </w:tc>
              <w:tc>
                <w:tcPr>
                  <w:tcW w:w="1243"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.0</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-5</w:t>
                  </w:r>
                  <w:r>
                    <w:rPr>
                      <w:rFonts w:hint="eastAsia" w:ascii="Times New Roman" w:hAnsi="Times New Roman" w:eastAsia="宋体" w:cs="Times New Roman"/>
                      <w:i w:val="0"/>
                      <w:iCs w:val="0"/>
                      <w:color w:val="000000"/>
                      <w:kern w:val="0"/>
                      <w:sz w:val="21"/>
                      <w:szCs w:val="21"/>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57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2500</w:t>
                  </w:r>
                </w:p>
              </w:tc>
              <w:tc>
                <w:tcPr>
                  <w:tcW w:w="225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1.196</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-7</w:t>
                  </w:r>
                </w:p>
              </w:tc>
              <w:tc>
                <w:tcPr>
                  <w:tcW w:w="1240"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0.04</w:t>
                  </w:r>
                </w:p>
              </w:tc>
              <w:tc>
                <w:tcPr>
                  <w:tcW w:w="1467"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2.55</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-6</w:t>
                  </w:r>
                </w:p>
              </w:tc>
              <w:tc>
                <w:tcPr>
                  <w:tcW w:w="1243"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w:t>
                  </w:r>
                  <w:r>
                    <w:rPr>
                      <w:rFonts w:hint="eastAsia" w:ascii="Times New Roman" w:hAnsi="Times New Roman" w:cs="Times New Roman"/>
                      <w:i w:val="0"/>
                      <w:iCs w:val="0"/>
                      <w:color w:val="000000"/>
                      <w:kern w:val="0"/>
                      <w:sz w:val="21"/>
                      <w:szCs w:val="21"/>
                      <w:u w:val="none"/>
                      <w:lang w:val="en-US" w:eastAsia="zh-CN" w:bidi="ar"/>
                    </w:rPr>
                    <w:t>.0</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-5</w:t>
                  </w:r>
                  <w:r>
                    <w:rPr>
                      <w:rFonts w:hint="eastAsia" w:ascii="Times New Roman" w:hAnsi="Times New Roman" w:eastAsia="宋体" w:cs="Times New Roman"/>
                      <w:i w:val="0"/>
                      <w:iCs w:val="0"/>
                      <w:color w:val="000000"/>
                      <w:kern w:val="0"/>
                      <w:sz w:val="21"/>
                      <w:szCs w:val="21"/>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57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下风向最大浓度（Cmax）</w:t>
                  </w:r>
                </w:p>
              </w:tc>
              <w:tc>
                <w:tcPr>
                  <w:tcW w:w="2254"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8</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804</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-6</w:t>
                  </w:r>
                </w:p>
              </w:tc>
              <w:tc>
                <w:tcPr>
                  <w:tcW w:w="124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146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1.77</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-5</w:t>
                  </w:r>
                </w:p>
              </w:tc>
              <w:tc>
                <w:tcPr>
                  <w:tcW w:w="1243"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2" w:hRule="atLeast"/>
                <w:jc w:val="center"/>
              </w:trPr>
              <w:tc>
                <w:tcPr>
                  <w:tcW w:w="157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下风向最大浓度占标率（Pmax）</w:t>
                  </w:r>
                </w:p>
              </w:tc>
              <w:tc>
                <w:tcPr>
                  <w:tcW w:w="2254"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124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2.93</w:t>
                  </w:r>
                </w:p>
              </w:tc>
              <w:tc>
                <w:tcPr>
                  <w:tcW w:w="146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1243"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 xml:space="preserve">8 </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1574" w:type="dxa"/>
                  <w:noWrap w:val="0"/>
                  <w:vAlign w:val="center"/>
                </w:tcPr>
                <w:p>
                  <w:pPr>
                    <w:keepNext w:val="0"/>
                    <w:keepLines w:val="0"/>
                    <w:widowControl/>
                    <w:suppressLineNumbers w:val="0"/>
                    <w:ind w:left="0" w:leftChars="0" w:right="0" w:rightChars="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下风向最大浓度出现距离(m)</w:t>
                  </w:r>
                </w:p>
              </w:tc>
              <w:tc>
                <w:tcPr>
                  <w:tcW w:w="2254"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56</w:t>
                  </w:r>
                </w:p>
              </w:tc>
              <w:tc>
                <w:tcPr>
                  <w:tcW w:w="1240"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56</w:t>
                  </w:r>
                </w:p>
              </w:tc>
              <w:tc>
                <w:tcPr>
                  <w:tcW w:w="1467"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400</w:t>
                  </w:r>
                </w:p>
              </w:tc>
              <w:tc>
                <w:tcPr>
                  <w:tcW w:w="1243" w:type="dxa"/>
                  <w:noWrap w:val="0"/>
                  <w:vAlign w:val="center"/>
                </w:tcPr>
                <w:p>
                  <w:pPr>
                    <w:keepNext w:val="0"/>
                    <w:keepLines w:val="0"/>
                    <w:widowControl/>
                    <w:suppressLineNumbers w:val="0"/>
                    <w:ind w:left="0" w:leftChars="0" w:right="0" w:right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400</w:t>
                  </w:r>
                </w:p>
              </w:tc>
            </w:tr>
          </w:tbl>
          <w:p>
            <w:pPr>
              <w:pStyle w:val="3"/>
              <w:spacing w:before="312" w:beforeLines="100"/>
              <w:ind w:firstLine="480"/>
              <w:rPr>
                <w:rFonts w:hint="default" w:ascii="Times New Roman" w:hAnsi="Times New Roman" w:cs="Times New Roman"/>
                <w:color w:val="auto"/>
              </w:rPr>
            </w:pPr>
            <w:r>
              <w:rPr>
                <w:rFonts w:hint="default" w:ascii="Times New Roman" w:hAnsi="Times New Roman" w:cs="Times New Roman"/>
                <w:color w:val="auto"/>
              </w:rPr>
              <w:t>④评价工作等级确定</w:t>
            </w:r>
          </w:p>
          <w:p>
            <w:pPr>
              <w:spacing w:line="360" w:lineRule="auto"/>
              <w:ind w:firstLine="480" w:firstLineChars="200"/>
              <w:jc w:val="left"/>
              <w:rPr>
                <w:rFonts w:hint="default" w:ascii="Times New Roman" w:hAnsi="Times New Roman" w:cs="Times New Roman"/>
                <w:color w:val="auto"/>
                <w:sz w:val="24"/>
                <w:szCs w:val="28"/>
              </w:rPr>
            </w:pPr>
            <w:r>
              <w:rPr>
                <w:rFonts w:hint="default" w:ascii="Times New Roman" w:hAnsi="Times New Roman" w:cs="Times New Roman"/>
                <w:color w:val="auto"/>
                <w:sz w:val="24"/>
                <w:szCs w:val="28"/>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pPr>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sz w:val="24"/>
                <w:szCs w:val="28"/>
              </w:rPr>
              <w:t>依据《环境影响评价技术导则-大气环境》(HJ2.2-2018)中最大地面浓度占标率Pi定义如下：</w:t>
            </w:r>
          </w:p>
          <w:p>
            <w:pPr>
              <w:ind w:firstLine="2880" w:firstLineChars="1200"/>
              <w:rPr>
                <w:color w:val="FF0000"/>
              </w:rPr>
            </w:pPr>
            <w:r>
              <w:rPr>
                <w:color w:val="FF0000"/>
                <w:sz w:val="24"/>
              </w:rPr>
              <w:object>
                <v:shape id="_x0000_i1026" o:spt="75" type="#_x0000_t75" style="height:36.75pt;width:80.2pt;" o:ole="t" filled="f" o:preferrelative="t" stroked="f" coordsize="21600,21600">
                  <v:path/>
                  <v:fill on="f" focussize="0,0"/>
                  <v:stroke on="f"/>
                  <v:imagedata r:id="rId28" o:title=""/>
                  <o:lock v:ext="edit" grouping="f" rotation="f" text="f" aspectratio="t"/>
                  <w10:wrap type="none"/>
                  <w10:anchorlock/>
                </v:shape>
                <o:OLEObject Type="Embed" ProgID="Equation.3" ShapeID="_x0000_i1026" DrawAspect="Content" ObjectID="_1468075726" r:id="rId27">
                  <o:LockedField>false</o:LockedField>
                </o:OLEObject>
              </w:object>
            </w:r>
          </w:p>
          <w:p>
            <w:pPr>
              <w:spacing w:line="50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式中：P</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—第i个污染物的最大地面浓度占标率，%；</w:t>
            </w:r>
          </w:p>
          <w:p>
            <w:pPr>
              <w:spacing w:line="500" w:lineRule="exact"/>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C</w:t>
            </w:r>
            <w:r>
              <w:rPr>
                <w:rFonts w:hint="default" w:ascii="Times New Roman" w:hAnsi="Times New Roman" w:cs="Times New Roman"/>
                <w:color w:val="auto"/>
                <w:sz w:val="24"/>
                <w:vertAlign w:val="subscript"/>
              </w:rPr>
              <w:t>i</w:t>
            </w:r>
            <w:r>
              <w:rPr>
                <w:rFonts w:hint="default" w:ascii="Times New Roman" w:hAnsi="Times New Roman" w:cs="Times New Roman"/>
                <w:color w:val="auto"/>
                <w:sz w:val="24"/>
              </w:rPr>
              <w:t>—采用估算模式计算出的第i个污染物的最大1h地面空气质量浓度，ug/m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pPr>
              <w:spacing w:line="500" w:lineRule="exact"/>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C</w:t>
            </w:r>
            <w:r>
              <w:rPr>
                <w:rFonts w:hint="default" w:ascii="Times New Roman" w:hAnsi="Times New Roman" w:cs="Times New Roman"/>
                <w:color w:val="auto"/>
                <w:sz w:val="24"/>
                <w:vertAlign w:val="subscript"/>
              </w:rPr>
              <w:t>0i</w:t>
            </w:r>
            <w:r>
              <w:rPr>
                <w:rFonts w:hint="default" w:ascii="Times New Roman" w:hAnsi="Times New Roman" w:cs="Times New Roman"/>
                <w:color w:val="auto"/>
                <w:sz w:val="24"/>
              </w:rPr>
              <w:t>—第i个污染物的环境空气质量标准，ug/m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pPr>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C</w:t>
            </w:r>
            <w:r>
              <w:rPr>
                <w:rFonts w:hint="default" w:ascii="Times New Roman" w:hAnsi="Times New Roman" w:cs="Times New Roman"/>
                <w:color w:val="auto"/>
                <w:sz w:val="24"/>
                <w:vertAlign w:val="subscript"/>
              </w:rPr>
              <w:t>0i</w:t>
            </w:r>
            <w:r>
              <w:rPr>
                <w:rFonts w:hint="default" w:ascii="Times New Roman" w:hAnsi="Times New Roman" w:cs="Times New Roman"/>
                <w:color w:val="auto"/>
                <w:sz w:val="24"/>
              </w:rPr>
              <w:t>一般选用GB3095中1小时平均质量浓度的二级浓度限值；对该标准中未包含的污染物，使用《环境影响评价技术导则 大气环境》（HJ2.2-2018）中5.2确定的各评价因子1h平均质量浓度限值。对仅有8h平均质量浓度限值、日平均质量浓度限值或年平均质量浓度限值的，可分别按2倍、3倍、6倍折算为1h平均质量浓度限值。</w:t>
            </w:r>
          </w:p>
          <w:p>
            <w:pPr>
              <w:spacing w:line="500" w:lineRule="exact"/>
              <w:ind w:firstLine="480" w:firstLineChars="200"/>
              <w:rPr>
                <w:color w:val="auto"/>
                <w:sz w:val="24"/>
              </w:rPr>
            </w:pPr>
            <w:r>
              <w:rPr>
                <w:color w:val="auto"/>
                <w:sz w:val="24"/>
              </w:rPr>
              <w:t>大气导则将环境空气影响评价工作分为一、二、三级，评价工作等级按下表的分级判据进行划分。最大地面浓度占标率Pi根据估算模式AERSCREEN计算，如污染物数i大于1，取P值中最大者(Pmax)。估算模型预测出来的各污染物计算结果见下表。</w:t>
            </w:r>
          </w:p>
          <w:p>
            <w:pPr>
              <w:pStyle w:val="15"/>
              <w:jc w:val="center"/>
              <w:rPr>
                <w:rFonts w:hint="eastAsia" w:ascii="Times New Roman" w:hAnsi="Times New Roman" w:eastAsia="宋体" w:cs="Times New Roman"/>
                <w:b/>
                <w:bCs/>
                <w:color w:val="auto"/>
                <w:sz w:val="21"/>
                <w:szCs w:val="21"/>
                <w:highlight w:val="none"/>
                <w:lang w:val="zh-CN" w:eastAsia="zh-CN" w:bidi="zh-CN"/>
              </w:rPr>
            </w:pPr>
            <w:r>
              <w:rPr>
                <w:rFonts w:hint="eastAsia" w:ascii="Times New Roman" w:hAnsi="Times New Roman" w:eastAsia="宋体" w:cs="Times New Roman"/>
                <w:b/>
                <w:bCs/>
                <w:color w:val="auto"/>
                <w:sz w:val="21"/>
                <w:szCs w:val="21"/>
                <w:highlight w:val="none"/>
                <w:lang w:val="zh-CN" w:eastAsia="zh-CN" w:bidi="zh-CN"/>
              </w:rPr>
              <w:t>表7-12   大气环境环境影响评价工作等级</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3"/>
              <w:gridCol w:w="5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3663" w:type="dxa"/>
                  <w:noWrap w:val="0"/>
                  <w:vAlign w:val="center"/>
                </w:tcPr>
                <w:p>
                  <w:pPr>
                    <w:jc w:val="center"/>
                    <w:rPr>
                      <w:color w:val="auto"/>
                      <w:szCs w:val="21"/>
                    </w:rPr>
                  </w:pPr>
                  <w:r>
                    <w:rPr>
                      <w:color w:val="auto"/>
                      <w:szCs w:val="21"/>
                    </w:rPr>
                    <w:t>评价工作等级</w:t>
                  </w:r>
                </w:p>
              </w:tc>
              <w:tc>
                <w:tcPr>
                  <w:tcW w:w="5626" w:type="dxa"/>
                  <w:noWrap w:val="0"/>
                  <w:vAlign w:val="center"/>
                </w:tcPr>
                <w:p>
                  <w:pPr>
                    <w:jc w:val="center"/>
                    <w:rPr>
                      <w:color w:val="auto"/>
                      <w:szCs w:val="21"/>
                    </w:rPr>
                  </w:pPr>
                  <w:r>
                    <w:rPr>
                      <w:color w:val="auto"/>
                      <w:szCs w:val="21"/>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3663" w:type="dxa"/>
                  <w:noWrap w:val="0"/>
                  <w:vAlign w:val="center"/>
                </w:tcPr>
                <w:p>
                  <w:pPr>
                    <w:jc w:val="center"/>
                    <w:rPr>
                      <w:color w:val="auto"/>
                      <w:szCs w:val="21"/>
                    </w:rPr>
                  </w:pPr>
                  <w:r>
                    <w:rPr>
                      <w:color w:val="auto"/>
                      <w:szCs w:val="21"/>
                    </w:rPr>
                    <w:t>一级</w:t>
                  </w:r>
                </w:p>
              </w:tc>
              <w:tc>
                <w:tcPr>
                  <w:tcW w:w="5626" w:type="dxa"/>
                  <w:noWrap w:val="0"/>
                  <w:vAlign w:val="center"/>
                </w:tcPr>
                <w:p>
                  <w:pPr>
                    <w:jc w:val="center"/>
                    <w:rPr>
                      <w:color w:val="auto"/>
                      <w:szCs w:val="21"/>
                    </w:rPr>
                  </w:pPr>
                  <w:r>
                    <w:rPr>
                      <w:color w:val="auto"/>
                      <w:szCs w:val="21"/>
                    </w:rP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3663" w:type="dxa"/>
                  <w:noWrap w:val="0"/>
                  <w:vAlign w:val="center"/>
                </w:tcPr>
                <w:p>
                  <w:pPr>
                    <w:jc w:val="center"/>
                    <w:rPr>
                      <w:color w:val="auto"/>
                      <w:szCs w:val="21"/>
                    </w:rPr>
                  </w:pPr>
                  <w:r>
                    <w:rPr>
                      <w:color w:val="auto"/>
                      <w:szCs w:val="21"/>
                    </w:rPr>
                    <w:t>二级</w:t>
                  </w:r>
                </w:p>
              </w:tc>
              <w:tc>
                <w:tcPr>
                  <w:tcW w:w="5626" w:type="dxa"/>
                  <w:noWrap w:val="0"/>
                  <w:vAlign w:val="center"/>
                </w:tcPr>
                <w:p>
                  <w:pPr>
                    <w:jc w:val="center"/>
                    <w:rPr>
                      <w:color w:val="auto"/>
                      <w:szCs w:val="21"/>
                    </w:rPr>
                  </w:pPr>
                  <w:r>
                    <w:rPr>
                      <w:color w:val="auto"/>
                      <w:szCs w:val="21"/>
                    </w:rPr>
                    <w:t>1%≤Pmax＜10%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3663" w:type="dxa"/>
                  <w:noWrap w:val="0"/>
                  <w:vAlign w:val="center"/>
                </w:tcPr>
                <w:p>
                  <w:pPr>
                    <w:jc w:val="center"/>
                    <w:rPr>
                      <w:color w:val="auto"/>
                      <w:szCs w:val="21"/>
                    </w:rPr>
                  </w:pPr>
                  <w:r>
                    <w:rPr>
                      <w:color w:val="auto"/>
                      <w:szCs w:val="21"/>
                    </w:rPr>
                    <w:t>三级</w:t>
                  </w:r>
                </w:p>
              </w:tc>
              <w:tc>
                <w:tcPr>
                  <w:tcW w:w="5626" w:type="dxa"/>
                  <w:noWrap w:val="0"/>
                  <w:vAlign w:val="center"/>
                </w:tcPr>
                <w:p>
                  <w:pPr>
                    <w:jc w:val="center"/>
                    <w:rPr>
                      <w:color w:val="auto"/>
                      <w:szCs w:val="21"/>
                    </w:rPr>
                  </w:pPr>
                  <w:r>
                    <w:rPr>
                      <w:color w:val="auto"/>
                      <w:szCs w:val="21"/>
                    </w:rPr>
                    <w:t>Pmax＜1%</w:t>
                  </w:r>
                </w:p>
              </w:tc>
            </w:tr>
          </w:tbl>
          <w:p>
            <w:pPr>
              <w:pStyle w:val="15"/>
              <w:rPr>
                <w:rFonts w:ascii="黑体"/>
                <w:color w:val="auto"/>
                <w:sz w:val="20"/>
                <w:highlight w:val="none"/>
              </w:rPr>
            </w:pPr>
          </w:p>
          <w:p>
            <w:pPr>
              <w:spacing w:before="312" w:beforeLines="100"/>
              <w:ind w:firstLine="420"/>
              <w:contextualSpacing/>
              <w:jc w:val="center"/>
              <w:rPr>
                <w:rFonts w:eastAsia="黑体"/>
                <w:color w:val="auto"/>
                <w:sz w:val="24"/>
                <w:highlight w:val="none"/>
              </w:rPr>
            </w:pPr>
          </w:p>
          <w:p>
            <w:pPr>
              <w:spacing w:before="312" w:beforeLines="100"/>
              <w:ind w:firstLine="420"/>
              <w:contextualSpacing/>
              <w:jc w:val="center"/>
              <w:rPr>
                <w:rFonts w:hint="eastAsia" w:ascii="宋体" w:hAnsi="宋体" w:eastAsia="宋体" w:cs="宋体"/>
                <w:b/>
                <w:bCs/>
                <w:color w:val="auto"/>
                <w:sz w:val="21"/>
                <w:szCs w:val="21"/>
              </w:rPr>
            </w:pPr>
            <w:r>
              <w:rPr>
                <w:rFonts w:hint="eastAsia" w:ascii="Times New Roman" w:hAnsi="Times New Roman" w:eastAsia="宋体" w:cs="Times New Roman"/>
                <w:b/>
                <w:bCs/>
                <w:color w:val="auto"/>
                <w:sz w:val="21"/>
                <w:szCs w:val="21"/>
                <w:highlight w:val="none"/>
                <w:lang w:val="zh-CN" w:eastAsia="zh-CN" w:bidi="zh-CN"/>
              </w:rPr>
              <w:t>表7-14   估算模式计算结果（各源的最大值）表</w:t>
            </w:r>
          </w:p>
          <w:tbl>
            <w:tblPr>
              <w:tblStyle w:val="11"/>
              <w:tblW w:w="7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947"/>
              <w:gridCol w:w="1823"/>
              <w:gridCol w:w="1571"/>
              <w:gridCol w:w="969"/>
              <w:gridCol w:w="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99" w:type="dxa"/>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污染源名称</w:t>
                  </w:r>
                </w:p>
              </w:tc>
              <w:tc>
                <w:tcPr>
                  <w:tcW w:w="947" w:type="dxa"/>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污染因子</w:t>
                  </w:r>
                </w:p>
              </w:tc>
              <w:tc>
                <w:tcPr>
                  <w:tcW w:w="1823" w:type="dxa"/>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评价标准(mg/m</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r>
                    <w:rPr>
                      <w:rFonts w:hint="eastAsia" w:ascii="Times New Roman" w:hAnsi="Times New Roman" w:eastAsia="宋体" w:cs="Times New Roman"/>
                      <w:i w:val="0"/>
                      <w:iCs w:val="0"/>
                      <w:color w:val="000000"/>
                      <w:kern w:val="0"/>
                      <w:sz w:val="21"/>
                      <w:szCs w:val="21"/>
                      <w:u w:val="none"/>
                      <w:lang w:val="en-US" w:eastAsia="zh-CN" w:bidi="ar"/>
                    </w:rPr>
                    <w:t>)</w:t>
                  </w:r>
                </w:p>
              </w:tc>
              <w:tc>
                <w:tcPr>
                  <w:tcW w:w="1571" w:type="dxa"/>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Cmax(mg/m</w:t>
                  </w:r>
                  <w:r>
                    <w:rPr>
                      <w:rFonts w:hint="eastAsia" w:ascii="Times New Roman" w:hAnsi="Times New Roman" w:eastAsia="宋体" w:cs="Times New Roman"/>
                      <w:i w:val="0"/>
                      <w:iCs w:val="0"/>
                      <w:color w:val="000000"/>
                      <w:kern w:val="0"/>
                      <w:sz w:val="21"/>
                      <w:szCs w:val="21"/>
                      <w:u w:val="none"/>
                      <w:vertAlign w:val="superscript"/>
                      <w:lang w:val="en-US" w:eastAsia="zh-CN" w:bidi="ar"/>
                    </w:rPr>
                    <w:t>3</w:t>
                  </w:r>
                  <w:r>
                    <w:rPr>
                      <w:rFonts w:hint="eastAsia" w:ascii="Times New Roman" w:hAnsi="Times New Roman" w:eastAsia="宋体" w:cs="Times New Roman"/>
                      <w:i w:val="0"/>
                      <w:iCs w:val="0"/>
                      <w:color w:val="000000"/>
                      <w:kern w:val="0"/>
                      <w:sz w:val="21"/>
                      <w:szCs w:val="21"/>
                      <w:u w:val="none"/>
                      <w:lang w:val="en-US" w:eastAsia="zh-CN" w:bidi="ar"/>
                    </w:rPr>
                    <w:t>)</w:t>
                  </w:r>
                </w:p>
              </w:tc>
              <w:tc>
                <w:tcPr>
                  <w:tcW w:w="969" w:type="dxa"/>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Pmax(%)</w:t>
                  </w:r>
                </w:p>
              </w:tc>
              <w:tc>
                <w:tcPr>
                  <w:tcW w:w="969"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99" w:type="dxa"/>
                  <w:vMerge w:val="restart"/>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1#排气筒</w:t>
                  </w:r>
                </w:p>
              </w:tc>
              <w:tc>
                <w:tcPr>
                  <w:tcW w:w="947" w:type="dxa"/>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颗粒物</w:t>
                  </w:r>
                </w:p>
              </w:tc>
              <w:tc>
                <w:tcPr>
                  <w:tcW w:w="1823" w:type="dxa"/>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0.9</w:t>
                  </w:r>
                </w:p>
              </w:tc>
              <w:tc>
                <w:tcPr>
                  <w:tcW w:w="1571" w:type="dxa"/>
                  <w:noWrap w:val="0"/>
                  <w:vAlign w:val="center"/>
                </w:tcPr>
                <w:p>
                  <w:pPr>
                    <w:ind w:left="0" w:leftChars="0" w:right="0" w:rightChars="0"/>
                    <w:jc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0.03451</w:t>
                  </w:r>
                </w:p>
              </w:tc>
              <w:tc>
                <w:tcPr>
                  <w:tcW w:w="969" w:type="dxa"/>
                  <w:noWrap w:val="0"/>
                  <w:vAlign w:val="center"/>
                </w:tcPr>
                <w:p>
                  <w:pPr>
                    <w:ind w:left="0" w:leftChars="0" w:right="0" w:rightChars="0"/>
                    <w:jc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0.014</w:t>
                  </w:r>
                </w:p>
              </w:tc>
              <w:tc>
                <w:tcPr>
                  <w:tcW w:w="969" w:type="dxa"/>
                  <w:noWrap w:val="0"/>
                  <w:vAlign w:val="center"/>
                </w:tcPr>
                <w:p>
                  <w:pPr>
                    <w:ind w:left="0" w:leftChars="0" w:right="0" w:rightChars="0"/>
                    <w:jc w:val="center"/>
                    <w:rPr>
                      <w:rFonts w:hint="default" w:ascii="Times New Roman" w:hAnsi="Times New Roman" w:cs="Times New Roman"/>
                      <w:color w:val="92D050"/>
                      <w:sz w:val="21"/>
                      <w:szCs w:val="21"/>
                      <w:highlight w:val="none"/>
                      <w:lang w:val="en-US" w:eastAsia="zh-CN"/>
                    </w:rPr>
                  </w:pPr>
                  <w:r>
                    <w:rPr>
                      <w:rFonts w:hint="default" w:ascii="Times New Roman" w:hAnsi="Times New Roman" w:cs="Times New Roman"/>
                      <w:color w:val="auto"/>
                      <w:sz w:val="21"/>
                      <w:szCs w:val="21"/>
                      <w:highlight w:val="none"/>
                      <w:lang w:val="en-US" w:eastAsia="zh-CN"/>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99" w:type="dxa"/>
                  <w:vMerge w:val="continue"/>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p>
              </w:tc>
              <w:tc>
                <w:tcPr>
                  <w:tcW w:w="947" w:type="dxa"/>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SO2</w:t>
                  </w:r>
                </w:p>
              </w:tc>
              <w:tc>
                <w:tcPr>
                  <w:tcW w:w="1823" w:type="dxa"/>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0.5</w:t>
                  </w:r>
                </w:p>
              </w:tc>
              <w:tc>
                <w:tcPr>
                  <w:tcW w:w="1571" w:type="dxa"/>
                  <w:noWrap w:val="0"/>
                  <w:vAlign w:val="center"/>
                </w:tcPr>
                <w:p>
                  <w:pPr>
                    <w:ind w:left="0" w:leftChars="0" w:right="0" w:rightChars="0"/>
                    <w:jc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0.007669</w:t>
                  </w:r>
                </w:p>
              </w:tc>
              <w:tc>
                <w:tcPr>
                  <w:tcW w:w="969" w:type="dxa"/>
                  <w:noWrap w:val="0"/>
                  <w:vAlign w:val="center"/>
                </w:tcPr>
                <w:p>
                  <w:pPr>
                    <w:ind w:left="0" w:leftChars="0" w:right="0" w:rightChars="0"/>
                    <w:jc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969" w:type="dxa"/>
                  <w:noWrap w:val="0"/>
                  <w:vAlign w:val="center"/>
                </w:tcPr>
                <w:p>
                  <w:pPr>
                    <w:ind w:left="0" w:leftChars="0" w:right="0" w:rightChars="0"/>
                    <w:jc w:val="center"/>
                    <w:rPr>
                      <w:rFonts w:hint="default" w:ascii="Times New Roman" w:hAnsi="Times New Roman" w:eastAsia="宋体" w:cs="Times New Roman"/>
                      <w:color w:val="92D050"/>
                      <w:sz w:val="21"/>
                      <w:szCs w:val="21"/>
                      <w:highlight w:val="none"/>
                      <w:lang w:val="en-US" w:eastAsia="zh-CN"/>
                    </w:rPr>
                  </w:pPr>
                  <w:r>
                    <w:rPr>
                      <w:rFonts w:hint="default" w:ascii="Times New Roman" w:hAnsi="Times New Roman" w:cs="Times New Roman"/>
                      <w:color w:val="auto"/>
                      <w:sz w:val="21"/>
                      <w:szCs w:val="21"/>
                      <w:highlight w:val="none"/>
                      <w:lang w:val="en-US" w:eastAsia="zh-CN"/>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99" w:type="dxa"/>
                  <w:vMerge w:val="continue"/>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p>
              </w:tc>
              <w:tc>
                <w:tcPr>
                  <w:tcW w:w="947" w:type="dxa"/>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NO2</w:t>
                  </w:r>
                </w:p>
              </w:tc>
              <w:tc>
                <w:tcPr>
                  <w:tcW w:w="1823" w:type="dxa"/>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0.25</w:t>
                  </w:r>
                </w:p>
              </w:tc>
              <w:tc>
                <w:tcPr>
                  <w:tcW w:w="1571" w:type="dxa"/>
                  <w:noWrap w:val="0"/>
                  <w:vAlign w:val="center"/>
                </w:tcPr>
                <w:p>
                  <w:pPr>
                    <w:ind w:left="0" w:leftChars="0" w:right="0" w:rightChars="0"/>
                    <w:jc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0.0367</w:t>
                  </w:r>
                </w:p>
              </w:tc>
              <w:tc>
                <w:tcPr>
                  <w:tcW w:w="969" w:type="dxa"/>
                  <w:noWrap w:val="0"/>
                  <w:vAlign w:val="center"/>
                </w:tcPr>
                <w:p>
                  <w:pPr>
                    <w:ind w:left="0" w:leftChars="0" w:right="0" w:rightChars="0"/>
                    <w:jc w:val="center"/>
                    <w:rPr>
                      <w:rFonts w:hint="default"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0.031</w:t>
                  </w:r>
                </w:p>
              </w:tc>
              <w:tc>
                <w:tcPr>
                  <w:tcW w:w="969" w:type="dxa"/>
                  <w:noWrap w:val="0"/>
                  <w:vAlign w:val="center"/>
                </w:tcPr>
                <w:p>
                  <w:pPr>
                    <w:ind w:left="0" w:leftChars="0" w:right="0" w:rightChars="0"/>
                    <w:jc w:val="center"/>
                    <w:rPr>
                      <w:rFonts w:hint="default" w:ascii="Times New Roman" w:hAnsi="Times New Roman" w:eastAsia="宋体" w:cs="Times New Roman"/>
                      <w:color w:val="92D050"/>
                      <w:sz w:val="21"/>
                      <w:szCs w:val="21"/>
                      <w:highlight w:val="none"/>
                      <w:lang w:val="en-US" w:eastAsia="zh-CN"/>
                    </w:rPr>
                  </w:pPr>
                  <w:r>
                    <w:rPr>
                      <w:rFonts w:hint="default" w:ascii="Times New Roman" w:hAnsi="Times New Roman" w:cs="Times New Roman"/>
                      <w:color w:val="auto"/>
                      <w:sz w:val="21"/>
                      <w:szCs w:val="21"/>
                      <w:highlight w:val="none"/>
                      <w:lang w:val="en-US" w:eastAsia="zh-CN"/>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99" w:type="dxa"/>
                  <w:vMerge w:val="restart"/>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2#排气筒</w:t>
                  </w:r>
                </w:p>
              </w:tc>
              <w:tc>
                <w:tcPr>
                  <w:tcW w:w="947" w:type="dxa"/>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苯并(a)芘</w:t>
                  </w:r>
                </w:p>
              </w:tc>
              <w:tc>
                <w:tcPr>
                  <w:tcW w:w="1823" w:type="dxa"/>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w:t>
                  </w:r>
                  <w:r>
                    <w:rPr>
                      <w:rFonts w:hint="eastAsia" w:ascii="Times New Roman" w:hAnsi="Times New Roman"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5</w:t>
                  </w:r>
                  <w:r>
                    <w:rPr>
                      <w:rFonts w:hint="default" w:ascii="Arial" w:hAnsi="Arial" w:eastAsia="宋体" w:cs="Arial"/>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10</w:t>
                  </w:r>
                  <w:r>
                    <w:rPr>
                      <w:rFonts w:hint="eastAsia" w:ascii="Times New Roman" w:hAnsi="Times New Roman" w:cs="Times New Roman"/>
                      <w:i w:val="0"/>
                      <w:iCs w:val="0"/>
                      <w:color w:val="000000"/>
                      <w:kern w:val="0"/>
                      <w:sz w:val="21"/>
                      <w:szCs w:val="21"/>
                      <w:u w:val="none"/>
                      <w:vertAlign w:val="superscript"/>
                      <w:lang w:val="en-US" w:eastAsia="zh-CN" w:bidi="ar"/>
                    </w:rPr>
                    <w:t>-6</w:t>
                  </w:r>
                </w:p>
              </w:tc>
              <w:tc>
                <w:tcPr>
                  <w:tcW w:w="1571" w:type="dxa"/>
                  <w:noWrap w:val="0"/>
                  <w:vAlign w:val="center"/>
                </w:tcPr>
                <w:p>
                  <w:pPr>
                    <w:ind w:left="0" w:leftChars="0" w:right="0" w:rightChars="0"/>
                    <w:jc w:val="center"/>
                    <w:rPr>
                      <w:rFonts w:hint="eastAsia" w:ascii="Times New Roman" w:hAnsi="Times New Roman" w:eastAsia="宋体" w:cs="Times New Roman"/>
                      <w:i w:val="0"/>
                      <w:iCs w:val="0"/>
                      <w:color w:val="92D050"/>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6.864</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-7</w:t>
                  </w:r>
                </w:p>
              </w:tc>
              <w:tc>
                <w:tcPr>
                  <w:tcW w:w="969" w:type="dxa"/>
                  <w:noWrap w:val="0"/>
                  <w:vAlign w:val="center"/>
                </w:tcPr>
                <w:p>
                  <w:pPr>
                    <w:ind w:left="0" w:leftChars="0" w:right="0" w:rightChars="0"/>
                    <w:jc w:val="center"/>
                    <w:rPr>
                      <w:rFonts w:hint="default" w:ascii="Times New Roman" w:hAnsi="Times New Roman" w:eastAsia="宋体" w:cs="Times New Roman"/>
                      <w:i w:val="0"/>
                      <w:iCs w:val="0"/>
                      <w:color w:val="92D050"/>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0.23</w:t>
                  </w:r>
                </w:p>
              </w:tc>
              <w:tc>
                <w:tcPr>
                  <w:tcW w:w="969" w:type="dxa"/>
                  <w:noWrap w:val="0"/>
                  <w:vAlign w:val="center"/>
                </w:tcPr>
                <w:p>
                  <w:pPr>
                    <w:ind w:left="0" w:leftChars="0" w:right="0" w:rightChars="0"/>
                    <w:jc w:val="center"/>
                    <w:rPr>
                      <w:rFonts w:hint="default" w:ascii="Times New Roman" w:hAnsi="Times New Roman" w:cs="Times New Roman"/>
                      <w:color w:val="92D050"/>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99" w:type="dxa"/>
                  <w:vMerge w:val="continue"/>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p>
              </w:tc>
              <w:tc>
                <w:tcPr>
                  <w:tcW w:w="947" w:type="dxa"/>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非甲烷总烃</w:t>
                  </w:r>
                </w:p>
              </w:tc>
              <w:tc>
                <w:tcPr>
                  <w:tcW w:w="1823" w:type="dxa"/>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1571" w:type="dxa"/>
                  <w:noWrap w:val="0"/>
                  <w:vAlign w:val="center"/>
                </w:tcPr>
                <w:p>
                  <w:pPr>
                    <w:ind w:left="0" w:leftChars="0" w:right="0" w:rightChars="0"/>
                    <w:jc w:val="center"/>
                    <w:rPr>
                      <w:rFonts w:hint="eastAsia" w:ascii="Times New Roman" w:hAnsi="Times New Roman" w:eastAsia="宋体" w:cs="Times New Roman"/>
                      <w:i w:val="0"/>
                      <w:iCs w:val="0"/>
                      <w:color w:val="92D050"/>
                      <w:kern w:val="0"/>
                      <w:sz w:val="21"/>
                      <w:szCs w:val="21"/>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1</w:t>
                  </w:r>
                  <w:r>
                    <w:rPr>
                      <w:rFonts w:hint="default" w:ascii="Times New Roman" w:hAnsi="Times New Roman" w:cs="Times New Roman"/>
                      <w:i w:val="0"/>
                      <w:iCs w:val="0"/>
                      <w:color w:val="auto"/>
                      <w:kern w:val="0"/>
                      <w:sz w:val="22"/>
                      <w:szCs w:val="22"/>
                      <w:u w:val="none"/>
                      <w:lang w:val="en-US" w:eastAsia="zh-CN" w:bidi="ar"/>
                    </w:rPr>
                    <w:t>.</w:t>
                  </w:r>
                  <w:r>
                    <w:rPr>
                      <w:rFonts w:hint="default" w:ascii="Times New Roman" w:hAnsi="Times New Roman" w:eastAsia="宋体" w:cs="Times New Roman"/>
                      <w:i w:val="0"/>
                      <w:iCs w:val="0"/>
                      <w:color w:val="auto"/>
                      <w:kern w:val="0"/>
                      <w:sz w:val="22"/>
                      <w:szCs w:val="22"/>
                      <w:u w:val="none"/>
                      <w:lang w:val="en-US" w:eastAsia="zh-CN" w:bidi="ar"/>
                    </w:rPr>
                    <w:t>35</w:t>
                  </w:r>
                  <w:r>
                    <w:rPr>
                      <w:rFonts w:hint="default"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cs="Times New Roman"/>
                      <w:i w:val="0"/>
                      <w:iCs w:val="0"/>
                      <w:color w:val="auto"/>
                      <w:kern w:val="0"/>
                      <w:sz w:val="21"/>
                      <w:szCs w:val="21"/>
                      <w:u w:val="none"/>
                      <w:lang w:val="en-US" w:eastAsia="zh-CN" w:bidi="ar"/>
                    </w:rPr>
                    <w:t>10</w:t>
                  </w:r>
                  <w:r>
                    <w:rPr>
                      <w:rFonts w:hint="default" w:ascii="Times New Roman" w:hAnsi="Times New Roman" w:cs="Times New Roman"/>
                      <w:i w:val="0"/>
                      <w:iCs w:val="0"/>
                      <w:color w:val="auto"/>
                      <w:kern w:val="0"/>
                      <w:sz w:val="21"/>
                      <w:szCs w:val="21"/>
                      <w:u w:val="none"/>
                      <w:vertAlign w:val="superscript"/>
                      <w:lang w:val="en-US" w:eastAsia="zh-CN" w:bidi="ar"/>
                    </w:rPr>
                    <w:t>-5</w:t>
                  </w:r>
                </w:p>
              </w:tc>
              <w:tc>
                <w:tcPr>
                  <w:tcW w:w="969" w:type="dxa"/>
                  <w:noWrap w:val="0"/>
                  <w:vAlign w:val="center"/>
                </w:tcPr>
                <w:p>
                  <w:pPr>
                    <w:ind w:left="0" w:leftChars="0" w:right="0" w:rightChars="0"/>
                    <w:jc w:val="center"/>
                    <w:rPr>
                      <w:rFonts w:hint="eastAsia" w:ascii="Times New Roman" w:hAnsi="Times New Roman" w:eastAsia="宋体" w:cs="Times New Roman"/>
                      <w:i w:val="0"/>
                      <w:iCs w:val="0"/>
                      <w:color w:val="92D050"/>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w:t>
                  </w:r>
                </w:p>
              </w:tc>
              <w:tc>
                <w:tcPr>
                  <w:tcW w:w="969" w:type="dxa"/>
                  <w:noWrap w:val="0"/>
                  <w:vAlign w:val="center"/>
                </w:tcPr>
                <w:p>
                  <w:pPr>
                    <w:ind w:left="0" w:leftChars="0" w:right="0" w:rightChars="0"/>
                    <w:jc w:val="center"/>
                    <w:rPr>
                      <w:rFonts w:hint="default"/>
                      <w:color w:val="92D050"/>
                      <w:sz w:val="21"/>
                      <w:szCs w:val="21"/>
                      <w:highlight w:val="none"/>
                      <w:lang w:val="en-US" w:eastAsia="zh-CN"/>
                    </w:rPr>
                  </w:pPr>
                  <w:r>
                    <w:rPr>
                      <w:rFonts w:hint="eastAsia" w:ascii="Times New Roman" w:hAnsi="Times New Roman" w:cs="Times New Roman"/>
                      <w:i w:val="0"/>
                      <w:iCs w:val="0"/>
                      <w:color w:val="auto"/>
                      <w:kern w:val="0"/>
                      <w:sz w:val="21"/>
                      <w:szCs w:val="21"/>
                      <w:u w:val="none"/>
                      <w:lang w:val="en-US" w:eastAsia="zh-CN" w:bidi="ar"/>
                    </w:rPr>
                    <w:t>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599" w:type="dxa"/>
                  <w:vMerge w:val="restart"/>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3#排气筒</w:t>
                  </w:r>
                </w:p>
              </w:tc>
              <w:tc>
                <w:tcPr>
                  <w:tcW w:w="947" w:type="dxa"/>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颗粒物</w:t>
                  </w:r>
                </w:p>
              </w:tc>
              <w:tc>
                <w:tcPr>
                  <w:tcW w:w="1823" w:type="dxa"/>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0.9</w:t>
                  </w:r>
                </w:p>
              </w:tc>
              <w:tc>
                <w:tcPr>
                  <w:tcW w:w="1571" w:type="dxa"/>
                  <w:noWrap w:val="0"/>
                  <w:vAlign w:val="center"/>
                </w:tcPr>
                <w:p>
                  <w:pPr>
                    <w:ind w:left="0" w:leftChars="0" w:right="0" w:rightChars="0"/>
                    <w:jc w:val="center"/>
                    <w:rPr>
                      <w:rFonts w:hint="default" w:ascii="Times New Roman" w:hAnsi="Times New Roman" w:eastAsia="宋体" w:cs="Times New Roman"/>
                      <w:i w:val="0"/>
                      <w:iCs w:val="0"/>
                      <w:color w:val="92D050"/>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w:t>
                  </w:r>
                  <w:r>
                    <w:rPr>
                      <w:rFonts w:hint="eastAsia" w:ascii="Times New Roman" w:hAnsi="Times New Roman"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93</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-3</w:t>
                  </w:r>
                </w:p>
              </w:tc>
              <w:tc>
                <w:tcPr>
                  <w:tcW w:w="969" w:type="dxa"/>
                  <w:noWrap w:val="0"/>
                  <w:vAlign w:val="center"/>
                </w:tcPr>
                <w:p>
                  <w:pPr>
                    <w:ind w:left="0" w:leftChars="0" w:right="0" w:rightChars="0"/>
                    <w:jc w:val="center"/>
                    <w:rPr>
                      <w:rFonts w:hint="default" w:ascii="Times New Roman" w:hAnsi="Times New Roman" w:eastAsia="宋体" w:cs="Times New Roman"/>
                      <w:i w:val="0"/>
                      <w:iCs w:val="0"/>
                      <w:color w:val="92D050"/>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w:t>
                  </w:r>
                  <w:r>
                    <w:rPr>
                      <w:rFonts w:hint="eastAsia" w:ascii="Times New Roman" w:hAnsi="Times New Roman"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96</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969" w:type="dxa"/>
                  <w:noWrap w:val="0"/>
                  <w:vAlign w:val="center"/>
                </w:tcPr>
                <w:p>
                  <w:pPr>
                    <w:ind w:left="0" w:leftChars="0" w:right="0" w:rightChars="0"/>
                    <w:jc w:val="center"/>
                    <w:rPr>
                      <w:rFonts w:hint="default"/>
                      <w:color w:val="92D050"/>
                      <w:sz w:val="21"/>
                      <w:szCs w:val="21"/>
                      <w:highlight w:val="none"/>
                      <w:lang w:val="en-US" w:eastAsia="zh-CN"/>
                    </w:rPr>
                  </w:pPr>
                  <w:r>
                    <w:rPr>
                      <w:rFonts w:hint="eastAsia" w:ascii="Times New Roman" w:hAnsi="Times New Roman" w:cs="Times New Roman"/>
                      <w:i w:val="0"/>
                      <w:iCs w:val="0"/>
                      <w:color w:val="auto"/>
                      <w:kern w:val="0"/>
                      <w:sz w:val="21"/>
                      <w:szCs w:val="21"/>
                      <w:u w:val="none"/>
                      <w:lang w:val="en-US" w:eastAsia="zh-CN" w:bidi="ar"/>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599" w:type="dxa"/>
                  <w:vMerge w:val="continue"/>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p>
              </w:tc>
              <w:tc>
                <w:tcPr>
                  <w:tcW w:w="947" w:type="dxa"/>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SO2</w:t>
                  </w:r>
                </w:p>
              </w:tc>
              <w:tc>
                <w:tcPr>
                  <w:tcW w:w="1823" w:type="dxa"/>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0.5</w:t>
                  </w:r>
                </w:p>
              </w:tc>
              <w:tc>
                <w:tcPr>
                  <w:tcW w:w="1571" w:type="dxa"/>
                  <w:noWrap w:val="0"/>
                  <w:vAlign w:val="center"/>
                </w:tcPr>
                <w:p>
                  <w:pPr>
                    <w:ind w:left="0" w:leftChars="0" w:right="0" w:rightChars="0"/>
                    <w:jc w:val="center"/>
                    <w:rPr>
                      <w:rFonts w:hint="default" w:ascii="Times New Roman" w:hAnsi="Times New Roman" w:eastAsia="宋体" w:cs="Times New Roman"/>
                      <w:i w:val="0"/>
                      <w:iCs w:val="0"/>
                      <w:color w:val="92D050"/>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w:t>
                  </w:r>
                  <w:r>
                    <w:rPr>
                      <w:rFonts w:hint="eastAsia" w:ascii="Times New Roman" w:hAnsi="Times New Roman"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764</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969" w:type="dxa"/>
                  <w:noWrap w:val="0"/>
                  <w:vAlign w:val="center"/>
                </w:tcPr>
                <w:p>
                  <w:pPr>
                    <w:ind w:left="0" w:leftChars="0" w:right="0" w:rightChars="0"/>
                    <w:jc w:val="center"/>
                    <w:rPr>
                      <w:rFonts w:hint="default" w:ascii="Times New Roman" w:hAnsi="Times New Roman" w:eastAsia="宋体" w:cs="Times New Roman"/>
                      <w:i w:val="0"/>
                      <w:iCs w:val="0"/>
                      <w:color w:val="92D050"/>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3</w:t>
                  </w:r>
                  <w:r>
                    <w:rPr>
                      <w:rFonts w:hint="eastAsia" w:ascii="Times New Roman" w:hAnsi="Times New Roman"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65</w:t>
                  </w:r>
                  <w:r>
                    <w:rPr>
                      <w:rFonts w:hint="eastAsia" w:ascii="Times New Roman" w:hAnsi="Times New Roman" w:cs="Times New Roman"/>
                      <w:i w:val="0"/>
                      <w:iCs w:val="0"/>
                      <w:color w:val="auto"/>
                      <w:kern w:val="0"/>
                      <w:sz w:val="21"/>
                      <w:szCs w:val="21"/>
                      <w:u w:val="none"/>
                      <w:lang w:val="en-US" w:eastAsia="zh-CN" w:bidi="ar"/>
                    </w:rPr>
                    <w:t>2×10</w:t>
                  </w:r>
                  <w:r>
                    <w:rPr>
                      <w:rFonts w:hint="eastAsia" w:ascii="Times New Roman" w:hAnsi="Times New Roman" w:cs="Times New Roman"/>
                      <w:i w:val="0"/>
                      <w:iCs w:val="0"/>
                      <w:color w:val="auto"/>
                      <w:kern w:val="0"/>
                      <w:sz w:val="21"/>
                      <w:szCs w:val="21"/>
                      <w:u w:val="none"/>
                      <w:vertAlign w:val="superscript"/>
                      <w:lang w:val="en-US" w:eastAsia="zh-CN" w:bidi="ar"/>
                    </w:rPr>
                    <w:t>-4</w:t>
                  </w:r>
                </w:p>
              </w:tc>
              <w:tc>
                <w:tcPr>
                  <w:tcW w:w="969" w:type="dxa"/>
                  <w:noWrap w:val="0"/>
                  <w:vAlign w:val="center"/>
                </w:tcPr>
                <w:p>
                  <w:pPr>
                    <w:ind w:left="0" w:leftChars="0" w:right="0" w:rightChars="0"/>
                    <w:jc w:val="center"/>
                    <w:rPr>
                      <w:rFonts w:hint="default"/>
                      <w:color w:val="92D050"/>
                      <w:kern w:val="2"/>
                      <w:sz w:val="21"/>
                      <w:szCs w:val="21"/>
                      <w:highlight w:val="none"/>
                      <w:lang w:val="en-US" w:eastAsia="zh-CN" w:bidi="ar-SA"/>
                    </w:rPr>
                  </w:pPr>
                  <w:r>
                    <w:rPr>
                      <w:rFonts w:hint="eastAsia" w:ascii="Times New Roman" w:hAnsi="Times New Roman" w:cs="Times New Roman"/>
                      <w:i w:val="0"/>
                      <w:iCs w:val="0"/>
                      <w:color w:val="auto"/>
                      <w:kern w:val="0"/>
                      <w:sz w:val="21"/>
                      <w:szCs w:val="21"/>
                      <w:u w:val="none"/>
                      <w:lang w:val="en-US" w:eastAsia="zh-CN" w:bidi="ar"/>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599" w:type="dxa"/>
                  <w:vMerge w:val="continue"/>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p>
              </w:tc>
              <w:tc>
                <w:tcPr>
                  <w:tcW w:w="947" w:type="dxa"/>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NOx</w:t>
                  </w:r>
                </w:p>
              </w:tc>
              <w:tc>
                <w:tcPr>
                  <w:tcW w:w="1823" w:type="dxa"/>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0.25</w:t>
                  </w:r>
                </w:p>
              </w:tc>
              <w:tc>
                <w:tcPr>
                  <w:tcW w:w="1571" w:type="dxa"/>
                  <w:noWrap w:val="0"/>
                  <w:vAlign w:val="center"/>
                </w:tcPr>
                <w:p>
                  <w:pPr>
                    <w:ind w:left="0" w:leftChars="0" w:right="0" w:rightChars="0"/>
                    <w:jc w:val="center"/>
                    <w:rPr>
                      <w:rFonts w:hint="default" w:ascii="Times New Roman" w:hAnsi="Times New Roman" w:eastAsia="宋体" w:cs="Times New Roman"/>
                      <w:i w:val="0"/>
                      <w:iCs w:val="0"/>
                      <w:color w:val="92D050"/>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w:t>
                  </w:r>
                  <w:r>
                    <w:rPr>
                      <w:rFonts w:hint="eastAsia" w:ascii="Times New Roman" w:hAnsi="Times New Roman"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191</w:t>
                  </w:r>
                  <w:r>
                    <w:rPr>
                      <w:rFonts w:hint="eastAsia" w:ascii="Times New Roman" w:hAnsi="Times New Roman" w:cs="Times New Roman"/>
                      <w:i w:val="0"/>
                      <w:iCs w:val="0"/>
                      <w:color w:val="auto"/>
                      <w:kern w:val="0"/>
                      <w:sz w:val="21"/>
                      <w:szCs w:val="21"/>
                      <w:u w:val="none"/>
                      <w:lang w:val="en-US" w:eastAsia="zh-CN" w:bidi="ar"/>
                    </w:rPr>
                    <w:t>×10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969" w:type="dxa"/>
                  <w:noWrap w:val="0"/>
                  <w:vAlign w:val="center"/>
                </w:tcPr>
                <w:p>
                  <w:pPr>
                    <w:ind w:left="0" w:leftChars="0" w:right="0" w:rightChars="0"/>
                    <w:jc w:val="center"/>
                    <w:rPr>
                      <w:rFonts w:hint="default" w:ascii="Times New Roman" w:hAnsi="Times New Roman" w:eastAsia="宋体" w:cs="Times New Roman"/>
                      <w:i w:val="0"/>
                      <w:iCs w:val="0"/>
                      <w:color w:val="92D050"/>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w:t>
                  </w:r>
                  <w:r>
                    <w:rPr>
                      <w:rFonts w:hint="eastAsia" w:ascii="Times New Roman" w:hAnsi="Times New Roman" w:cs="Times New Roman"/>
                      <w:i w:val="0"/>
                      <w:iCs w:val="0"/>
                      <w:color w:val="auto"/>
                      <w:kern w:val="0"/>
                      <w:sz w:val="21"/>
                      <w:szCs w:val="21"/>
                      <w:u w:val="none"/>
                      <w:lang w:val="en-US" w:eastAsia="zh-CN" w:bidi="ar"/>
                    </w:rPr>
                    <w:t>.</w:t>
                  </w:r>
                  <w:r>
                    <w:rPr>
                      <w:rFonts w:hint="eastAsia" w:ascii="Times New Roman" w:hAnsi="Times New Roman" w:eastAsia="宋体" w:cs="Times New Roman"/>
                      <w:i w:val="0"/>
                      <w:iCs w:val="0"/>
                      <w:color w:val="auto"/>
                      <w:kern w:val="0"/>
                      <w:sz w:val="21"/>
                      <w:szCs w:val="21"/>
                      <w:u w:val="none"/>
                      <w:lang w:val="en-US" w:eastAsia="zh-CN" w:bidi="ar"/>
                    </w:rPr>
                    <w:t>82</w:t>
                  </w:r>
                  <w:r>
                    <w:rPr>
                      <w:rFonts w:hint="eastAsia" w:ascii="Times New Roman" w:hAnsi="Times New Roman" w:cs="Times New Roman"/>
                      <w:i w:val="0"/>
                      <w:iCs w:val="0"/>
                      <w:color w:val="auto"/>
                      <w:kern w:val="0"/>
                      <w:sz w:val="21"/>
                      <w:szCs w:val="21"/>
                      <w:u w:val="none"/>
                      <w:lang w:val="en-US" w:eastAsia="zh-CN" w:bidi="ar"/>
                    </w:rPr>
                    <w:t>6</w:t>
                  </w:r>
                  <w:r>
                    <w:rPr>
                      <w:rFonts w:hint="eastAsia" w:ascii="Times New Roman" w:hAnsi="Times New Roman" w:eastAsia="宋体" w:cs="Times New Roman"/>
                      <w:i w:val="0"/>
                      <w:iCs w:val="0"/>
                      <w:color w:val="auto"/>
                      <w:kern w:val="0"/>
                      <w:sz w:val="21"/>
                      <w:szCs w:val="21"/>
                      <w:u w:val="none"/>
                      <w:lang w:val="en-US" w:eastAsia="zh-CN" w:bidi="ar"/>
                    </w:rPr>
                    <w:t>×10</w:t>
                  </w:r>
                  <w:r>
                    <w:rPr>
                      <w:rFonts w:hint="eastAsia" w:ascii="Times New Roman" w:hAnsi="Times New Roman" w:eastAsia="宋体" w:cs="Times New Roman"/>
                      <w:i w:val="0"/>
                      <w:iCs w:val="0"/>
                      <w:color w:val="auto"/>
                      <w:kern w:val="0"/>
                      <w:sz w:val="21"/>
                      <w:szCs w:val="21"/>
                      <w:u w:val="none"/>
                      <w:vertAlign w:val="superscript"/>
                      <w:lang w:val="en-US" w:eastAsia="zh-CN" w:bidi="ar"/>
                    </w:rPr>
                    <w:t>-3</w:t>
                  </w:r>
                </w:p>
              </w:tc>
              <w:tc>
                <w:tcPr>
                  <w:tcW w:w="969" w:type="dxa"/>
                  <w:noWrap w:val="0"/>
                  <w:vAlign w:val="center"/>
                </w:tcPr>
                <w:p>
                  <w:pPr>
                    <w:ind w:left="0" w:leftChars="0" w:right="0" w:rightChars="0"/>
                    <w:jc w:val="center"/>
                    <w:rPr>
                      <w:rFonts w:hint="eastAsia"/>
                      <w:color w:val="92D050"/>
                      <w:kern w:val="2"/>
                      <w:sz w:val="21"/>
                      <w:szCs w:val="21"/>
                      <w:highlight w:val="none"/>
                      <w:lang w:val="en-US" w:eastAsia="zh-CN" w:bidi="ar-SA"/>
                    </w:rPr>
                  </w:pPr>
                  <w:r>
                    <w:rPr>
                      <w:rFonts w:hint="eastAsia" w:ascii="Times New Roman" w:hAnsi="Times New Roman" w:cs="Times New Roman"/>
                      <w:i w:val="0"/>
                      <w:iCs w:val="0"/>
                      <w:color w:val="auto"/>
                      <w:kern w:val="0"/>
                      <w:sz w:val="21"/>
                      <w:szCs w:val="21"/>
                      <w:u w:val="none"/>
                      <w:lang w:val="en-US" w:eastAsia="zh-CN" w:bidi="ar"/>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599" w:type="dxa"/>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堆场、上料口及矿粉仓无组织排放</w:t>
                  </w:r>
                </w:p>
              </w:tc>
              <w:tc>
                <w:tcPr>
                  <w:tcW w:w="947" w:type="dxa"/>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颗粒物</w:t>
                  </w:r>
                </w:p>
              </w:tc>
              <w:tc>
                <w:tcPr>
                  <w:tcW w:w="1823" w:type="dxa"/>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0.9</w:t>
                  </w:r>
                </w:p>
              </w:tc>
              <w:tc>
                <w:tcPr>
                  <w:tcW w:w="1571" w:type="dxa"/>
                  <w:noWrap w:val="0"/>
                  <w:vAlign w:val="center"/>
                </w:tcPr>
                <w:p>
                  <w:pPr>
                    <w:ind w:left="0" w:leftChars="0" w:right="0" w:rightChars="0"/>
                    <w:jc w:val="center"/>
                    <w:rPr>
                      <w:rFonts w:hint="default" w:ascii="Times New Roman" w:hAnsi="Times New Roman" w:eastAsia="宋体" w:cs="Times New Roman"/>
                      <w:i w:val="0"/>
                      <w:iCs w:val="0"/>
                      <w:color w:val="92D050"/>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2.249×10</w:t>
                  </w:r>
                  <w:r>
                    <w:rPr>
                      <w:rFonts w:hint="eastAsia" w:ascii="Times New Roman" w:hAnsi="Times New Roman" w:cs="Times New Roman"/>
                      <w:i w:val="0"/>
                      <w:iCs w:val="0"/>
                      <w:color w:val="auto"/>
                      <w:kern w:val="0"/>
                      <w:sz w:val="21"/>
                      <w:szCs w:val="21"/>
                      <w:u w:val="none"/>
                      <w:vertAlign w:val="superscript"/>
                      <w:lang w:val="en-US" w:eastAsia="zh-CN" w:bidi="ar"/>
                    </w:rPr>
                    <w:t>-2</w:t>
                  </w:r>
                </w:p>
              </w:tc>
              <w:tc>
                <w:tcPr>
                  <w:tcW w:w="969" w:type="dxa"/>
                  <w:noWrap w:val="0"/>
                  <w:vAlign w:val="center"/>
                </w:tcPr>
                <w:p>
                  <w:pPr>
                    <w:ind w:left="0" w:leftChars="0" w:right="0" w:rightChars="0"/>
                    <w:jc w:val="center"/>
                    <w:rPr>
                      <w:rFonts w:hint="default" w:ascii="Times New Roman" w:hAnsi="Times New Roman" w:eastAsia="宋体" w:cs="Times New Roman"/>
                      <w:i w:val="0"/>
                      <w:iCs w:val="0"/>
                      <w:color w:val="92D050"/>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1.9×10</w:t>
                  </w:r>
                  <w:r>
                    <w:rPr>
                      <w:rFonts w:hint="eastAsia" w:ascii="Times New Roman" w:hAnsi="Times New Roman" w:cs="Times New Roman"/>
                      <w:i w:val="0"/>
                      <w:iCs w:val="0"/>
                      <w:color w:val="auto"/>
                      <w:kern w:val="0"/>
                      <w:sz w:val="21"/>
                      <w:szCs w:val="21"/>
                      <w:u w:val="none"/>
                      <w:vertAlign w:val="superscript"/>
                      <w:lang w:val="en-US" w:eastAsia="zh-CN" w:bidi="ar"/>
                    </w:rPr>
                    <w:t>-2</w:t>
                  </w:r>
                  <w:r>
                    <w:rPr>
                      <w:rFonts w:hint="eastAsia" w:ascii="Times New Roman" w:hAnsi="Times New Roman" w:eastAsia="宋体" w:cs="Times New Roman"/>
                      <w:i w:val="0"/>
                      <w:iCs w:val="0"/>
                      <w:color w:val="auto"/>
                      <w:kern w:val="0"/>
                      <w:sz w:val="21"/>
                      <w:szCs w:val="21"/>
                      <w:u w:val="none"/>
                      <w:lang w:val="en-US" w:eastAsia="zh-CN" w:bidi="ar"/>
                    </w:rPr>
                    <w:t xml:space="preserve"> </w:t>
                  </w:r>
                </w:p>
              </w:tc>
              <w:tc>
                <w:tcPr>
                  <w:tcW w:w="969" w:type="dxa"/>
                  <w:noWrap w:val="0"/>
                  <w:vAlign w:val="center"/>
                </w:tcPr>
                <w:p>
                  <w:pPr>
                    <w:ind w:left="0" w:leftChars="0" w:right="0" w:rightChars="0"/>
                    <w:jc w:val="center"/>
                    <w:rPr>
                      <w:rFonts w:hint="default"/>
                      <w:color w:val="92D050"/>
                      <w:sz w:val="21"/>
                      <w:szCs w:val="21"/>
                      <w:highlight w:val="none"/>
                      <w:lang w:val="en-US" w:eastAsia="zh-CN"/>
                    </w:rPr>
                  </w:pPr>
                  <w:r>
                    <w:rPr>
                      <w:rFonts w:hint="eastAsia" w:ascii="Times New Roman" w:hAnsi="Times New Roman" w:cs="Times New Roman"/>
                      <w:i w:val="0"/>
                      <w:iCs w:val="0"/>
                      <w:color w:val="auto"/>
                      <w:kern w:val="0"/>
                      <w:sz w:val="21"/>
                      <w:szCs w:val="21"/>
                      <w:u w:val="none"/>
                      <w:lang w:val="en-US" w:eastAsia="zh-CN" w:bidi="ar"/>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599" w:type="dxa"/>
                  <w:vMerge w:val="restart"/>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沥青混凝土出料口无组织排放</w:t>
                  </w:r>
                </w:p>
              </w:tc>
              <w:tc>
                <w:tcPr>
                  <w:tcW w:w="947" w:type="dxa"/>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苯并(a)芘</w:t>
                  </w:r>
                </w:p>
              </w:tc>
              <w:tc>
                <w:tcPr>
                  <w:tcW w:w="1823" w:type="dxa"/>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7.5</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10-6</w:t>
                  </w:r>
                </w:p>
              </w:tc>
              <w:tc>
                <w:tcPr>
                  <w:tcW w:w="1571" w:type="dxa"/>
                  <w:noWrap w:val="0"/>
                  <w:vAlign w:val="center"/>
                </w:tcPr>
                <w:p>
                  <w:pPr>
                    <w:ind w:left="0" w:leftChars="0" w:right="0" w:rightChars="0"/>
                    <w:jc w:val="center"/>
                    <w:rPr>
                      <w:rFonts w:hint="eastAsia" w:ascii="Times New Roman" w:hAnsi="Times New Roman" w:eastAsia="宋体" w:cs="Times New Roman"/>
                      <w:i w:val="0"/>
                      <w:iCs w:val="0"/>
                      <w:color w:val="92D050"/>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0.000008804</w:t>
                  </w:r>
                </w:p>
              </w:tc>
              <w:tc>
                <w:tcPr>
                  <w:tcW w:w="969" w:type="dxa"/>
                  <w:noWrap w:val="0"/>
                  <w:vAlign w:val="center"/>
                </w:tcPr>
                <w:p>
                  <w:pPr>
                    <w:ind w:left="0" w:leftChars="0" w:right="0" w:rightChars="0"/>
                    <w:jc w:val="center"/>
                    <w:rPr>
                      <w:rFonts w:hint="default" w:ascii="Times New Roman" w:hAnsi="Times New Roman" w:eastAsia="宋体" w:cs="Times New Roman"/>
                      <w:i w:val="0"/>
                      <w:iCs w:val="0"/>
                      <w:color w:val="92D050"/>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2.93</w:t>
                  </w:r>
                </w:p>
              </w:tc>
              <w:tc>
                <w:tcPr>
                  <w:tcW w:w="969" w:type="dxa"/>
                  <w:noWrap w:val="0"/>
                  <w:vAlign w:val="center"/>
                </w:tcPr>
                <w:p>
                  <w:pPr>
                    <w:ind w:left="0" w:leftChars="0" w:right="0" w:rightChars="0"/>
                    <w:jc w:val="center"/>
                    <w:rPr>
                      <w:rFonts w:hint="default"/>
                      <w:color w:val="92D050"/>
                      <w:sz w:val="21"/>
                      <w:szCs w:val="21"/>
                      <w:highlight w:val="none"/>
                      <w:lang w:val="en-US" w:eastAsia="zh-CN"/>
                    </w:rPr>
                  </w:pPr>
                  <w:r>
                    <w:rPr>
                      <w:rFonts w:hint="eastAsia" w:ascii="Times New Roman" w:hAnsi="Times New Roman" w:cs="Times New Roman"/>
                      <w:i w:val="0"/>
                      <w:iCs w:val="0"/>
                      <w:color w:val="auto"/>
                      <w:kern w:val="0"/>
                      <w:sz w:val="21"/>
                      <w:szCs w:val="21"/>
                      <w:u w:val="none"/>
                      <w:lang w:val="en-US" w:eastAsia="zh-CN" w:bidi="ar"/>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1599" w:type="dxa"/>
                  <w:vMerge w:val="continue"/>
                  <w:noWrap w:val="0"/>
                  <w:vAlign w:val="center"/>
                </w:tcPr>
                <w:p>
                  <w:pPr>
                    <w:jc w:val="center"/>
                    <w:rPr>
                      <w:rFonts w:hint="eastAsia" w:ascii="Times New Roman" w:hAnsi="Times New Roman" w:eastAsia="宋体" w:cs="Times New Roman"/>
                      <w:i w:val="0"/>
                      <w:iCs w:val="0"/>
                      <w:color w:val="000000"/>
                      <w:kern w:val="0"/>
                      <w:sz w:val="21"/>
                      <w:szCs w:val="21"/>
                      <w:u w:val="none"/>
                      <w:lang w:val="en-US" w:eastAsia="zh-CN" w:bidi="ar"/>
                    </w:rPr>
                  </w:pPr>
                </w:p>
              </w:tc>
              <w:tc>
                <w:tcPr>
                  <w:tcW w:w="947" w:type="dxa"/>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非甲烷总烃</w:t>
                  </w:r>
                </w:p>
              </w:tc>
              <w:tc>
                <w:tcPr>
                  <w:tcW w:w="1823" w:type="dxa"/>
                  <w:noWrap w:val="0"/>
                  <w:vAlign w:val="center"/>
                </w:tcPr>
                <w:p>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1571" w:type="dxa"/>
                  <w:noWrap w:val="0"/>
                  <w:vAlign w:val="center"/>
                </w:tcPr>
                <w:p>
                  <w:pPr>
                    <w:ind w:left="0" w:leftChars="0" w:right="0" w:rightChars="0"/>
                    <w:jc w:val="center"/>
                    <w:rPr>
                      <w:rFonts w:hint="eastAsia" w:ascii="Times New Roman" w:hAnsi="Times New Roman" w:eastAsia="宋体" w:cs="Times New Roman"/>
                      <w:i w:val="0"/>
                      <w:iCs w:val="0"/>
                      <w:color w:val="92D050"/>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1.77</w:t>
                  </w:r>
                  <w:r>
                    <w:rPr>
                      <w:rFonts w:hint="eastAsia" w:ascii="Times New Roman" w:hAnsi="Times New Roman" w:cs="Times New Roman"/>
                      <w:i w:val="0"/>
                      <w:iCs w:val="0"/>
                      <w:color w:val="auto"/>
                      <w:kern w:val="0"/>
                      <w:sz w:val="21"/>
                      <w:szCs w:val="21"/>
                      <w:u w:val="none"/>
                      <w:lang w:val="en-US" w:eastAsia="zh-CN" w:bidi="ar"/>
                    </w:rPr>
                    <w:t>×10-5</w:t>
                  </w:r>
                </w:p>
              </w:tc>
              <w:tc>
                <w:tcPr>
                  <w:tcW w:w="969" w:type="dxa"/>
                  <w:noWrap w:val="0"/>
                  <w:vAlign w:val="center"/>
                </w:tcPr>
                <w:p>
                  <w:pPr>
                    <w:ind w:left="0" w:leftChars="0" w:right="0" w:rightChars="0"/>
                    <w:jc w:val="center"/>
                    <w:rPr>
                      <w:rFonts w:hint="eastAsia" w:ascii="Times New Roman" w:hAnsi="Times New Roman" w:eastAsia="宋体" w:cs="Times New Roman"/>
                      <w:i w:val="0"/>
                      <w:iCs w:val="0"/>
                      <w:color w:val="92D050"/>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 xml:space="preserve">0.00018 </w:t>
                  </w:r>
                </w:p>
              </w:tc>
              <w:tc>
                <w:tcPr>
                  <w:tcW w:w="969" w:type="dxa"/>
                  <w:noWrap w:val="0"/>
                  <w:vAlign w:val="center"/>
                </w:tcPr>
                <w:p>
                  <w:pPr>
                    <w:ind w:left="0" w:leftChars="0" w:right="0" w:rightChars="0"/>
                    <w:jc w:val="center"/>
                    <w:rPr>
                      <w:rFonts w:hint="default"/>
                      <w:color w:val="92D050"/>
                      <w:sz w:val="21"/>
                      <w:szCs w:val="21"/>
                      <w:highlight w:val="none"/>
                      <w:lang w:val="en-US" w:eastAsia="zh-CN"/>
                    </w:rPr>
                  </w:pPr>
                  <w:r>
                    <w:rPr>
                      <w:rFonts w:hint="eastAsia" w:ascii="Times New Roman" w:hAnsi="Times New Roman" w:cs="Times New Roman"/>
                      <w:i w:val="0"/>
                      <w:iCs w:val="0"/>
                      <w:color w:val="auto"/>
                      <w:kern w:val="0"/>
                      <w:sz w:val="21"/>
                      <w:szCs w:val="21"/>
                      <w:u w:val="none"/>
                      <w:lang w:val="en-US" w:eastAsia="zh-CN" w:bidi="ar"/>
                    </w:rPr>
                    <w:t>400</w:t>
                  </w:r>
                </w:p>
              </w:tc>
            </w:tr>
          </w:tbl>
          <w:p>
            <w:pPr>
              <w:pStyle w:val="15"/>
              <w:rPr>
                <w:rFonts w:ascii="黑体"/>
                <w:color w:val="auto"/>
                <w:sz w:val="20"/>
                <w:highlight w:val="none"/>
              </w:rPr>
            </w:pPr>
          </w:p>
          <w:p>
            <w:pPr>
              <w:pStyle w:val="15"/>
              <w:rPr>
                <w:rFonts w:ascii="黑体"/>
                <w:color w:val="auto"/>
                <w:sz w:val="20"/>
                <w:highlight w:val="none"/>
              </w:rPr>
            </w:pPr>
          </w:p>
          <w:p>
            <w:pPr>
              <w:pStyle w:val="3"/>
              <w:ind w:firstLine="480"/>
              <w:rPr>
                <w:rFonts w:ascii="黑体"/>
                <w:sz w:val="20"/>
              </w:rPr>
            </w:pPr>
            <w:r>
              <w:rPr>
                <w:color w:val="auto"/>
                <w:kern w:val="0"/>
                <w:highlight w:val="none"/>
              </w:rPr>
              <w:t>根据《环境影响评价技术导则-气环境》（HJ2.2-2018）5.3.3.1“同一项目有多个污染源（两个及以上）时，</w:t>
            </w:r>
            <w:r>
              <w:rPr>
                <w:color w:val="auto"/>
                <w:kern w:val="0"/>
                <w:sz w:val="24"/>
                <w:szCs w:val="24"/>
                <w:highlight w:val="none"/>
              </w:rPr>
              <w:t>则按各污染源分别确定评价等级，并取评价等级最高者作为项目的评价等级”。因此，本项目</w:t>
            </w:r>
            <w:r>
              <w:rPr>
                <w:rFonts w:hint="eastAsia" w:ascii="Times New Roman" w:hAnsi="Times New Roman" w:eastAsia="宋体" w:cs="Times New Roman"/>
                <w:i w:val="0"/>
                <w:iCs w:val="0"/>
                <w:color w:val="auto"/>
                <w:kern w:val="0"/>
                <w:sz w:val="24"/>
                <w:szCs w:val="24"/>
                <w:u w:val="none"/>
                <w:lang w:val="en-US" w:eastAsia="zh-CN" w:bidi="ar"/>
              </w:rPr>
              <w:t>苯并(a)芘</w:t>
            </w:r>
            <w:r>
              <w:rPr>
                <w:color w:val="auto"/>
                <w:kern w:val="0"/>
                <w:sz w:val="24"/>
                <w:szCs w:val="24"/>
                <w:highlight w:val="none"/>
              </w:rPr>
              <w:t>最大落地浓度离源距离为</w:t>
            </w:r>
            <w:r>
              <w:rPr>
                <w:rFonts w:hint="eastAsia"/>
                <w:color w:val="auto"/>
                <w:kern w:val="0"/>
                <w:sz w:val="24"/>
                <w:szCs w:val="24"/>
                <w:highlight w:val="none"/>
                <w:lang w:val="en-US" w:eastAsia="zh-CN"/>
              </w:rPr>
              <w:t>56</w:t>
            </w:r>
            <w:r>
              <w:rPr>
                <w:color w:val="auto"/>
                <w:kern w:val="0"/>
                <w:sz w:val="24"/>
                <w:szCs w:val="24"/>
                <w:highlight w:val="none"/>
              </w:rPr>
              <w:t>m，最大落地浓度为</w:t>
            </w:r>
            <w:r>
              <w:rPr>
                <w:rFonts w:hint="eastAsia" w:ascii="宋体" w:hAnsi="宋体" w:eastAsia="宋体" w:cs="宋体"/>
                <w:i w:val="0"/>
                <w:iCs w:val="0"/>
                <w:color w:val="auto"/>
                <w:kern w:val="0"/>
                <w:sz w:val="24"/>
                <w:szCs w:val="24"/>
                <w:u w:val="none"/>
                <w:lang w:val="en-US" w:eastAsia="zh-CN" w:bidi="ar"/>
              </w:rPr>
              <w:t>0.000008804</w:t>
            </w:r>
            <w:r>
              <w:rPr>
                <w:rFonts w:hint="eastAsia"/>
                <w:color w:val="auto"/>
                <w:sz w:val="24"/>
                <w:szCs w:val="24"/>
                <w:highlight w:val="none"/>
                <w:lang w:val="en-US" w:eastAsia="zh-CN"/>
              </w:rPr>
              <w:t>m</w:t>
            </w:r>
            <w:r>
              <w:rPr>
                <w:color w:val="auto"/>
                <w:kern w:val="0"/>
                <w:sz w:val="24"/>
                <w:szCs w:val="24"/>
                <w:highlight w:val="none"/>
              </w:rPr>
              <w:t>g/m</w:t>
            </w:r>
            <w:r>
              <w:rPr>
                <w:color w:val="auto"/>
                <w:kern w:val="0"/>
                <w:sz w:val="24"/>
                <w:szCs w:val="24"/>
                <w:highlight w:val="none"/>
                <w:vertAlign w:val="superscript"/>
              </w:rPr>
              <w:t>3</w:t>
            </w:r>
            <w:r>
              <w:rPr>
                <w:color w:val="auto"/>
                <w:kern w:val="0"/>
                <w:sz w:val="24"/>
                <w:szCs w:val="24"/>
                <w:highlight w:val="none"/>
              </w:rPr>
              <w:t>，最大占标率为</w:t>
            </w:r>
            <w:r>
              <w:rPr>
                <w:rFonts w:hint="eastAsia" w:ascii="Times New Roman" w:hAnsi="Times New Roman" w:cs="Times New Roman"/>
                <w:i w:val="0"/>
                <w:iCs w:val="0"/>
                <w:color w:val="auto"/>
                <w:kern w:val="0"/>
                <w:sz w:val="24"/>
                <w:szCs w:val="24"/>
                <w:u w:val="none"/>
                <w:lang w:val="en-US" w:eastAsia="zh-CN" w:bidi="ar"/>
              </w:rPr>
              <w:t>2.93</w:t>
            </w:r>
            <w:r>
              <w:rPr>
                <w:color w:val="auto"/>
                <w:kern w:val="0"/>
                <w:sz w:val="24"/>
                <w:szCs w:val="24"/>
                <w:highlight w:val="none"/>
              </w:rPr>
              <w:t>%＜10%。根据《环境影响评价技术导则-大气环境》（HJ2.2-2018），项目应做二级评价，二级评价项目不进行进一步预测与评价，只对污染物排放量</w:t>
            </w:r>
            <w:r>
              <w:rPr>
                <w:color w:val="auto"/>
                <w:kern w:val="0"/>
                <w:highlight w:val="none"/>
              </w:rPr>
              <w:t>进行核算。综上，项目污染源排放的大气污染物最大落地浓度远远小于评价标准，因此，本项目大气污染物经处理后排放对评价范围内的大气环境影响较小。</w:t>
            </w:r>
          </w:p>
          <w:p>
            <w:pPr>
              <w:pStyle w:val="17"/>
              <w:ind w:firstLine="482"/>
              <w:rPr>
                <w:b/>
                <w:color w:val="auto"/>
                <w:highlight w:val="none"/>
                <w:u w:val="none"/>
              </w:rPr>
            </w:pPr>
            <w:r>
              <w:rPr>
                <w:b/>
                <w:color w:val="auto"/>
                <w:highlight w:val="none"/>
                <w:u w:val="none"/>
              </w:rPr>
              <w:t>（3）大气环境防护距离</w:t>
            </w:r>
          </w:p>
          <w:p>
            <w:pPr>
              <w:pStyle w:val="3"/>
              <w:ind w:firstLine="480"/>
              <w:rPr>
                <w:color w:val="auto"/>
                <w:highlight w:val="none"/>
                <w:u w:val="none"/>
              </w:rPr>
            </w:pPr>
            <w:r>
              <w:rPr>
                <w:color w:val="auto"/>
                <w:highlight w:val="none"/>
                <w:u w:val="none"/>
              </w:rPr>
              <w:t>根据《环境影响评价技术导则大气环境》(HJ2.2-2018)，对于项目</w:t>
            </w:r>
            <w:r>
              <w:rPr>
                <w:rFonts w:hint="eastAsia"/>
                <w:color w:val="auto"/>
                <w:highlight w:val="none"/>
                <w:u w:val="none"/>
                <w:lang w:val="en-US" w:eastAsia="zh-CN"/>
              </w:rPr>
              <w:t>场</w:t>
            </w:r>
            <w:r>
              <w:rPr>
                <w:color w:val="auto"/>
                <w:highlight w:val="none"/>
                <w:u w:val="none"/>
              </w:rPr>
              <w:t>界浓度满足大气污染物</w:t>
            </w:r>
            <w:r>
              <w:rPr>
                <w:rFonts w:hint="eastAsia"/>
                <w:color w:val="auto"/>
                <w:highlight w:val="none"/>
                <w:u w:val="none"/>
                <w:lang w:val="en-US" w:eastAsia="zh-CN"/>
              </w:rPr>
              <w:t>场</w:t>
            </w:r>
            <w:r>
              <w:rPr>
                <w:color w:val="auto"/>
                <w:highlight w:val="none"/>
                <w:u w:val="none"/>
              </w:rPr>
              <w:t>界浓度限值，但</w:t>
            </w:r>
            <w:r>
              <w:rPr>
                <w:rFonts w:hint="eastAsia"/>
                <w:color w:val="auto"/>
                <w:highlight w:val="none"/>
                <w:u w:val="none"/>
                <w:lang w:val="en-US" w:eastAsia="zh-CN"/>
              </w:rPr>
              <w:t>场</w:t>
            </w:r>
            <w:r>
              <w:rPr>
                <w:color w:val="auto"/>
                <w:highlight w:val="none"/>
                <w:u w:val="none"/>
              </w:rPr>
              <w:t>界外大气污染物短期浓度贡献值超过环境质量浓度限值的，可以自</w:t>
            </w:r>
            <w:r>
              <w:rPr>
                <w:rFonts w:hint="eastAsia"/>
                <w:color w:val="auto"/>
                <w:highlight w:val="none"/>
                <w:u w:val="none"/>
                <w:lang w:eastAsia="zh-CN"/>
              </w:rPr>
              <w:t>场</w:t>
            </w:r>
            <w:r>
              <w:rPr>
                <w:color w:val="auto"/>
                <w:highlight w:val="none"/>
                <w:u w:val="none"/>
              </w:rPr>
              <w:t>界向外设置一定范围的大气环境防护区域，以确保大气环境防护区域外的污染物贡献浓度满足环境质量标准。</w:t>
            </w:r>
          </w:p>
          <w:p>
            <w:pPr>
              <w:pStyle w:val="3"/>
              <w:ind w:firstLine="480"/>
              <w:rPr>
                <w:color w:val="auto"/>
                <w:highlight w:val="none"/>
                <w:u w:val="none"/>
              </w:rPr>
            </w:pPr>
            <w:r>
              <w:rPr>
                <w:color w:val="auto"/>
                <w:highlight w:val="none"/>
                <w:u w:val="none"/>
              </w:rPr>
              <w:t>结合预测结果：建设项目大气污染物浓度未超过环境质量浓度限值，不需设置大气环境防护距离。</w:t>
            </w:r>
          </w:p>
          <w:p>
            <w:pPr>
              <w:pStyle w:val="17"/>
              <w:keepNext w:val="0"/>
              <w:keepLines w:val="0"/>
              <w:pageBreakBefore w:val="0"/>
              <w:widowControl w:val="0"/>
              <w:kinsoku/>
              <w:wordWrap/>
              <w:overflowPunct/>
              <w:topLinePunct w:val="0"/>
              <w:autoSpaceDE/>
              <w:autoSpaceDN/>
              <w:bidi w:val="0"/>
              <w:adjustRightInd/>
              <w:snapToGrid/>
              <w:ind w:firstLine="482"/>
              <w:textAlignment w:val="auto"/>
              <w:rPr>
                <w:b/>
                <w:color w:val="auto"/>
                <w:highlight w:val="none"/>
                <w:u w:val="none"/>
              </w:rPr>
            </w:pPr>
            <w:r>
              <w:rPr>
                <w:b/>
                <w:color w:val="auto"/>
                <w:highlight w:val="none"/>
                <w:u w:val="none"/>
              </w:rPr>
              <w:t>（4）卫生防护距离</w:t>
            </w:r>
          </w:p>
          <w:p>
            <w:pPr>
              <w:pStyle w:val="3"/>
              <w:ind w:firstLine="480"/>
              <w:rPr>
                <w:rFonts w:hint="eastAsia"/>
                <w:color w:val="auto"/>
                <w:highlight w:val="none"/>
                <w:u w:val="none"/>
                <w:lang w:eastAsia="zh-CN"/>
              </w:rPr>
            </w:pPr>
            <w:r>
              <w:rPr>
                <w:color w:val="auto"/>
                <w:highlight w:val="none"/>
                <w:u w:val="none"/>
              </w:rPr>
              <w:t>根据《</w:t>
            </w:r>
            <w:r>
              <w:rPr>
                <w:rFonts w:hint="eastAsia"/>
                <w:color w:val="auto"/>
                <w:highlight w:val="none"/>
                <w:u w:val="none"/>
                <w:lang w:val="en-US" w:eastAsia="zh-CN"/>
              </w:rPr>
              <w:t>公路环境保护设计规范</w:t>
            </w:r>
            <w:r>
              <w:rPr>
                <w:color w:val="auto"/>
                <w:highlight w:val="none"/>
                <w:u w:val="none"/>
              </w:rPr>
              <w:t>》(</w:t>
            </w:r>
            <w:r>
              <w:rPr>
                <w:rFonts w:hint="eastAsia"/>
                <w:color w:val="auto"/>
                <w:highlight w:val="none"/>
                <w:u w:val="none"/>
                <w:lang w:val="en-US" w:eastAsia="zh-CN"/>
              </w:rPr>
              <w:t>JBGB04-2010</w:t>
            </w:r>
            <w:r>
              <w:rPr>
                <w:color w:val="auto"/>
                <w:highlight w:val="none"/>
                <w:u w:val="none"/>
              </w:rPr>
              <w:t>)的有关规定</w:t>
            </w:r>
            <w:r>
              <w:rPr>
                <w:rFonts w:hint="eastAsia"/>
                <w:color w:val="auto"/>
                <w:highlight w:val="none"/>
                <w:u w:val="none"/>
                <w:lang w:eastAsia="zh-CN"/>
              </w:rPr>
              <w:t>：“</w:t>
            </w:r>
            <w:r>
              <w:rPr>
                <w:rFonts w:hint="eastAsia"/>
                <w:color w:val="auto"/>
                <w:highlight w:val="none"/>
                <w:u w:val="none"/>
                <w:lang w:val="en-US" w:eastAsia="zh-CN"/>
              </w:rPr>
              <w:t>6.3.2 施工期环境空气污染防治应符合以下规定：1 沥青混合料应集中场站搅拌，其设备污染物排放应符合现行《大气污染物综合排放标准》（GB 16297）的规定；搅拌场站据环境敏感点的距离不宜小于300m，并应设置在当地施工季节最小频率风向的被保护对象的上风侧；”</w:t>
            </w:r>
            <w:r>
              <w:rPr>
                <w:color w:val="auto"/>
                <w:highlight w:val="none"/>
                <w:u w:val="none"/>
              </w:rPr>
              <w:t>因此本项目以生产区边界为起点，设置</w:t>
            </w:r>
            <w:r>
              <w:rPr>
                <w:rFonts w:hint="eastAsia"/>
                <w:color w:val="auto"/>
                <w:highlight w:val="none"/>
                <w:u w:val="none"/>
                <w:lang w:val="en-US" w:eastAsia="zh-CN"/>
              </w:rPr>
              <w:t>3</w:t>
            </w:r>
            <w:r>
              <w:rPr>
                <w:color w:val="auto"/>
                <w:highlight w:val="none"/>
                <w:u w:val="none"/>
              </w:rPr>
              <w:t>00m的卫生防护距离。现状项目卫生防护距离内不存在敏感点。环评要求：防护距离内不应新建住宅、学校、医院等环境敏感设施，不宜建食品、医药等企业，以免产生不良影</w:t>
            </w:r>
            <w:r>
              <w:rPr>
                <w:rFonts w:hint="eastAsia"/>
                <w:color w:val="auto"/>
                <w:highlight w:val="none"/>
                <w:u w:val="none"/>
                <w:lang w:val="en-US" w:eastAsia="zh-CN"/>
              </w:rPr>
              <w:t>响</w:t>
            </w:r>
            <w:r>
              <w:rPr>
                <w:rFonts w:hint="eastAsia"/>
                <w:color w:val="auto"/>
                <w:highlight w:val="none"/>
                <w:u w:val="none"/>
                <w:lang w:eastAsia="zh-CN"/>
              </w:rPr>
              <w:t>。</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482" w:firstLineChars="200"/>
              <w:textAlignment w:val="auto"/>
              <w:rPr>
                <w:b/>
                <w:color w:val="auto"/>
                <w:sz w:val="24"/>
                <w:highlight w:val="none"/>
              </w:rPr>
            </w:pPr>
            <w:r>
              <w:rPr>
                <w:b/>
                <w:color w:val="auto"/>
                <w:sz w:val="24"/>
                <w:highlight w:val="none"/>
              </w:rPr>
              <w:t>3、声环境影响分析</w:t>
            </w:r>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firstLine="480"/>
              <w:textAlignment w:val="auto"/>
              <w:rPr>
                <w:rFonts w:hint="eastAsia"/>
                <w:color w:val="auto"/>
              </w:rPr>
            </w:pPr>
            <w:r>
              <w:rPr>
                <w:rFonts w:hint="eastAsia"/>
                <w:color w:val="auto"/>
              </w:rPr>
              <w:t>（1）噪声源强分析</w:t>
            </w:r>
          </w:p>
          <w:p>
            <w:pPr>
              <w:pStyle w:val="3"/>
              <w:keepNext w:val="0"/>
              <w:keepLines w:val="0"/>
              <w:pageBreakBefore w:val="0"/>
              <w:widowControl w:val="0"/>
              <w:kinsoku/>
              <w:wordWrap/>
              <w:overflowPunct/>
              <w:topLinePunct w:val="0"/>
              <w:autoSpaceDE w:val="0"/>
              <w:autoSpaceDN w:val="0"/>
              <w:bidi w:val="0"/>
              <w:adjustRightInd/>
              <w:snapToGrid/>
              <w:spacing w:before="0" w:line="360" w:lineRule="auto"/>
              <w:ind w:firstLine="480"/>
              <w:textAlignment w:val="auto"/>
              <w:rPr>
                <w:rFonts w:ascii="黑体"/>
                <w:color w:val="auto"/>
                <w:sz w:val="20"/>
              </w:rPr>
            </w:pPr>
            <w:r>
              <w:rPr>
                <w:rFonts w:hint="eastAsia"/>
                <w:color w:val="auto"/>
              </w:rPr>
              <w:t>本项目噪声源分区及等效为点源的源强如下表所示。</w:t>
            </w:r>
          </w:p>
          <w:p>
            <w:pPr>
              <w:pStyle w:val="15"/>
              <w:jc w:val="center"/>
              <w:rPr>
                <w:rFonts w:hint="default" w:ascii="Times New Roman" w:hAnsi="Times New Roman" w:eastAsia="宋体" w:cs="Times New Roman"/>
                <w:b/>
                <w:bCs/>
                <w:color w:val="auto"/>
                <w:sz w:val="21"/>
                <w:szCs w:val="21"/>
                <w:highlight w:val="none"/>
                <w:lang w:val="zh-CN" w:eastAsia="zh-CN" w:bidi="zh-CN"/>
              </w:rPr>
            </w:pPr>
          </w:p>
          <w:p>
            <w:pPr>
              <w:pStyle w:val="15"/>
              <w:jc w:val="center"/>
              <w:rPr>
                <w:rFonts w:hint="default" w:ascii="Times New Roman" w:hAnsi="Times New Roman" w:eastAsia="宋体" w:cs="Times New Roman"/>
                <w:b/>
                <w:bCs/>
                <w:color w:val="auto"/>
                <w:sz w:val="21"/>
                <w:szCs w:val="21"/>
                <w:highlight w:val="none"/>
                <w:lang w:val="zh-CN" w:eastAsia="zh-CN" w:bidi="zh-CN"/>
              </w:rPr>
            </w:pPr>
            <w:r>
              <w:rPr>
                <w:rFonts w:hint="default" w:ascii="Times New Roman" w:hAnsi="Times New Roman" w:eastAsia="宋体" w:cs="Times New Roman"/>
                <w:b/>
                <w:bCs/>
                <w:color w:val="auto"/>
                <w:sz w:val="21"/>
                <w:szCs w:val="21"/>
                <w:highlight w:val="none"/>
                <w:lang w:val="zh-CN" w:eastAsia="zh-CN" w:bidi="zh-CN"/>
              </w:rPr>
              <w:t>表</w:t>
            </w:r>
            <w:r>
              <w:rPr>
                <w:rFonts w:hint="eastAsia" w:ascii="Times New Roman" w:hAnsi="Times New Roman" w:eastAsia="宋体" w:cs="Times New Roman"/>
                <w:b/>
                <w:bCs/>
                <w:color w:val="auto"/>
                <w:sz w:val="21"/>
                <w:szCs w:val="21"/>
                <w:highlight w:val="none"/>
                <w:lang w:val="en-US" w:eastAsia="zh-CN" w:bidi="zh-CN"/>
              </w:rPr>
              <w:t>4-16</w:t>
            </w:r>
            <w:r>
              <w:rPr>
                <w:rFonts w:hint="default" w:ascii="Times New Roman" w:hAnsi="Times New Roman" w:eastAsia="宋体" w:cs="Times New Roman"/>
                <w:b/>
                <w:bCs/>
                <w:color w:val="auto"/>
                <w:sz w:val="21"/>
                <w:szCs w:val="21"/>
                <w:highlight w:val="none"/>
                <w:lang w:val="zh-CN" w:eastAsia="zh-CN" w:bidi="zh-CN"/>
              </w:rPr>
              <w:t xml:space="preserve">  拟建项目主要噪声源强一览表    单位：dB（A）</w:t>
            </w:r>
          </w:p>
          <w:tbl>
            <w:tblPr>
              <w:tblStyle w:val="12"/>
              <w:tblpPr w:leftFromText="180" w:rightFromText="180" w:vertAnchor="text" w:horzAnchor="page" w:tblpX="107" w:tblpY="228"/>
              <w:tblOverlap w:val="never"/>
              <w:tblW w:w="7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2155"/>
              <w:gridCol w:w="2455"/>
              <w:gridCol w:w="2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1" w:type="dxa"/>
                  <w:vMerge w:val="restart"/>
                </w:tcPr>
                <w:p>
                  <w:pPr>
                    <w:pStyle w:val="3"/>
                    <w:ind w:left="0" w:leftChars="0" w:firstLine="0" w:firstLineChars="0"/>
                    <w:rPr>
                      <w:rFonts w:hint="default" w:ascii="宋体" w:hAnsi="宋体" w:eastAsia="宋体" w:cs="宋体"/>
                      <w:b/>
                      <w:bCs/>
                      <w:color w:val="auto"/>
                      <w:sz w:val="21"/>
                      <w:szCs w:val="21"/>
                      <w:vertAlign w:val="baseline"/>
                      <w:lang w:val="en-US" w:eastAsia="zh-CN" w:bidi="zh-CN"/>
                    </w:rPr>
                  </w:pPr>
                  <w:r>
                    <w:rPr>
                      <w:rFonts w:hint="eastAsia" w:ascii="宋体" w:hAnsi="宋体" w:cs="宋体"/>
                      <w:b/>
                      <w:bCs/>
                      <w:color w:val="auto"/>
                      <w:sz w:val="21"/>
                      <w:szCs w:val="21"/>
                      <w:vertAlign w:val="baseline"/>
                      <w:lang w:val="en-US" w:eastAsia="zh-CN" w:bidi="zh-CN"/>
                    </w:rPr>
                    <w:t>序号</w:t>
                  </w:r>
                </w:p>
              </w:tc>
              <w:tc>
                <w:tcPr>
                  <w:tcW w:w="2155" w:type="dxa"/>
                  <w:vMerge w:val="restart"/>
                </w:tcPr>
                <w:p>
                  <w:pPr>
                    <w:pStyle w:val="3"/>
                    <w:rPr>
                      <w:rFonts w:hint="default" w:ascii="宋体" w:hAnsi="宋体" w:eastAsia="宋体" w:cs="宋体"/>
                      <w:b/>
                      <w:bCs/>
                      <w:color w:val="auto"/>
                      <w:sz w:val="21"/>
                      <w:szCs w:val="21"/>
                      <w:vertAlign w:val="baseline"/>
                      <w:lang w:val="en-US" w:eastAsia="zh-CN" w:bidi="zh-CN"/>
                    </w:rPr>
                  </w:pPr>
                  <w:r>
                    <w:rPr>
                      <w:rFonts w:hint="eastAsia" w:ascii="宋体" w:hAnsi="宋体" w:cs="宋体"/>
                      <w:b/>
                      <w:bCs/>
                      <w:color w:val="auto"/>
                      <w:sz w:val="21"/>
                      <w:szCs w:val="21"/>
                      <w:vertAlign w:val="baseline"/>
                      <w:lang w:val="en-US" w:eastAsia="zh-CN" w:bidi="zh-CN"/>
                    </w:rPr>
                    <w:t>设备名称</w:t>
                  </w:r>
                </w:p>
              </w:tc>
              <w:tc>
                <w:tcPr>
                  <w:tcW w:w="4712" w:type="dxa"/>
                  <w:gridSpan w:val="2"/>
                </w:tcPr>
                <w:p>
                  <w:pPr>
                    <w:pStyle w:val="3"/>
                    <w:jc w:val="center"/>
                    <w:rPr>
                      <w:rFonts w:hint="default" w:ascii="宋体" w:hAnsi="宋体" w:eastAsia="宋体" w:cs="宋体"/>
                      <w:b/>
                      <w:bCs/>
                      <w:color w:val="auto"/>
                      <w:sz w:val="21"/>
                      <w:szCs w:val="21"/>
                      <w:vertAlign w:val="baseline"/>
                      <w:lang w:val="zh-CN" w:eastAsia="zh-CN" w:bidi="zh-CN"/>
                    </w:rPr>
                  </w:pPr>
                  <w:r>
                    <w:rPr>
                      <w:rFonts w:hint="eastAsia" w:ascii="宋体" w:hAnsi="宋体" w:cs="宋体"/>
                      <w:b/>
                      <w:bCs/>
                      <w:color w:val="auto"/>
                      <w:sz w:val="21"/>
                      <w:szCs w:val="21"/>
                      <w:vertAlign w:val="baseline"/>
                      <w:lang w:val="en-US" w:eastAsia="zh-CN" w:bidi="zh-CN"/>
                    </w:rPr>
                    <w:t>源强</w:t>
                  </w:r>
                  <w:r>
                    <w:rPr>
                      <w:rFonts w:hint="default" w:ascii="宋体" w:hAnsi="宋体" w:eastAsia="宋体" w:cs="宋体"/>
                      <w:b/>
                      <w:bCs/>
                      <w:color w:val="auto"/>
                      <w:sz w:val="21"/>
                      <w:szCs w:val="21"/>
                      <w:lang w:val="zh-CN" w:eastAsia="zh-CN" w:bidi="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1" w:hRule="atLeast"/>
              </w:trPr>
              <w:tc>
                <w:tcPr>
                  <w:tcW w:w="991" w:type="dxa"/>
                  <w:vMerge w:val="continue"/>
                </w:tcPr>
                <w:p>
                  <w:pPr>
                    <w:pStyle w:val="3"/>
                    <w:rPr>
                      <w:rFonts w:hint="default" w:ascii="宋体" w:hAnsi="宋体" w:eastAsia="宋体" w:cs="宋体"/>
                      <w:b/>
                      <w:bCs/>
                      <w:color w:val="auto"/>
                      <w:sz w:val="21"/>
                      <w:szCs w:val="21"/>
                      <w:vertAlign w:val="baseline"/>
                      <w:lang w:val="zh-CN" w:eastAsia="zh-CN" w:bidi="zh-CN"/>
                    </w:rPr>
                  </w:pPr>
                </w:p>
              </w:tc>
              <w:tc>
                <w:tcPr>
                  <w:tcW w:w="2155" w:type="dxa"/>
                  <w:vMerge w:val="continue"/>
                </w:tcPr>
                <w:p>
                  <w:pPr>
                    <w:pStyle w:val="3"/>
                    <w:rPr>
                      <w:rFonts w:hint="default" w:ascii="宋体" w:hAnsi="宋体" w:eastAsia="宋体" w:cs="宋体"/>
                      <w:b/>
                      <w:bCs/>
                      <w:color w:val="auto"/>
                      <w:sz w:val="21"/>
                      <w:szCs w:val="21"/>
                      <w:vertAlign w:val="baseline"/>
                      <w:lang w:val="zh-CN" w:eastAsia="zh-CN" w:bidi="zh-CN"/>
                    </w:rPr>
                  </w:pPr>
                </w:p>
              </w:tc>
              <w:tc>
                <w:tcPr>
                  <w:tcW w:w="2455" w:type="dxa"/>
                </w:tcPr>
                <w:p>
                  <w:pPr>
                    <w:pStyle w:val="3"/>
                    <w:rPr>
                      <w:rFonts w:hint="default" w:ascii="宋体" w:hAnsi="宋体" w:eastAsia="宋体" w:cs="宋体"/>
                      <w:b/>
                      <w:bCs/>
                      <w:color w:val="auto"/>
                      <w:sz w:val="21"/>
                      <w:szCs w:val="21"/>
                      <w:vertAlign w:val="baseline"/>
                      <w:lang w:val="en-US" w:eastAsia="zh-CN" w:bidi="zh-CN"/>
                    </w:rPr>
                  </w:pPr>
                  <w:r>
                    <w:rPr>
                      <w:rFonts w:hint="eastAsia" w:ascii="宋体" w:hAnsi="宋体" w:cs="宋体"/>
                      <w:b/>
                      <w:bCs/>
                      <w:color w:val="auto"/>
                      <w:sz w:val="21"/>
                      <w:szCs w:val="21"/>
                      <w:vertAlign w:val="baseline"/>
                      <w:lang w:val="en-US" w:eastAsia="zh-CN" w:bidi="zh-CN"/>
                    </w:rPr>
                    <w:t>治理前</w:t>
                  </w:r>
                </w:p>
              </w:tc>
              <w:tc>
                <w:tcPr>
                  <w:tcW w:w="2257" w:type="dxa"/>
                </w:tcPr>
                <w:p>
                  <w:pPr>
                    <w:pStyle w:val="3"/>
                    <w:rPr>
                      <w:rFonts w:hint="default" w:ascii="宋体" w:hAnsi="宋体" w:eastAsia="宋体" w:cs="宋体"/>
                      <w:b/>
                      <w:bCs/>
                      <w:color w:val="auto"/>
                      <w:sz w:val="21"/>
                      <w:szCs w:val="21"/>
                      <w:vertAlign w:val="baseline"/>
                      <w:lang w:val="en-US" w:eastAsia="zh-CN" w:bidi="zh-CN"/>
                    </w:rPr>
                  </w:pPr>
                  <w:r>
                    <w:rPr>
                      <w:rFonts w:hint="eastAsia" w:ascii="宋体" w:hAnsi="宋体" w:cs="宋体"/>
                      <w:b/>
                      <w:bCs/>
                      <w:color w:val="auto"/>
                      <w:sz w:val="21"/>
                      <w:szCs w:val="21"/>
                      <w:vertAlign w:val="baseline"/>
                      <w:lang w:val="en-US" w:eastAsia="zh-CN" w:bidi="zh-CN"/>
                    </w:rPr>
                    <w:t>治理后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1" w:hRule="atLeast"/>
              </w:trPr>
              <w:tc>
                <w:tcPr>
                  <w:tcW w:w="991" w:type="dxa"/>
                </w:tcPr>
                <w:p>
                  <w:pPr>
                    <w:pStyle w:val="3"/>
                    <w:rPr>
                      <w:rFonts w:hint="default" w:ascii="宋体" w:hAnsi="宋体" w:eastAsia="宋体" w:cs="宋体"/>
                      <w:b/>
                      <w:bCs/>
                      <w:color w:val="auto"/>
                      <w:sz w:val="21"/>
                      <w:szCs w:val="21"/>
                      <w:vertAlign w:val="baseline"/>
                      <w:lang w:val="en-US" w:eastAsia="zh-CN" w:bidi="zh-CN"/>
                    </w:rPr>
                  </w:pPr>
                  <w:r>
                    <w:rPr>
                      <w:rFonts w:hint="eastAsia" w:ascii="宋体" w:hAnsi="宋体" w:cs="宋体"/>
                      <w:b/>
                      <w:bCs/>
                      <w:color w:val="auto"/>
                      <w:sz w:val="21"/>
                      <w:szCs w:val="21"/>
                      <w:vertAlign w:val="baseline"/>
                      <w:lang w:val="en-US" w:eastAsia="zh-CN" w:bidi="zh-CN"/>
                    </w:rPr>
                    <w:t>1</w:t>
                  </w:r>
                </w:p>
              </w:tc>
              <w:tc>
                <w:tcPr>
                  <w:tcW w:w="2155" w:type="dxa"/>
                  <w:vAlign w:val="center"/>
                </w:tcPr>
                <w:p>
                  <w:pPr>
                    <w:ind w:left="-15" w:leftChars="0" w:right="0" w:rightChars="0"/>
                    <w:jc w:val="center"/>
                    <w:rPr>
                      <w:rFonts w:hint="default" w:ascii="宋体" w:hAnsi="宋体" w:eastAsia="宋体" w:cs="宋体"/>
                      <w:b/>
                      <w:bCs/>
                      <w:color w:val="auto"/>
                      <w:sz w:val="21"/>
                      <w:szCs w:val="21"/>
                      <w:vertAlign w:val="baseline"/>
                      <w:lang w:val="zh-CN" w:eastAsia="zh-CN" w:bidi="zh-CN"/>
                    </w:rPr>
                  </w:pPr>
                  <w:r>
                    <w:rPr>
                      <w:rFonts w:hint="eastAsia" w:ascii="Times New Roman" w:hAnsi="Times New Roman" w:cs="Times New Roman"/>
                      <w:color w:val="auto"/>
                      <w:sz w:val="21"/>
                      <w:szCs w:val="21"/>
                      <w:lang w:val="en-US" w:eastAsia="zh-CN"/>
                    </w:rPr>
                    <w:t>铲车</w:t>
                  </w:r>
                </w:p>
              </w:tc>
              <w:tc>
                <w:tcPr>
                  <w:tcW w:w="2455" w:type="dxa"/>
                  <w:vAlign w:val="center"/>
                </w:tcPr>
                <w:p>
                  <w:pPr>
                    <w:ind w:left="0" w:leftChars="0" w:right="0" w:rightChars="0"/>
                    <w:jc w:val="center"/>
                    <w:rPr>
                      <w:rFonts w:hint="default" w:ascii="Times New Roman" w:hAnsi="Times New Roman" w:cs="Times New Roman"/>
                      <w:bCs/>
                      <w:color w:val="auto"/>
                      <w:sz w:val="21"/>
                      <w:szCs w:val="21"/>
                      <w:lang w:val="zh-CN" w:eastAsia="zh-CN"/>
                    </w:rPr>
                  </w:pPr>
                  <w:r>
                    <w:rPr>
                      <w:rFonts w:hint="default" w:ascii="Times New Roman" w:hAnsi="Times New Roman" w:cs="Times New Roman"/>
                      <w:bCs/>
                      <w:color w:val="auto"/>
                      <w:sz w:val="21"/>
                      <w:szCs w:val="21"/>
                    </w:rPr>
                    <w:t>85</w:t>
                  </w:r>
                </w:p>
              </w:tc>
              <w:tc>
                <w:tcPr>
                  <w:tcW w:w="2257"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991" w:type="dxa"/>
                </w:tcPr>
                <w:p>
                  <w:pPr>
                    <w:pStyle w:val="3"/>
                    <w:rPr>
                      <w:rFonts w:hint="default" w:ascii="宋体" w:hAnsi="宋体" w:eastAsia="宋体" w:cs="宋体"/>
                      <w:b/>
                      <w:bCs/>
                      <w:color w:val="auto"/>
                      <w:sz w:val="21"/>
                      <w:szCs w:val="21"/>
                      <w:vertAlign w:val="baseline"/>
                      <w:lang w:val="en-US" w:eastAsia="zh-CN" w:bidi="zh-CN"/>
                    </w:rPr>
                  </w:pPr>
                  <w:r>
                    <w:rPr>
                      <w:rFonts w:hint="eastAsia" w:ascii="宋体" w:hAnsi="宋体" w:cs="宋体"/>
                      <w:b/>
                      <w:bCs/>
                      <w:color w:val="auto"/>
                      <w:sz w:val="21"/>
                      <w:szCs w:val="21"/>
                      <w:vertAlign w:val="baseline"/>
                      <w:lang w:val="en-US" w:eastAsia="zh-CN" w:bidi="zh-CN"/>
                    </w:rPr>
                    <w:t>2</w:t>
                  </w:r>
                </w:p>
              </w:tc>
              <w:tc>
                <w:tcPr>
                  <w:tcW w:w="2155" w:type="dxa"/>
                  <w:vAlign w:val="center"/>
                </w:tcPr>
                <w:p>
                  <w:pPr>
                    <w:ind w:left="-15" w:leftChars="0" w:right="0" w:rightChars="0"/>
                    <w:jc w:val="center"/>
                    <w:rPr>
                      <w:rFonts w:hint="default" w:ascii="宋体" w:hAnsi="宋体" w:eastAsia="宋体" w:cs="宋体"/>
                      <w:b/>
                      <w:bCs/>
                      <w:color w:val="auto"/>
                      <w:sz w:val="21"/>
                      <w:szCs w:val="21"/>
                      <w:vertAlign w:val="baseline"/>
                      <w:lang w:val="zh-CN" w:eastAsia="zh-CN" w:bidi="zh-CN"/>
                    </w:rPr>
                  </w:pPr>
                  <w:r>
                    <w:rPr>
                      <w:rFonts w:hint="default" w:ascii="Times New Roman" w:hAnsi="Times New Roman" w:cs="Times New Roman"/>
                      <w:color w:val="auto"/>
                      <w:sz w:val="21"/>
                      <w:szCs w:val="21"/>
                    </w:rPr>
                    <w:t>烘干滚筒</w:t>
                  </w:r>
                </w:p>
              </w:tc>
              <w:tc>
                <w:tcPr>
                  <w:tcW w:w="2455" w:type="dxa"/>
                  <w:vAlign w:val="center"/>
                </w:tcPr>
                <w:p>
                  <w:pPr>
                    <w:ind w:left="0" w:leftChars="0" w:right="0" w:rightChars="0"/>
                    <w:jc w:val="center"/>
                    <w:rPr>
                      <w:rFonts w:hint="default" w:ascii="Times New Roman" w:hAnsi="Times New Roman" w:cs="Times New Roman"/>
                      <w:bCs/>
                      <w:color w:val="auto"/>
                      <w:sz w:val="21"/>
                      <w:szCs w:val="21"/>
                      <w:lang w:val="zh-CN" w:eastAsia="zh-CN"/>
                    </w:rPr>
                  </w:pPr>
                  <w:r>
                    <w:rPr>
                      <w:rFonts w:hint="eastAsia" w:ascii="Times New Roman" w:hAnsi="Times New Roman" w:cs="Times New Roman"/>
                      <w:bCs/>
                      <w:color w:val="auto"/>
                      <w:sz w:val="21"/>
                      <w:szCs w:val="21"/>
                      <w:lang w:val="en-US" w:eastAsia="zh-CN"/>
                    </w:rPr>
                    <w:t>90</w:t>
                  </w:r>
                </w:p>
              </w:tc>
              <w:tc>
                <w:tcPr>
                  <w:tcW w:w="2257"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91" w:type="dxa"/>
                </w:tcPr>
                <w:p>
                  <w:pPr>
                    <w:pStyle w:val="3"/>
                    <w:rPr>
                      <w:rFonts w:hint="default" w:ascii="宋体" w:hAnsi="宋体" w:eastAsia="宋体" w:cs="宋体"/>
                      <w:b/>
                      <w:bCs/>
                      <w:color w:val="auto"/>
                      <w:sz w:val="21"/>
                      <w:szCs w:val="21"/>
                      <w:vertAlign w:val="baseline"/>
                      <w:lang w:val="en-US" w:eastAsia="zh-CN" w:bidi="zh-CN"/>
                    </w:rPr>
                  </w:pPr>
                  <w:r>
                    <w:rPr>
                      <w:rFonts w:hint="eastAsia" w:ascii="宋体" w:hAnsi="宋体" w:cs="宋体"/>
                      <w:b/>
                      <w:bCs/>
                      <w:color w:val="auto"/>
                      <w:sz w:val="21"/>
                      <w:szCs w:val="21"/>
                      <w:vertAlign w:val="baseline"/>
                      <w:lang w:val="en-US" w:eastAsia="zh-CN" w:bidi="zh-CN"/>
                    </w:rPr>
                    <w:t>3</w:t>
                  </w:r>
                </w:p>
              </w:tc>
              <w:tc>
                <w:tcPr>
                  <w:tcW w:w="2155" w:type="dxa"/>
                  <w:vAlign w:val="center"/>
                </w:tcPr>
                <w:p>
                  <w:pPr>
                    <w:ind w:left="-15" w:leftChars="0" w:right="0" w:rightChars="0"/>
                    <w:jc w:val="center"/>
                    <w:rPr>
                      <w:rFonts w:hint="default" w:ascii="宋体" w:hAnsi="宋体" w:eastAsia="宋体" w:cs="宋体"/>
                      <w:b/>
                      <w:bCs/>
                      <w:color w:val="auto"/>
                      <w:sz w:val="21"/>
                      <w:szCs w:val="21"/>
                      <w:vertAlign w:val="baseline"/>
                      <w:lang w:val="zh-CN" w:eastAsia="zh-CN" w:bidi="zh-CN"/>
                    </w:rPr>
                  </w:pPr>
                  <w:r>
                    <w:rPr>
                      <w:rFonts w:hint="eastAsia" w:ascii="Times New Roman" w:hAnsi="Times New Roman" w:cs="Times New Roman"/>
                      <w:color w:val="auto"/>
                      <w:sz w:val="21"/>
                      <w:szCs w:val="21"/>
                      <w:lang w:val="en-US" w:eastAsia="zh-CN"/>
                    </w:rPr>
                    <w:t>提升系统</w:t>
                  </w:r>
                </w:p>
              </w:tc>
              <w:tc>
                <w:tcPr>
                  <w:tcW w:w="2455" w:type="dxa"/>
                  <w:vAlign w:val="center"/>
                </w:tcPr>
                <w:p>
                  <w:pPr>
                    <w:ind w:left="0" w:leftChars="0" w:right="0" w:rightChars="0"/>
                    <w:jc w:val="center"/>
                    <w:rPr>
                      <w:rFonts w:hint="default" w:ascii="Times New Roman" w:hAnsi="Times New Roman" w:cs="Times New Roman"/>
                      <w:bCs/>
                      <w:color w:val="auto"/>
                      <w:sz w:val="21"/>
                      <w:szCs w:val="21"/>
                      <w:lang w:val="zh-CN" w:eastAsia="zh-CN"/>
                    </w:rPr>
                  </w:pPr>
                  <w:r>
                    <w:rPr>
                      <w:rFonts w:hint="eastAsia" w:ascii="Times New Roman" w:hAnsi="Times New Roman" w:cs="Times New Roman"/>
                      <w:bCs/>
                      <w:color w:val="auto"/>
                      <w:sz w:val="21"/>
                      <w:szCs w:val="21"/>
                      <w:lang w:val="en-US" w:eastAsia="zh-CN"/>
                    </w:rPr>
                    <w:t>85</w:t>
                  </w:r>
                </w:p>
              </w:tc>
              <w:tc>
                <w:tcPr>
                  <w:tcW w:w="2257"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1" w:hRule="atLeast"/>
              </w:trPr>
              <w:tc>
                <w:tcPr>
                  <w:tcW w:w="991" w:type="dxa"/>
                </w:tcPr>
                <w:p>
                  <w:pPr>
                    <w:pStyle w:val="3"/>
                    <w:rPr>
                      <w:rFonts w:hint="default" w:ascii="宋体" w:hAnsi="宋体" w:eastAsia="宋体" w:cs="宋体"/>
                      <w:b/>
                      <w:bCs/>
                      <w:color w:val="auto"/>
                      <w:sz w:val="21"/>
                      <w:szCs w:val="21"/>
                      <w:vertAlign w:val="baseline"/>
                      <w:lang w:val="en-US" w:eastAsia="zh-CN" w:bidi="zh-CN"/>
                    </w:rPr>
                  </w:pPr>
                  <w:r>
                    <w:rPr>
                      <w:rFonts w:hint="eastAsia" w:ascii="宋体" w:hAnsi="宋体" w:cs="宋体"/>
                      <w:b/>
                      <w:bCs/>
                      <w:color w:val="auto"/>
                      <w:sz w:val="21"/>
                      <w:szCs w:val="21"/>
                      <w:vertAlign w:val="baseline"/>
                      <w:lang w:val="en-US" w:eastAsia="zh-CN" w:bidi="zh-CN"/>
                    </w:rPr>
                    <w:t>4</w:t>
                  </w:r>
                </w:p>
              </w:tc>
              <w:tc>
                <w:tcPr>
                  <w:tcW w:w="2155" w:type="dxa"/>
                  <w:vAlign w:val="center"/>
                </w:tcPr>
                <w:p>
                  <w:pPr>
                    <w:ind w:left="-15" w:leftChars="0" w:right="0" w:rightChars="0"/>
                    <w:jc w:val="center"/>
                    <w:rPr>
                      <w:rFonts w:hint="default" w:ascii="宋体" w:hAnsi="宋体" w:eastAsia="宋体" w:cs="宋体"/>
                      <w:b/>
                      <w:bCs/>
                      <w:color w:val="auto"/>
                      <w:sz w:val="21"/>
                      <w:szCs w:val="21"/>
                      <w:vertAlign w:val="baseline"/>
                      <w:lang w:val="zh-CN" w:eastAsia="zh-CN" w:bidi="zh-CN"/>
                    </w:rPr>
                  </w:pPr>
                  <w:r>
                    <w:rPr>
                      <w:rFonts w:hint="default" w:ascii="Times New Roman" w:hAnsi="Times New Roman" w:cs="Times New Roman"/>
                      <w:color w:val="auto"/>
                      <w:sz w:val="21"/>
                      <w:szCs w:val="21"/>
                    </w:rPr>
                    <w:t>振动筛</w:t>
                  </w:r>
                </w:p>
              </w:tc>
              <w:tc>
                <w:tcPr>
                  <w:tcW w:w="2455" w:type="dxa"/>
                  <w:vAlign w:val="center"/>
                </w:tcPr>
                <w:p>
                  <w:pPr>
                    <w:ind w:left="0" w:leftChars="0" w:right="0" w:rightChars="0"/>
                    <w:jc w:val="center"/>
                    <w:rPr>
                      <w:rFonts w:hint="default" w:ascii="Times New Roman" w:hAnsi="Times New Roman" w:cs="Times New Roman"/>
                      <w:bCs/>
                      <w:color w:val="auto"/>
                      <w:sz w:val="21"/>
                      <w:szCs w:val="21"/>
                      <w:lang w:val="zh-CN" w:eastAsia="zh-CN"/>
                    </w:rPr>
                  </w:pPr>
                  <w:r>
                    <w:rPr>
                      <w:rFonts w:hint="eastAsia" w:ascii="Times New Roman" w:hAnsi="Times New Roman" w:cs="Times New Roman"/>
                      <w:bCs/>
                      <w:color w:val="auto"/>
                      <w:sz w:val="21"/>
                      <w:szCs w:val="21"/>
                      <w:lang w:val="en-US" w:eastAsia="zh-CN"/>
                    </w:rPr>
                    <w:t>80</w:t>
                  </w:r>
                </w:p>
              </w:tc>
              <w:tc>
                <w:tcPr>
                  <w:tcW w:w="2257"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91" w:type="dxa"/>
                </w:tcPr>
                <w:p>
                  <w:pPr>
                    <w:pStyle w:val="3"/>
                    <w:rPr>
                      <w:rFonts w:hint="default" w:ascii="宋体" w:hAnsi="宋体" w:eastAsia="宋体" w:cs="宋体"/>
                      <w:b/>
                      <w:bCs/>
                      <w:color w:val="auto"/>
                      <w:sz w:val="21"/>
                      <w:szCs w:val="21"/>
                      <w:vertAlign w:val="baseline"/>
                      <w:lang w:val="en-US" w:eastAsia="zh-CN" w:bidi="zh-CN"/>
                    </w:rPr>
                  </w:pPr>
                  <w:r>
                    <w:rPr>
                      <w:rFonts w:hint="eastAsia" w:ascii="宋体" w:hAnsi="宋体" w:cs="宋体"/>
                      <w:b/>
                      <w:bCs/>
                      <w:color w:val="auto"/>
                      <w:sz w:val="21"/>
                      <w:szCs w:val="21"/>
                      <w:vertAlign w:val="baseline"/>
                      <w:lang w:val="en-US" w:eastAsia="zh-CN" w:bidi="zh-CN"/>
                    </w:rPr>
                    <w:t>5</w:t>
                  </w:r>
                </w:p>
              </w:tc>
              <w:tc>
                <w:tcPr>
                  <w:tcW w:w="2155" w:type="dxa"/>
                  <w:vAlign w:val="center"/>
                </w:tcPr>
                <w:p>
                  <w:pPr>
                    <w:ind w:left="-15" w:leftChars="0" w:right="0" w:rightChars="0"/>
                    <w:jc w:val="center"/>
                    <w:rPr>
                      <w:rFonts w:hint="default" w:ascii="宋体" w:hAnsi="宋体" w:eastAsia="宋体" w:cs="宋体"/>
                      <w:b/>
                      <w:bCs/>
                      <w:color w:val="auto"/>
                      <w:sz w:val="21"/>
                      <w:szCs w:val="21"/>
                      <w:vertAlign w:val="baseline"/>
                      <w:lang w:val="zh-CN" w:eastAsia="zh-CN" w:bidi="zh-CN"/>
                    </w:rPr>
                  </w:pPr>
                  <w:r>
                    <w:rPr>
                      <w:rFonts w:hint="default" w:ascii="Times New Roman" w:hAnsi="Times New Roman" w:cs="Times New Roman"/>
                      <w:color w:val="auto"/>
                      <w:sz w:val="21"/>
                      <w:szCs w:val="21"/>
                    </w:rPr>
                    <w:t>搅拌缸</w:t>
                  </w:r>
                </w:p>
              </w:tc>
              <w:tc>
                <w:tcPr>
                  <w:tcW w:w="2455" w:type="dxa"/>
                  <w:vAlign w:val="center"/>
                </w:tcPr>
                <w:p>
                  <w:pPr>
                    <w:ind w:left="0" w:leftChars="0" w:right="0" w:rightChars="0"/>
                    <w:jc w:val="center"/>
                    <w:rPr>
                      <w:rFonts w:hint="default" w:ascii="Times New Roman" w:hAnsi="Times New Roman" w:cs="Times New Roman"/>
                      <w:bCs/>
                      <w:color w:val="auto"/>
                      <w:sz w:val="21"/>
                      <w:szCs w:val="21"/>
                      <w:lang w:val="zh-CN" w:eastAsia="zh-CN"/>
                    </w:rPr>
                  </w:pPr>
                  <w:r>
                    <w:rPr>
                      <w:rFonts w:hint="default" w:ascii="Times New Roman" w:hAnsi="Times New Roman" w:cs="Times New Roman"/>
                      <w:bCs/>
                      <w:color w:val="auto"/>
                      <w:sz w:val="21"/>
                      <w:szCs w:val="21"/>
                    </w:rPr>
                    <w:t>90</w:t>
                  </w:r>
                </w:p>
              </w:tc>
              <w:tc>
                <w:tcPr>
                  <w:tcW w:w="2257"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91" w:type="dxa"/>
                </w:tcPr>
                <w:p>
                  <w:pPr>
                    <w:pStyle w:val="3"/>
                    <w:rPr>
                      <w:rFonts w:hint="default" w:ascii="宋体" w:hAnsi="宋体" w:cs="宋体"/>
                      <w:b/>
                      <w:bCs/>
                      <w:color w:val="auto"/>
                      <w:sz w:val="21"/>
                      <w:szCs w:val="21"/>
                      <w:vertAlign w:val="baseline"/>
                      <w:lang w:val="en-US" w:eastAsia="zh-CN" w:bidi="zh-CN"/>
                    </w:rPr>
                  </w:pPr>
                  <w:r>
                    <w:rPr>
                      <w:rFonts w:hint="eastAsia" w:ascii="宋体" w:hAnsi="宋体" w:cs="宋体"/>
                      <w:b/>
                      <w:bCs/>
                      <w:color w:val="auto"/>
                      <w:sz w:val="21"/>
                      <w:szCs w:val="21"/>
                      <w:vertAlign w:val="baseline"/>
                      <w:lang w:val="en-US" w:eastAsia="zh-CN" w:bidi="zh-CN"/>
                    </w:rPr>
                    <w:t>7</w:t>
                  </w:r>
                </w:p>
              </w:tc>
              <w:tc>
                <w:tcPr>
                  <w:tcW w:w="2155" w:type="dxa"/>
                  <w:vAlign w:val="center"/>
                </w:tcPr>
                <w:p>
                  <w:pPr>
                    <w:ind w:left="-15" w:leftChars="0" w:right="0" w:rightChars="0"/>
                    <w:jc w:val="center"/>
                    <w:rPr>
                      <w:rFonts w:hint="default" w:ascii="宋体" w:hAnsi="宋体" w:eastAsia="宋体" w:cs="宋体"/>
                      <w:b/>
                      <w:bCs/>
                      <w:color w:val="auto"/>
                      <w:sz w:val="21"/>
                      <w:szCs w:val="21"/>
                      <w:vertAlign w:val="baseline"/>
                      <w:lang w:val="zh-CN" w:eastAsia="zh-CN" w:bidi="zh-CN"/>
                    </w:rPr>
                  </w:pPr>
                  <w:r>
                    <w:rPr>
                      <w:rFonts w:hint="eastAsia" w:ascii="Times New Roman" w:hAnsi="Times New Roman" w:cs="Times New Roman"/>
                      <w:color w:val="auto"/>
                      <w:sz w:val="21"/>
                      <w:szCs w:val="21"/>
                      <w:lang w:val="en-US" w:eastAsia="zh-CN"/>
                    </w:rPr>
                    <w:t>物料传输装置</w:t>
                  </w:r>
                </w:p>
              </w:tc>
              <w:tc>
                <w:tcPr>
                  <w:tcW w:w="2455" w:type="dxa"/>
                  <w:vAlign w:val="center"/>
                </w:tcPr>
                <w:p>
                  <w:pPr>
                    <w:ind w:left="0" w:leftChars="0" w:right="0" w:rightChars="0"/>
                    <w:jc w:val="center"/>
                    <w:rPr>
                      <w:rFonts w:hint="default" w:ascii="Times New Roman" w:hAnsi="Times New Roman" w:cs="Times New Roman"/>
                      <w:bCs/>
                      <w:color w:val="auto"/>
                      <w:sz w:val="21"/>
                      <w:szCs w:val="21"/>
                      <w:lang w:val="zh-CN" w:eastAsia="zh-CN"/>
                    </w:rPr>
                  </w:pPr>
                  <w:r>
                    <w:rPr>
                      <w:rFonts w:hint="default" w:ascii="Times New Roman" w:hAnsi="Times New Roman" w:cs="Times New Roman"/>
                      <w:bCs/>
                      <w:color w:val="auto"/>
                      <w:sz w:val="21"/>
                      <w:szCs w:val="21"/>
                    </w:rPr>
                    <w:t>80</w:t>
                  </w:r>
                </w:p>
              </w:tc>
              <w:tc>
                <w:tcPr>
                  <w:tcW w:w="2257"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91" w:type="dxa"/>
                </w:tcPr>
                <w:p>
                  <w:pPr>
                    <w:pStyle w:val="3"/>
                    <w:rPr>
                      <w:rFonts w:hint="default" w:ascii="宋体" w:hAnsi="宋体" w:cs="宋体"/>
                      <w:b/>
                      <w:bCs/>
                      <w:color w:val="auto"/>
                      <w:sz w:val="21"/>
                      <w:szCs w:val="21"/>
                      <w:vertAlign w:val="baseline"/>
                      <w:lang w:val="en-US" w:eastAsia="zh-CN" w:bidi="zh-CN"/>
                    </w:rPr>
                  </w:pPr>
                  <w:r>
                    <w:rPr>
                      <w:rFonts w:hint="eastAsia" w:ascii="宋体" w:hAnsi="宋体" w:cs="宋体"/>
                      <w:b/>
                      <w:bCs/>
                      <w:color w:val="auto"/>
                      <w:sz w:val="21"/>
                      <w:szCs w:val="21"/>
                      <w:vertAlign w:val="baseline"/>
                      <w:lang w:val="en-US" w:eastAsia="zh-CN" w:bidi="zh-CN"/>
                    </w:rPr>
                    <w:t>8</w:t>
                  </w:r>
                </w:p>
              </w:tc>
              <w:tc>
                <w:tcPr>
                  <w:tcW w:w="2155" w:type="dxa"/>
                  <w:vAlign w:val="center"/>
                </w:tcPr>
                <w:p>
                  <w:pPr>
                    <w:ind w:left="-15" w:leftChars="0" w:right="0" w:rightChars="0"/>
                    <w:jc w:val="center"/>
                    <w:rPr>
                      <w:rFonts w:hint="default" w:ascii="宋体" w:hAnsi="宋体" w:eastAsia="宋体" w:cs="宋体"/>
                      <w:b/>
                      <w:bCs/>
                      <w:color w:val="auto"/>
                      <w:sz w:val="21"/>
                      <w:szCs w:val="21"/>
                      <w:vertAlign w:val="baseline"/>
                      <w:lang w:val="zh-CN" w:eastAsia="zh-CN" w:bidi="zh-CN"/>
                    </w:rPr>
                  </w:pPr>
                  <w:r>
                    <w:rPr>
                      <w:rFonts w:hint="default" w:ascii="Times New Roman" w:hAnsi="Times New Roman" w:cs="Times New Roman"/>
                      <w:color w:val="auto"/>
                      <w:sz w:val="21"/>
                      <w:szCs w:val="21"/>
                    </w:rPr>
                    <w:t>引风机</w:t>
                  </w:r>
                </w:p>
              </w:tc>
              <w:tc>
                <w:tcPr>
                  <w:tcW w:w="2455" w:type="dxa"/>
                  <w:vAlign w:val="center"/>
                </w:tcPr>
                <w:p>
                  <w:pPr>
                    <w:ind w:left="0" w:leftChars="0" w:right="0" w:rightChars="0"/>
                    <w:jc w:val="center"/>
                    <w:rPr>
                      <w:rFonts w:hint="default" w:ascii="Times New Roman" w:hAnsi="Times New Roman" w:cs="Times New Roman"/>
                      <w:bCs/>
                      <w:color w:val="auto"/>
                      <w:sz w:val="21"/>
                      <w:szCs w:val="21"/>
                      <w:lang w:val="zh-CN" w:eastAsia="zh-CN"/>
                    </w:rPr>
                  </w:pPr>
                  <w:r>
                    <w:rPr>
                      <w:rFonts w:hint="eastAsia" w:ascii="Times New Roman" w:hAnsi="Times New Roman" w:cs="Times New Roman"/>
                      <w:bCs/>
                      <w:color w:val="auto"/>
                      <w:sz w:val="21"/>
                      <w:szCs w:val="21"/>
                      <w:lang w:val="en-US" w:eastAsia="zh-CN"/>
                    </w:rPr>
                    <w:t>90</w:t>
                  </w:r>
                </w:p>
              </w:tc>
              <w:tc>
                <w:tcPr>
                  <w:tcW w:w="2257"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991" w:type="dxa"/>
                </w:tcPr>
                <w:p>
                  <w:pPr>
                    <w:pStyle w:val="3"/>
                    <w:rPr>
                      <w:rFonts w:hint="default" w:ascii="宋体" w:hAnsi="宋体" w:cs="宋体"/>
                      <w:b/>
                      <w:bCs/>
                      <w:color w:val="auto"/>
                      <w:sz w:val="21"/>
                      <w:szCs w:val="21"/>
                      <w:vertAlign w:val="baseline"/>
                      <w:lang w:val="en-US" w:eastAsia="zh-CN" w:bidi="zh-CN"/>
                    </w:rPr>
                  </w:pPr>
                  <w:r>
                    <w:rPr>
                      <w:rFonts w:hint="eastAsia" w:ascii="宋体" w:hAnsi="宋体" w:cs="宋体"/>
                      <w:b/>
                      <w:bCs/>
                      <w:color w:val="auto"/>
                      <w:sz w:val="21"/>
                      <w:szCs w:val="21"/>
                      <w:vertAlign w:val="baseline"/>
                      <w:lang w:val="en-US" w:eastAsia="zh-CN" w:bidi="zh-CN"/>
                    </w:rPr>
                    <w:t>9</w:t>
                  </w:r>
                </w:p>
              </w:tc>
              <w:tc>
                <w:tcPr>
                  <w:tcW w:w="2155" w:type="dxa"/>
                  <w:vAlign w:val="center"/>
                </w:tcPr>
                <w:p>
                  <w:pPr>
                    <w:ind w:left="-15" w:leftChars="0" w:right="0" w:rightChars="0"/>
                    <w:jc w:val="center"/>
                    <w:rPr>
                      <w:rFonts w:hint="default" w:ascii="宋体" w:hAnsi="宋体" w:eastAsia="宋体" w:cs="宋体"/>
                      <w:b/>
                      <w:bCs/>
                      <w:color w:val="auto"/>
                      <w:sz w:val="21"/>
                      <w:szCs w:val="21"/>
                      <w:vertAlign w:val="baseline"/>
                      <w:lang w:val="zh-CN" w:eastAsia="zh-CN" w:bidi="zh-CN"/>
                    </w:rPr>
                  </w:pPr>
                  <w:r>
                    <w:rPr>
                      <w:rFonts w:hint="eastAsia" w:ascii="Times New Roman" w:hAnsi="Times New Roman" w:cs="Times New Roman"/>
                      <w:color w:val="auto"/>
                      <w:sz w:val="21"/>
                      <w:szCs w:val="21"/>
                      <w:lang w:val="en-US" w:eastAsia="zh-CN"/>
                    </w:rPr>
                    <w:t>空压机</w:t>
                  </w:r>
                </w:p>
              </w:tc>
              <w:tc>
                <w:tcPr>
                  <w:tcW w:w="2455" w:type="dxa"/>
                  <w:vAlign w:val="center"/>
                </w:tcPr>
                <w:p>
                  <w:pPr>
                    <w:ind w:left="0" w:leftChars="0" w:right="0" w:rightChars="0"/>
                    <w:jc w:val="center"/>
                    <w:rPr>
                      <w:rFonts w:hint="default" w:ascii="Times New Roman" w:hAnsi="Times New Roman" w:cs="Times New Roman"/>
                      <w:bCs/>
                      <w:color w:val="auto"/>
                      <w:sz w:val="21"/>
                      <w:szCs w:val="21"/>
                      <w:lang w:val="zh-CN" w:eastAsia="zh-CN"/>
                    </w:rPr>
                  </w:pPr>
                  <w:r>
                    <w:rPr>
                      <w:rFonts w:hint="eastAsia" w:ascii="Times New Roman" w:hAnsi="Times New Roman" w:cs="Times New Roman"/>
                      <w:bCs/>
                      <w:color w:val="auto"/>
                      <w:sz w:val="21"/>
                      <w:szCs w:val="21"/>
                      <w:lang w:val="en-US" w:eastAsia="zh-CN"/>
                    </w:rPr>
                    <w:t>75</w:t>
                  </w:r>
                </w:p>
              </w:tc>
              <w:tc>
                <w:tcPr>
                  <w:tcW w:w="2257"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60</w:t>
                  </w:r>
                </w:p>
              </w:tc>
            </w:tr>
          </w:tbl>
          <w:p>
            <w:pPr>
              <w:pStyle w:val="3"/>
              <w:ind w:firstLine="480"/>
              <w:rPr>
                <w:rFonts w:hint="eastAsia"/>
                <w:color w:val="auto"/>
              </w:rPr>
            </w:pPr>
            <w:r>
              <w:rPr>
                <w:rFonts w:hint="eastAsia"/>
                <w:color w:val="auto"/>
              </w:rPr>
              <w:t>（2）评价等级</w:t>
            </w:r>
            <w:r>
              <w:rPr>
                <w:color w:val="auto"/>
              </w:rPr>
              <w:t>及评价范围</w:t>
            </w:r>
          </w:p>
          <w:p>
            <w:pPr>
              <w:pStyle w:val="3"/>
              <w:ind w:firstLine="480"/>
              <w:rPr>
                <w:color w:val="FF0000"/>
              </w:rPr>
            </w:pPr>
            <w:r>
              <w:rPr>
                <w:color w:val="auto"/>
              </w:rPr>
              <w:t>本项目采取完善的噪声防治措施后，预计对敏感点噪声增加值小于3dB(A)，且受影响人口变化不大，不会对周围环境产生明显影响</w:t>
            </w:r>
            <w:r>
              <w:rPr>
                <w:rFonts w:hint="eastAsia"/>
                <w:color w:val="auto"/>
              </w:rPr>
              <w:t>。但</w:t>
            </w:r>
            <w:r>
              <w:rPr>
                <w:color w:val="auto"/>
                <w:szCs w:val="20"/>
              </w:rPr>
              <w:t>项目位于《声环境质量标准》（GB3096-2008）规定的</w:t>
            </w:r>
            <w:r>
              <w:rPr>
                <w:rFonts w:hint="eastAsia"/>
                <w:color w:val="auto"/>
                <w:szCs w:val="20"/>
                <w:lang w:val="en-US" w:eastAsia="zh-CN"/>
              </w:rPr>
              <w:t>2</w:t>
            </w:r>
            <w:r>
              <w:rPr>
                <w:color w:val="auto"/>
                <w:szCs w:val="20"/>
              </w:rPr>
              <w:t>类区域，按照HJ 2.4-2009中声环境评价工作等级划分方法，确定声环境评价工作等级为二级；评价范围为项目厂界外200m，根据外环境调查，评价范围内无声环境保护目标。</w:t>
            </w:r>
          </w:p>
          <w:p>
            <w:pPr>
              <w:pStyle w:val="3"/>
              <w:ind w:firstLine="480"/>
            </w:pPr>
            <w:r>
              <w:rPr>
                <w:rFonts w:hint="eastAsia"/>
              </w:rPr>
              <w:t>（</w:t>
            </w:r>
            <w:r>
              <w:t>3</w:t>
            </w:r>
            <w:r>
              <w:rPr>
                <w:rFonts w:hint="eastAsia"/>
              </w:rPr>
              <w:t>）环境噪声影响预测</w:t>
            </w:r>
          </w:p>
          <w:p>
            <w:pPr>
              <w:pStyle w:val="3"/>
              <w:ind w:firstLine="480"/>
            </w:pPr>
            <w:r>
              <w:rPr>
                <w:rFonts w:hint="eastAsia"/>
              </w:rPr>
              <w:t>1）</w:t>
            </w:r>
            <w:r>
              <w:t>预测模式</w:t>
            </w:r>
          </w:p>
          <w:p>
            <w:pPr>
              <w:pStyle w:val="3"/>
              <w:ind w:firstLine="480"/>
              <w:rPr>
                <w:rFonts w:hint="eastAsia" w:ascii="宋体" w:hAnsi="宋体" w:cs="宋体"/>
              </w:rPr>
            </w:pPr>
            <w:r>
              <w:rPr>
                <w:rFonts w:ascii="宋体" w:hAnsi="宋体" w:cs="宋体"/>
              </w:rPr>
              <w:t>①噪声衰减</w:t>
            </w:r>
            <w:r>
              <w:rPr>
                <w:rFonts w:hint="eastAsia" w:ascii="宋体" w:hAnsi="宋体" w:cs="宋体"/>
              </w:rPr>
              <w:t>公式</w:t>
            </w:r>
          </w:p>
          <w:p>
            <w:pPr>
              <w:spacing w:line="360" w:lineRule="auto"/>
              <w:ind w:firstLine="480"/>
              <w:rPr>
                <w:sz w:val="24"/>
              </w:rPr>
            </w:pPr>
            <w:r>
              <w:rPr>
                <w:sz w:val="24"/>
              </w:rPr>
              <w:t>将建设项目主要噪声源进行能量迭加后的合成总声级值视为一个混合点噪声源，并以半球形向外辐射传播，在只考虑声源的距离衰减时，采用以下公式预测工程噪声对厂界的噪声影响。</w:t>
            </w:r>
          </w:p>
          <w:p>
            <w:pPr>
              <w:spacing w:line="360" w:lineRule="auto"/>
              <w:ind w:firstLine="480"/>
              <w:rPr>
                <w:sz w:val="24"/>
              </w:rPr>
            </w:pPr>
            <w:r>
              <w:rPr>
                <w:sz w:val="24"/>
              </w:rPr>
              <w:t>噪声衰减公式：</w:t>
            </w:r>
          </w:p>
          <w:p>
            <w:pPr>
              <w:pStyle w:val="15"/>
              <w:rPr>
                <w:rFonts w:ascii="黑体"/>
                <w:sz w:val="20"/>
              </w:rPr>
            </w:pPr>
          </w:p>
          <w:p>
            <w:pPr>
              <w:pStyle w:val="15"/>
              <w:rPr>
                <w:rFonts w:ascii="黑体"/>
                <w:sz w:val="20"/>
              </w:rPr>
            </w:pPr>
          </w:p>
          <w:p>
            <w:pPr>
              <w:pStyle w:val="17"/>
              <w:ind w:firstLine="480"/>
              <w:jc w:val="center"/>
              <w:rPr>
                <w:rFonts w:hint="eastAsia"/>
              </w:rPr>
            </w:pPr>
            <w:r>
              <w:rPr>
                <w:position w:val="-18"/>
              </w:rPr>
              <w:object>
                <v:shape id="_x0000_i1027" o:spt="75" type="#_x0000_t75" style="height:31.95pt;width:185pt;" o:ole="t" filled="f" stroked="f" coordsize="21600,21600">
                  <v:path/>
                  <v:fill on="f" focussize="0,0"/>
                  <v:stroke on="f"/>
                  <v:imagedata r:id="rId30" o:title=""/>
                  <o:lock v:ext="edit" grouping="f" rotation="f" text="f" aspectratio="t"/>
                  <w10:wrap type="none"/>
                  <w10:anchorlock/>
                </v:shape>
                <o:OLEObject Type="Embed" ProgID="Equation.DSMT4" ShapeID="_x0000_i1027" DrawAspect="Content" ObjectID="_1468075727" r:id="rId29">
                  <o:LockedField>false</o:LockedField>
                </o:OLEObject>
              </w:object>
            </w:r>
          </w:p>
          <w:p>
            <w:pPr>
              <w:pStyle w:val="3"/>
              <w:ind w:firstLine="480"/>
              <w:rPr>
                <w:rFonts w:hint="eastAsia"/>
              </w:rPr>
            </w:pPr>
            <w:r>
              <w:rPr>
                <w:rFonts w:hint="eastAsia"/>
              </w:rPr>
              <w:t>式中：L</w:t>
            </w:r>
            <w:r>
              <w:rPr>
                <w:rFonts w:hint="eastAsia"/>
                <w:vertAlign w:val="subscript"/>
              </w:rPr>
              <w:t>A(r)</w:t>
            </w:r>
            <w:r>
              <w:rPr>
                <w:rFonts w:hint="eastAsia"/>
              </w:rPr>
              <w:t>---距声源r 米处受声点的A声级；</w:t>
            </w:r>
          </w:p>
          <w:p>
            <w:pPr>
              <w:pStyle w:val="3"/>
              <w:ind w:firstLine="1200" w:firstLineChars="500"/>
              <w:rPr>
                <w:rFonts w:hint="eastAsia"/>
              </w:rPr>
            </w:pPr>
            <w:r>
              <w:rPr>
                <w:rFonts w:hint="eastAsia"/>
              </w:rPr>
              <w:t>L</w:t>
            </w:r>
            <w:r>
              <w:rPr>
                <w:rFonts w:hint="eastAsia"/>
                <w:vertAlign w:val="subscript"/>
              </w:rPr>
              <w:t>r0</w:t>
            </w:r>
            <w:r>
              <w:rPr>
                <w:rFonts w:hint="eastAsia"/>
              </w:rPr>
              <w:t xml:space="preserve"> ---参考点声源强度；</w:t>
            </w:r>
          </w:p>
          <w:p>
            <w:pPr>
              <w:pStyle w:val="3"/>
              <w:ind w:firstLine="1080" w:firstLineChars="450"/>
              <w:rPr>
                <w:rFonts w:hint="eastAsia"/>
              </w:rPr>
            </w:pPr>
            <w:r>
              <w:rPr>
                <w:rFonts w:hint="eastAsia"/>
              </w:rPr>
              <w:t>r1、r2---预测噪声点与源之间的距离（m）；</w:t>
            </w:r>
          </w:p>
          <w:p>
            <w:pPr>
              <w:pStyle w:val="3"/>
              <w:ind w:firstLine="1080" w:firstLineChars="450"/>
            </w:pPr>
            <w:r>
              <w:rPr>
                <w:rFonts w:hint="eastAsia"/>
              </w:rPr>
              <w:t>△L---场界围墙引起的衰减量。</w:t>
            </w:r>
          </w:p>
          <w:p>
            <w:pPr>
              <w:pStyle w:val="3"/>
              <w:ind w:firstLine="480"/>
            </w:pPr>
            <w:r>
              <w:rPr>
                <w:rFonts w:hint="eastAsia"/>
              </w:rPr>
              <w:t>关于△L的取值，其影响因素很多，据工程特点忽略天气、温度、地面状况等因素，主要考虑厂房隔声、建筑反射等。</w:t>
            </w:r>
          </w:p>
          <w:p>
            <w:pPr>
              <w:pStyle w:val="3"/>
              <w:ind w:firstLine="480"/>
              <w:rPr>
                <w:rFonts w:hint="eastAsia"/>
              </w:rPr>
            </w:pPr>
            <w:r>
              <w:rPr>
                <w:rFonts w:hint="eastAsia"/>
              </w:rPr>
              <w:t>②</w:t>
            </w:r>
            <w:r>
              <w:t>噪声叠加</w:t>
            </w:r>
            <w:r>
              <w:rPr>
                <w:rFonts w:hint="eastAsia"/>
              </w:rPr>
              <w:t>公式</w:t>
            </w:r>
          </w:p>
          <w:p>
            <w:pPr>
              <w:spacing w:line="360" w:lineRule="auto"/>
              <w:ind w:firstLine="482"/>
              <w:jc w:val="left"/>
              <w:rPr>
                <w:sz w:val="24"/>
              </w:rPr>
            </w:pPr>
            <w:r>
              <w:rPr>
                <w:rFonts w:hint="eastAsia"/>
                <w:sz w:val="24"/>
              </w:rPr>
              <w:t>多个</w:t>
            </w:r>
            <w:r>
              <w:rPr>
                <w:sz w:val="24"/>
              </w:rPr>
              <w:t>点声源叠加模式：</w:t>
            </w:r>
          </w:p>
          <w:p>
            <w:pPr>
              <w:ind w:firstLine="480"/>
              <w:jc w:val="center"/>
            </w:pPr>
            <w:r>
              <w:rPr>
                <w:position w:val="-30"/>
              </w:rPr>
              <w:object>
                <v:shape id="_x0000_i1028" o:spt="75" type="#_x0000_t75" style="height:36.45pt;width:108.45pt;" o:ole="t" filled="f" o:preferrelative="t" stroked="f" coordsize="21600,21600">
                  <v:path/>
                  <v:fill on="f" focussize="0,0"/>
                  <v:stroke on="f"/>
                  <v:imagedata r:id="rId32" o:title=""/>
                  <o:lock v:ext="edit" grouping="f" rotation="f" text="f" aspectratio="t"/>
                  <w10:wrap type="none"/>
                  <w10:anchorlock/>
                </v:shape>
                <o:OLEObject Type="Embed" ProgID="Equation.DSMT4" ShapeID="_x0000_i1028" DrawAspect="Content" ObjectID="_1468075728" r:id="rId31">
                  <o:LockedField>false</o:LockedField>
                </o:OLEObject>
              </w:object>
            </w:r>
          </w:p>
          <w:p>
            <w:pPr>
              <w:spacing w:line="360" w:lineRule="auto"/>
              <w:ind w:firstLine="482"/>
              <w:jc w:val="left"/>
              <w:rPr>
                <w:sz w:val="24"/>
              </w:rPr>
            </w:pPr>
            <w:r>
              <w:rPr>
                <w:rFonts w:hint="eastAsia"/>
                <w:sz w:val="24"/>
              </w:rPr>
              <w:t xml:space="preserve">    式中</w:t>
            </w:r>
            <w:r>
              <w:rPr>
                <w:sz w:val="24"/>
              </w:rPr>
              <w:t>，</w:t>
            </w:r>
            <w:r>
              <w:rPr>
                <w:rFonts w:hint="eastAsia"/>
                <w:i/>
                <w:sz w:val="24"/>
              </w:rPr>
              <w:t>L</w:t>
            </w:r>
            <w:r>
              <w:rPr>
                <w:sz w:val="24"/>
                <w:vertAlign w:val="subscript"/>
              </w:rPr>
              <w:t>总</w:t>
            </w:r>
            <w:r>
              <w:rPr>
                <w:sz w:val="24"/>
              </w:rPr>
              <w:t xml:space="preserve">—— </w:t>
            </w:r>
            <w:r>
              <w:rPr>
                <w:rFonts w:hint="eastAsia"/>
                <w:sz w:val="24"/>
              </w:rPr>
              <w:t>几个</w:t>
            </w:r>
            <w:r>
              <w:rPr>
                <w:sz w:val="24"/>
              </w:rPr>
              <w:t>声压级相加后的总声压级，</w:t>
            </w:r>
            <w:r>
              <w:rPr>
                <w:rFonts w:hint="eastAsia"/>
                <w:sz w:val="24"/>
              </w:rPr>
              <w:t>dB</w:t>
            </w:r>
            <w:r>
              <w:rPr>
                <w:sz w:val="24"/>
              </w:rPr>
              <w:t>（A）</w:t>
            </w:r>
            <w:r>
              <w:rPr>
                <w:rFonts w:hint="eastAsia"/>
                <w:sz w:val="24"/>
              </w:rPr>
              <w:t>；</w:t>
            </w:r>
          </w:p>
          <w:p>
            <w:pPr>
              <w:spacing w:line="360" w:lineRule="auto"/>
              <w:ind w:firstLine="482"/>
              <w:jc w:val="left"/>
              <w:rPr>
                <w:sz w:val="24"/>
              </w:rPr>
            </w:pPr>
            <w:r>
              <w:rPr>
                <w:rFonts w:hint="eastAsia"/>
                <w:sz w:val="24"/>
              </w:rPr>
              <w:t xml:space="preserve">          </w:t>
            </w:r>
            <w:r>
              <w:rPr>
                <w:i/>
                <w:sz w:val="24"/>
              </w:rPr>
              <w:t>L</w:t>
            </w:r>
            <w:r>
              <w:rPr>
                <w:i/>
                <w:sz w:val="24"/>
                <w:vertAlign w:val="subscript"/>
              </w:rPr>
              <w:t>pi</w:t>
            </w:r>
            <w:r>
              <w:rPr>
                <w:sz w:val="24"/>
                <w:vertAlign w:val="subscript"/>
              </w:rPr>
              <w:t xml:space="preserve"> </w:t>
            </w:r>
            <w:r>
              <w:rPr>
                <w:sz w:val="24"/>
              </w:rPr>
              <w:t xml:space="preserve">—— </w:t>
            </w:r>
            <w:r>
              <w:rPr>
                <w:rFonts w:hint="eastAsia"/>
                <w:sz w:val="24"/>
              </w:rPr>
              <w:t>某一个</w:t>
            </w:r>
            <w:r>
              <w:rPr>
                <w:sz w:val="24"/>
              </w:rPr>
              <w:t>声压级</w:t>
            </w:r>
            <w:r>
              <w:rPr>
                <w:rFonts w:hint="eastAsia"/>
                <w:sz w:val="24"/>
              </w:rPr>
              <w:t>，</w:t>
            </w:r>
            <w:r>
              <w:rPr>
                <w:sz w:val="24"/>
              </w:rPr>
              <w:t>dB（A）；</w:t>
            </w:r>
          </w:p>
          <w:p>
            <w:pPr>
              <w:spacing w:line="360" w:lineRule="auto"/>
              <w:ind w:firstLine="482"/>
              <w:jc w:val="left"/>
              <w:rPr>
                <w:sz w:val="24"/>
              </w:rPr>
            </w:pPr>
            <w:r>
              <w:rPr>
                <w:rFonts w:hint="eastAsia"/>
                <w:sz w:val="24"/>
              </w:rPr>
              <w:t>　</w:t>
            </w:r>
            <w:r>
              <w:rPr>
                <w:sz w:val="24"/>
              </w:rPr>
              <w:t>　　　</w:t>
            </w:r>
            <w:r>
              <w:rPr>
                <w:rFonts w:hint="eastAsia"/>
                <w:sz w:val="24"/>
              </w:rPr>
              <w:t>　</w:t>
            </w:r>
            <w:r>
              <w:rPr>
                <w:i/>
                <w:sz w:val="24"/>
              </w:rPr>
              <w:t>n</w:t>
            </w:r>
            <w:r>
              <w:rPr>
                <w:sz w:val="24"/>
              </w:rPr>
              <w:t xml:space="preserve"> —— 声源个数。</w:t>
            </w:r>
          </w:p>
          <w:p>
            <w:pPr>
              <w:pStyle w:val="3"/>
              <w:numPr>
                <w:ilvl w:val="0"/>
                <w:numId w:val="3"/>
              </w:numPr>
              <w:ind w:firstLine="480"/>
            </w:pPr>
            <w:r>
              <w:rPr>
                <w:rFonts w:hint="eastAsia"/>
              </w:rPr>
              <w:t>厂界噪声</w:t>
            </w:r>
            <w:r>
              <w:t>贡献值预测结果</w:t>
            </w:r>
          </w:p>
          <w:p>
            <w:pPr>
              <w:pStyle w:val="15"/>
              <w:jc w:val="center"/>
              <w:rPr>
                <w:rFonts w:hint="eastAsia" w:ascii="Times New Roman" w:hAnsi="Times New Roman" w:eastAsia="宋体" w:cs="Times New Roman"/>
                <w:b/>
                <w:bCs/>
                <w:color w:val="auto"/>
                <w:sz w:val="21"/>
                <w:szCs w:val="21"/>
                <w:highlight w:val="none"/>
                <w:lang w:val="zh-CN" w:eastAsia="zh-CN" w:bidi="zh-CN"/>
              </w:rPr>
            </w:pPr>
            <w:r>
              <w:rPr>
                <w:rFonts w:hint="default" w:ascii="Times New Roman" w:hAnsi="Times New Roman" w:eastAsia="宋体" w:cs="Times New Roman"/>
                <w:b/>
                <w:bCs/>
                <w:color w:val="auto"/>
                <w:sz w:val="21"/>
                <w:szCs w:val="21"/>
                <w:highlight w:val="none"/>
                <w:lang w:val="zh-CN" w:eastAsia="zh-CN" w:bidi="zh-CN"/>
              </w:rPr>
              <w:t>表</w:t>
            </w:r>
            <w:r>
              <w:rPr>
                <w:rFonts w:hint="eastAsia" w:ascii="Times New Roman" w:hAnsi="Times New Roman" w:eastAsia="宋体" w:cs="Times New Roman"/>
                <w:b/>
                <w:bCs/>
                <w:color w:val="auto"/>
                <w:sz w:val="21"/>
                <w:szCs w:val="21"/>
                <w:highlight w:val="none"/>
                <w:lang w:val="en-US" w:eastAsia="zh-CN" w:bidi="zh-CN"/>
              </w:rPr>
              <w:t xml:space="preserve">4-17  </w:t>
            </w:r>
            <w:r>
              <w:rPr>
                <w:rFonts w:hint="eastAsia" w:ascii="Times New Roman" w:hAnsi="Times New Roman" w:eastAsia="宋体" w:cs="Times New Roman"/>
                <w:b/>
                <w:bCs/>
                <w:color w:val="auto"/>
                <w:sz w:val="21"/>
                <w:szCs w:val="21"/>
                <w:highlight w:val="none"/>
                <w:lang w:val="zh-CN" w:eastAsia="zh-CN" w:bidi="zh-CN"/>
              </w:rPr>
              <w:t>厂界噪声贡献值预测结果</w:t>
            </w:r>
          </w:p>
          <w:tbl>
            <w:tblPr>
              <w:tblStyle w:val="12"/>
              <w:tblpPr w:leftFromText="180" w:rightFromText="180" w:vertAnchor="text" w:horzAnchor="page" w:tblpXSpec="center" w:tblpY="28"/>
              <w:tblOverlap w:val="never"/>
              <w:tblW w:w="7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970"/>
              <w:gridCol w:w="970"/>
              <w:gridCol w:w="970"/>
              <w:gridCol w:w="970"/>
              <w:gridCol w:w="970"/>
              <w:gridCol w:w="970"/>
              <w:gridCol w:w="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970" w:type="dxa"/>
                </w:tcPr>
                <w:p>
                  <w:pPr>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eastAsia" w:hAnsi="宋体" w:eastAsia="宋体"/>
                      <w:color w:val="auto"/>
                      <w:sz w:val="21"/>
                      <w:szCs w:val="21"/>
                      <w:vertAlign w:val="baseline"/>
                      <w:lang w:val="en-US" w:eastAsia="zh-CN"/>
                    </w:rPr>
                  </w:pPr>
                  <w:r>
                    <w:rPr>
                      <w:rFonts w:hint="eastAsia"/>
                      <w:color w:val="auto"/>
                      <w:sz w:val="21"/>
                      <w:szCs w:val="21"/>
                      <w:vertAlign w:val="baseline"/>
                      <w:lang w:val="en-US" w:eastAsia="zh-CN"/>
                    </w:rPr>
                    <w:t>噪音源</w:t>
                  </w:r>
                </w:p>
              </w:tc>
              <w:tc>
                <w:tcPr>
                  <w:tcW w:w="970" w:type="dxa"/>
                </w:tcPr>
                <w:p>
                  <w:pPr>
                    <w:ind w:left="0" w:leftChars="0" w:right="0" w:right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源强</w:t>
                  </w:r>
                </w:p>
              </w:tc>
              <w:tc>
                <w:tcPr>
                  <w:tcW w:w="970"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厂界距离（m）</w:t>
                  </w:r>
                </w:p>
              </w:tc>
              <w:tc>
                <w:tcPr>
                  <w:tcW w:w="970" w:type="dxa"/>
                </w:tcPr>
                <w:p>
                  <w:pPr>
                    <w:ind w:left="0" w:leftChars="0" w:right="0" w:right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消减量</w:t>
                  </w:r>
                </w:p>
              </w:tc>
              <w:tc>
                <w:tcPr>
                  <w:tcW w:w="970"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贡献叠加值</w:t>
                  </w:r>
                </w:p>
              </w:tc>
              <w:tc>
                <w:tcPr>
                  <w:tcW w:w="970"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检测值</w:t>
                  </w:r>
                </w:p>
              </w:tc>
              <w:tc>
                <w:tcPr>
                  <w:tcW w:w="970" w:type="dxa"/>
                </w:tcPr>
                <w:p>
                  <w:pPr>
                    <w:ind w:left="0" w:leftChars="0" w:right="0" w:right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叠加</w:t>
                  </w:r>
                </w:p>
                <w:p>
                  <w:pPr>
                    <w:ind w:left="0" w:leftChars="0" w:right="0" w:right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值</w:t>
                  </w:r>
                </w:p>
              </w:tc>
              <w:tc>
                <w:tcPr>
                  <w:tcW w:w="970" w:type="dxa"/>
                </w:tcPr>
                <w:p>
                  <w:pPr>
                    <w:ind w:left="0" w:leftChars="0" w:right="0" w:right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达标</w:t>
                  </w:r>
                </w:p>
                <w:p>
                  <w:pPr>
                    <w:ind w:left="0" w:leftChars="0" w:right="0" w:right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6" w:hRule="atLeast"/>
                <w:jc w:val="center"/>
              </w:trPr>
              <w:tc>
                <w:tcPr>
                  <w:tcW w:w="970" w:type="dxa"/>
                  <w:vAlign w:val="center"/>
                </w:tcPr>
                <w:p>
                  <w:pPr>
                    <w:ind w:left="-15" w:leftChars="0" w:right="0" w:rightChars="0"/>
                    <w:jc w:val="center"/>
                    <w:rPr>
                      <w:rFonts w:hint="eastAsia" w:hAnsi="宋体"/>
                      <w:color w:val="auto"/>
                      <w:sz w:val="21"/>
                      <w:szCs w:val="21"/>
                      <w:vertAlign w:val="baseline"/>
                    </w:rPr>
                  </w:pPr>
                  <w:r>
                    <w:rPr>
                      <w:rFonts w:hint="eastAsia" w:ascii="Times New Roman" w:hAnsi="Times New Roman" w:cs="Times New Roman"/>
                      <w:color w:val="auto"/>
                      <w:sz w:val="21"/>
                      <w:szCs w:val="21"/>
                      <w:lang w:val="en-US" w:eastAsia="zh-CN"/>
                    </w:rPr>
                    <w:t>铲车</w:t>
                  </w:r>
                </w:p>
              </w:tc>
              <w:tc>
                <w:tcPr>
                  <w:tcW w:w="970" w:type="dxa"/>
                  <w:vAlign w:val="center"/>
                </w:tcPr>
                <w:p>
                  <w:pPr>
                    <w:ind w:left="0" w:leftChars="0" w:right="0" w:rightChars="0"/>
                    <w:jc w:val="center"/>
                    <w:rPr>
                      <w:rFonts w:hint="eastAsia" w:ascii="Times New Roman" w:hAnsi="Times New Roman" w:cs="Times New Roman"/>
                      <w:bCs/>
                      <w:color w:val="auto"/>
                      <w:sz w:val="21"/>
                      <w:szCs w:val="21"/>
                    </w:rPr>
                  </w:pPr>
                  <w:r>
                    <w:rPr>
                      <w:rFonts w:hint="default" w:ascii="Times New Roman" w:hAnsi="Times New Roman" w:cs="Times New Roman"/>
                      <w:bCs/>
                      <w:color w:val="auto"/>
                      <w:sz w:val="21"/>
                      <w:szCs w:val="21"/>
                    </w:rPr>
                    <w:t>85</w:t>
                  </w:r>
                </w:p>
              </w:tc>
              <w:tc>
                <w:tcPr>
                  <w:tcW w:w="970"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50</w:t>
                  </w:r>
                </w:p>
              </w:tc>
              <w:tc>
                <w:tcPr>
                  <w:tcW w:w="970"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15</w:t>
                  </w:r>
                </w:p>
              </w:tc>
              <w:tc>
                <w:tcPr>
                  <w:tcW w:w="970" w:type="dxa"/>
                  <w:vMerge w:val="restart"/>
                </w:tcPr>
                <w:p>
                  <w:pPr>
                    <w:ind w:left="0" w:leftChars="0" w:right="0" w:rightChars="0"/>
                    <w:jc w:val="center"/>
                    <w:rPr>
                      <w:rFonts w:hint="eastAsia" w:ascii="Times New Roman" w:hAnsi="Times New Roman" w:cs="Times New Roman"/>
                      <w:bCs/>
                      <w:color w:val="auto"/>
                      <w:sz w:val="21"/>
                      <w:szCs w:val="21"/>
                      <w:lang w:val="en-US" w:eastAsia="zh-CN"/>
                    </w:rPr>
                  </w:pPr>
                </w:p>
                <w:p>
                  <w:pPr>
                    <w:ind w:left="0" w:leftChars="0" w:right="0" w:rightChars="0"/>
                    <w:jc w:val="center"/>
                    <w:rPr>
                      <w:rFonts w:hint="eastAsia" w:ascii="Times New Roman" w:hAnsi="Times New Roman" w:cs="Times New Roman"/>
                      <w:bCs/>
                      <w:color w:val="auto"/>
                      <w:sz w:val="21"/>
                      <w:szCs w:val="21"/>
                      <w:lang w:val="en-US" w:eastAsia="zh-CN"/>
                    </w:rPr>
                  </w:pPr>
                </w:p>
                <w:p>
                  <w:pPr>
                    <w:ind w:left="0" w:leftChars="0" w:right="0" w:rightChars="0"/>
                    <w:jc w:val="center"/>
                    <w:rPr>
                      <w:rFonts w:hint="eastAsia" w:ascii="Times New Roman" w:hAnsi="Times New Roman" w:cs="Times New Roman"/>
                      <w:bCs/>
                      <w:color w:val="auto"/>
                      <w:sz w:val="21"/>
                      <w:szCs w:val="21"/>
                      <w:lang w:val="en-US" w:eastAsia="zh-CN"/>
                    </w:rPr>
                  </w:pPr>
                </w:p>
                <w:p>
                  <w:pPr>
                    <w:ind w:left="0" w:leftChars="0" w:right="0" w:rightChars="0"/>
                    <w:jc w:val="center"/>
                    <w:rPr>
                      <w:rFonts w:hint="eastAsia" w:ascii="Times New Roman" w:hAnsi="Times New Roman" w:cs="Times New Roman"/>
                      <w:bCs/>
                      <w:color w:val="auto"/>
                      <w:sz w:val="21"/>
                      <w:szCs w:val="21"/>
                      <w:lang w:val="en-US" w:eastAsia="zh-CN"/>
                    </w:rPr>
                  </w:pPr>
                </w:p>
                <w:p>
                  <w:pPr>
                    <w:ind w:left="0" w:leftChars="0" w:right="0" w:rightChars="0"/>
                    <w:jc w:val="center"/>
                    <w:rPr>
                      <w:rFonts w:hint="eastAsia" w:ascii="Times New Roman" w:hAnsi="Times New Roman" w:cs="Times New Roman"/>
                      <w:bCs/>
                      <w:color w:val="auto"/>
                      <w:sz w:val="21"/>
                      <w:szCs w:val="21"/>
                      <w:lang w:val="en-US" w:eastAsia="zh-CN"/>
                    </w:rPr>
                  </w:pPr>
                </w:p>
                <w:p>
                  <w:pPr>
                    <w:ind w:left="0" w:leftChars="0" w:right="0" w:rightChars="0"/>
                    <w:jc w:val="center"/>
                    <w:rPr>
                      <w:rFonts w:hint="eastAsia" w:ascii="Times New Roman" w:hAnsi="Times New Roman" w:cs="Times New Roman"/>
                      <w:bCs/>
                      <w:color w:val="auto"/>
                      <w:sz w:val="21"/>
                      <w:szCs w:val="21"/>
                      <w:lang w:val="en-US" w:eastAsia="zh-CN"/>
                    </w:rPr>
                  </w:pPr>
                </w:p>
                <w:p>
                  <w:pPr>
                    <w:ind w:left="0" w:leftChars="0" w:right="0" w:rightChars="0"/>
                    <w:jc w:val="center"/>
                    <w:rPr>
                      <w:rFonts w:hint="eastAsia" w:ascii="Times New Roman" w:hAnsi="Times New Roman" w:cs="Times New Roman"/>
                      <w:bCs/>
                      <w:color w:val="auto"/>
                      <w:sz w:val="21"/>
                      <w:szCs w:val="21"/>
                      <w:lang w:val="en-US" w:eastAsia="zh-CN"/>
                    </w:rPr>
                  </w:pPr>
                </w:p>
                <w:p>
                  <w:pPr>
                    <w:ind w:left="0" w:leftChars="0" w:right="0" w:right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32.48</w:t>
                  </w:r>
                </w:p>
              </w:tc>
              <w:tc>
                <w:tcPr>
                  <w:tcW w:w="970" w:type="dxa"/>
                  <w:vMerge w:val="restart"/>
                </w:tcPr>
                <w:p>
                  <w:pPr>
                    <w:ind w:left="0" w:leftChars="0" w:right="0" w:rightChars="0"/>
                    <w:jc w:val="center"/>
                    <w:rPr>
                      <w:rFonts w:hint="eastAsia" w:ascii="Times New Roman" w:hAnsi="Times New Roman" w:cs="Times New Roman"/>
                      <w:bCs/>
                      <w:color w:val="auto"/>
                      <w:sz w:val="21"/>
                      <w:szCs w:val="21"/>
                      <w:lang w:val="en-US" w:eastAsia="zh-CN"/>
                    </w:rPr>
                  </w:pPr>
                </w:p>
                <w:p>
                  <w:pPr>
                    <w:ind w:left="0" w:leftChars="0" w:right="0" w:rightChars="0"/>
                    <w:jc w:val="center"/>
                    <w:rPr>
                      <w:rFonts w:hint="eastAsia" w:ascii="Times New Roman" w:hAnsi="Times New Roman" w:cs="Times New Roman"/>
                      <w:bCs/>
                      <w:color w:val="auto"/>
                      <w:sz w:val="21"/>
                      <w:szCs w:val="21"/>
                      <w:lang w:val="en-US" w:eastAsia="zh-CN"/>
                    </w:rPr>
                  </w:pPr>
                </w:p>
                <w:p>
                  <w:pPr>
                    <w:ind w:left="0" w:leftChars="0" w:right="0" w:rightChars="0"/>
                    <w:jc w:val="center"/>
                    <w:rPr>
                      <w:rFonts w:hint="eastAsia" w:ascii="Times New Roman" w:hAnsi="Times New Roman" w:cs="Times New Roman"/>
                      <w:bCs/>
                      <w:color w:val="auto"/>
                      <w:sz w:val="21"/>
                      <w:szCs w:val="21"/>
                      <w:lang w:val="en-US" w:eastAsia="zh-CN"/>
                    </w:rPr>
                  </w:pPr>
                </w:p>
                <w:p>
                  <w:pPr>
                    <w:ind w:left="0" w:leftChars="0" w:right="0" w:rightChars="0"/>
                    <w:jc w:val="center"/>
                    <w:rPr>
                      <w:rFonts w:hint="eastAsia" w:ascii="Times New Roman" w:hAnsi="Times New Roman" w:cs="Times New Roman"/>
                      <w:bCs/>
                      <w:color w:val="auto"/>
                      <w:sz w:val="21"/>
                      <w:szCs w:val="21"/>
                      <w:lang w:val="en-US" w:eastAsia="zh-CN"/>
                    </w:rPr>
                  </w:pPr>
                </w:p>
                <w:p>
                  <w:pPr>
                    <w:ind w:left="0" w:leftChars="0" w:right="0" w:rightChars="0"/>
                    <w:jc w:val="center"/>
                    <w:rPr>
                      <w:rFonts w:hint="eastAsia" w:ascii="Times New Roman" w:hAnsi="Times New Roman" w:cs="Times New Roman"/>
                      <w:bCs/>
                      <w:color w:val="auto"/>
                      <w:sz w:val="21"/>
                      <w:szCs w:val="21"/>
                      <w:lang w:val="en-US" w:eastAsia="zh-CN"/>
                    </w:rPr>
                  </w:pPr>
                </w:p>
                <w:p>
                  <w:pPr>
                    <w:ind w:left="0" w:leftChars="0" w:right="0" w:rightChars="0"/>
                    <w:jc w:val="center"/>
                    <w:rPr>
                      <w:rFonts w:hint="eastAsia" w:ascii="Times New Roman" w:hAnsi="Times New Roman" w:cs="Times New Roman"/>
                      <w:bCs/>
                      <w:color w:val="auto"/>
                      <w:sz w:val="21"/>
                      <w:szCs w:val="21"/>
                      <w:lang w:val="en-US" w:eastAsia="zh-CN"/>
                    </w:rPr>
                  </w:pPr>
                </w:p>
                <w:p>
                  <w:pPr>
                    <w:ind w:left="0" w:leftChars="0" w:right="0" w:rightChars="0"/>
                    <w:jc w:val="center"/>
                    <w:rPr>
                      <w:rFonts w:hint="eastAsia" w:ascii="Times New Roman" w:hAnsi="Times New Roman" w:cs="Times New Roman"/>
                      <w:bCs/>
                      <w:color w:val="auto"/>
                      <w:sz w:val="21"/>
                      <w:szCs w:val="21"/>
                      <w:lang w:val="en-US" w:eastAsia="zh-CN"/>
                    </w:rPr>
                  </w:pPr>
                </w:p>
                <w:p>
                  <w:pPr>
                    <w:ind w:left="0" w:leftChars="0" w:right="0" w:right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55</w:t>
                  </w:r>
                </w:p>
              </w:tc>
              <w:tc>
                <w:tcPr>
                  <w:tcW w:w="970" w:type="dxa"/>
                  <w:vMerge w:val="restart"/>
                </w:tcPr>
                <w:p>
                  <w:pPr>
                    <w:ind w:left="0" w:leftChars="0" w:right="0" w:rightChars="0"/>
                    <w:jc w:val="center"/>
                    <w:rPr>
                      <w:rFonts w:hint="eastAsia" w:ascii="Times New Roman" w:hAnsi="Times New Roman" w:cs="Times New Roman"/>
                      <w:bCs/>
                      <w:color w:val="auto"/>
                      <w:sz w:val="21"/>
                      <w:szCs w:val="21"/>
                      <w:lang w:val="en-US" w:eastAsia="zh-CN"/>
                    </w:rPr>
                  </w:pPr>
                </w:p>
                <w:p>
                  <w:pPr>
                    <w:ind w:left="0" w:leftChars="0" w:right="0" w:rightChars="0"/>
                    <w:jc w:val="center"/>
                    <w:rPr>
                      <w:rFonts w:hint="eastAsia" w:ascii="Times New Roman" w:hAnsi="Times New Roman" w:cs="Times New Roman"/>
                      <w:bCs/>
                      <w:color w:val="auto"/>
                      <w:sz w:val="21"/>
                      <w:szCs w:val="21"/>
                      <w:lang w:val="en-US" w:eastAsia="zh-CN"/>
                    </w:rPr>
                  </w:pPr>
                </w:p>
                <w:p>
                  <w:pPr>
                    <w:ind w:left="0" w:leftChars="0" w:right="0" w:rightChars="0"/>
                    <w:jc w:val="center"/>
                    <w:rPr>
                      <w:rFonts w:hint="eastAsia" w:ascii="Times New Roman" w:hAnsi="Times New Roman" w:cs="Times New Roman"/>
                      <w:bCs/>
                      <w:color w:val="auto"/>
                      <w:sz w:val="21"/>
                      <w:szCs w:val="21"/>
                      <w:lang w:val="en-US" w:eastAsia="zh-CN"/>
                    </w:rPr>
                  </w:pPr>
                </w:p>
                <w:p>
                  <w:pPr>
                    <w:ind w:left="0" w:leftChars="0" w:right="0" w:rightChars="0"/>
                    <w:jc w:val="center"/>
                    <w:rPr>
                      <w:rFonts w:hint="eastAsia" w:ascii="Times New Roman" w:hAnsi="Times New Roman" w:cs="Times New Roman"/>
                      <w:bCs/>
                      <w:color w:val="auto"/>
                      <w:sz w:val="21"/>
                      <w:szCs w:val="21"/>
                      <w:lang w:val="en-US" w:eastAsia="zh-CN"/>
                    </w:rPr>
                  </w:pPr>
                </w:p>
                <w:p>
                  <w:pPr>
                    <w:ind w:left="0" w:leftChars="0" w:right="0" w:rightChars="0"/>
                    <w:jc w:val="center"/>
                    <w:rPr>
                      <w:rFonts w:hint="eastAsia" w:ascii="Times New Roman" w:hAnsi="Times New Roman" w:cs="Times New Roman"/>
                      <w:bCs/>
                      <w:color w:val="auto"/>
                      <w:sz w:val="21"/>
                      <w:szCs w:val="21"/>
                      <w:lang w:val="en-US" w:eastAsia="zh-CN"/>
                    </w:rPr>
                  </w:pPr>
                </w:p>
                <w:p>
                  <w:pPr>
                    <w:ind w:left="0" w:leftChars="0" w:right="0" w:rightChars="0"/>
                    <w:jc w:val="center"/>
                    <w:rPr>
                      <w:rFonts w:hint="eastAsia" w:ascii="Times New Roman" w:hAnsi="Times New Roman" w:cs="Times New Roman"/>
                      <w:bCs/>
                      <w:color w:val="auto"/>
                      <w:sz w:val="21"/>
                      <w:szCs w:val="21"/>
                      <w:lang w:val="en-US" w:eastAsia="zh-CN"/>
                    </w:rPr>
                  </w:pPr>
                </w:p>
                <w:p>
                  <w:pPr>
                    <w:ind w:left="0" w:leftChars="0" w:right="0" w:rightChars="0"/>
                    <w:jc w:val="center"/>
                    <w:rPr>
                      <w:rFonts w:hint="eastAsia" w:ascii="Times New Roman" w:hAnsi="Times New Roman" w:cs="Times New Roman"/>
                      <w:bCs/>
                      <w:color w:val="auto"/>
                      <w:sz w:val="21"/>
                      <w:szCs w:val="21"/>
                      <w:lang w:val="en-US" w:eastAsia="zh-CN"/>
                    </w:rPr>
                  </w:pPr>
                </w:p>
                <w:p>
                  <w:pPr>
                    <w:ind w:left="0" w:leftChars="0" w:right="0" w:rightChars="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55.03</w:t>
                  </w:r>
                </w:p>
              </w:tc>
              <w:tc>
                <w:tcPr>
                  <w:tcW w:w="970" w:type="dxa"/>
                </w:tcPr>
                <w:p>
                  <w:pPr>
                    <w:ind w:left="0" w:leftChars="0" w:right="0" w:rightChars="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70" w:type="dxa"/>
                  <w:vAlign w:val="center"/>
                </w:tcPr>
                <w:p>
                  <w:pPr>
                    <w:ind w:left="-15" w:leftChars="0" w:right="0" w:rightChars="0"/>
                    <w:jc w:val="center"/>
                    <w:rPr>
                      <w:rFonts w:hint="eastAsia" w:hAnsi="宋体"/>
                      <w:color w:val="auto"/>
                      <w:sz w:val="21"/>
                      <w:szCs w:val="21"/>
                      <w:vertAlign w:val="baseline"/>
                    </w:rPr>
                  </w:pPr>
                  <w:r>
                    <w:rPr>
                      <w:rFonts w:hint="default" w:ascii="Times New Roman" w:hAnsi="Times New Roman" w:cs="Times New Roman"/>
                      <w:color w:val="auto"/>
                      <w:sz w:val="21"/>
                      <w:szCs w:val="21"/>
                    </w:rPr>
                    <w:t>烘干滚筒</w:t>
                  </w:r>
                </w:p>
              </w:tc>
              <w:tc>
                <w:tcPr>
                  <w:tcW w:w="970" w:type="dxa"/>
                  <w:vAlign w:val="center"/>
                </w:tcPr>
                <w:p>
                  <w:pPr>
                    <w:ind w:left="0" w:leftChars="0" w:right="0" w:rightChars="0"/>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90</w:t>
                  </w:r>
                </w:p>
              </w:tc>
              <w:tc>
                <w:tcPr>
                  <w:tcW w:w="970"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60</w:t>
                  </w:r>
                </w:p>
              </w:tc>
              <w:tc>
                <w:tcPr>
                  <w:tcW w:w="970"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20</w:t>
                  </w:r>
                </w:p>
              </w:tc>
              <w:tc>
                <w:tcPr>
                  <w:tcW w:w="970" w:type="dxa"/>
                  <w:vMerge w:val="continue"/>
                </w:tcPr>
                <w:p>
                  <w:pPr>
                    <w:ind w:left="0" w:leftChars="0" w:right="0" w:rightChars="0"/>
                    <w:jc w:val="center"/>
                    <w:rPr>
                      <w:rFonts w:hint="eastAsia" w:ascii="Times New Roman" w:hAnsi="Times New Roman" w:cs="Times New Roman"/>
                      <w:bCs/>
                      <w:color w:val="auto"/>
                      <w:sz w:val="21"/>
                      <w:szCs w:val="21"/>
                    </w:rPr>
                  </w:pPr>
                </w:p>
              </w:tc>
              <w:tc>
                <w:tcPr>
                  <w:tcW w:w="970" w:type="dxa"/>
                  <w:vMerge w:val="continue"/>
                </w:tcPr>
                <w:p>
                  <w:pPr>
                    <w:ind w:left="0" w:leftChars="0" w:right="0" w:rightChars="0"/>
                    <w:jc w:val="center"/>
                    <w:rPr>
                      <w:rFonts w:hint="eastAsia" w:ascii="Times New Roman" w:hAnsi="Times New Roman" w:cs="Times New Roman"/>
                      <w:bCs/>
                      <w:color w:val="auto"/>
                      <w:sz w:val="21"/>
                      <w:szCs w:val="21"/>
                    </w:rPr>
                  </w:pPr>
                </w:p>
              </w:tc>
              <w:tc>
                <w:tcPr>
                  <w:tcW w:w="970" w:type="dxa"/>
                  <w:vMerge w:val="continue"/>
                </w:tcPr>
                <w:p>
                  <w:pPr>
                    <w:ind w:left="0" w:leftChars="0" w:right="0" w:rightChars="0"/>
                    <w:jc w:val="center"/>
                    <w:rPr>
                      <w:rFonts w:hint="eastAsia" w:ascii="Times New Roman" w:hAnsi="Times New Roman" w:cs="Times New Roman"/>
                      <w:bCs/>
                      <w:color w:val="auto"/>
                      <w:sz w:val="21"/>
                      <w:szCs w:val="21"/>
                    </w:rPr>
                  </w:pPr>
                </w:p>
              </w:tc>
              <w:tc>
                <w:tcPr>
                  <w:tcW w:w="970" w:type="dxa"/>
                </w:tcPr>
                <w:p>
                  <w:pPr>
                    <w:ind w:left="0" w:leftChars="0" w:right="0" w:rightChars="0"/>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70" w:type="dxa"/>
                  <w:vAlign w:val="center"/>
                </w:tcPr>
                <w:p>
                  <w:pPr>
                    <w:ind w:left="-15" w:leftChars="0" w:right="0" w:rightChars="0"/>
                    <w:jc w:val="center"/>
                    <w:rPr>
                      <w:rFonts w:hint="eastAsia" w:hAnsi="宋体"/>
                      <w:color w:val="auto"/>
                      <w:sz w:val="21"/>
                      <w:szCs w:val="21"/>
                      <w:vertAlign w:val="baseline"/>
                    </w:rPr>
                  </w:pPr>
                  <w:r>
                    <w:rPr>
                      <w:rFonts w:hint="eastAsia" w:ascii="Times New Roman" w:hAnsi="Times New Roman" w:cs="Times New Roman"/>
                      <w:color w:val="auto"/>
                      <w:sz w:val="21"/>
                      <w:szCs w:val="21"/>
                      <w:lang w:val="en-US" w:eastAsia="zh-CN"/>
                    </w:rPr>
                    <w:t>提升系统</w:t>
                  </w:r>
                </w:p>
              </w:tc>
              <w:tc>
                <w:tcPr>
                  <w:tcW w:w="970" w:type="dxa"/>
                  <w:vAlign w:val="center"/>
                </w:tcPr>
                <w:p>
                  <w:pPr>
                    <w:ind w:left="0" w:leftChars="0" w:right="0" w:rightChars="0"/>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85</w:t>
                  </w:r>
                </w:p>
              </w:tc>
              <w:tc>
                <w:tcPr>
                  <w:tcW w:w="970"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80</w:t>
                  </w:r>
                </w:p>
              </w:tc>
              <w:tc>
                <w:tcPr>
                  <w:tcW w:w="970"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20</w:t>
                  </w:r>
                </w:p>
              </w:tc>
              <w:tc>
                <w:tcPr>
                  <w:tcW w:w="970" w:type="dxa"/>
                  <w:vMerge w:val="continue"/>
                </w:tcPr>
                <w:p>
                  <w:pPr>
                    <w:ind w:left="0" w:leftChars="0" w:right="0" w:rightChars="0"/>
                    <w:jc w:val="center"/>
                    <w:rPr>
                      <w:rFonts w:hint="eastAsia" w:ascii="Times New Roman" w:hAnsi="Times New Roman" w:cs="Times New Roman"/>
                      <w:bCs/>
                      <w:color w:val="auto"/>
                      <w:sz w:val="21"/>
                      <w:szCs w:val="21"/>
                    </w:rPr>
                  </w:pPr>
                </w:p>
              </w:tc>
              <w:tc>
                <w:tcPr>
                  <w:tcW w:w="970" w:type="dxa"/>
                  <w:vMerge w:val="continue"/>
                </w:tcPr>
                <w:p>
                  <w:pPr>
                    <w:ind w:left="0" w:leftChars="0" w:right="0" w:rightChars="0"/>
                    <w:jc w:val="center"/>
                    <w:rPr>
                      <w:rFonts w:hint="eastAsia" w:ascii="Times New Roman" w:hAnsi="Times New Roman" w:cs="Times New Roman"/>
                      <w:bCs/>
                      <w:color w:val="auto"/>
                      <w:sz w:val="21"/>
                      <w:szCs w:val="21"/>
                    </w:rPr>
                  </w:pPr>
                </w:p>
              </w:tc>
              <w:tc>
                <w:tcPr>
                  <w:tcW w:w="970" w:type="dxa"/>
                  <w:vMerge w:val="continue"/>
                </w:tcPr>
                <w:p>
                  <w:pPr>
                    <w:ind w:left="0" w:leftChars="0" w:right="0" w:rightChars="0"/>
                    <w:jc w:val="center"/>
                    <w:rPr>
                      <w:rFonts w:hint="eastAsia" w:ascii="Times New Roman" w:hAnsi="Times New Roman" w:cs="Times New Roman"/>
                      <w:bCs/>
                      <w:color w:val="auto"/>
                      <w:sz w:val="21"/>
                      <w:szCs w:val="21"/>
                    </w:rPr>
                  </w:pPr>
                </w:p>
              </w:tc>
              <w:tc>
                <w:tcPr>
                  <w:tcW w:w="970" w:type="dxa"/>
                </w:tcPr>
                <w:p>
                  <w:pPr>
                    <w:ind w:left="0" w:leftChars="0" w:right="0" w:rightChars="0"/>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6" w:hRule="atLeast"/>
                <w:jc w:val="center"/>
              </w:trPr>
              <w:tc>
                <w:tcPr>
                  <w:tcW w:w="970" w:type="dxa"/>
                  <w:vAlign w:val="center"/>
                </w:tcPr>
                <w:p>
                  <w:pPr>
                    <w:ind w:left="-15" w:leftChars="0" w:right="0" w:rightChars="0"/>
                    <w:jc w:val="center"/>
                    <w:rPr>
                      <w:rFonts w:hint="eastAsia" w:hAnsi="宋体"/>
                      <w:color w:val="auto"/>
                      <w:sz w:val="21"/>
                      <w:szCs w:val="21"/>
                      <w:vertAlign w:val="baseline"/>
                    </w:rPr>
                  </w:pPr>
                  <w:r>
                    <w:rPr>
                      <w:rFonts w:hint="default" w:ascii="Times New Roman" w:hAnsi="Times New Roman" w:cs="Times New Roman"/>
                      <w:color w:val="auto"/>
                      <w:sz w:val="21"/>
                      <w:szCs w:val="21"/>
                    </w:rPr>
                    <w:t>振动筛</w:t>
                  </w:r>
                </w:p>
              </w:tc>
              <w:tc>
                <w:tcPr>
                  <w:tcW w:w="970" w:type="dxa"/>
                  <w:vAlign w:val="center"/>
                </w:tcPr>
                <w:p>
                  <w:pPr>
                    <w:ind w:left="0" w:leftChars="0" w:right="0" w:rightChars="0"/>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80</w:t>
                  </w:r>
                </w:p>
              </w:tc>
              <w:tc>
                <w:tcPr>
                  <w:tcW w:w="970"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60</w:t>
                  </w:r>
                </w:p>
              </w:tc>
              <w:tc>
                <w:tcPr>
                  <w:tcW w:w="970" w:type="dxa"/>
                </w:tcPr>
                <w:p>
                  <w:pPr>
                    <w:ind w:left="0" w:leftChars="0" w:right="0" w:rightChars="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20</w:t>
                  </w:r>
                </w:p>
              </w:tc>
              <w:tc>
                <w:tcPr>
                  <w:tcW w:w="970" w:type="dxa"/>
                  <w:vMerge w:val="continue"/>
                </w:tcPr>
                <w:p>
                  <w:pPr>
                    <w:ind w:left="0" w:leftChars="0" w:right="0" w:rightChars="0"/>
                    <w:jc w:val="center"/>
                    <w:rPr>
                      <w:rFonts w:hint="eastAsia" w:ascii="Times New Roman" w:hAnsi="Times New Roman" w:cs="Times New Roman"/>
                      <w:bCs/>
                      <w:color w:val="auto"/>
                      <w:sz w:val="21"/>
                      <w:szCs w:val="21"/>
                    </w:rPr>
                  </w:pPr>
                </w:p>
              </w:tc>
              <w:tc>
                <w:tcPr>
                  <w:tcW w:w="970" w:type="dxa"/>
                  <w:vMerge w:val="continue"/>
                </w:tcPr>
                <w:p>
                  <w:pPr>
                    <w:ind w:left="0" w:leftChars="0" w:right="0" w:rightChars="0"/>
                    <w:jc w:val="center"/>
                    <w:rPr>
                      <w:rFonts w:hint="eastAsia" w:ascii="Times New Roman" w:hAnsi="Times New Roman" w:cs="Times New Roman"/>
                      <w:bCs/>
                      <w:color w:val="auto"/>
                      <w:sz w:val="21"/>
                      <w:szCs w:val="21"/>
                    </w:rPr>
                  </w:pPr>
                </w:p>
              </w:tc>
              <w:tc>
                <w:tcPr>
                  <w:tcW w:w="970" w:type="dxa"/>
                  <w:vMerge w:val="continue"/>
                </w:tcPr>
                <w:p>
                  <w:pPr>
                    <w:ind w:left="0" w:leftChars="0" w:right="0" w:rightChars="0"/>
                    <w:jc w:val="center"/>
                    <w:rPr>
                      <w:rFonts w:hint="eastAsia" w:ascii="Times New Roman" w:hAnsi="Times New Roman" w:cs="Times New Roman"/>
                      <w:bCs/>
                      <w:color w:val="auto"/>
                      <w:sz w:val="21"/>
                      <w:szCs w:val="21"/>
                    </w:rPr>
                  </w:pPr>
                </w:p>
              </w:tc>
              <w:tc>
                <w:tcPr>
                  <w:tcW w:w="970" w:type="dxa"/>
                </w:tcPr>
                <w:p>
                  <w:pPr>
                    <w:ind w:left="0" w:leftChars="0" w:right="0" w:rightChars="0"/>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970" w:type="dxa"/>
                  <w:vAlign w:val="center"/>
                </w:tcPr>
                <w:p>
                  <w:pPr>
                    <w:ind w:left="-15" w:leftChars="0" w:right="0" w:rightChars="0"/>
                    <w:jc w:val="center"/>
                    <w:rPr>
                      <w:rFonts w:hint="eastAsia" w:hAnsi="宋体"/>
                      <w:color w:val="auto"/>
                      <w:sz w:val="21"/>
                      <w:szCs w:val="21"/>
                      <w:vertAlign w:val="baseline"/>
                    </w:rPr>
                  </w:pPr>
                  <w:r>
                    <w:rPr>
                      <w:rFonts w:hint="default" w:ascii="Times New Roman" w:hAnsi="Times New Roman" w:cs="Times New Roman"/>
                      <w:color w:val="auto"/>
                      <w:sz w:val="21"/>
                      <w:szCs w:val="21"/>
                    </w:rPr>
                    <w:t>搅拌缸</w:t>
                  </w:r>
                </w:p>
              </w:tc>
              <w:tc>
                <w:tcPr>
                  <w:tcW w:w="970" w:type="dxa"/>
                  <w:vAlign w:val="center"/>
                </w:tcPr>
                <w:p>
                  <w:pPr>
                    <w:ind w:left="0" w:leftChars="0" w:right="0" w:rightChars="0"/>
                    <w:jc w:val="center"/>
                    <w:rPr>
                      <w:rFonts w:hint="eastAsia" w:ascii="Times New Roman" w:hAnsi="Times New Roman" w:cs="Times New Roman"/>
                      <w:bCs/>
                      <w:color w:val="auto"/>
                      <w:sz w:val="21"/>
                      <w:szCs w:val="21"/>
                    </w:rPr>
                  </w:pPr>
                  <w:r>
                    <w:rPr>
                      <w:rFonts w:hint="default" w:ascii="Times New Roman" w:hAnsi="Times New Roman" w:cs="Times New Roman"/>
                      <w:bCs/>
                      <w:color w:val="auto"/>
                      <w:sz w:val="21"/>
                      <w:szCs w:val="21"/>
                    </w:rPr>
                    <w:t>90</w:t>
                  </w:r>
                </w:p>
              </w:tc>
              <w:tc>
                <w:tcPr>
                  <w:tcW w:w="970"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55</w:t>
                  </w:r>
                </w:p>
              </w:tc>
              <w:tc>
                <w:tcPr>
                  <w:tcW w:w="970"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20</w:t>
                  </w:r>
                </w:p>
              </w:tc>
              <w:tc>
                <w:tcPr>
                  <w:tcW w:w="970" w:type="dxa"/>
                  <w:vMerge w:val="continue"/>
                </w:tcPr>
                <w:p>
                  <w:pPr>
                    <w:ind w:left="0" w:leftChars="0" w:right="0" w:rightChars="0"/>
                    <w:jc w:val="center"/>
                    <w:rPr>
                      <w:rFonts w:hint="eastAsia" w:ascii="Times New Roman" w:hAnsi="Times New Roman" w:cs="Times New Roman"/>
                      <w:bCs/>
                      <w:color w:val="auto"/>
                      <w:sz w:val="21"/>
                      <w:szCs w:val="21"/>
                    </w:rPr>
                  </w:pPr>
                </w:p>
              </w:tc>
              <w:tc>
                <w:tcPr>
                  <w:tcW w:w="970" w:type="dxa"/>
                  <w:vMerge w:val="continue"/>
                </w:tcPr>
                <w:p>
                  <w:pPr>
                    <w:ind w:left="0" w:leftChars="0" w:right="0" w:rightChars="0"/>
                    <w:jc w:val="center"/>
                    <w:rPr>
                      <w:rFonts w:hint="eastAsia" w:ascii="Times New Roman" w:hAnsi="Times New Roman" w:cs="Times New Roman"/>
                      <w:bCs/>
                      <w:color w:val="auto"/>
                      <w:sz w:val="21"/>
                      <w:szCs w:val="21"/>
                    </w:rPr>
                  </w:pPr>
                </w:p>
              </w:tc>
              <w:tc>
                <w:tcPr>
                  <w:tcW w:w="970" w:type="dxa"/>
                  <w:vMerge w:val="continue"/>
                </w:tcPr>
                <w:p>
                  <w:pPr>
                    <w:ind w:left="0" w:leftChars="0" w:right="0" w:rightChars="0"/>
                    <w:jc w:val="center"/>
                    <w:rPr>
                      <w:rFonts w:hint="eastAsia" w:ascii="Times New Roman" w:hAnsi="Times New Roman" w:cs="Times New Roman"/>
                      <w:bCs/>
                      <w:color w:val="auto"/>
                      <w:sz w:val="21"/>
                      <w:szCs w:val="21"/>
                    </w:rPr>
                  </w:pPr>
                </w:p>
              </w:tc>
              <w:tc>
                <w:tcPr>
                  <w:tcW w:w="970" w:type="dxa"/>
                </w:tcPr>
                <w:p>
                  <w:pPr>
                    <w:ind w:left="0" w:leftChars="0" w:right="0" w:rightChars="0"/>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970" w:type="dxa"/>
                  <w:vAlign w:val="center"/>
                </w:tcPr>
                <w:p>
                  <w:pPr>
                    <w:ind w:left="-15" w:leftChars="0" w:right="0" w:rightChars="0"/>
                    <w:jc w:val="center"/>
                    <w:rPr>
                      <w:rFonts w:hint="eastAsia" w:hAnsi="宋体"/>
                      <w:color w:val="auto"/>
                      <w:sz w:val="21"/>
                      <w:szCs w:val="21"/>
                      <w:vertAlign w:val="baseline"/>
                    </w:rPr>
                  </w:pPr>
                  <w:r>
                    <w:rPr>
                      <w:rFonts w:hint="eastAsia" w:ascii="Times New Roman" w:hAnsi="Times New Roman" w:cs="Times New Roman"/>
                      <w:color w:val="auto"/>
                      <w:sz w:val="21"/>
                      <w:szCs w:val="21"/>
                      <w:lang w:val="en-US" w:eastAsia="zh-CN"/>
                    </w:rPr>
                    <w:t>物料传输装置</w:t>
                  </w:r>
                </w:p>
              </w:tc>
              <w:tc>
                <w:tcPr>
                  <w:tcW w:w="970" w:type="dxa"/>
                  <w:vAlign w:val="center"/>
                </w:tcPr>
                <w:p>
                  <w:pPr>
                    <w:ind w:left="0" w:leftChars="0" w:right="0" w:rightChars="0"/>
                    <w:jc w:val="center"/>
                    <w:rPr>
                      <w:rFonts w:hint="eastAsia" w:ascii="Times New Roman" w:hAnsi="Times New Roman" w:cs="Times New Roman"/>
                      <w:bCs/>
                      <w:color w:val="auto"/>
                      <w:sz w:val="21"/>
                      <w:szCs w:val="21"/>
                    </w:rPr>
                  </w:pPr>
                  <w:r>
                    <w:rPr>
                      <w:rFonts w:hint="default" w:ascii="Times New Roman" w:hAnsi="Times New Roman" w:cs="Times New Roman"/>
                      <w:bCs/>
                      <w:color w:val="auto"/>
                      <w:sz w:val="21"/>
                      <w:szCs w:val="21"/>
                    </w:rPr>
                    <w:t>80</w:t>
                  </w:r>
                </w:p>
              </w:tc>
              <w:tc>
                <w:tcPr>
                  <w:tcW w:w="970"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60</w:t>
                  </w:r>
                </w:p>
              </w:tc>
              <w:tc>
                <w:tcPr>
                  <w:tcW w:w="970"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15</w:t>
                  </w:r>
                </w:p>
              </w:tc>
              <w:tc>
                <w:tcPr>
                  <w:tcW w:w="970" w:type="dxa"/>
                  <w:vMerge w:val="continue"/>
                </w:tcPr>
                <w:p>
                  <w:pPr>
                    <w:ind w:left="0" w:leftChars="0" w:right="0" w:rightChars="0"/>
                    <w:jc w:val="center"/>
                    <w:rPr>
                      <w:rFonts w:hint="eastAsia" w:ascii="Times New Roman" w:hAnsi="Times New Roman" w:cs="Times New Roman"/>
                      <w:bCs/>
                      <w:color w:val="auto"/>
                      <w:sz w:val="21"/>
                      <w:szCs w:val="21"/>
                    </w:rPr>
                  </w:pPr>
                </w:p>
              </w:tc>
              <w:tc>
                <w:tcPr>
                  <w:tcW w:w="970" w:type="dxa"/>
                  <w:vMerge w:val="continue"/>
                </w:tcPr>
                <w:p>
                  <w:pPr>
                    <w:ind w:left="0" w:leftChars="0" w:right="0" w:rightChars="0"/>
                    <w:jc w:val="center"/>
                    <w:rPr>
                      <w:rFonts w:hint="eastAsia" w:ascii="Times New Roman" w:hAnsi="Times New Roman" w:cs="Times New Roman"/>
                      <w:bCs/>
                      <w:color w:val="auto"/>
                      <w:sz w:val="21"/>
                      <w:szCs w:val="21"/>
                    </w:rPr>
                  </w:pPr>
                </w:p>
              </w:tc>
              <w:tc>
                <w:tcPr>
                  <w:tcW w:w="970" w:type="dxa"/>
                  <w:vMerge w:val="continue"/>
                </w:tcPr>
                <w:p>
                  <w:pPr>
                    <w:ind w:left="0" w:leftChars="0" w:right="0" w:rightChars="0"/>
                    <w:jc w:val="center"/>
                    <w:rPr>
                      <w:rFonts w:hint="eastAsia" w:ascii="Times New Roman" w:hAnsi="Times New Roman" w:cs="Times New Roman"/>
                      <w:bCs/>
                      <w:color w:val="auto"/>
                      <w:sz w:val="21"/>
                      <w:szCs w:val="21"/>
                    </w:rPr>
                  </w:pPr>
                </w:p>
              </w:tc>
              <w:tc>
                <w:tcPr>
                  <w:tcW w:w="970" w:type="dxa"/>
                </w:tcPr>
                <w:p>
                  <w:pPr>
                    <w:ind w:left="0" w:leftChars="0" w:right="0" w:rightChars="0"/>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970" w:type="dxa"/>
                  <w:vAlign w:val="center"/>
                </w:tcPr>
                <w:p>
                  <w:pPr>
                    <w:ind w:left="-15" w:leftChars="0" w:right="0" w:rightChars="0"/>
                    <w:jc w:val="center"/>
                    <w:rPr>
                      <w:rFonts w:hint="eastAsia" w:hAnsi="宋体"/>
                      <w:color w:val="auto"/>
                      <w:sz w:val="21"/>
                      <w:szCs w:val="21"/>
                      <w:vertAlign w:val="baseline"/>
                    </w:rPr>
                  </w:pPr>
                  <w:r>
                    <w:rPr>
                      <w:rFonts w:hint="default" w:ascii="Times New Roman" w:hAnsi="Times New Roman" w:cs="Times New Roman"/>
                      <w:color w:val="auto"/>
                      <w:sz w:val="21"/>
                      <w:szCs w:val="21"/>
                    </w:rPr>
                    <w:t>引风机</w:t>
                  </w:r>
                </w:p>
              </w:tc>
              <w:tc>
                <w:tcPr>
                  <w:tcW w:w="970" w:type="dxa"/>
                  <w:vAlign w:val="center"/>
                </w:tcPr>
                <w:p>
                  <w:pPr>
                    <w:ind w:left="0" w:leftChars="0" w:right="0" w:rightChars="0"/>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90</w:t>
                  </w:r>
                </w:p>
              </w:tc>
              <w:tc>
                <w:tcPr>
                  <w:tcW w:w="970"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55</w:t>
                  </w:r>
                </w:p>
              </w:tc>
              <w:tc>
                <w:tcPr>
                  <w:tcW w:w="970"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15</w:t>
                  </w:r>
                </w:p>
              </w:tc>
              <w:tc>
                <w:tcPr>
                  <w:tcW w:w="970" w:type="dxa"/>
                  <w:vMerge w:val="continue"/>
                </w:tcPr>
                <w:p>
                  <w:pPr>
                    <w:ind w:left="0" w:leftChars="0" w:right="0" w:rightChars="0"/>
                    <w:jc w:val="center"/>
                    <w:rPr>
                      <w:rFonts w:hint="eastAsia" w:ascii="Times New Roman" w:hAnsi="Times New Roman" w:cs="Times New Roman"/>
                      <w:bCs/>
                      <w:color w:val="auto"/>
                      <w:sz w:val="21"/>
                      <w:szCs w:val="21"/>
                    </w:rPr>
                  </w:pPr>
                </w:p>
              </w:tc>
              <w:tc>
                <w:tcPr>
                  <w:tcW w:w="970" w:type="dxa"/>
                  <w:vMerge w:val="continue"/>
                </w:tcPr>
                <w:p>
                  <w:pPr>
                    <w:ind w:left="0" w:leftChars="0" w:right="0" w:rightChars="0"/>
                    <w:jc w:val="center"/>
                    <w:rPr>
                      <w:rFonts w:hint="eastAsia" w:ascii="Times New Roman" w:hAnsi="Times New Roman" w:cs="Times New Roman"/>
                      <w:bCs/>
                      <w:color w:val="auto"/>
                      <w:sz w:val="21"/>
                      <w:szCs w:val="21"/>
                    </w:rPr>
                  </w:pPr>
                </w:p>
              </w:tc>
              <w:tc>
                <w:tcPr>
                  <w:tcW w:w="970" w:type="dxa"/>
                  <w:vMerge w:val="continue"/>
                </w:tcPr>
                <w:p>
                  <w:pPr>
                    <w:ind w:left="0" w:leftChars="0" w:right="0" w:rightChars="0"/>
                    <w:jc w:val="center"/>
                    <w:rPr>
                      <w:rFonts w:hint="eastAsia" w:ascii="Times New Roman" w:hAnsi="Times New Roman" w:cs="Times New Roman"/>
                      <w:bCs/>
                      <w:color w:val="auto"/>
                      <w:sz w:val="21"/>
                      <w:szCs w:val="21"/>
                    </w:rPr>
                  </w:pPr>
                </w:p>
              </w:tc>
              <w:tc>
                <w:tcPr>
                  <w:tcW w:w="970" w:type="dxa"/>
                </w:tcPr>
                <w:p>
                  <w:pPr>
                    <w:ind w:left="0" w:leftChars="0" w:right="0" w:rightChars="0"/>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970" w:type="dxa"/>
                  <w:vAlign w:val="center"/>
                </w:tcPr>
                <w:p>
                  <w:pPr>
                    <w:ind w:left="-15" w:leftChars="0" w:right="0" w:rightChars="0"/>
                    <w:jc w:val="center"/>
                    <w:rPr>
                      <w:rFonts w:hint="eastAsia" w:hAnsi="宋体"/>
                      <w:color w:val="auto"/>
                      <w:sz w:val="21"/>
                      <w:szCs w:val="21"/>
                      <w:vertAlign w:val="baseline"/>
                    </w:rPr>
                  </w:pPr>
                  <w:r>
                    <w:rPr>
                      <w:rFonts w:hint="eastAsia" w:ascii="Times New Roman" w:hAnsi="Times New Roman" w:cs="Times New Roman"/>
                      <w:color w:val="auto"/>
                      <w:sz w:val="21"/>
                      <w:szCs w:val="21"/>
                      <w:lang w:val="en-US" w:eastAsia="zh-CN"/>
                    </w:rPr>
                    <w:t>空压机</w:t>
                  </w:r>
                </w:p>
              </w:tc>
              <w:tc>
                <w:tcPr>
                  <w:tcW w:w="970" w:type="dxa"/>
                  <w:vAlign w:val="center"/>
                </w:tcPr>
                <w:p>
                  <w:pPr>
                    <w:ind w:left="0" w:leftChars="0" w:right="0" w:rightChars="0"/>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75</w:t>
                  </w:r>
                </w:p>
              </w:tc>
              <w:tc>
                <w:tcPr>
                  <w:tcW w:w="970"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40</w:t>
                  </w:r>
                </w:p>
              </w:tc>
              <w:tc>
                <w:tcPr>
                  <w:tcW w:w="970" w:type="dxa"/>
                </w:tcPr>
                <w:p>
                  <w:pPr>
                    <w:ind w:left="0" w:leftChars="0" w:right="0" w:rightChars="0"/>
                    <w:jc w:val="center"/>
                    <w:rPr>
                      <w:rFonts w:hint="default"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15</w:t>
                  </w:r>
                </w:p>
              </w:tc>
              <w:tc>
                <w:tcPr>
                  <w:tcW w:w="970" w:type="dxa"/>
                  <w:vMerge w:val="continue"/>
                </w:tcPr>
                <w:p>
                  <w:pPr>
                    <w:ind w:left="0" w:leftChars="0" w:right="0" w:rightChars="0"/>
                    <w:jc w:val="center"/>
                    <w:rPr>
                      <w:rFonts w:hint="eastAsia" w:ascii="Times New Roman" w:hAnsi="Times New Roman" w:cs="Times New Roman"/>
                      <w:bCs/>
                      <w:color w:val="auto"/>
                      <w:sz w:val="21"/>
                      <w:szCs w:val="21"/>
                    </w:rPr>
                  </w:pPr>
                </w:p>
              </w:tc>
              <w:tc>
                <w:tcPr>
                  <w:tcW w:w="970" w:type="dxa"/>
                  <w:vMerge w:val="continue"/>
                </w:tcPr>
                <w:p>
                  <w:pPr>
                    <w:ind w:left="0" w:leftChars="0" w:right="0" w:rightChars="0"/>
                    <w:jc w:val="center"/>
                    <w:rPr>
                      <w:rFonts w:hint="eastAsia" w:ascii="Times New Roman" w:hAnsi="Times New Roman" w:cs="Times New Roman"/>
                      <w:bCs/>
                      <w:color w:val="auto"/>
                      <w:sz w:val="21"/>
                      <w:szCs w:val="21"/>
                    </w:rPr>
                  </w:pPr>
                </w:p>
              </w:tc>
              <w:tc>
                <w:tcPr>
                  <w:tcW w:w="970" w:type="dxa"/>
                  <w:vMerge w:val="continue"/>
                </w:tcPr>
                <w:p>
                  <w:pPr>
                    <w:ind w:left="0" w:leftChars="0" w:right="0" w:rightChars="0"/>
                    <w:jc w:val="center"/>
                    <w:rPr>
                      <w:rFonts w:hint="eastAsia" w:ascii="Times New Roman" w:hAnsi="Times New Roman" w:cs="Times New Roman"/>
                      <w:bCs/>
                      <w:color w:val="auto"/>
                      <w:sz w:val="21"/>
                      <w:szCs w:val="21"/>
                    </w:rPr>
                  </w:pPr>
                </w:p>
              </w:tc>
              <w:tc>
                <w:tcPr>
                  <w:tcW w:w="970" w:type="dxa"/>
                </w:tcPr>
                <w:p>
                  <w:pPr>
                    <w:ind w:left="0" w:leftChars="0" w:right="0" w:rightChars="0"/>
                    <w:jc w:val="center"/>
                    <w:rPr>
                      <w:rFonts w:hint="eastAsia" w:ascii="Times New Roman" w:hAnsi="Times New Roman" w:cs="Times New Roman"/>
                      <w:bCs/>
                      <w:color w:val="auto"/>
                      <w:sz w:val="21"/>
                      <w:szCs w:val="21"/>
                    </w:rPr>
                  </w:pPr>
                  <w:r>
                    <w:rPr>
                      <w:rFonts w:hint="eastAsia" w:ascii="Times New Roman" w:hAnsi="Times New Roman" w:cs="Times New Roman"/>
                      <w:bCs/>
                      <w:color w:val="auto"/>
                      <w:sz w:val="21"/>
                      <w:szCs w:val="21"/>
                      <w:lang w:val="en-US" w:eastAsia="zh-CN"/>
                    </w:rPr>
                    <w:t>达标</w:t>
                  </w:r>
                </w:p>
              </w:tc>
            </w:tr>
          </w:tbl>
          <w:p>
            <w:pPr>
              <w:spacing w:line="360" w:lineRule="auto"/>
              <w:ind w:firstLine="470" w:firstLineChars="196"/>
              <w:rPr>
                <w:rFonts w:hint="default" w:ascii="Times New Roman" w:hAnsi="Times New Roman" w:cs="Times New Roman"/>
                <w:color w:val="auto"/>
                <w:sz w:val="24"/>
                <w:highlight w:val="none"/>
              </w:rPr>
            </w:pPr>
            <w:r>
              <w:rPr>
                <w:rFonts w:hint="default" w:ascii="Times New Roman" w:hAnsi="Times New Roman" w:cs="Times New Roman"/>
                <w:sz w:val="24"/>
              </w:rPr>
              <w:t>本项目白天生产，夜间不生产。根据预测结果可知，本项目各生产设备经基础减震、厂</w:t>
            </w:r>
            <w:r>
              <w:rPr>
                <w:rFonts w:hint="default" w:ascii="Times New Roman" w:hAnsi="Times New Roman" w:cs="Times New Roman"/>
                <w:sz w:val="24"/>
                <w:highlight w:val="none"/>
              </w:rPr>
              <w:t>房隔声等措施后，厂界噪声均可达到《工业企业厂界环境噪声排放标准》（GB12348-2008）中规定的</w:t>
            </w:r>
            <w:r>
              <w:rPr>
                <w:rFonts w:hint="default" w:ascii="Times New Roman" w:hAnsi="Times New Roman" w:cs="Times New Roman"/>
                <w:sz w:val="24"/>
                <w:highlight w:val="none"/>
                <w:lang w:val="en-US" w:eastAsia="zh-CN"/>
              </w:rPr>
              <w:t>2</w:t>
            </w:r>
            <w:r>
              <w:rPr>
                <w:rFonts w:hint="default" w:ascii="Times New Roman" w:hAnsi="Times New Roman" w:cs="Times New Roman"/>
                <w:sz w:val="24"/>
                <w:highlight w:val="none"/>
              </w:rPr>
              <w:t>类标准限值要求</w:t>
            </w:r>
            <w:r>
              <w:rPr>
                <w:rFonts w:hint="default" w:ascii="Times New Roman" w:hAnsi="Times New Roman" w:cs="Times New Roman"/>
                <w:color w:val="auto"/>
                <w:sz w:val="24"/>
                <w:highlight w:val="none"/>
              </w:rPr>
              <w:t>，即昼间60dB（A）；夜间50dB（A）。对其周边不会产生不利影响。</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为了进一步降低本项目生产过程中对周边环境噪声的影响，本项目还应采取以下噪声防治措施：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①搅拌设备、烘干、筛分等设备设置减振垫等减振设施；</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②皮带输送机、螺旋输送机等设备定期在滚轴处加润滑油，从而减少摩擦噪声产生</w:t>
            </w:r>
            <w:r>
              <w:rPr>
                <w:rFonts w:hint="eastAsia" w:cs="宋体"/>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③在搅拌楼周围及道路两侧加强绿化，并设置围挡；</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④对空压机和风机等高噪声源实行单独隔声，并设置混凝土减振基础基座，风机进出风口均安装消音器；</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⑤建立设备定期维护，保养的管理制度，以防止设备故障形成的非正常生产噪声，同时确保环保措施发挥最佳有效的功能；</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⑥加强职工环保意识教育，提倡文明生产，防止人为噪声；</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⑦强化行车管理制度，设置降噪标准，严禁鸣号，进入厂区低速行驶，最大限度减少流动噪声源</w:t>
            </w:r>
            <w:r>
              <w:rPr>
                <w:rFonts w:hint="eastAsia"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⑧环评要求生产时间限制在昼间（</w:t>
            </w:r>
            <w:r>
              <w:rPr>
                <w:rFonts w:hint="default" w:ascii="Times New Roman" w:hAnsi="Times New Roman" w:eastAsia="宋体" w:cs="Times New Roman"/>
                <w:color w:val="000000"/>
                <w:kern w:val="0"/>
                <w:sz w:val="24"/>
                <w:szCs w:val="24"/>
                <w:lang w:val="en-US" w:eastAsia="zh-CN" w:bidi="ar"/>
              </w:rPr>
              <w:t>6:00~22:00</w:t>
            </w:r>
            <w:r>
              <w:rPr>
                <w:rFonts w:hint="eastAsia" w:ascii="宋体" w:hAnsi="宋体" w:eastAsia="宋体" w:cs="宋体"/>
                <w:color w:val="000000"/>
                <w:kern w:val="0"/>
                <w:sz w:val="24"/>
                <w:szCs w:val="24"/>
                <w:lang w:val="en-US" w:eastAsia="zh-CN" w:bidi="ar"/>
              </w:rPr>
              <w:t xml:space="preserve">），严禁夜间生产。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综上所述，本项目在采取环评提出的噪声防治措施后，项目营运期噪声对周边声学环境影响较小，环境可接受</w:t>
            </w:r>
            <w:r>
              <w:rPr>
                <w:rFonts w:hint="eastAsia" w:cs="宋体"/>
                <w:color w:val="000000"/>
                <w:kern w:val="0"/>
                <w:sz w:val="24"/>
                <w:szCs w:val="24"/>
                <w:lang w:val="en-US" w:eastAsia="zh-CN" w:bidi="ar"/>
              </w:rPr>
              <w:t>。</w:t>
            </w:r>
          </w:p>
          <w:p>
            <w:pPr>
              <w:spacing w:line="520" w:lineRule="exact"/>
              <w:ind w:firstLine="482" w:firstLineChars="200"/>
              <w:rPr>
                <w:b/>
                <w:color w:val="auto"/>
                <w:sz w:val="24"/>
                <w:highlight w:val="none"/>
              </w:rPr>
            </w:pPr>
            <w:r>
              <w:rPr>
                <w:b/>
                <w:color w:val="auto"/>
                <w:sz w:val="24"/>
                <w:highlight w:val="none"/>
              </w:rPr>
              <w:t>4、固体废物环境影响分析</w:t>
            </w:r>
          </w:p>
          <w:p>
            <w:pPr>
              <w:pStyle w:val="3"/>
              <w:ind w:firstLine="480"/>
              <w:rPr>
                <w:rFonts w:hint="eastAsia"/>
                <w:color w:val="FF0000"/>
              </w:rPr>
            </w:pPr>
            <w:r>
              <w:rPr>
                <w:rFonts w:hint="eastAsia"/>
                <w:color w:val="000000" w:themeColor="text1"/>
                <w14:textFill>
                  <w14:solidFill>
                    <w14:schemeClr w14:val="tx1"/>
                  </w14:solidFill>
                </w14:textFill>
              </w:rPr>
              <w:t>项目经营过程中产生的固体废物为</w:t>
            </w:r>
            <w:r>
              <w:rPr>
                <w:rFonts w:hint="eastAsia"/>
                <w:color w:val="000000" w:themeColor="text1"/>
                <w:lang w:val="en-US" w:eastAsia="zh-CN"/>
                <w14:textFill>
                  <w14:solidFill>
                    <w14:schemeClr w14:val="tx1"/>
                  </w14:solidFill>
                </w14:textFill>
              </w:rPr>
              <w:t>废石料、</w:t>
            </w:r>
            <w:r>
              <w:rPr>
                <w:rFonts w:hint="eastAsia"/>
                <w:color w:val="000000" w:themeColor="text1"/>
                <w14:textFill>
                  <w14:solidFill>
                    <w14:schemeClr w14:val="tx1"/>
                  </w14:solidFill>
                </w14:textFill>
              </w:rPr>
              <w:t>除尘灰</w:t>
            </w:r>
            <w:r>
              <w:rPr>
                <w:rFonts w:hint="eastAsia"/>
                <w:color w:val="000000" w:themeColor="text1"/>
                <w:lang w:eastAsia="zh-CN"/>
                <w14:textFill>
                  <w14:solidFill>
                    <w14:schemeClr w14:val="tx1"/>
                  </w14:solidFill>
                </w14:textFill>
              </w:rPr>
              <w:t>、</w:t>
            </w:r>
            <w:r>
              <w:rPr>
                <w:rFonts w:hint="eastAsia" w:ascii="Times New Roman" w:hAnsi="Times New Roman" w:eastAsia="宋体" w:cs="宋体"/>
                <w:color w:val="000000" w:themeColor="text1"/>
                <w:sz w:val="24"/>
                <w:szCs w:val="28"/>
                <w:lang w:val="en-US" w:eastAsia="zh-CN" w:bidi="zh-CN"/>
                <w14:textFill>
                  <w14:solidFill>
                    <w14:schemeClr w14:val="tx1"/>
                  </w14:solidFill>
                </w14:textFill>
              </w:rPr>
              <w:t>废沥青砼</w:t>
            </w:r>
            <w:r>
              <w:rPr>
                <w:rFonts w:hint="eastAsia" w:cs="宋体"/>
                <w:color w:val="000000" w:themeColor="text1"/>
                <w:sz w:val="24"/>
                <w:szCs w:val="28"/>
                <w:lang w:val="en-US" w:eastAsia="zh-CN" w:bidi="zh-CN"/>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沉淀</w:t>
            </w:r>
            <w:r>
              <w:rPr>
                <w:rFonts w:hint="eastAsia" w:ascii="宋体" w:hAnsi="宋体" w:eastAsia="宋体" w:cs="宋体"/>
                <w:color w:val="000000"/>
                <w:kern w:val="0"/>
                <w:sz w:val="24"/>
                <w:szCs w:val="24"/>
                <w:lang w:val="en-US" w:eastAsia="zh-CN" w:bidi="ar"/>
              </w:rPr>
              <w:t>池污泥</w:t>
            </w:r>
            <w:r>
              <w:rPr>
                <w:rFonts w:hint="eastAsia" w:ascii="宋体" w:hAnsi="宋体" w:cs="宋体"/>
                <w:color w:val="000000"/>
                <w:kern w:val="0"/>
                <w:sz w:val="24"/>
                <w:szCs w:val="24"/>
                <w:lang w:val="en-US" w:eastAsia="zh-CN" w:bidi="ar"/>
              </w:rPr>
              <w:t>、</w:t>
            </w:r>
            <w:r>
              <w:rPr>
                <w:rFonts w:hint="eastAsia"/>
                <w:color w:val="000000" w:themeColor="text1"/>
                <w14:textFill>
                  <w14:solidFill>
                    <w14:schemeClr w14:val="tx1"/>
                  </w14:solidFill>
                </w14:textFill>
              </w:rPr>
              <w:t>废含油抹布、废手套</w:t>
            </w:r>
            <w:r>
              <w:rPr>
                <w:rFonts w:hint="eastAsia"/>
                <w:color w:val="000000" w:themeColor="text1"/>
                <w:lang w:eastAsia="zh-CN"/>
                <w14:textFill>
                  <w14:solidFill>
                    <w14:schemeClr w14:val="tx1"/>
                  </w14:solidFill>
                </w14:textFill>
              </w:rPr>
              <w:t>、</w:t>
            </w:r>
            <w:r>
              <w:rPr>
                <w:rFonts w:hint="eastAsia" w:hAnsi="宋体"/>
                <w:color w:val="000000" w:themeColor="text1"/>
                <w14:textFill>
                  <w14:solidFill>
                    <w14:schemeClr w14:val="tx1"/>
                  </w14:solidFill>
                </w14:textFill>
              </w:rPr>
              <w:t>废</w:t>
            </w:r>
            <w:r>
              <w:rPr>
                <w:rFonts w:hint="eastAsia" w:hAnsi="宋体"/>
                <w:color w:val="auto"/>
              </w:rPr>
              <w:t>活性炭</w:t>
            </w:r>
            <w:r>
              <w:rPr>
                <w:rFonts w:hint="eastAsia" w:hAnsi="宋体"/>
                <w:color w:val="auto"/>
                <w:lang w:eastAsia="zh-CN"/>
              </w:rPr>
              <w:t>、</w:t>
            </w:r>
            <w:r>
              <w:rPr>
                <w:color w:val="000000" w:themeColor="text1"/>
                <w14:textFill>
                  <w14:solidFill>
                    <w14:schemeClr w14:val="tx1"/>
                  </w14:solidFill>
                </w14:textFill>
              </w:rPr>
              <w:t>废润滑油</w:t>
            </w:r>
            <w:r>
              <w:rPr>
                <w:rFonts w:hint="eastAsia"/>
                <w:color w:val="000000" w:themeColor="text1"/>
                <w:lang w:val="en-US" w:eastAsia="zh-CN"/>
                <w14:textFill>
                  <w14:solidFill>
                    <w14:schemeClr w14:val="tx1"/>
                  </w14:solidFill>
                </w14:textFill>
              </w:rPr>
              <w:t>和</w:t>
            </w:r>
            <w:r>
              <w:rPr>
                <w:rFonts w:hint="eastAsia"/>
                <w:color w:val="000000" w:themeColor="text1"/>
                <w14:textFill>
                  <w14:solidFill>
                    <w14:schemeClr w14:val="tx1"/>
                  </w14:solidFill>
                </w14:textFill>
              </w:rPr>
              <w:t>润滑油桶</w:t>
            </w:r>
            <w:r>
              <w:rPr>
                <w:rFonts w:hint="eastAsia"/>
                <w:color w:val="000000" w:themeColor="text1"/>
                <w:lang w:eastAsia="zh-CN"/>
                <w14:textFill>
                  <w14:solidFill>
                    <w14:schemeClr w14:val="tx1"/>
                  </w14:solidFill>
                </w14:textFill>
              </w:rPr>
              <w:t>、</w:t>
            </w:r>
            <w:r>
              <w:rPr>
                <w:rFonts w:ascii="Cambria Math" w:hAnsi="Cambria Math" w:cs="Cambria Math"/>
                <w:color w:val="auto"/>
                <w:sz w:val="24"/>
                <w:szCs w:val="24"/>
                <w:highlight w:val="none"/>
              </w:rPr>
              <w:t>UV</w:t>
            </w:r>
            <w:r>
              <w:rPr>
                <w:rFonts w:hint="eastAsia" w:ascii="Cambria Math" w:hAnsi="Cambria Math" w:cs="Cambria Math"/>
                <w:color w:val="auto"/>
                <w:sz w:val="24"/>
                <w:szCs w:val="24"/>
                <w:highlight w:val="none"/>
              </w:rPr>
              <w:t>催化装置废灯管</w:t>
            </w:r>
            <w:r>
              <w:rPr>
                <w:rFonts w:hint="eastAsia" w:ascii="Cambria Math" w:hAnsi="Cambria Math" w:cs="Cambria Math"/>
                <w:color w:val="auto"/>
                <w:sz w:val="24"/>
                <w:szCs w:val="24"/>
                <w:highlight w:val="none"/>
                <w:lang w:eastAsia="zh-CN"/>
              </w:rPr>
              <w:t>、</w:t>
            </w:r>
            <w:r>
              <w:rPr>
                <w:rFonts w:hint="eastAsia"/>
                <w:color w:val="000000" w:themeColor="text1"/>
                <w14:textFill>
                  <w14:solidFill>
                    <w14:schemeClr w14:val="tx1"/>
                  </w14:solidFill>
                </w14:textFill>
              </w:rPr>
              <w:t>生活垃圾</w:t>
            </w:r>
            <w:r>
              <w:rPr>
                <w:rFonts w:hint="eastAsia"/>
                <w:color w:val="000000" w:themeColor="text1"/>
                <w:lang w:eastAsia="zh-CN"/>
                <w14:textFill>
                  <w14:solidFill>
                    <w14:schemeClr w14:val="tx1"/>
                  </w14:solidFill>
                </w14:textFill>
              </w:rPr>
              <w:t>。</w:t>
            </w:r>
          </w:p>
          <w:p>
            <w:pPr>
              <w:pStyle w:val="15"/>
              <w:jc w:val="center"/>
              <w:rPr>
                <w:rFonts w:hint="eastAsia" w:ascii="Times New Roman" w:hAnsi="Times New Roman" w:eastAsia="宋体" w:cs="Times New Roman"/>
                <w:b/>
                <w:bCs/>
                <w:color w:val="auto"/>
                <w:sz w:val="21"/>
                <w:szCs w:val="21"/>
                <w:highlight w:val="none"/>
                <w:lang w:val="zh-CN" w:eastAsia="zh-CN" w:bidi="zh-CN"/>
              </w:rPr>
            </w:pPr>
            <w:r>
              <w:rPr>
                <w:rFonts w:hint="eastAsia" w:ascii="Times New Roman" w:hAnsi="Times New Roman" w:eastAsia="宋体" w:cs="Times New Roman"/>
                <w:b/>
                <w:bCs/>
                <w:color w:val="auto"/>
                <w:sz w:val="21"/>
                <w:szCs w:val="21"/>
                <w:highlight w:val="none"/>
                <w:lang w:val="zh-CN" w:eastAsia="zh-CN" w:bidi="zh-CN"/>
              </w:rPr>
              <w:t>表</w:t>
            </w:r>
            <w:r>
              <w:rPr>
                <w:rFonts w:hint="eastAsia" w:ascii="Times New Roman" w:hAnsi="Times New Roman" w:eastAsia="宋体" w:cs="Times New Roman"/>
                <w:b/>
                <w:bCs/>
                <w:color w:val="auto"/>
                <w:sz w:val="21"/>
                <w:szCs w:val="21"/>
                <w:highlight w:val="none"/>
                <w:lang w:val="en-US" w:eastAsia="zh-CN" w:bidi="zh-CN"/>
              </w:rPr>
              <w:t>4-18</w:t>
            </w:r>
            <w:r>
              <w:rPr>
                <w:rFonts w:hint="eastAsia" w:ascii="Times New Roman" w:hAnsi="Times New Roman" w:eastAsia="宋体" w:cs="Times New Roman"/>
                <w:b/>
                <w:bCs/>
                <w:color w:val="auto"/>
                <w:sz w:val="21"/>
                <w:szCs w:val="21"/>
                <w:highlight w:val="none"/>
                <w:lang w:val="zh-CN" w:eastAsia="zh-CN" w:bidi="zh-CN"/>
              </w:rPr>
              <w:t xml:space="preserve">  本项目固废产生及排放情况一览表</w:t>
            </w:r>
          </w:p>
          <w:tbl>
            <w:tblPr>
              <w:tblStyle w:val="11"/>
              <w:tblW w:w="75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337"/>
              <w:gridCol w:w="1188"/>
              <w:gridCol w:w="1137"/>
              <w:gridCol w:w="922"/>
              <w:gridCol w:w="23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66"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序号</w:t>
                  </w:r>
                </w:p>
              </w:tc>
              <w:tc>
                <w:tcPr>
                  <w:tcW w:w="1337" w:type="dxa"/>
                  <w:noWrap w:val="0"/>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固废名称</w:t>
                  </w:r>
                </w:p>
              </w:tc>
              <w:tc>
                <w:tcPr>
                  <w:tcW w:w="1188" w:type="dxa"/>
                  <w:noWrap w:val="0"/>
                  <w:vAlign w:val="top"/>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产生环节</w:t>
                  </w:r>
                </w:p>
              </w:tc>
              <w:tc>
                <w:tcPr>
                  <w:tcW w:w="1137"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形态</w:t>
                  </w:r>
                </w:p>
              </w:tc>
              <w:tc>
                <w:tcPr>
                  <w:tcW w:w="922" w:type="dxa"/>
                  <w:noWrap w:val="0"/>
                  <w:vAlign w:val="top"/>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auto"/>
                      <w:sz w:val="21"/>
                      <w:szCs w:val="21"/>
                      <w:highlight w:val="none"/>
                    </w:rPr>
                    <w:t>产生量</w:t>
                  </w:r>
                  <w:r>
                    <w:rPr>
                      <w:rFonts w:hint="default" w:ascii="Times New Roman" w:hAnsi="Times New Roman" w:cs="Times New Roman"/>
                      <w:color w:val="auto"/>
                      <w:sz w:val="21"/>
                      <w:szCs w:val="21"/>
                      <w:highlight w:val="none"/>
                      <w:lang w:val="en-US" w:eastAsia="zh-CN"/>
                    </w:rPr>
                    <w:t>t</w:t>
                  </w:r>
                </w:p>
              </w:tc>
              <w:tc>
                <w:tcPr>
                  <w:tcW w:w="2307" w:type="dxa"/>
                  <w:noWrap w:val="0"/>
                  <w:vAlign w:val="top"/>
                </w:tcPr>
                <w:p>
                  <w:pPr>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666" w:type="dxa"/>
                  <w:noWrap w:val="0"/>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S1</w:t>
                  </w:r>
                </w:p>
              </w:tc>
              <w:tc>
                <w:tcPr>
                  <w:tcW w:w="1337"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废石料</w:t>
                  </w:r>
                </w:p>
              </w:tc>
              <w:tc>
                <w:tcPr>
                  <w:tcW w:w="1188" w:type="dxa"/>
                  <w:noWrap w:val="0"/>
                  <w:vAlign w:val="top"/>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筛分</w:t>
                  </w:r>
                </w:p>
              </w:tc>
              <w:tc>
                <w:tcPr>
                  <w:tcW w:w="1137"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固态</w:t>
                  </w:r>
                </w:p>
              </w:tc>
              <w:tc>
                <w:tcPr>
                  <w:tcW w:w="922" w:type="dxa"/>
                  <w:noWrap w:val="0"/>
                  <w:vAlign w:val="top"/>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129.239</w:t>
                  </w:r>
                </w:p>
              </w:tc>
              <w:tc>
                <w:tcPr>
                  <w:tcW w:w="2307" w:type="dxa"/>
                  <w:noWrap w:val="0"/>
                  <w:vAlign w:val="top"/>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66" w:type="dxa"/>
                  <w:noWrap w:val="0"/>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w:t>
                  </w: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1337"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除尘灰</w:t>
                  </w:r>
                </w:p>
              </w:tc>
              <w:tc>
                <w:tcPr>
                  <w:tcW w:w="1188" w:type="dxa"/>
                  <w:noWrap w:val="0"/>
                  <w:vAlign w:val="top"/>
                </w:tcPr>
                <w:p>
                  <w:pPr>
                    <w:keepNext w:val="0"/>
                    <w:keepLines w:val="0"/>
                    <w:widowControl/>
                    <w:suppressLineNumbers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废气处理</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137"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固态</w:t>
                  </w:r>
                </w:p>
              </w:tc>
              <w:tc>
                <w:tcPr>
                  <w:tcW w:w="922" w:type="dxa"/>
                  <w:noWrap w:val="0"/>
                  <w:vAlign w:val="top"/>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194.506</w:t>
                  </w:r>
                </w:p>
              </w:tc>
              <w:tc>
                <w:tcPr>
                  <w:tcW w:w="2307" w:type="dxa"/>
                  <w:noWrap w:val="0"/>
                  <w:vAlign w:val="top"/>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66"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S3</w:t>
                  </w:r>
                </w:p>
              </w:tc>
              <w:tc>
                <w:tcPr>
                  <w:tcW w:w="1337"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zh-CN"/>
                      <w14:textFill>
                        <w14:solidFill>
                          <w14:schemeClr w14:val="tx1"/>
                        </w14:solidFill>
                      </w14:textFill>
                    </w:rPr>
                    <w:t>废沥青砼</w:t>
                  </w:r>
                </w:p>
              </w:tc>
              <w:tc>
                <w:tcPr>
                  <w:tcW w:w="1188" w:type="dxa"/>
                  <w:noWrap w:val="0"/>
                  <w:vAlign w:val="top"/>
                </w:tcPr>
                <w:p>
                  <w:pPr>
                    <w:keepNext w:val="0"/>
                    <w:keepLines w:val="0"/>
                    <w:widowControl/>
                    <w:suppressLineNumbers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生产</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137"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固态</w:t>
                  </w:r>
                </w:p>
              </w:tc>
              <w:tc>
                <w:tcPr>
                  <w:tcW w:w="922" w:type="dxa"/>
                  <w:noWrap w:val="0"/>
                  <w:vAlign w:val="top"/>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1.44</w:t>
                  </w:r>
                </w:p>
              </w:tc>
              <w:tc>
                <w:tcPr>
                  <w:tcW w:w="2307" w:type="dxa"/>
                  <w:noWrap w:val="0"/>
                  <w:vAlign w:val="top"/>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回用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666"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S4</w:t>
                  </w:r>
                </w:p>
              </w:tc>
              <w:tc>
                <w:tcPr>
                  <w:tcW w:w="1337"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沉淀池污泥</w:t>
                  </w:r>
                </w:p>
              </w:tc>
              <w:tc>
                <w:tcPr>
                  <w:tcW w:w="1188" w:type="dxa"/>
                  <w:noWrap w:val="0"/>
                  <w:vAlign w:val="top"/>
                </w:tcPr>
                <w:p>
                  <w:pPr>
                    <w:keepNext w:val="0"/>
                    <w:keepLines w:val="0"/>
                    <w:widowControl/>
                    <w:suppressLineNumbers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废水处理 </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137"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固态</w:t>
                  </w:r>
                </w:p>
              </w:tc>
              <w:tc>
                <w:tcPr>
                  <w:tcW w:w="922" w:type="dxa"/>
                  <w:noWrap w:val="0"/>
                  <w:vAlign w:val="top"/>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0.9</w:t>
                  </w:r>
                </w:p>
              </w:tc>
              <w:tc>
                <w:tcPr>
                  <w:tcW w:w="2307" w:type="dxa"/>
                  <w:noWrap w:val="0"/>
                  <w:vAlign w:val="top"/>
                </w:tcPr>
                <w:p>
                  <w:pPr>
                    <w:keepNext w:val="0"/>
                    <w:keepLines w:val="0"/>
                    <w:widowControl/>
                    <w:suppressLineNumbers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豁免管理，与生活垃圾一并处置</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666" w:type="dxa"/>
                  <w:noWrap w:val="0"/>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w:t>
                  </w:r>
                  <w:r>
                    <w:rPr>
                      <w:rFonts w:hint="default" w:ascii="Times New Roman" w:hAnsi="Times New Roman" w:cs="Times New Roman"/>
                      <w:color w:val="000000" w:themeColor="text1"/>
                      <w:sz w:val="21"/>
                      <w:szCs w:val="21"/>
                      <w:lang w:val="en-US" w:eastAsia="zh-CN"/>
                      <w14:textFill>
                        <w14:solidFill>
                          <w14:schemeClr w14:val="tx1"/>
                        </w14:solidFill>
                      </w14:textFill>
                    </w:rPr>
                    <w:t>5</w:t>
                  </w:r>
                </w:p>
              </w:tc>
              <w:tc>
                <w:tcPr>
                  <w:tcW w:w="1337" w:type="dxa"/>
                  <w:noWrap w:val="0"/>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废含油抹布、废手套</w:t>
                  </w:r>
                </w:p>
              </w:tc>
              <w:tc>
                <w:tcPr>
                  <w:tcW w:w="1188" w:type="dxa"/>
                  <w:noWrap w:val="0"/>
                  <w:vAlign w:val="top"/>
                </w:tcPr>
                <w:p>
                  <w:pPr>
                    <w:keepNext w:val="0"/>
                    <w:keepLines w:val="0"/>
                    <w:widowControl/>
                    <w:suppressLineNumbers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生产</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137"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固态</w:t>
                  </w:r>
                </w:p>
              </w:tc>
              <w:tc>
                <w:tcPr>
                  <w:tcW w:w="922" w:type="dxa"/>
                  <w:noWrap w:val="0"/>
                  <w:vAlign w:val="top"/>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0.1</w:t>
                  </w:r>
                </w:p>
              </w:tc>
              <w:tc>
                <w:tcPr>
                  <w:tcW w:w="2307" w:type="dxa"/>
                  <w:noWrap w:val="0"/>
                  <w:vAlign w:val="top"/>
                </w:tcPr>
                <w:p>
                  <w:pPr>
                    <w:keepNext w:val="0"/>
                    <w:keepLines w:val="0"/>
                    <w:widowControl/>
                    <w:suppressLineNumbers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豁免管理，与生活垃圾一并处置</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666" w:type="dxa"/>
                  <w:noWrap w:val="0"/>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w:t>
                  </w:r>
                  <w:r>
                    <w:rPr>
                      <w:rFonts w:hint="default" w:ascii="Times New Roman" w:hAnsi="Times New Roman" w:cs="Times New Roman"/>
                      <w:color w:val="000000" w:themeColor="text1"/>
                      <w:sz w:val="21"/>
                      <w:szCs w:val="21"/>
                      <w:lang w:val="en-US" w:eastAsia="zh-CN"/>
                      <w14:textFill>
                        <w14:solidFill>
                          <w14:schemeClr w14:val="tx1"/>
                        </w14:solidFill>
                      </w14:textFill>
                    </w:rPr>
                    <w:t>6</w:t>
                  </w:r>
                </w:p>
              </w:tc>
              <w:tc>
                <w:tcPr>
                  <w:tcW w:w="1337"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废活性炭</w:t>
                  </w:r>
                </w:p>
              </w:tc>
              <w:tc>
                <w:tcPr>
                  <w:tcW w:w="1188" w:type="dxa"/>
                  <w:noWrap w:val="0"/>
                  <w:vAlign w:val="top"/>
                </w:tcPr>
                <w:p>
                  <w:pPr>
                    <w:keepNext w:val="0"/>
                    <w:keepLines w:val="0"/>
                    <w:widowControl/>
                    <w:suppressLineNumbers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废气处理 </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137"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固态</w:t>
                  </w:r>
                </w:p>
              </w:tc>
              <w:tc>
                <w:tcPr>
                  <w:tcW w:w="922" w:type="dxa"/>
                  <w:noWrap w:val="0"/>
                  <w:vAlign w:val="top"/>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2.3</w:t>
                  </w:r>
                </w:p>
              </w:tc>
              <w:tc>
                <w:tcPr>
                  <w:tcW w:w="2307" w:type="dxa"/>
                  <w:noWrap w:val="0"/>
                  <w:vAlign w:val="top"/>
                </w:tcPr>
                <w:p>
                  <w:pPr>
                    <w:keepNext w:val="0"/>
                    <w:keepLines w:val="0"/>
                    <w:widowControl/>
                    <w:suppressLineNumbers w:val="0"/>
                    <w:jc w:val="lef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危废属性鉴定后，再妥善处理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666" w:type="dxa"/>
                  <w:noWrap w:val="0"/>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S7</w:t>
                  </w:r>
                </w:p>
              </w:tc>
              <w:tc>
                <w:tcPr>
                  <w:tcW w:w="1337" w:type="dxa"/>
                  <w:noWrap w:val="0"/>
                  <w:vAlign w:val="center"/>
                </w:tcPr>
                <w:p>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废润滑油</w:t>
                  </w:r>
                  <w:r>
                    <w:rPr>
                      <w:rFonts w:hint="default" w:ascii="Times New Roman" w:hAnsi="Times New Roman" w:cs="Times New Roman"/>
                      <w:color w:val="000000" w:themeColor="text1"/>
                      <w:sz w:val="21"/>
                      <w:szCs w:val="21"/>
                      <w:lang w:val="en-US" w:eastAsia="zh-CN"/>
                      <w14:textFill>
                        <w14:solidFill>
                          <w14:schemeClr w14:val="tx1"/>
                        </w14:solidFill>
                      </w14:textFill>
                    </w:rPr>
                    <w:t>和</w:t>
                  </w:r>
                  <w:r>
                    <w:rPr>
                      <w:rFonts w:hint="default" w:ascii="Times New Roman" w:hAnsi="Times New Roman" w:cs="Times New Roman"/>
                      <w:color w:val="000000" w:themeColor="text1"/>
                      <w:sz w:val="21"/>
                      <w:szCs w:val="21"/>
                      <w14:textFill>
                        <w14:solidFill>
                          <w14:schemeClr w14:val="tx1"/>
                        </w14:solidFill>
                      </w14:textFill>
                    </w:rPr>
                    <w:t>润滑油桶</w:t>
                  </w:r>
                </w:p>
              </w:tc>
              <w:tc>
                <w:tcPr>
                  <w:tcW w:w="1188" w:type="dxa"/>
                  <w:noWrap w:val="0"/>
                  <w:vAlign w:val="top"/>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生产、运行</w:t>
                  </w:r>
                </w:p>
              </w:tc>
              <w:tc>
                <w:tcPr>
                  <w:tcW w:w="1137" w:type="dxa"/>
                  <w:noWrap w:val="0"/>
                  <w:vAlign w:val="center"/>
                </w:tcPr>
                <w:p>
                  <w:pPr>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液态</w:t>
                  </w:r>
                </w:p>
              </w:tc>
              <w:tc>
                <w:tcPr>
                  <w:tcW w:w="922" w:type="dxa"/>
                  <w:noWrap w:val="0"/>
                  <w:vAlign w:val="top"/>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0.5</w:t>
                  </w:r>
                </w:p>
                <w:p>
                  <w:pPr>
                    <w:jc w:val="center"/>
                    <w:rPr>
                      <w:rFonts w:hint="default" w:ascii="Times New Roman" w:hAnsi="Times New Roman" w:eastAsia="宋体" w:cs="Times New Roman"/>
                      <w:color w:val="000000"/>
                      <w:kern w:val="0"/>
                      <w:sz w:val="21"/>
                      <w:szCs w:val="21"/>
                      <w:lang w:val="en-US" w:eastAsia="zh-CN" w:bidi="ar"/>
                    </w:rPr>
                  </w:pPr>
                </w:p>
              </w:tc>
              <w:tc>
                <w:tcPr>
                  <w:tcW w:w="2307" w:type="dxa"/>
                  <w:noWrap w:val="0"/>
                  <w:vAlign w:val="top"/>
                </w:tcPr>
                <w:p>
                  <w:pPr>
                    <w:keepNext w:val="0"/>
                    <w:keepLines w:val="0"/>
                    <w:widowControl/>
                    <w:suppressLineNumbers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危废间暂存，委托有资质单位代为；</w:t>
                  </w:r>
                </w:p>
                <w:p>
                  <w:pPr>
                    <w:jc w:val="both"/>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油桶由厂家回收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666" w:type="dxa"/>
                  <w:noWrap w:val="0"/>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S8</w:t>
                  </w:r>
                </w:p>
              </w:tc>
              <w:tc>
                <w:tcPr>
                  <w:tcW w:w="1337" w:type="dxa"/>
                  <w:noWrap w:val="0"/>
                  <w:vAlign w:val="center"/>
                </w:tcPr>
                <w:p>
                  <w:pPr>
                    <w:pStyle w:val="3"/>
                    <w:keepNext w:val="0"/>
                    <w:keepLines w:val="0"/>
                    <w:pageBreakBefore w:val="0"/>
                    <w:kinsoku/>
                    <w:wordWrap/>
                    <w:overflowPunct/>
                    <w:topLinePunct w:val="0"/>
                    <w:autoSpaceDE w:val="0"/>
                    <w:autoSpaceDN w:val="0"/>
                    <w:bidi w:val="0"/>
                    <w:adjustRightInd/>
                    <w:snapToGrid/>
                    <w:spacing w:line="240" w:lineRule="auto"/>
                    <w:ind w:left="0" w:leftChars="0" w:firstLine="0" w:firstLineChars="0"/>
                    <w:textAlignment w:val="auto"/>
                    <w:rPr>
                      <w:rFonts w:hint="default" w:ascii="Times New Roman" w:hAnsi="Times New Roman" w:eastAsia="宋体" w:cs="Times New Roman"/>
                      <w:color w:val="000000" w:themeColor="text1"/>
                      <w:sz w:val="21"/>
                      <w:szCs w:val="21"/>
                      <w:lang w:val="zh-CN" w:eastAsia="zh-CN" w:bidi="zh-CN"/>
                      <w14:textFill>
                        <w14:solidFill>
                          <w14:schemeClr w14:val="tx1"/>
                        </w14:solidFill>
                      </w14:textFill>
                    </w:rPr>
                  </w:pPr>
                  <w:r>
                    <w:rPr>
                      <w:rFonts w:hint="default" w:ascii="Times New Roman" w:hAnsi="Times New Roman" w:eastAsia="宋体" w:cs="Times New Roman"/>
                      <w:color w:val="000000" w:themeColor="text1"/>
                      <w:sz w:val="21"/>
                      <w:szCs w:val="21"/>
                      <w:lang w:val="zh-CN" w:eastAsia="zh-CN" w:bidi="zh-CN"/>
                      <w14:textFill>
                        <w14:solidFill>
                          <w14:schemeClr w14:val="tx1"/>
                        </w14:solidFill>
                      </w14:textFill>
                    </w:rPr>
                    <w:t>UV催化装置废灯管</w:t>
                  </w:r>
                </w:p>
              </w:tc>
              <w:tc>
                <w:tcPr>
                  <w:tcW w:w="1188" w:type="dxa"/>
                  <w:noWrap w:val="0"/>
                  <w:vAlign w:val="top"/>
                </w:tcPr>
                <w:p>
                  <w:pPr>
                    <w:keepNext w:val="0"/>
                    <w:keepLines w:val="0"/>
                    <w:pageBreakBefore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废气处理 </w:t>
                  </w:r>
                </w:p>
              </w:tc>
              <w:tc>
                <w:tcPr>
                  <w:tcW w:w="1137" w:type="dxa"/>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固态</w:t>
                  </w:r>
                </w:p>
              </w:tc>
              <w:tc>
                <w:tcPr>
                  <w:tcW w:w="922" w:type="dxa"/>
                  <w:noWrap w:val="0"/>
                  <w:vAlign w:val="top"/>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0.01</w:t>
                  </w:r>
                </w:p>
              </w:tc>
              <w:tc>
                <w:tcPr>
                  <w:tcW w:w="2307" w:type="dxa"/>
                  <w:noWrap w:val="0"/>
                  <w:vAlign w:val="top"/>
                </w:tcPr>
                <w:p>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 xml:space="preserve">危废间暂存，委托有资质单位代为处置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666" w:type="dxa"/>
                  <w:noWrap w:val="0"/>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w:t>
                  </w:r>
                  <w:r>
                    <w:rPr>
                      <w:rFonts w:hint="default" w:ascii="Times New Roman" w:hAnsi="Times New Roman" w:cs="Times New Roman"/>
                      <w:color w:val="000000" w:themeColor="text1"/>
                      <w:sz w:val="21"/>
                      <w:szCs w:val="21"/>
                      <w:lang w:val="en-US" w:eastAsia="zh-CN"/>
                      <w14:textFill>
                        <w14:solidFill>
                          <w14:schemeClr w14:val="tx1"/>
                        </w14:solidFill>
                      </w14:textFill>
                    </w:rPr>
                    <w:t>9</w:t>
                  </w:r>
                </w:p>
              </w:tc>
              <w:tc>
                <w:tcPr>
                  <w:tcW w:w="1337" w:type="dxa"/>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w:t>
                  </w:r>
                </w:p>
              </w:tc>
              <w:tc>
                <w:tcPr>
                  <w:tcW w:w="1188" w:type="dxa"/>
                  <w:noWrap w:val="0"/>
                  <w:vAlign w:val="top"/>
                </w:tcPr>
                <w:p>
                  <w:pPr>
                    <w:keepNext w:val="0"/>
                    <w:keepLines w:val="0"/>
                    <w:pageBreakBefore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生活</w:t>
                  </w:r>
                </w:p>
              </w:tc>
              <w:tc>
                <w:tcPr>
                  <w:tcW w:w="1137" w:type="dxa"/>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固态</w:t>
                  </w:r>
                </w:p>
              </w:tc>
              <w:tc>
                <w:tcPr>
                  <w:tcW w:w="922" w:type="dxa"/>
                  <w:noWrap w:val="0"/>
                  <w:vAlign w:val="top"/>
                </w:tcPr>
                <w:p>
                  <w:pPr>
                    <w:jc w:val="center"/>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0.9</w:t>
                  </w:r>
                </w:p>
              </w:tc>
              <w:tc>
                <w:tcPr>
                  <w:tcW w:w="2307" w:type="dxa"/>
                  <w:noWrap w:val="0"/>
                  <w:vAlign w:val="top"/>
                </w:tcPr>
                <w:p>
                  <w:pPr>
                    <w:keepNext w:val="0"/>
                    <w:keepLines w:val="0"/>
                    <w:pageBreakBefore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袋装后送垃圾收集点，由乡镇垃圾中转站清运</w:t>
                  </w:r>
                </w:p>
              </w:tc>
            </w:tr>
          </w:tbl>
          <w:p/>
          <w:p>
            <w:pPr>
              <w:spacing w:line="520" w:lineRule="exact"/>
              <w:ind w:firstLine="482" w:firstLineChars="200"/>
              <w:rPr>
                <w:b/>
                <w:color w:val="auto"/>
                <w:sz w:val="24"/>
                <w:highlight w:val="none"/>
              </w:rPr>
            </w:pPr>
            <w:r>
              <w:rPr>
                <w:b/>
                <w:color w:val="auto"/>
                <w:sz w:val="24"/>
                <w:highlight w:val="none"/>
              </w:rPr>
              <w:t>5、地下水影响分析</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根据《环境影响评价技术导则 地下水环境》（</w:t>
            </w:r>
            <w:r>
              <w:rPr>
                <w:rFonts w:hint="default" w:ascii="Times New Roman" w:hAnsi="Times New Roman" w:eastAsia="宋体" w:cs="Times New Roman"/>
                <w:color w:val="000000"/>
                <w:kern w:val="0"/>
                <w:sz w:val="24"/>
                <w:szCs w:val="24"/>
                <w:lang w:val="en-US" w:eastAsia="zh-CN" w:bidi="ar"/>
              </w:rPr>
              <w:t>HJ610-2016</w:t>
            </w:r>
            <w:r>
              <w:rPr>
                <w:rFonts w:hint="eastAsia" w:ascii="宋体" w:hAnsi="宋体" w:eastAsia="宋体" w:cs="宋体"/>
                <w:color w:val="000000"/>
                <w:kern w:val="0"/>
                <w:sz w:val="24"/>
                <w:szCs w:val="24"/>
                <w:lang w:val="en-US" w:eastAsia="zh-CN" w:bidi="ar"/>
              </w:rPr>
              <w:t xml:space="preserve">），将建设项目分为四类，其中 </w:t>
            </w:r>
            <w:r>
              <w:rPr>
                <w:rFonts w:hint="default" w:ascii="Times New Roman" w:hAnsi="Times New Roman" w:eastAsia="宋体" w:cs="Times New Roman"/>
                <w:color w:val="000000"/>
                <w:kern w:val="0"/>
                <w:sz w:val="24"/>
                <w:szCs w:val="24"/>
                <w:lang w:val="en-US" w:eastAsia="zh-CN" w:bidi="ar"/>
              </w:rPr>
              <w:t xml:space="preserve">I </w:t>
            </w:r>
            <w:r>
              <w:rPr>
                <w:rFonts w:hint="eastAsia" w:ascii="宋体" w:hAnsi="宋体" w:eastAsia="宋体" w:cs="宋体"/>
                <w:color w:val="000000"/>
                <w:kern w:val="0"/>
                <w:sz w:val="24"/>
                <w:szCs w:val="24"/>
                <w:lang w:val="en-US" w:eastAsia="zh-CN" w:bidi="ar"/>
              </w:rPr>
              <w:t>类、</w:t>
            </w:r>
            <w:r>
              <w:rPr>
                <w:rFonts w:hint="default" w:ascii="Times New Roman" w:hAnsi="Times New Roman" w:eastAsia="宋体" w:cs="Times New Roman"/>
                <w:color w:val="000000"/>
                <w:kern w:val="0"/>
                <w:sz w:val="24"/>
                <w:szCs w:val="24"/>
                <w:lang w:val="en-US" w:eastAsia="zh-CN" w:bidi="ar"/>
              </w:rPr>
              <w:t xml:space="preserve">II </w:t>
            </w:r>
            <w:r>
              <w:rPr>
                <w:rFonts w:hint="eastAsia" w:ascii="宋体" w:hAnsi="宋体" w:eastAsia="宋体" w:cs="宋体"/>
                <w:color w:val="000000"/>
                <w:kern w:val="0"/>
                <w:sz w:val="24"/>
                <w:szCs w:val="24"/>
                <w:lang w:val="en-US" w:eastAsia="zh-CN" w:bidi="ar"/>
              </w:rPr>
              <w:t xml:space="preserve">类及 </w:t>
            </w:r>
            <w:r>
              <w:rPr>
                <w:rFonts w:hint="default" w:ascii="Times New Roman" w:hAnsi="Times New Roman" w:eastAsia="宋体" w:cs="Times New Roman"/>
                <w:color w:val="000000"/>
                <w:kern w:val="0"/>
                <w:sz w:val="24"/>
                <w:szCs w:val="24"/>
                <w:lang w:val="en-US" w:eastAsia="zh-CN" w:bidi="ar"/>
              </w:rPr>
              <w:t xml:space="preserve">III </w:t>
            </w:r>
            <w:r>
              <w:rPr>
                <w:rFonts w:hint="eastAsia" w:ascii="宋体" w:hAnsi="宋体" w:eastAsia="宋体" w:cs="宋体"/>
                <w:color w:val="000000"/>
                <w:kern w:val="0"/>
                <w:sz w:val="24"/>
                <w:szCs w:val="24"/>
                <w:lang w:val="en-US" w:eastAsia="zh-CN" w:bidi="ar"/>
              </w:rPr>
              <w:t>类建设项目的地下水环境影响评价应执行本标准，</w:t>
            </w:r>
            <w:r>
              <w:rPr>
                <w:rFonts w:hint="default" w:ascii="Times New Roman" w:hAnsi="Times New Roman" w:eastAsia="宋体" w:cs="Times New Roman"/>
                <w:color w:val="000000"/>
                <w:kern w:val="0"/>
                <w:sz w:val="24"/>
                <w:szCs w:val="24"/>
                <w:lang w:val="en-US" w:eastAsia="zh-CN" w:bidi="ar"/>
              </w:rPr>
              <w:t xml:space="preserve">IV </w:t>
            </w:r>
            <w:r>
              <w:rPr>
                <w:rFonts w:hint="eastAsia" w:ascii="宋体" w:hAnsi="宋体" w:eastAsia="宋体" w:cs="宋体"/>
                <w:color w:val="000000"/>
                <w:kern w:val="0"/>
                <w:sz w:val="24"/>
                <w:szCs w:val="24"/>
                <w:lang w:val="en-US" w:eastAsia="zh-CN" w:bidi="ar"/>
              </w:rPr>
              <w:t xml:space="preserve">类建设项目不开展地下水环境影响评价，分类详见 </w:t>
            </w:r>
            <w:r>
              <w:rPr>
                <w:rFonts w:hint="default" w:ascii="Times New Roman" w:hAnsi="Times New Roman" w:eastAsia="宋体" w:cs="Times New Roman"/>
                <w:color w:val="000000"/>
                <w:kern w:val="0"/>
                <w:sz w:val="24"/>
                <w:szCs w:val="24"/>
                <w:lang w:val="en-US" w:eastAsia="zh-CN" w:bidi="ar"/>
              </w:rPr>
              <w:t xml:space="preserve">HJ610-2016 </w:t>
            </w:r>
            <w:r>
              <w:rPr>
                <w:rFonts w:hint="eastAsia" w:ascii="宋体" w:hAnsi="宋体" w:eastAsia="宋体" w:cs="宋体"/>
                <w:color w:val="000000"/>
                <w:kern w:val="0"/>
                <w:sz w:val="24"/>
                <w:szCs w:val="24"/>
                <w:lang w:val="en-US" w:eastAsia="zh-CN" w:bidi="ar"/>
              </w:rPr>
              <w:t xml:space="preserve">附录 </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 xml:space="preserve">（以下简称附录 </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p>
          <w:p>
            <w:pPr>
              <w:pStyle w:val="3"/>
              <w:ind w:firstLine="480"/>
              <w:rPr>
                <w:color w:val="auto"/>
                <w:highlight w:val="none"/>
                <w:u w:val="none"/>
              </w:rPr>
            </w:pPr>
            <w:r>
              <w:rPr>
                <w:rFonts w:hint="eastAsia" w:ascii="宋体" w:hAnsi="宋体" w:eastAsia="宋体" w:cs="宋体"/>
                <w:color w:val="000000"/>
                <w:kern w:val="0"/>
                <w:sz w:val="24"/>
                <w:szCs w:val="24"/>
                <w:lang w:val="en-US" w:eastAsia="zh-CN" w:bidi="ar"/>
              </w:rPr>
              <w:t xml:space="preserve">本项目为沥青砼拌合站项目，根据附录 </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 xml:space="preserve">，行业类别为 </w:t>
            </w:r>
            <w:r>
              <w:rPr>
                <w:rFonts w:hint="default" w:ascii="Times New Roman" w:hAnsi="Times New Roman" w:eastAsia="宋体" w:cs="Times New Roman"/>
                <w:color w:val="000000"/>
                <w:kern w:val="0"/>
                <w:sz w:val="24"/>
                <w:szCs w:val="24"/>
                <w:lang w:val="en-US" w:eastAsia="zh-CN" w:bidi="ar"/>
              </w:rPr>
              <w:t>70</w:t>
            </w:r>
            <w:r>
              <w:rPr>
                <w:rFonts w:hint="eastAsia" w:ascii="宋体" w:hAnsi="宋体" w:eastAsia="宋体" w:cs="宋体"/>
                <w:color w:val="000000"/>
                <w:kern w:val="0"/>
                <w:sz w:val="24"/>
                <w:szCs w:val="24"/>
                <w:lang w:val="en-US" w:eastAsia="zh-CN" w:bidi="ar"/>
              </w:rPr>
              <w:t xml:space="preserve">、防水建筑材料制造、沥青搅拌站，属 </w:t>
            </w:r>
            <w:r>
              <w:rPr>
                <w:rFonts w:hint="default" w:ascii="Times New Roman" w:hAnsi="Times New Roman" w:eastAsia="宋体" w:cs="Times New Roman"/>
                <w:color w:val="000000"/>
                <w:kern w:val="0"/>
                <w:sz w:val="24"/>
                <w:szCs w:val="24"/>
                <w:lang w:val="en-US" w:eastAsia="zh-CN" w:bidi="ar"/>
              </w:rPr>
              <w:t xml:space="preserve">IV </w:t>
            </w:r>
            <w:r>
              <w:rPr>
                <w:rFonts w:hint="eastAsia" w:ascii="宋体" w:hAnsi="宋体" w:eastAsia="宋体" w:cs="宋体"/>
                <w:color w:val="000000"/>
                <w:kern w:val="0"/>
                <w:sz w:val="24"/>
                <w:szCs w:val="24"/>
                <w:lang w:val="en-US" w:eastAsia="zh-CN" w:bidi="ar"/>
              </w:rPr>
              <w:t>类项目。</w:t>
            </w:r>
            <w:r>
              <w:rPr>
                <w:color w:val="auto"/>
                <w:highlight w:val="none"/>
                <w:u w:val="none"/>
              </w:rPr>
              <w:t>依据导则可不对本项目开展地下水影响评价。</w:t>
            </w:r>
          </w:p>
          <w:p>
            <w:pPr>
              <w:pStyle w:val="3"/>
              <w:ind w:firstLine="480"/>
              <w:rPr>
                <w:color w:val="auto"/>
                <w:highlight w:val="none"/>
              </w:rPr>
            </w:pPr>
            <w:r>
              <w:rPr>
                <w:color w:val="auto"/>
                <w:highlight w:val="none"/>
              </w:rPr>
              <w:t>（2）地下水环境影响分析</w:t>
            </w:r>
          </w:p>
          <w:p>
            <w:pPr>
              <w:pStyle w:val="3"/>
              <w:ind w:firstLine="480"/>
              <w:rPr>
                <w:color w:val="auto"/>
                <w:highlight w:val="none"/>
              </w:rPr>
            </w:pPr>
            <w:r>
              <w:rPr>
                <w:color w:val="auto"/>
                <w:highlight w:val="none"/>
              </w:rPr>
              <w:t>项目地下水污染因素主要是原料、产品储运及生产过程如操作不当，或设备、设施破损等因素，可导致泄漏油和废水等事故，产生地下水污染。本项目生产废水经沉淀处理后回用于商品混凝土搅拌工艺不外排，生活污水经</w:t>
            </w:r>
            <w:r>
              <w:rPr>
                <w:rFonts w:hint="eastAsia"/>
                <w:color w:val="000000" w:themeColor="text1"/>
                <w:sz w:val="24"/>
                <w:lang w:val="en-US" w:eastAsia="zh-CN"/>
                <w14:textFill>
                  <w14:solidFill>
                    <w14:schemeClr w14:val="tx1"/>
                  </w14:solidFill>
                </w14:textFill>
              </w:rPr>
              <w:t>旱厕</w:t>
            </w:r>
            <w:r>
              <w:rPr>
                <w:color w:val="auto"/>
                <w:highlight w:val="none"/>
              </w:rPr>
              <w:t>处理后进行林灌。项目沥青、柴油采用储罐储存，如果沥青、柴油等泄漏则可能对地下水造成污染事故。</w:t>
            </w:r>
          </w:p>
          <w:p>
            <w:pPr>
              <w:pStyle w:val="3"/>
              <w:ind w:firstLine="480"/>
              <w:rPr>
                <w:color w:val="auto"/>
                <w:highlight w:val="none"/>
              </w:rPr>
            </w:pPr>
            <w:r>
              <w:rPr>
                <w:color w:val="auto"/>
                <w:highlight w:val="none"/>
              </w:rPr>
              <w:t>项目必须强化地下水防渗措施，以防止区域地下水因项目建设而受到污染。本项目分区防渗情况见下表:</w:t>
            </w:r>
          </w:p>
          <w:p>
            <w:pPr>
              <w:pStyle w:val="15"/>
              <w:jc w:val="center"/>
              <w:rPr>
                <w:rFonts w:hint="eastAsia" w:ascii="Times New Roman" w:hAnsi="Times New Roman" w:eastAsia="宋体" w:cs="Times New Roman"/>
                <w:b/>
                <w:bCs/>
                <w:color w:val="auto"/>
                <w:sz w:val="21"/>
                <w:szCs w:val="21"/>
                <w:highlight w:val="none"/>
                <w:lang w:val="zh-CN" w:eastAsia="zh-CN" w:bidi="zh-CN"/>
              </w:rPr>
            </w:pPr>
            <w:r>
              <w:rPr>
                <w:rFonts w:hint="eastAsia" w:ascii="Times New Roman" w:hAnsi="Times New Roman" w:eastAsia="宋体" w:cs="Times New Roman"/>
                <w:b/>
                <w:bCs/>
                <w:color w:val="auto"/>
                <w:sz w:val="21"/>
                <w:szCs w:val="21"/>
                <w:highlight w:val="none"/>
                <w:lang w:val="zh-CN" w:eastAsia="zh-CN" w:bidi="zh-CN"/>
              </w:rPr>
              <w:t>表</w:t>
            </w:r>
            <w:r>
              <w:rPr>
                <w:rFonts w:hint="eastAsia" w:ascii="Times New Roman" w:hAnsi="Times New Roman" w:eastAsia="宋体" w:cs="Times New Roman"/>
                <w:b/>
                <w:bCs/>
                <w:color w:val="auto"/>
                <w:sz w:val="21"/>
                <w:szCs w:val="21"/>
                <w:highlight w:val="none"/>
                <w:lang w:val="en-US" w:eastAsia="zh-CN" w:bidi="zh-CN"/>
              </w:rPr>
              <w:t>4-19</w:t>
            </w:r>
            <w:r>
              <w:rPr>
                <w:rFonts w:hint="eastAsia" w:ascii="Times New Roman" w:hAnsi="Times New Roman" w:eastAsia="宋体" w:cs="Times New Roman"/>
                <w:b/>
                <w:bCs/>
                <w:color w:val="auto"/>
                <w:sz w:val="21"/>
                <w:szCs w:val="21"/>
                <w:highlight w:val="none"/>
                <w:lang w:val="zh-CN" w:eastAsia="zh-CN" w:bidi="zh-CN"/>
              </w:rPr>
              <w:t xml:space="preserve">   本项目分区防渗情况一览表</w:t>
            </w:r>
          </w:p>
          <w:tbl>
            <w:tblPr>
              <w:tblStyle w:val="11"/>
              <w:tblW w:w="485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1246"/>
              <w:gridCol w:w="4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205" w:type="pct"/>
                  <w:noWrap w:val="0"/>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区域名称</w:t>
                  </w:r>
                </w:p>
              </w:tc>
              <w:tc>
                <w:tcPr>
                  <w:tcW w:w="788" w:type="pct"/>
                  <w:noWrap w:val="0"/>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分区类别</w:t>
                  </w:r>
                </w:p>
              </w:tc>
              <w:tc>
                <w:tcPr>
                  <w:tcW w:w="3006" w:type="pct"/>
                  <w:noWrap w:val="0"/>
                  <w:vAlign w:val="center"/>
                </w:tcPr>
                <w:p>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205"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沥青混凝土生产区</w:t>
                  </w:r>
                </w:p>
              </w:tc>
              <w:tc>
                <w:tcPr>
                  <w:tcW w:w="788" w:type="pct"/>
                  <w:vMerge w:val="restar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重点防渗区</w:t>
                  </w:r>
                </w:p>
              </w:tc>
              <w:tc>
                <w:tcPr>
                  <w:tcW w:w="3006" w:type="pct"/>
                  <w:vMerge w:val="restar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采用至少1m厚黏土层（渗透系数K≤1×10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cm/s），或2mm厚高密度聚乙烯，或至少2mm厚的其它人工材料，渗透系数≤10</w:t>
                  </w:r>
                  <w:r>
                    <w:rPr>
                      <w:rFonts w:hint="default" w:ascii="Times New Roman" w:hAnsi="Times New Roman" w:cs="Times New Roman"/>
                      <w:color w:val="auto"/>
                      <w:sz w:val="21"/>
                      <w:szCs w:val="21"/>
                      <w:highlight w:val="none"/>
                      <w:vertAlign w:val="superscript"/>
                    </w:rPr>
                    <w:t>-10</w:t>
                  </w:r>
                  <w:r>
                    <w:rPr>
                      <w:rFonts w:hint="default" w:ascii="Times New Roman" w:hAnsi="Times New Roman" w:cs="Times New Roman"/>
                      <w:color w:val="auto"/>
                      <w:sz w:val="21"/>
                      <w:szCs w:val="21"/>
                      <w:highlight w:val="none"/>
                    </w:rPr>
                    <w:t>cm/s，满足防渗要求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205"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沥青储罐区</w:t>
                  </w:r>
                </w:p>
              </w:tc>
              <w:tc>
                <w:tcPr>
                  <w:tcW w:w="788" w:type="pct"/>
                  <w:vMerge w:val="continue"/>
                  <w:noWrap w:val="0"/>
                  <w:vAlign w:val="center"/>
                </w:tcPr>
                <w:p>
                  <w:pPr>
                    <w:jc w:val="center"/>
                    <w:rPr>
                      <w:rFonts w:hint="default" w:ascii="Times New Roman" w:hAnsi="Times New Roman" w:cs="Times New Roman"/>
                      <w:color w:val="auto"/>
                      <w:sz w:val="21"/>
                      <w:szCs w:val="21"/>
                      <w:highlight w:val="none"/>
                    </w:rPr>
                  </w:pPr>
                </w:p>
              </w:tc>
              <w:tc>
                <w:tcPr>
                  <w:tcW w:w="3006" w:type="pct"/>
                  <w:vMerge w:val="continue"/>
                  <w:noWrap w:val="0"/>
                  <w:vAlign w:val="center"/>
                </w:tcPr>
                <w:p>
                  <w:pPr>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9" w:hRule="atLeast"/>
                <w:jc w:val="center"/>
              </w:trPr>
              <w:tc>
                <w:tcPr>
                  <w:tcW w:w="1205"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导热油炉</w:t>
                  </w:r>
                </w:p>
              </w:tc>
              <w:tc>
                <w:tcPr>
                  <w:tcW w:w="788" w:type="pct"/>
                  <w:vMerge w:val="continue"/>
                  <w:noWrap w:val="0"/>
                  <w:vAlign w:val="center"/>
                </w:tcPr>
                <w:p>
                  <w:pPr>
                    <w:jc w:val="center"/>
                    <w:rPr>
                      <w:rFonts w:hint="default" w:ascii="Times New Roman" w:hAnsi="Times New Roman" w:cs="Times New Roman"/>
                      <w:color w:val="auto"/>
                      <w:sz w:val="21"/>
                      <w:szCs w:val="21"/>
                      <w:highlight w:val="none"/>
                    </w:rPr>
                  </w:pPr>
                </w:p>
              </w:tc>
              <w:tc>
                <w:tcPr>
                  <w:tcW w:w="3006" w:type="pct"/>
                  <w:vMerge w:val="continue"/>
                  <w:noWrap w:val="0"/>
                  <w:vAlign w:val="center"/>
                </w:tcPr>
                <w:p>
                  <w:pPr>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1" w:hRule="atLeast"/>
                <w:jc w:val="center"/>
              </w:trPr>
              <w:tc>
                <w:tcPr>
                  <w:tcW w:w="1205"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柴油罐</w:t>
                  </w:r>
                </w:p>
              </w:tc>
              <w:tc>
                <w:tcPr>
                  <w:tcW w:w="788" w:type="pct"/>
                  <w:vMerge w:val="restar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重点防渗区</w:t>
                  </w:r>
                </w:p>
              </w:tc>
              <w:tc>
                <w:tcPr>
                  <w:tcW w:w="3006" w:type="pct"/>
                  <w:vMerge w:val="restar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采用至少1m厚黏土层（渗透系数K≤1×10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cm/s），或2mm厚高密度聚乙烯，或至少2mm厚的其它人工材料，渗透系数≤10</w:t>
                  </w:r>
                  <w:r>
                    <w:rPr>
                      <w:rFonts w:hint="default" w:ascii="Times New Roman" w:hAnsi="Times New Roman" w:cs="Times New Roman"/>
                      <w:color w:val="auto"/>
                      <w:sz w:val="21"/>
                      <w:szCs w:val="21"/>
                      <w:highlight w:val="none"/>
                      <w:vertAlign w:val="superscript"/>
                    </w:rPr>
                    <w:t>-10</w:t>
                  </w:r>
                  <w:r>
                    <w:rPr>
                      <w:rFonts w:hint="default" w:ascii="Times New Roman" w:hAnsi="Times New Roman" w:cs="Times New Roman"/>
                      <w:color w:val="auto"/>
                      <w:sz w:val="21"/>
                      <w:szCs w:val="21"/>
                      <w:highlight w:val="none"/>
                    </w:rPr>
                    <w:t>cm/s，满足防渗要求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205"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危废暂存间</w:t>
                  </w:r>
                </w:p>
              </w:tc>
              <w:tc>
                <w:tcPr>
                  <w:tcW w:w="788" w:type="pct"/>
                  <w:vMerge w:val="continue"/>
                  <w:noWrap w:val="0"/>
                  <w:vAlign w:val="center"/>
                </w:tcPr>
                <w:p>
                  <w:pPr>
                    <w:jc w:val="center"/>
                    <w:rPr>
                      <w:rFonts w:hint="default" w:ascii="Times New Roman" w:hAnsi="Times New Roman" w:cs="Times New Roman"/>
                      <w:color w:val="auto"/>
                      <w:sz w:val="21"/>
                      <w:szCs w:val="21"/>
                      <w:highlight w:val="none"/>
                    </w:rPr>
                  </w:pPr>
                </w:p>
              </w:tc>
              <w:tc>
                <w:tcPr>
                  <w:tcW w:w="3006" w:type="pct"/>
                  <w:vMerge w:val="continue"/>
                  <w:noWrap w:val="0"/>
                  <w:vAlign w:val="center"/>
                </w:tcPr>
                <w:p>
                  <w:pPr>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205"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商品混凝土生产区</w:t>
                  </w:r>
                </w:p>
              </w:tc>
              <w:tc>
                <w:tcPr>
                  <w:tcW w:w="788"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一般防渗区</w:t>
                  </w:r>
                </w:p>
              </w:tc>
              <w:tc>
                <w:tcPr>
                  <w:tcW w:w="3006" w:type="pct"/>
                  <w:vMerge w:val="restar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地面采取粘土铺底，再在上层铺10~15cm 的水泥进行硬化，一般防渗区各单元防渗层渗透系数≤10</w:t>
                  </w:r>
                  <w:r>
                    <w:rPr>
                      <w:rFonts w:hint="default" w:ascii="Times New Roman" w:hAnsi="Times New Roman" w:cs="Times New Roman"/>
                      <w:color w:val="auto"/>
                      <w:sz w:val="21"/>
                      <w:szCs w:val="21"/>
                      <w:highlight w:val="none"/>
                      <w:vertAlign w:val="superscript"/>
                    </w:rPr>
                    <w:t>-7</w:t>
                  </w:r>
                  <w:r>
                    <w:rPr>
                      <w:rFonts w:hint="default" w:ascii="Times New Roman" w:hAnsi="Times New Roman" w:cs="Times New Roman"/>
                      <w:color w:val="auto"/>
                      <w:sz w:val="21"/>
                      <w:szCs w:val="21"/>
                      <w:highlight w:val="none"/>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205"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骨料仓</w:t>
                  </w:r>
                </w:p>
              </w:tc>
              <w:tc>
                <w:tcPr>
                  <w:tcW w:w="788"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一般防渗区</w:t>
                  </w:r>
                </w:p>
              </w:tc>
              <w:tc>
                <w:tcPr>
                  <w:tcW w:w="3006" w:type="pct"/>
                  <w:vMerge w:val="continue"/>
                  <w:noWrap w:val="0"/>
                  <w:vAlign w:val="center"/>
                </w:tcPr>
                <w:p>
                  <w:pPr>
                    <w:jc w:val="center"/>
                    <w:rPr>
                      <w:rFonts w:hint="default" w:ascii="Times New Roman" w:hAnsi="Times New Roman"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205"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三级沉淀池</w:t>
                  </w:r>
                </w:p>
              </w:tc>
              <w:tc>
                <w:tcPr>
                  <w:tcW w:w="788" w:type="pct"/>
                  <w:noWrap w:val="0"/>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一般防渗区</w:t>
                  </w:r>
                </w:p>
              </w:tc>
              <w:tc>
                <w:tcPr>
                  <w:tcW w:w="3006" w:type="pct"/>
                  <w:vMerge w:val="continue"/>
                  <w:noWrap w:val="0"/>
                  <w:vAlign w:val="center"/>
                </w:tcPr>
                <w:p>
                  <w:pPr>
                    <w:jc w:val="center"/>
                    <w:rPr>
                      <w:rFonts w:hint="default" w:ascii="Times New Roman" w:hAnsi="Times New Roman" w:cs="Times New Roman"/>
                      <w:color w:val="auto"/>
                      <w:sz w:val="21"/>
                      <w:szCs w:val="21"/>
                      <w:highlight w:val="none"/>
                    </w:rPr>
                  </w:pPr>
                </w:p>
              </w:tc>
            </w:tr>
          </w:tbl>
          <w:p>
            <w:pPr>
              <w:pStyle w:val="3"/>
              <w:ind w:firstLine="480"/>
              <w:rPr>
                <w:color w:val="auto"/>
                <w:highlight w:val="none"/>
              </w:rPr>
            </w:pPr>
            <w:r>
              <w:rPr>
                <w:color w:val="auto"/>
                <w:highlight w:val="none"/>
              </w:rPr>
              <w:t>为了最大限度降低生产过程中有毒有害物料的跑冒滴漏，防止地下水污染，项目在生产工艺、设备、建筑结构、总图等方面均在设计中还考虑了相应的控制措施，具体措施如下：</w:t>
            </w:r>
          </w:p>
          <w:p>
            <w:pPr>
              <w:pStyle w:val="3"/>
              <w:ind w:firstLine="480"/>
              <w:rPr>
                <w:color w:val="auto"/>
                <w:highlight w:val="none"/>
              </w:rPr>
            </w:pPr>
            <w:r>
              <w:rPr>
                <w:color w:val="auto"/>
                <w:highlight w:val="none"/>
              </w:rPr>
              <w:t>1）实施清洁生产及各类废物循环利用的具体方案，减少污染物的排放量；防止污染物的跑冒漏滴，将污染物的泄露环境风险事故降到最低限度；</w:t>
            </w:r>
          </w:p>
          <w:p>
            <w:pPr>
              <w:pStyle w:val="3"/>
              <w:ind w:firstLine="480"/>
              <w:rPr>
                <w:color w:val="auto"/>
                <w:highlight w:val="none"/>
              </w:rPr>
            </w:pPr>
            <w:r>
              <w:rPr>
                <w:color w:val="auto"/>
                <w:highlight w:val="none"/>
              </w:rPr>
              <w:t>2）工艺管线，除与阀门、仪表、设备等连接可以采用法兰外，应尽量采用焊接；</w:t>
            </w:r>
          </w:p>
          <w:p>
            <w:pPr>
              <w:pStyle w:val="3"/>
              <w:ind w:firstLine="480"/>
              <w:rPr>
                <w:color w:val="auto"/>
                <w:highlight w:val="none"/>
              </w:rPr>
            </w:pPr>
            <w:r>
              <w:rPr>
                <w:color w:val="auto"/>
                <w:highlight w:val="none"/>
              </w:rPr>
              <w:t>3）设备和管道检修、拆卸时必须采取措施，应收集设备和管道中的残留物质，不得任意排放；</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80" w:firstLineChars="200"/>
              <w:jc w:val="both"/>
              <w:textAlignment w:val="auto"/>
              <w:outlineLvl w:val="9"/>
              <w:rPr>
                <w:color w:val="auto"/>
                <w:highlight w:val="none"/>
              </w:rPr>
            </w:pPr>
            <w:r>
              <w:rPr>
                <w:color w:val="auto"/>
                <w:highlight w:val="none"/>
              </w:rPr>
              <w:t>4）定期进行检漏监测及检修。强化各相关工程的转弯、承插、对接等处的防渗，作好隐蔽工程记录，强化防渗工程的环境管理；</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80" w:firstLineChars="200"/>
              <w:jc w:val="both"/>
              <w:textAlignment w:val="auto"/>
              <w:outlineLvl w:val="9"/>
              <w:rPr>
                <w:color w:val="auto"/>
                <w:highlight w:val="none"/>
              </w:rPr>
            </w:pPr>
            <w:r>
              <w:rPr>
                <w:color w:val="auto"/>
                <w:highlight w:val="none"/>
              </w:rPr>
              <w:t>5）建立地下水风险事故应急响应预案，明确风险事故状态下应采取的封闭、截留等措施。</w:t>
            </w:r>
          </w:p>
          <w:p>
            <w:pPr>
              <w:pStyle w:val="3"/>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80" w:firstLineChars="200"/>
              <w:jc w:val="both"/>
              <w:textAlignment w:val="auto"/>
              <w:outlineLvl w:val="9"/>
              <w:rPr>
                <w:rFonts w:hint="eastAsia"/>
              </w:rPr>
            </w:pPr>
            <w:r>
              <w:rPr>
                <w:color w:val="auto"/>
                <w:kern w:val="0"/>
                <w:highlight w:val="none"/>
              </w:rPr>
              <w:t>同时，企业还应加强</w:t>
            </w:r>
            <w:r>
              <w:rPr>
                <w:rFonts w:hint="eastAsia"/>
                <w:color w:val="auto"/>
                <w:kern w:val="0"/>
                <w:highlight w:val="none"/>
                <w:lang w:eastAsia="zh-CN"/>
              </w:rPr>
              <w:t>建成区</w:t>
            </w:r>
            <w:r>
              <w:rPr>
                <w:color w:val="auto"/>
                <w:kern w:val="0"/>
                <w:highlight w:val="none"/>
              </w:rPr>
              <w:t>环境管理，严禁污水乱排、废渣乱堆乱弃。本次环评认为通过采取以上防护措施后，可有效防止本项目污染物渗漏污染地下水，不会对地下水产生明显影响。</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482" w:firstLineChars="200"/>
              <w:jc w:val="both"/>
              <w:textAlignment w:val="auto"/>
              <w:outlineLvl w:val="9"/>
            </w:pPr>
            <w:r>
              <w:rPr>
                <w:b/>
                <w:color w:val="auto"/>
                <w:sz w:val="24"/>
                <w:highlight w:val="none"/>
              </w:rPr>
              <w:t>6、土壤环境影响分析</w:t>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left"/>
              <w:textAlignment w:val="auto"/>
              <w:rPr>
                <w:b/>
                <w:bCs/>
              </w:rPr>
            </w:pPr>
            <w:r>
              <w:rPr>
                <w:rFonts w:hint="eastAsia" w:ascii="宋体" w:hAnsi="宋体" w:eastAsia="宋体" w:cs="宋体"/>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1</w:t>
            </w:r>
            <w:r>
              <w:rPr>
                <w:rFonts w:hint="eastAsia" w:ascii="宋体" w:hAnsi="宋体" w:eastAsia="宋体" w:cs="宋体"/>
                <w:b/>
                <w:bCs/>
                <w:color w:val="000000"/>
                <w:kern w:val="0"/>
                <w:sz w:val="24"/>
                <w:szCs w:val="24"/>
                <w:lang w:val="en-US" w:eastAsia="zh-CN" w:bidi="ar"/>
              </w:rPr>
              <w:t xml:space="preserve">）评价目的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）结合国家、地方土壤相关资料和实地调查，掌握拟建项目地区土壤类型及理化特性等，查明土壤环境现状与土壤利用现状；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根据拟建项目工程分析及与土壤污染相关的地表水、地下水、大气等评价结果，分析并识别出可能进入土壤的污染物种类、数量、方式等，预测拟建项目可能对土壤环境产生的影响，评价其影响程度和范围及其可能导致的土壤环境变化趋势；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）针对项目建设可能产生的不利影响，提出合理、可行、操作性强的土壤环境影响防控措施，使工程建设带来的负面环境影响降至最低程度，达到项目建设和环境保护的协调发展；</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4</w:t>
            </w:r>
            <w:r>
              <w:rPr>
                <w:rFonts w:hint="eastAsia" w:ascii="宋体" w:hAnsi="宋体" w:eastAsia="宋体" w:cs="宋体"/>
                <w:color w:val="000000"/>
                <w:kern w:val="0"/>
                <w:sz w:val="24"/>
                <w:szCs w:val="24"/>
                <w:lang w:val="en-US" w:eastAsia="zh-CN" w:bidi="ar"/>
              </w:rPr>
              <w:t>）从土壤环境保护角度论证项目建设的可行性，为工程建设决策和环境管理提供科学依据。</w:t>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left"/>
              <w:textAlignment w:val="auto"/>
              <w:rPr>
                <w:b/>
                <w:bCs/>
              </w:rPr>
            </w:pPr>
            <w:r>
              <w:rPr>
                <w:rFonts w:hint="eastAsia" w:ascii="宋体" w:hAnsi="宋体" w:eastAsia="宋体" w:cs="宋体"/>
                <w:b/>
                <w:bCs/>
                <w:color w:val="000000"/>
                <w:kern w:val="0"/>
                <w:sz w:val="24"/>
                <w:szCs w:val="24"/>
                <w:lang w:val="en-US" w:eastAsia="zh-CN" w:bidi="ar"/>
              </w:rPr>
              <w:t>（</w:t>
            </w:r>
            <w:r>
              <w:rPr>
                <w:rFonts w:hint="default" w:ascii="Times New Roman" w:hAnsi="Times New Roman" w:eastAsia="宋体" w:cs="Times New Roman"/>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 xml:space="preserve">）评价内容与评价重点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 xml:space="preserve">）评价内容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土壤环境的现状调查、监测与评价，以及建设项目对土壤环境可能造成的直接和间接危害的预测与评价，并针对其造成的影响和危害提出防控措施与对策。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 xml:space="preserve">）评价重点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结合工程的特点及区域环境特征，确定本次评价工作重点为：建设项目土壤环境影响类型与影响途径识别、建设项目周边土壤环境现状调查、土壤环境影响预测及评价、土壤环境污染防治措施及建议。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jc w:val="left"/>
              <w:textAlignment w:val="auto"/>
            </w:pPr>
            <w:r>
              <w:rPr>
                <w:rFonts w:hint="eastAsia" w:ascii="宋体" w:hAnsi="宋体" w:eastAsia="宋体" w:cs="宋体"/>
                <w:b/>
                <w:bCs/>
                <w:color w:val="000000"/>
                <w:kern w:val="0"/>
                <w:sz w:val="24"/>
                <w:szCs w:val="24"/>
                <w:lang w:val="en-US" w:eastAsia="zh-CN" w:bidi="ar"/>
              </w:rPr>
              <w:t>（</w:t>
            </w:r>
            <w:r>
              <w:rPr>
                <w:rFonts w:hint="default" w:ascii="宋体" w:hAnsi="宋体" w:eastAsia="宋体" w:cs="宋体"/>
                <w:b/>
                <w:bCs/>
                <w:color w:val="000000"/>
                <w:kern w:val="0"/>
                <w:sz w:val="24"/>
                <w:szCs w:val="24"/>
                <w:lang w:val="en-US" w:eastAsia="zh-CN" w:bidi="ar"/>
              </w:rPr>
              <w:t>3</w:t>
            </w:r>
            <w:r>
              <w:rPr>
                <w:rFonts w:hint="eastAsia" w:ascii="宋体" w:hAnsi="宋体" w:eastAsia="宋体" w:cs="宋体"/>
                <w:b/>
                <w:bCs/>
                <w:color w:val="000000"/>
                <w:kern w:val="0"/>
                <w:sz w:val="24"/>
                <w:szCs w:val="24"/>
                <w:lang w:val="en-US" w:eastAsia="zh-CN" w:bidi="ar"/>
              </w:rPr>
              <w:t>）评价工作程序</w:t>
            </w:r>
            <w:r>
              <w:rPr>
                <w:rFonts w:hint="eastAsia" w:ascii="宋体" w:hAnsi="宋体" w:eastAsia="宋体" w:cs="宋体"/>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评价工作分为准备阶段、现状调查与评价阶段、预测分析与评价阶段和结论阶段。</w:t>
            </w:r>
          </w:p>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 xml:space="preserve">（4）评价等级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本项目为沥青砼拌合站项目，年生产沥青砼14.4</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 xml:space="preserve">万吨。根据项目建设内容及其对土壤环境可能产生的影响，判定本项目土壤影响类型为污染影响型。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根据行业特征、工业特点或规模大小等将建设项目类别分为 </w:t>
            </w:r>
            <w:r>
              <w:rPr>
                <w:rFonts w:hint="default" w:ascii="Times New Roman" w:hAnsi="Times New Roman" w:eastAsia="宋体" w:cs="Times New Roman"/>
                <w:color w:val="000000"/>
                <w:kern w:val="0"/>
                <w:sz w:val="24"/>
                <w:szCs w:val="24"/>
                <w:lang w:val="en-US" w:eastAsia="zh-CN" w:bidi="ar"/>
              </w:rPr>
              <w:t xml:space="preserve">I </w:t>
            </w:r>
            <w:r>
              <w:rPr>
                <w:rFonts w:hint="eastAsia" w:ascii="宋体" w:hAnsi="宋体" w:eastAsia="宋体" w:cs="宋体"/>
                <w:color w:val="000000"/>
                <w:kern w:val="0"/>
                <w:sz w:val="24"/>
                <w:szCs w:val="24"/>
                <w:lang w:val="en-US" w:eastAsia="zh-CN" w:bidi="ar"/>
              </w:rPr>
              <w:t>类、</w:t>
            </w:r>
            <w:r>
              <w:rPr>
                <w:rFonts w:hint="default" w:ascii="Times New Roman" w:hAnsi="Times New Roman" w:eastAsia="宋体" w:cs="Times New Roman"/>
                <w:color w:val="000000"/>
                <w:kern w:val="0"/>
                <w:sz w:val="24"/>
                <w:szCs w:val="24"/>
                <w:lang w:val="en-US" w:eastAsia="zh-CN" w:bidi="ar"/>
              </w:rPr>
              <w:t xml:space="preserve">II </w:t>
            </w:r>
            <w:r>
              <w:rPr>
                <w:rFonts w:hint="eastAsia" w:ascii="宋体" w:hAnsi="宋体" w:eastAsia="宋体" w:cs="宋体"/>
                <w:color w:val="000000"/>
                <w:kern w:val="0"/>
                <w:sz w:val="24"/>
                <w:szCs w:val="24"/>
                <w:lang w:val="en-US" w:eastAsia="zh-CN" w:bidi="ar"/>
              </w:rPr>
              <w:t>类、</w:t>
            </w:r>
            <w:r>
              <w:rPr>
                <w:rFonts w:hint="default" w:ascii="Times New Roman" w:hAnsi="Times New Roman" w:eastAsia="宋体" w:cs="Times New Roman"/>
                <w:color w:val="000000"/>
                <w:kern w:val="0"/>
                <w:sz w:val="24"/>
                <w:szCs w:val="24"/>
                <w:lang w:val="en-US" w:eastAsia="zh-CN" w:bidi="ar"/>
              </w:rPr>
              <w:t xml:space="preserve">III </w:t>
            </w:r>
            <w:r>
              <w:rPr>
                <w:rFonts w:hint="eastAsia" w:ascii="宋体" w:hAnsi="宋体" w:eastAsia="宋体" w:cs="宋体"/>
                <w:color w:val="000000"/>
                <w:kern w:val="0"/>
                <w:sz w:val="24"/>
                <w:szCs w:val="24"/>
                <w:lang w:val="en-US" w:eastAsia="zh-CN" w:bidi="ar"/>
              </w:rPr>
              <w:t>类、</w:t>
            </w:r>
            <w:r>
              <w:rPr>
                <w:rFonts w:hint="default" w:ascii="Times New Roman" w:hAnsi="Times New Roman" w:eastAsia="宋体" w:cs="Times New Roman"/>
                <w:color w:val="000000"/>
                <w:kern w:val="0"/>
                <w:sz w:val="24"/>
                <w:szCs w:val="24"/>
                <w:lang w:val="en-US" w:eastAsia="zh-CN" w:bidi="ar"/>
              </w:rPr>
              <w:t xml:space="preserve">IV </w:t>
            </w:r>
            <w:r>
              <w:rPr>
                <w:rFonts w:hint="eastAsia" w:ascii="宋体" w:hAnsi="宋体" w:eastAsia="宋体" w:cs="宋体"/>
                <w:color w:val="000000"/>
                <w:kern w:val="0"/>
                <w:sz w:val="24"/>
                <w:szCs w:val="24"/>
                <w:lang w:val="en-US" w:eastAsia="zh-CN" w:bidi="ar"/>
              </w:rPr>
              <w:t>类，分类详见《环境影响评价技术导则 土壤环境》（</w:t>
            </w:r>
            <w:r>
              <w:rPr>
                <w:rFonts w:hint="default" w:ascii="Times New Roman" w:hAnsi="Times New Roman" w:eastAsia="宋体" w:cs="Times New Roman"/>
                <w:color w:val="000000"/>
                <w:kern w:val="0"/>
                <w:sz w:val="24"/>
                <w:szCs w:val="24"/>
                <w:lang w:val="en-US" w:eastAsia="zh-CN" w:bidi="ar"/>
              </w:rPr>
              <w:t>HJ964-2018</w:t>
            </w:r>
            <w:r>
              <w:rPr>
                <w:rFonts w:hint="eastAsia" w:ascii="宋体" w:hAnsi="宋体" w:eastAsia="宋体" w:cs="宋体"/>
                <w:color w:val="000000"/>
                <w:kern w:val="0"/>
                <w:sz w:val="24"/>
                <w:szCs w:val="24"/>
                <w:lang w:val="en-US" w:eastAsia="zh-CN" w:bidi="ar"/>
              </w:rPr>
              <w:t xml:space="preserve">）录 </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 xml:space="preserve">（以下简称附录 </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 xml:space="preserve">）。其中 </w:t>
            </w:r>
            <w:r>
              <w:rPr>
                <w:rFonts w:hint="default" w:ascii="Times New Roman" w:hAnsi="Times New Roman" w:eastAsia="宋体" w:cs="Times New Roman"/>
                <w:color w:val="000000"/>
                <w:kern w:val="0"/>
                <w:sz w:val="24"/>
                <w:szCs w:val="24"/>
                <w:lang w:val="en-US" w:eastAsia="zh-CN" w:bidi="ar"/>
              </w:rPr>
              <w:t xml:space="preserve">I </w:t>
            </w:r>
            <w:r>
              <w:rPr>
                <w:rFonts w:hint="eastAsia" w:ascii="宋体" w:hAnsi="宋体" w:eastAsia="宋体" w:cs="宋体"/>
                <w:color w:val="000000"/>
                <w:kern w:val="0"/>
                <w:sz w:val="24"/>
                <w:szCs w:val="24"/>
                <w:lang w:val="en-US" w:eastAsia="zh-CN" w:bidi="ar"/>
              </w:rPr>
              <w:t>类、</w:t>
            </w:r>
            <w:r>
              <w:rPr>
                <w:rFonts w:hint="default" w:ascii="Times New Roman" w:hAnsi="Times New Roman" w:eastAsia="宋体" w:cs="Times New Roman"/>
                <w:color w:val="000000"/>
                <w:kern w:val="0"/>
                <w:sz w:val="24"/>
                <w:szCs w:val="24"/>
                <w:lang w:val="en-US" w:eastAsia="zh-CN" w:bidi="ar"/>
              </w:rPr>
              <w:t xml:space="preserve">II </w:t>
            </w:r>
            <w:r>
              <w:rPr>
                <w:rFonts w:hint="eastAsia" w:ascii="宋体" w:hAnsi="宋体" w:eastAsia="宋体" w:cs="宋体"/>
                <w:color w:val="000000"/>
                <w:kern w:val="0"/>
                <w:sz w:val="24"/>
                <w:szCs w:val="24"/>
                <w:lang w:val="en-US" w:eastAsia="zh-CN" w:bidi="ar"/>
              </w:rPr>
              <w:t xml:space="preserve">类及 </w:t>
            </w:r>
            <w:r>
              <w:rPr>
                <w:rFonts w:hint="default" w:ascii="Times New Roman" w:hAnsi="Times New Roman" w:eastAsia="宋体" w:cs="Times New Roman"/>
                <w:color w:val="000000"/>
                <w:kern w:val="0"/>
                <w:sz w:val="24"/>
                <w:szCs w:val="24"/>
                <w:lang w:val="en-US" w:eastAsia="zh-CN" w:bidi="ar"/>
              </w:rPr>
              <w:t xml:space="preserve">III </w:t>
            </w:r>
            <w:r>
              <w:rPr>
                <w:rFonts w:hint="eastAsia" w:ascii="宋体" w:hAnsi="宋体" w:eastAsia="宋体" w:cs="宋体"/>
                <w:color w:val="000000"/>
                <w:kern w:val="0"/>
                <w:sz w:val="24"/>
                <w:szCs w:val="24"/>
                <w:lang w:val="en-US" w:eastAsia="zh-CN" w:bidi="ar"/>
              </w:rPr>
              <w:t>类建设项目的土壤环境影响评价应执行导则要求，</w:t>
            </w:r>
            <w:r>
              <w:rPr>
                <w:rFonts w:hint="default" w:ascii="Times New Roman" w:hAnsi="Times New Roman" w:eastAsia="宋体" w:cs="Times New Roman"/>
                <w:color w:val="000000"/>
                <w:kern w:val="0"/>
                <w:sz w:val="24"/>
                <w:szCs w:val="24"/>
                <w:lang w:val="en-US" w:eastAsia="zh-CN" w:bidi="ar"/>
              </w:rPr>
              <w:t xml:space="preserve">IV </w:t>
            </w:r>
            <w:r>
              <w:rPr>
                <w:rFonts w:hint="eastAsia" w:ascii="宋体" w:hAnsi="宋体" w:eastAsia="宋体" w:cs="宋体"/>
                <w:color w:val="000000"/>
                <w:kern w:val="0"/>
                <w:sz w:val="24"/>
                <w:szCs w:val="24"/>
                <w:lang w:val="en-US" w:eastAsia="zh-CN" w:bidi="ar"/>
              </w:rPr>
              <w:t>类建设项目可不开展土壤环境影响评价；自身为敏感目标的建设项目，可根据需要仅对土壤环境现状进行调查。</w:t>
            </w:r>
          </w:p>
          <w:p>
            <w:pPr>
              <w:pStyle w:val="3"/>
              <w:ind w:firstLine="480"/>
              <w:rPr>
                <w:rFonts w:hint="default" w:ascii="宋体" w:eastAsia="宋体" w:cs="宋体"/>
                <w:kern w:val="0"/>
                <w:lang w:val="en-US" w:eastAsia="zh-CN"/>
              </w:rPr>
            </w:pPr>
            <w:r>
              <w:rPr>
                <w:rFonts w:hint="eastAsia" w:ascii="宋体" w:cs="宋体"/>
                <w:kern w:val="0"/>
              </w:rPr>
              <w:t>本项目</w:t>
            </w:r>
            <w:r>
              <w:rPr>
                <w:rFonts w:ascii="宋体" w:cs="宋体"/>
                <w:kern w:val="0"/>
              </w:rPr>
              <w:t>用地</w:t>
            </w:r>
            <w:r>
              <w:rPr>
                <w:rFonts w:hint="eastAsia" w:ascii="宋体" w:cs="宋体"/>
                <w:kern w:val="0"/>
              </w:rPr>
              <w:t>为</w:t>
            </w:r>
            <w:r>
              <w:rPr>
                <w:rFonts w:ascii="宋体" w:cs="宋体"/>
                <w:kern w:val="0"/>
              </w:rPr>
              <w:t>临时建设用地</w:t>
            </w:r>
            <w:r>
              <w:rPr>
                <w:rFonts w:hint="eastAsia" w:ascii="宋体" w:cs="宋体"/>
                <w:kern w:val="0"/>
              </w:rPr>
              <w:t>，</w:t>
            </w:r>
            <w:r>
              <w:rPr>
                <w:rFonts w:hint="eastAsia"/>
              </w:rPr>
              <w:t>项目</w:t>
            </w:r>
            <w:r>
              <w:t>用地租期结束后，由</w:t>
            </w:r>
            <w:r>
              <w:rPr>
                <w:rFonts w:hint="eastAsia"/>
                <w:lang w:val="en-US" w:eastAsia="zh-CN"/>
              </w:rPr>
              <w:t>业主单位</w:t>
            </w:r>
            <w:r>
              <w:rPr>
                <w:rFonts w:hint="eastAsia"/>
              </w:rPr>
              <w:t>负责</w:t>
            </w:r>
            <w:r>
              <w:t>拆除机械</w:t>
            </w:r>
            <w:r>
              <w:rPr>
                <w:rFonts w:hint="eastAsia"/>
                <w:lang w:eastAsia="zh-CN"/>
              </w:rPr>
              <w:t>，</w:t>
            </w:r>
            <w:r>
              <w:rPr>
                <w:rFonts w:hint="eastAsia"/>
                <w:lang w:val="en-US" w:eastAsia="zh-CN"/>
              </w:rPr>
              <w:t>场地进行清理，恢复至原状。</w:t>
            </w:r>
          </w:p>
          <w:p>
            <w:pPr>
              <w:pStyle w:val="3"/>
              <w:ind w:firstLine="480"/>
              <w:rPr>
                <w:rFonts w:hint="eastAsia" w:ascii="宋体" w:cs="宋体"/>
                <w:kern w:val="0"/>
              </w:rPr>
            </w:pPr>
            <w:r>
              <w:rPr>
                <w:rFonts w:hint="eastAsia"/>
              </w:rPr>
              <w:t>综上</w:t>
            </w:r>
            <w:r>
              <w:t>，</w:t>
            </w:r>
            <w:r>
              <w:rPr>
                <w:rFonts w:hint="eastAsia"/>
              </w:rPr>
              <w:t>本项目</w:t>
            </w:r>
            <w:r>
              <w:t>对土壤环境影响较小</w:t>
            </w:r>
            <w:r>
              <w:rPr>
                <w:rFonts w:hint="eastAsia"/>
              </w:rPr>
              <w:t>。</w:t>
            </w:r>
          </w:p>
          <w:p>
            <w:pPr>
              <w:spacing w:line="520" w:lineRule="exact"/>
              <w:ind w:firstLine="482" w:firstLineChars="200"/>
              <w:rPr>
                <w:rFonts w:hint="eastAsia"/>
                <w:b/>
                <w:color w:val="auto"/>
                <w:sz w:val="24"/>
              </w:rPr>
            </w:pPr>
            <w:r>
              <w:rPr>
                <w:rFonts w:hAnsi="宋体"/>
                <w:b/>
                <w:color w:val="auto"/>
                <w:sz w:val="24"/>
              </w:rPr>
              <w:t>8、</w:t>
            </w:r>
            <w:r>
              <w:rPr>
                <w:rFonts w:hint="eastAsia" w:hAnsi="宋体"/>
                <w:b/>
                <w:color w:val="auto"/>
                <w:sz w:val="24"/>
              </w:rPr>
              <w:t>交通影响分析</w:t>
            </w:r>
          </w:p>
          <w:p>
            <w:pPr>
              <w:pStyle w:val="3"/>
              <w:ind w:firstLine="480"/>
              <w:rPr>
                <w:rFonts w:hint="eastAsia"/>
                <w:color w:val="auto"/>
              </w:rPr>
            </w:pPr>
            <w:r>
              <w:rPr>
                <w:rFonts w:hint="eastAsia"/>
                <w:color w:val="auto"/>
              </w:rPr>
              <w:t>（1）交通</w:t>
            </w:r>
            <w:r>
              <w:rPr>
                <w:color w:val="auto"/>
              </w:rPr>
              <w:t>污染影响分析</w:t>
            </w:r>
          </w:p>
          <w:p>
            <w:pPr>
              <w:pStyle w:val="3"/>
              <w:ind w:firstLine="480"/>
              <w:rPr>
                <w:color w:val="auto"/>
              </w:rPr>
            </w:pPr>
            <w:r>
              <w:rPr>
                <w:rFonts w:hint="eastAsia"/>
                <w:color w:val="auto"/>
              </w:rPr>
              <w:t>本项目原材料</w:t>
            </w:r>
            <w:r>
              <w:rPr>
                <w:color w:val="auto"/>
              </w:rPr>
              <w:t>及沥青混凝土成品进出场</w:t>
            </w:r>
            <w:r>
              <w:rPr>
                <w:rFonts w:hint="eastAsia"/>
                <w:color w:val="auto"/>
              </w:rPr>
              <w:t>，</w:t>
            </w:r>
            <w:r>
              <w:rPr>
                <w:color w:val="auto"/>
              </w:rPr>
              <w:t>均会对沿线产生一定的环境影响。</w:t>
            </w:r>
            <w:r>
              <w:rPr>
                <w:rFonts w:hint="eastAsia"/>
                <w:color w:val="auto"/>
              </w:rPr>
              <w:t>本项目交通运输的环境影响主要体现在噪声和扬尘两个方面。</w:t>
            </w:r>
          </w:p>
          <w:p>
            <w:pPr>
              <w:pStyle w:val="3"/>
              <w:ind w:firstLine="480"/>
              <w:rPr>
                <w:color w:val="auto"/>
              </w:rPr>
            </w:pPr>
            <w:r>
              <w:rPr>
                <w:rFonts w:hint="eastAsia"/>
                <w:color w:val="auto"/>
              </w:rPr>
              <w:t>从噪声影响</w:t>
            </w:r>
            <w:r>
              <w:rPr>
                <w:color w:val="auto"/>
              </w:rPr>
              <w:t>分析</w:t>
            </w:r>
            <w:r>
              <w:rPr>
                <w:rFonts w:hint="eastAsia"/>
                <w:color w:val="auto"/>
              </w:rPr>
              <w:t>而言，运输车都是大型车辆，驾驶时噪声明显，频繁的经过居民区，对</w:t>
            </w:r>
            <w:r>
              <w:rPr>
                <w:rFonts w:hint="eastAsia"/>
                <w:color w:val="auto"/>
                <w:lang w:val="en-US" w:eastAsia="zh-CN"/>
              </w:rPr>
              <w:t>运输道路</w:t>
            </w:r>
            <w:r>
              <w:rPr>
                <w:color w:val="auto"/>
              </w:rPr>
              <w:t>两侧居住</w:t>
            </w:r>
            <w:r>
              <w:rPr>
                <w:rFonts w:hint="eastAsia"/>
                <w:color w:val="auto"/>
              </w:rPr>
              <w:t>环境必然产生影响。环评</w:t>
            </w:r>
            <w:r>
              <w:rPr>
                <w:color w:val="auto"/>
              </w:rPr>
              <w:t>要求采取相应措施降低交通运输噪声影响：</w:t>
            </w:r>
          </w:p>
          <w:p>
            <w:pPr>
              <w:pStyle w:val="3"/>
              <w:ind w:firstLine="480"/>
              <w:rPr>
                <w:color w:val="auto"/>
              </w:rPr>
            </w:pPr>
            <w:r>
              <w:rPr>
                <w:rFonts w:hint="eastAsia" w:ascii="宋体" w:hAnsi="宋体" w:cs="宋体"/>
                <w:color w:val="auto"/>
                <w:lang w:eastAsia="ja-JP"/>
              </w:rPr>
              <w:t>①</w:t>
            </w:r>
            <w:r>
              <w:rPr>
                <w:rFonts w:hint="eastAsia"/>
                <w:color w:val="auto"/>
              </w:rPr>
              <w:t>项目需通过加强交通管理的方式来降低车辆行驶噪声的影响，优化施工车辆的运输路线，除</w:t>
            </w:r>
            <w:r>
              <w:rPr>
                <w:color w:val="auto"/>
              </w:rPr>
              <w:t>按照服务路段进行运输外，禁止车载重物偏离</w:t>
            </w:r>
            <w:r>
              <w:rPr>
                <w:rFonts w:hint="eastAsia"/>
                <w:color w:val="auto"/>
              </w:rPr>
              <w:t>G</w:t>
            </w:r>
            <w:r>
              <w:rPr>
                <w:rFonts w:hint="eastAsia"/>
                <w:color w:val="auto"/>
                <w:lang w:val="en-US" w:eastAsia="zh-CN"/>
              </w:rPr>
              <w:t>248</w:t>
            </w:r>
            <w:r>
              <w:rPr>
                <w:rFonts w:hint="eastAsia"/>
                <w:color w:val="auto"/>
              </w:rPr>
              <w:t>线</w:t>
            </w:r>
            <w:r>
              <w:rPr>
                <w:color w:val="auto"/>
              </w:rPr>
              <w:t>行驶，</w:t>
            </w:r>
            <w:r>
              <w:rPr>
                <w:rFonts w:hint="eastAsia"/>
                <w:color w:val="auto"/>
              </w:rPr>
              <w:t>增加受影响</w:t>
            </w:r>
            <w:r>
              <w:rPr>
                <w:color w:val="auto"/>
              </w:rPr>
              <w:t>人数。</w:t>
            </w:r>
          </w:p>
          <w:p>
            <w:pPr>
              <w:pStyle w:val="3"/>
              <w:ind w:firstLine="480"/>
              <w:rPr>
                <w:color w:val="auto"/>
              </w:rPr>
            </w:pPr>
            <w:r>
              <w:rPr>
                <w:rFonts w:hint="eastAsia" w:ascii="宋体" w:hAnsi="宋体" w:cs="宋体"/>
                <w:color w:val="auto"/>
                <w:lang w:eastAsia="ja-JP"/>
              </w:rPr>
              <w:t>②</w:t>
            </w:r>
            <w:r>
              <w:rPr>
                <w:rFonts w:hint="eastAsia" w:ascii="宋体" w:hAnsi="宋体" w:cs="宋体"/>
                <w:color w:val="auto"/>
              </w:rPr>
              <w:t>运输车辆</w:t>
            </w:r>
            <w:r>
              <w:rPr>
                <w:rFonts w:ascii="宋体" w:hAnsi="宋体" w:cs="宋体"/>
                <w:color w:val="auto"/>
              </w:rPr>
              <w:t>途径</w:t>
            </w:r>
            <w:r>
              <w:rPr>
                <w:rFonts w:hint="eastAsia"/>
                <w:color w:val="auto"/>
              </w:rPr>
              <w:t>医院、居民点、</w:t>
            </w:r>
            <w:r>
              <w:rPr>
                <w:color w:val="auto"/>
              </w:rPr>
              <w:t>学校</w:t>
            </w:r>
            <w:r>
              <w:rPr>
                <w:rFonts w:hint="eastAsia"/>
                <w:color w:val="auto"/>
              </w:rPr>
              <w:t>时</w:t>
            </w:r>
            <w:r>
              <w:rPr>
                <w:rFonts w:ascii="宋体" w:hAnsi="宋体" w:cs="宋体"/>
                <w:color w:val="auto"/>
              </w:rPr>
              <w:t>，应严格限制车速，</w:t>
            </w:r>
            <w:r>
              <w:rPr>
                <w:rFonts w:hint="eastAsia"/>
                <w:color w:val="auto"/>
              </w:rPr>
              <w:t>避免紧急刹车或鸣笛；</w:t>
            </w:r>
          </w:p>
          <w:p>
            <w:pPr>
              <w:pStyle w:val="3"/>
              <w:ind w:firstLine="480"/>
              <w:rPr>
                <w:rFonts w:hint="eastAsia" w:ascii="宋体" w:hAnsi="宋体" w:eastAsia="MS Mincho" w:cs="宋体"/>
                <w:color w:val="auto"/>
                <w:lang w:eastAsia="ja-JP"/>
              </w:rPr>
            </w:pPr>
            <w:r>
              <w:rPr>
                <w:rFonts w:hint="eastAsia" w:ascii="宋体" w:hAnsi="宋体" w:cs="宋体"/>
                <w:color w:val="auto"/>
                <w:lang w:eastAsia="ja-JP"/>
              </w:rPr>
              <w:t>③</w:t>
            </w:r>
            <w:r>
              <w:rPr>
                <w:rFonts w:hint="eastAsia"/>
                <w:color w:val="auto"/>
              </w:rPr>
              <w:t>在利用现有道路用于运输物料时，应调整物料的运输时间，尽量把运输时间放在白天，</w:t>
            </w:r>
            <w:r>
              <w:rPr>
                <w:color w:val="auto"/>
              </w:rPr>
              <w:t>了解泸定</w:t>
            </w:r>
            <w:r>
              <w:rPr>
                <w:rFonts w:hint="eastAsia"/>
                <w:color w:val="auto"/>
              </w:rPr>
              <w:t>境内</w:t>
            </w:r>
            <w:r>
              <w:rPr>
                <w:color w:val="auto"/>
              </w:rPr>
              <w:t>途径区域</w:t>
            </w:r>
            <w:r>
              <w:rPr>
                <w:rFonts w:hint="eastAsia"/>
                <w:color w:val="auto"/>
              </w:rPr>
              <w:t>城镇规划区</w:t>
            </w:r>
            <w:r>
              <w:rPr>
                <w:color w:val="auto"/>
              </w:rPr>
              <w:t>的</w:t>
            </w:r>
            <w:r>
              <w:rPr>
                <w:rFonts w:hint="eastAsia"/>
                <w:color w:val="auto"/>
              </w:rPr>
              <w:t>上下班</w:t>
            </w:r>
            <w:r>
              <w:rPr>
                <w:color w:val="auto"/>
              </w:rPr>
              <w:t>及上下学作息时间</w:t>
            </w:r>
            <w:r>
              <w:rPr>
                <w:rFonts w:hint="eastAsia"/>
                <w:color w:val="auto"/>
              </w:rPr>
              <w:t>，</w:t>
            </w:r>
            <w:r>
              <w:rPr>
                <w:color w:val="auto"/>
              </w:rPr>
              <w:t>运输时尽量避开上下班及上下学高峰。</w:t>
            </w:r>
          </w:p>
          <w:p>
            <w:pPr>
              <w:pStyle w:val="3"/>
              <w:ind w:firstLine="480"/>
              <w:rPr>
                <w:color w:val="auto"/>
              </w:rPr>
            </w:pPr>
            <w:r>
              <w:rPr>
                <w:rFonts w:hint="eastAsia"/>
                <w:color w:val="auto"/>
              </w:rPr>
              <w:t>④加强对职工的教育，提高作业人员的环保意识，坚持科学组织、文明施工。</w:t>
            </w:r>
          </w:p>
          <w:p>
            <w:pPr>
              <w:pStyle w:val="3"/>
              <w:ind w:firstLine="480"/>
              <w:rPr>
                <w:rFonts w:hint="eastAsia"/>
                <w:color w:val="FF0000"/>
              </w:rPr>
            </w:pPr>
            <w:r>
              <w:rPr>
                <w:rFonts w:hint="eastAsia"/>
                <w:color w:val="auto"/>
              </w:rPr>
              <w:t>⑤本项目进出口及</w:t>
            </w:r>
            <w:r>
              <w:rPr>
                <w:color w:val="auto"/>
              </w:rPr>
              <w:t>与</w:t>
            </w:r>
            <w:r>
              <w:rPr>
                <w:rFonts w:hint="eastAsia"/>
                <w:color w:val="auto"/>
              </w:rPr>
              <w:t>雅康高速连接线</w:t>
            </w:r>
            <w:r>
              <w:rPr>
                <w:color w:val="auto"/>
              </w:rPr>
              <w:t>接入口</w:t>
            </w:r>
            <w:r>
              <w:rPr>
                <w:rFonts w:hint="eastAsia"/>
                <w:color w:val="auto"/>
              </w:rPr>
              <w:t>应安排专人负责车辆组织和指挥，合理疏导，防止引起交通阻塞、减缓汽车尾气和噪声污染影响。</w:t>
            </w:r>
          </w:p>
          <w:p>
            <w:pPr>
              <w:pStyle w:val="3"/>
              <w:ind w:firstLine="480"/>
              <w:rPr>
                <w:color w:val="FF0000"/>
              </w:rPr>
            </w:pPr>
            <w:r>
              <w:rPr>
                <w:rFonts w:hint="eastAsia"/>
                <w:color w:val="auto"/>
              </w:rPr>
              <w:t>从运输造成的扬尘来说，行驶车辆必然引起路面扬尘，影响范围主要是行车路线附近一带，只要路线清洁，扬尘就会相应大幅度减少，因此路面保持清洁是减少交通扬尘的最有效的手段，</w:t>
            </w:r>
            <w:r>
              <w:rPr>
                <w:color w:val="auto"/>
              </w:rPr>
              <w:t>同时运输车辆</w:t>
            </w:r>
            <w:r>
              <w:rPr>
                <w:rFonts w:hint="eastAsia"/>
                <w:color w:val="auto"/>
              </w:rPr>
              <w:t>必须经过加盖密闭改装，不得超载运输，严禁车辆带泥上路污染环境。运输车辆应避免发生</w:t>
            </w:r>
            <w:r>
              <w:rPr>
                <w:color w:val="auto"/>
              </w:rPr>
              <w:t>抛洒、溢出等问题，发生撒漏</w:t>
            </w:r>
            <w:r>
              <w:rPr>
                <w:rFonts w:hint="eastAsia"/>
                <w:color w:val="auto"/>
              </w:rPr>
              <w:t>时</w:t>
            </w:r>
            <w:r>
              <w:rPr>
                <w:color w:val="auto"/>
              </w:rPr>
              <w:t>应</w:t>
            </w:r>
            <w:r>
              <w:rPr>
                <w:rFonts w:hint="eastAsia"/>
                <w:color w:val="auto"/>
              </w:rPr>
              <w:t>第一</w:t>
            </w:r>
            <w:r>
              <w:rPr>
                <w:color w:val="auto"/>
              </w:rPr>
              <w:t>时间清除</w:t>
            </w:r>
            <w:r>
              <w:rPr>
                <w:rFonts w:hint="eastAsia"/>
                <w:color w:val="auto"/>
              </w:rPr>
              <w:t>，</w:t>
            </w:r>
            <w:r>
              <w:rPr>
                <w:color w:val="auto"/>
              </w:rPr>
              <w:t>避免发生二次扬尘。</w:t>
            </w:r>
          </w:p>
          <w:p>
            <w:pPr>
              <w:pStyle w:val="3"/>
              <w:ind w:firstLine="480"/>
              <w:rPr>
                <w:rFonts w:hint="eastAsia"/>
                <w:color w:val="auto"/>
              </w:rPr>
            </w:pPr>
            <w:r>
              <w:rPr>
                <w:rFonts w:hint="eastAsia"/>
                <w:color w:val="auto"/>
              </w:rPr>
              <w:t>综上</w:t>
            </w:r>
            <w:r>
              <w:rPr>
                <w:color w:val="auto"/>
              </w:rPr>
              <w:t>，</w:t>
            </w:r>
            <w:r>
              <w:rPr>
                <w:rFonts w:hint="eastAsia"/>
                <w:color w:val="auto"/>
              </w:rPr>
              <w:t>只要</w:t>
            </w:r>
            <w:r>
              <w:rPr>
                <w:color w:val="auto"/>
              </w:rPr>
              <w:t>认真制定和落实</w:t>
            </w:r>
            <w:r>
              <w:rPr>
                <w:rFonts w:hint="eastAsia"/>
                <w:color w:val="auto"/>
              </w:rPr>
              <w:t>运输过程</w:t>
            </w:r>
            <w:r>
              <w:rPr>
                <w:color w:val="auto"/>
              </w:rPr>
              <w:t>采取的环保对策措施，工程</w:t>
            </w:r>
            <w:r>
              <w:rPr>
                <w:rFonts w:hint="eastAsia"/>
                <w:color w:val="auto"/>
              </w:rPr>
              <w:t>运输</w:t>
            </w:r>
            <w:r>
              <w:rPr>
                <w:color w:val="auto"/>
              </w:rPr>
              <w:t>环境影响的问题可以得到消除或有效的控制，可以使其对环境的影响降至最小程度。</w:t>
            </w:r>
          </w:p>
          <w:p>
            <w:pPr>
              <w:spacing w:line="520" w:lineRule="exact"/>
              <w:ind w:firstLine="482" w:firstLineChars="200"/>
              <w:rPr>
                <w:rFonts w:hint="eastAsia"/>
                <w:b/>
                <w:sz w:val="24"/>
              </w:rPr>
            </w:pPr>
            <w:r>
              <w:rPr>
                <w:rFonts w:hint="eastAsia" w:hAnsi="宋体"/>
                <w:b/>
                <w:sz w:val="24"/>
                <w:lang w:val="en-US" w:eastAsia="zh-CN"/>
              </w:rPr>
              <w:t>9</w:t>
            </w:r>
            <w:r>
              <w:rPr>
                <w:rFonts w:hAnsi="宋体"/>
                <w:b/>
                <w:sz w:val="24"/>
              </w:rPr>
              <w:t>、</w:t>
            </w:r>
            <w:r>
              <w:rPr>
                <w:rFonts w:hint="eastAsia" w:hAnsi="宋体"/>
                <w:b/>
                <w:sz w:val="24"/>
              </w:rPr>
              <w:t>运营期环境</w:t>
            </w:r>
            <w:r>
              <w:rPr>
                <w:rFonts w:hAnsi="宋体"/>
                <w:b/>
                <w:sz w:val="24"/>
              </w:rPr>
              <w:t>风险</w:t>
            </w:r>
            <w:r>
              <w:rPr>
                <w:rFonts w:hint="eastAsia" w:hAnsi="宋体"/>
                <w:b/>
                <w:sz w:val="24"/>
              </w:rPr>
              <w:t>分析</w:t>
            </w:r>
          </w:p>
          <w:p>
            <w:pPr>
              <w:spacing w:line="360" w:lineRule="auto"/>
              <w:ind w:firstLine="480"/>
              <w:rPr>
                <w:rFonts w:hAnsi="宋体"/>
                <w:sz w:val="24"/>
              </w:rPr>
            </w:pPr>
            <w:r>
              <w:rPr>
                <w:rFonts w:hint="eastAsia" w:hAnsi="宋体"/>
                <w:sz w:val="24"/>
              </w:rPr>
              <w:t>环境风险评价的目的是分析和预测建设项目存在的潜在危险、有毒有害因素，建设项目运行期间可能发生的突发性事件或事故，引起有毒有害和易燃易爆等物质泄漏，所造成的人身安全与环境影响和损害程度，提出合理可行的防范、应急与减缓措施，以使建设项目事故率、损失和环境影响达到可接受水平。本评价将找出主要危险环节，认识危险程度，对项目建设和运行过程中可能存在的事故隐患提出事故防范措施和事故后应急措施，为工程设计和安全生产提供依据，将风险的可能性和危害性降低到最小程度。</w:t>
            </w:r>
          </w:p>
          <w:p>
            <w:pPr>
              <w:spacing w:line="360" w:lineRule="auto"/>
              <w:ind w:firstLine="480"/>
              <w:rPr>
                <w:rFonts w:hAnsi="宋体"/>
                <w:b/>
                <w:sz w:val="24"/>
              </w:rPr>
            </w:pPr>
            <w:r>
              <w:rPr>
                <w:rFonts w:hint="eastAsia" w:hAnsi="宋体"/>
                <w:b/>
                <w:sz w:val="24"/>
              </w:rPr>
              <w:t>（1）防范重点</w:t>
            </w:r>
          </w:p>
          <w:p>
            <w:pPr>
              <w:pStyle w:val="3"/>
              <w:ind w:firstLine="480"/>
              <w:rPr>
                <w:rFonts w:hint="eastAsia"/>
              </w:rPr>
            </w:pPr>
            <w:r>
              <w:rPr>
                <w:rFonts w:hint="eastAsia"/>
              </w:rPr>
              <w:t>①对项目的危险源进行风险识别及源项分析；</w:t>
            </w:r>
          </w:p>
          <w:p>
            <w:pPr>
              <w:pStyle w:val="3"/>
              <w:ind w:firstLine="480"/>
              <w:rPr>
                <w:rFonts w:hint="eastAsia"/>
              </w:rPr>
            </w:pPr>
            <w:r>
              <w:rPr>
                <w:rFonts w:hint="eastAsia"/>
              </w:rPr>
              <w:t>②环境质量的恶化及对生态系统影响的范围和程度；</w:t>
            </w:r>
          </w:p>
          <w:p>
            <w:pPr>
              <w:pStyle w:val="3"/>
              <w:ind w:firstLine="480"/>
            </w:pPr>
            <w:r>
              <w:rPr>
                <w:rFonts w:hint="eastAsia"/>
              </w:rPr>
              <w:t>③提出防范、减少、消除对人群和环境危害的措施。</w:t>
            </w:r>
          </w:p>
          <w:p>
            <w:pPr>
              <w:spacing w:line="360" w:lineRule="auto"/>
              <w:ind w:firstLine="480"/>
              <w:rPr>
                <w:rFonts w:hint="eastAsia" w:hAnsi="宋体"/>
                <w:b/>
                <w:sz w:val="24"/>
              </w:rPr>
            </w:pPr>
            <w:r>
              <w:rPr>
                <w:rFonts w:hint="eastAsia" w:hAnsi="宋体"/>
                <w:b/>
                <w:sz w:val="24"/>
              </w:rPr>
              <w:t>（</w:t>
            </w:r>
            <w:r>
              <w:rPr>
                <w:rFonts w:hAnsi="宋体"/>
                <w:b/>
                <w:sz w:val="24"/>
              </w:rPr>
              <w:t>2</w:t>
            </w:r>
            <w:r>
              <w:rPr>
                <w:rFonts w:hint="eastAsia" w:hAnsi="宋体"/>
                <w:b/>
                <w:sz w:val="24"/>
              </w:rPr>
              <w:t>）建设</w:t>
            </w:r>
            <w:r>
              <w:rPr>
                <w:rFonts w:hAnsi="宋体"/>
                <w:b/>
                <w:sz w:val="24"/>
              </w:rPr>
              <w:t>项目风险源调查</w:t>
            </w:r>
          </w:p>
          <w:p>
            <w:pPr>
              <w:spacing w:line="360" w:lineRule="auto"/>
              <w:ind w:firstLine="480"/>
              <w:rPr>
                <w:rFonts w:hAnsi="宋体"/>
                <w:sz w:val="24"/>
              </w:rPr>
            </w:pPr>
            <w:r>
              <w:rPr>
                <w:rFonts w:hint="eastAsia" w:hAnsi="宋体"/>
                <w:sz w:val="24"/>
              </w:rPr>
              <w:t>本项目为沥青混凝土生产项目，项目储备有沥青、柴油。根据《建设项目环境风险评价技术导则》（HJ169—2018），拟建项目主要风险物质分类为油类物质。</w:t>
            </w:r>
          </w:p>
          <w:p>
            <w:pPr>
              <w:pStyle w:val="28"/>
              <w:jc w:val="center"/>
              <w:rPr>
                <w:rFonts w:hint="eastAsia" w:ascii="宋体" w:hAnsi="宋体" w:eastAsia="宋体" w:cs="宋体"/>
                <w:b/>
                <w:bCs/>
                <w:sz w:val="21"/>
                <w:szCs w:val="21"/>
              </w:rPr>
            </w:pPr>
            <w:r>
              <w:rPr>
                <w:rFonts w:hint="eastAsia" w:ascii="Times New Roman" w:hAnsi="Times New Roman" w:eastAsia="宋体" w:cs="Times New Roman"/>
                <w:b/>
                <w:bCs/>
                <w:color w:val="auto"/>
                <w:sz w:val="21"/>
                <w:szCs w:val="21"/>
                <w:highlight w:val="none"/>
                <w:lang w:val="zh-CN" w:eastAsia="zh-CN" w:bidi="zh-CN"/>
              </w:rPr>
              <w:t>表</w:t>
            </w:r>
            <w:r>
              <w:rPr>
                <w:rFonts w:hint="eastAsia" w:ascii="Times New Roman" w:hAnsi="Times New Roman" w:eastAsia="宋体" w:cs="Times New Roman"/>
                <w:b/>
                <w:bCs/>
                <w:color w:val="auto"/>
                <w:sz w:val="21"/>
                <w:szCs w:val="21"/>
                <w:highlight w:val="none"/>
                <w:lang w:val="en-US" w:eastAsia="zh-CN" w:bidi="zh-CN"/>
              </w:rPr>
              <w:t>4-20</w:t>
            </w:r>
            <w:r>
              <w:rPr>
                <w:rFonts w:hint="eastAsia" w:ascii="Times New Roman" w:hAnsi="Times New Roman" w:eastAsia="宋体" w:cs="Times New Roman"/>
                <w:b/>
                <w:bCs/>
                <w:color w:val="auto"/>
                <w:sz w:val="21"/>
                <w:szCs w:val="21"/>
                <w:highlight w:val="none"/>
                <w:lang w:val="zh-CN" w:eastAsia="zh-CN" w:bidi="zh-CN"/>
              </w:rPr>
              <w:t xml:space="preserve">  柴油的理化性质及危险特性</w:t>
            </w:r>
          </w:p>
          <w:tbl>
            <w:tblPr>
              <w:tblStyle w:val="11"/>
              <w:tblW w:w="0" w:type="auto"/>
              <w:jc w:val="center"/>
              <w:tblLayout w:type="fixed"/>
              <w:tblCellMar>
                <w:top w:w="0" w:type="dxa"/>
                <w:left w:w="108" w:type="dxa"/>
                <w:bottom w:w="0" w:type="dxa"/>
                <w:right w:w="108" w:type="dxa"/>
              </w:tblCellMar>
            </w:tblPr>
            <w:tblGrid>
              <w:gridCol w:w="542"/>
              <w:gridCol w:w="1443"/>
              <w:gridCol w:w="1207"/>
              <w:gridCol w:w="339"/>
              <w:gridCol w:w="186"/>
              <w:gridCol w:w="594"/>
              <w:gridCol w:w="561"/>
              <w:gridCol w:w="291"/>
              <w:gridCol w:w="430"/>
              <w:gridCol w:w="740"/>
              <w:gridCol w:w="171"/>
              <w:gridCol w:w="1293"/>
            </w:tblGrid>
            <w:tr>
              <w:tblPrEx>
                <w:tblCellMar>
                  <w:top w:w="0" w:type="dxa"/>
                  <w:left w:w="108" w:type="dxa"/>
                  <w:bottom w:w="0" w:type="dxa"/>
                  <w:right w:w="108" w:type="dxa"/>
                </w:tblCellMar>
              </w:tblPrEx>
              <w:trPr>
                <w:cantSplit/>
                <w:trHeight w:val="446" w:hRule="atLeast"/>
                <w:jc w:val="center"/>
              </w:trPr>
              <w:tc>
                <w:tcPr>
                  <w:tcW w:w="542" w:type="dxa"/>
                  <w:vMerge w:val="restart"/>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标识</w:t>
                  </w:r>
                </w:p>
              </w:tc>
              <w:tc>
                <w:tcPr>
                  <w:tcW w:w="144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中文名</w:t>
                  </w:r>
                </w:p>
              </w:tc>
              <w:tc>
                <w:tcPr>
                  <w:tcW w:w="2887" w:type="dxa"/>
                  <w:gridSpan w:val="5"/>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柴油</w:t>
                  </w:r>
                </w:p>
              </w:tc>
              <w:tc>
                <w:tcPr>
                  <w:tcW w:w="1461" w:type="dxa"/>
                  <w:gridSpan w:val="3"/>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危险货物编号</w:t>
                  </w:r>
                </w:p>
              </w:tc>
              <w:tc>
                <w:tcPr>
                  <w:tcW w:w="1464" w:type="dxa"/>
                  <w:gridSpan w:val="2"/>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w:t>
                  </w:r>
                </w:p>
              </w:tc>
            </w:tr>
            <w:tr>
              <w:tblPrEx>
                <w:tblCellMar>
                  <w:top w:w="0" w:type="dxa"/>
                  <w:left w:w="108" w:type="dxa"/>
                  <w:bottom w:w="0" w:type="dxa"/>
                  <w:right w:w="108" w:type="dxa"/>
                </w:tblCellMar>
              </w:tblPrEx>
              <w:trPr>
                <w:cantSplit/>
                <w:trHeight w:val="452" w:hRule="atLeast"/>
                <w:jc w:val="center"/>
              </w:trPr>
              <w:tc>
                <w:tcPr>
                  <w:tcW w:w="542"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jc w:val="left"/>
                    <w:rPr>
                      <w:rFonts w:hint="default" w:ascii="Times New Roman" w:hAnsi="Times New Roman" w:cs="Times New Roman"/>
                      <w:spacing w:val="10"/>
                      <w:sz w:val="21"/>
                      <w:szCs w:val="21"/>
                    </w:rPr>
                  </w:pPr>
                </w:p>
              </w:tc>
              <w:tc>
                <w:tcPr>
                  <w:tcW w:w="144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英文名</w:t>
                  </w:r>
                </w:p>
              </w:tc>
              <w:tc>
                <w:tcPr>
                  <w:tcW w:w="2887" w:type="dxa"/>
                  <w:gridSpan w:val="5"/>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diesel oil</w:t>
                  </w:r>
                </w:p>
              </w:tc>
              <w:tc>
                <w:tcPr>
                  <w:tcW w:w="1461" w:type="dxa"/>
                  <w:gridSpan w:val="3"/>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UN编号</w:t>
                  </w:r>
                </w:p>
              </w:tc>
              <w:tc>
                <w:tcPr>
                  <w:tcW w:w="1464" w:type="dxa"/>
                  <w:gridSpan w:val="2"/>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w:t>
                  </w:r>
                </w:p>
              </w:tc>
            </w:tr>
            <w:tr>
              <w:trPr>
                <w:cantSplit/>
                <w:trHeight w:val="445" w:hRule="atLeast"/>
                <w:jc w:val="center"/>
              </w:trPr>
              <w:tc>
                <w:tcPr>
                  <w:tcW w:w="542" w:type="dxa"/>
                  <w:vMerge w:val="restart"/>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理化性质</w:t>
                  </w:r>
                </w:p>
              </w:tc>
              <w:tc>
                <w:tcPr>
                  <w:tcW w:w="144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外观与性状</w:t>
                  </w:r>
                </w:p>
              </w:tc>
              <w:tc>
                <w:tcPr>
                  <w:tcW w:w="5812" w:type="dxa"/>
                  <w:gridSpan w:val="10"/>
                  <w:tcBorders>
                    <w:top w:val="single" w:color="000000" w:sz="6" w:space="0"/>
                    <w:left w:val="single" w:color="000000" w:sz="6" w:space="0"/>
                    <w:bottom w:val="single" w:color="000000" w:sz="6" w:space="0"/>
                    <w:right w:val="single" w:color="000000" w:sz="6" w:space="0"/>
                  </w:tcBorders>
                  <w:noWrap w:val="0"/>
                  <w:vAlign w:val="center"/>
                </w:tcPr>
                <w:p>
                  <w:pP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稍有粘性的棕色液体。</w:t>
                  </w:r>
                </w:p>
              </w:tc>
            </w:tr>
            <w:tr>
              <w:tblPrEx>
                <w:tblCellMar>
                  <w:top w:w="0" w:type="dxa"/>
                  <w:left w:w="108" w:type="dxa"/>
                  <w:bottom w:w="0" w:type="dxa"/>
                  <w:right w:w="108" w:type="dxa"/>
                </w:tblCellMar>
              </w:tblPrEx>
              <w:trPr>
                <w:cantSplit/>
                <w:trHeight w:val="438" w:hRule="atLeast"/>
                <w:jc w:val="center"/>
              </w:trPr>
              <w:tc>
                <w:tcPr>
                  <w:tcW w:w="542"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jc w:val="left"/>
                    <w:rPr>
                      <w:rFonts w:hint="default" w:ascii="Times New Roman" w:hAnsi="Times New Roman" w:cs="Times New Roman"/>
                      <w:spacing w:val="10"/>
                      <w:sz w:val="21"/>
                      <w:szCs w:val="21"/>
                    </w:rPr>
                  </w:pPr>
                </w:p>
              </w:tc>
              <w:tc>
                <w:tcPr>
                  <w:tcW w:w="144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熔点（℃）</w:t>
                  </w:r>
                </w:p>
              </w:tc>
              <w:tc>
                <w:tcPr>
                  <w:tcW w:w="1732" w:type="dxa"/>
                  <w:gridSpan w:val="3"/>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＜29.56</w:t>
                  </w:r>
                </w:p>
              </w:tc>
              <w:tc>
                <w:tcPr>
                  <w:tcW w:w="1876" w:type="dxa"/>
                  <w:gridSpan w:val="4"/>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相对密度(水=1)</w:t>
                  </w:r>
                </w:p>
              </w:tc>
              <w:tc>
                <w:tcPr>
                  <w:tcW w:w="2204" w:type="dxa"/>
                  <w:gridSpan w:val="3"/>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0.85</w:t>
                  </w:r>
                </w:p>
              </w:tc>
            </w:tr>
            <w:tr>
              <w:tblPrEx>
                <w:tblCellMar>
                  <w:top w:w="0" w:type="dxa"/>
                  <w:left w:w="108" w:type="dxa"/>
                  <w:bottom w:w="0" w:type="dxa"/>
                  <w:right w:w="108" w:type="dxa"/>
                </w:tblCellMar>
              </w:tblPrEx>
              <w:trPr>
                <w:cantSplit/>
                <w:trHeight w:val="497" w:hRule="atLeast"/>
                <w:jc w:val="center"/>
              </w:trPr>
              <w:tc>
                <w:tcPr>
                  <w:tcW w:w="542"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jc w:val="left"/>
                    <w:rPr>
                      <w:rFonts w:hint="default" w:ascii="Times New Roman" w:hAnsi="Times New Roman" w:cs="Times New Roman"/>
                      <w:spacing w:val="10"/>
                      <w:sz w:val="21"/>
                      <w:szCs w:val="21"/>
                    </w:rPr>
                  </w:pPr>
                </w:p>
              </w:tc>
              <w:tc>
                <w:tcPr>
                  <w:tcW w:w="144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沸点（℃）</w:t>
                  </w:r>
                </w:p>
              </w:tc>
              <w:tc>
                <w:tcPr>
                  <w:tcW w:w="1732" w:type="dxa"/>
                  <w:gridSpan w:val="3"/>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180～370</w:t>
                  </w:r>
                </w:p>
              </w:tc>
              <w:tc>
                <w:tcPr>
                  <w:tcW w:w="1876" w:type="dxa"/>
                  <w:gridSpan w:val="4"/>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饱和蒸汽压（KPa）</w:t>
                  </w:r>
                </w:p>
              </w:tc>
              <w:tc>
                <w:tcPr>
                  <w:tcW w:w="2204" w:type="dxa"/>
                  <w:gridSpan w:val="3"/>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w:t>
                  </w:r>
                </w:p>
              </w:tc>
            </w:tr>
            <w:tr>
              <w:tblPrEx>
                <w:tblCellMar>
                  <w:top w:w="0" w:type="dxa"/>
                  <w:left w:w="108" w:type="dxa"/>
                  <w:bottom w:w="0" w:type="dxa"/>
                  <w:right w:w="108" w:type="dxa"/>
                </w:tblCellMar>
              </w:tblPrEx>
              <w:trPr>
                <w:cantSplit/>
                <w:trHeight w:val="382" w:hRule="atLeast"/>
                <w:jc w:val="center"/>
              </w:trPr>
              <w:tc>
                <w:tcPr>
                  <w:tcW w:w="542" w:type="dxa"/>
                  <w:vMerge w:val="restart"/>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健康危害</w:t>
                  </w:r>
                </w:p>
              </w:tc>
              <w:tc>
                <w:tcPr>
                  <w:tcW w:w="144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侵入途径</w:t>
                  </w:r>
                </w:p>
              </w:tc>
              <w:tc>
                <w:tcPr>
                  <w:tcW w:w="5812" w:type="dxa"/>
                  <w:gridSpan w:val="10"/>
                  <w:tcBorders>
                    <w:top w:val="single" w:color="000000" w:sz="6" w:space="0"/>
                    <w:left w:val="single" w:color="000000" w:sz="6" w:space="0"/>
                    <w:bottom w:val="single" w:color="000000" w:sz="6" w:space="0"/>
                    <w:right w:val="single" w:color="000000" w:sz="6" w:space="0"/>
                  </w:tcBorders>
                  <w:noWrap w:val="0"/>
                  <w:vAlign w:val="center"/>
                </w:tcPr>
                <w:p>
                  <w:pP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吸入、食入、经皮吸收。</w:t>
                  </w:r>
                </w:p>
              </w:tc>
            </w:tr>
            <w:tr>
              <w:tblPrEx>
                <w:tblCellMar>
                  <w:top w:w="0" w:type="dxa"/>
                  <w:left w:w="108" w:type="dxa"/>
                  <w:bottom w:w="0" w:type="dxa"/>
                  <w:right w:w="108" w:type="dxa"/>
                </w:tblCellMar>
              </w:tblPrEx>
              <w:trPr>
                <w:cantSplit/>
                <w:trHeight w:val="690" w:hRule="atLeast"/>
                <w:jc w:val="center"/>
              </w:trPr>
              <w:tc>
                <w:tcPr>
                  <w:tcW w:w="542"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jc w:val="left"/>
                    <w:rPr>
                      <w:rFonts w:hint="default" w:ascii="Times New Roman" w:hAnsi="Times New Roman" w:cs="Times New Roman"/>
                      <w:spacing w:val="10"/>
                      <w:sz w:val="21"/>
                      <w:szCs w:val="21"/>
                    </w:rPr>
                  </w:pPr>
                </w:p>
              </w:tc>
              <w:tc>
                <w:tcPr>
                  <w:tcW w:w="144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毒性</w:t>
                  </w:r>
                </w:p>
              </w:tc>
              <w:tc>
                <w:tcPr>
                  <w:tcW w:w="5812" w:type="dxa"/>
                  <w:gridSpan w:val="10"/>
                  <w:tcBorders>
                    <w:top w:val="single" w:color="000000" w:sz="6" w:space="0"/>
                    <w:left w:val="single" w:color="000000" w:sz="6" w:space="0"/>
                    <w:bottom w:val="single" w:color="000000" w:sz="6" w:space="0"/>
                    <w:right w:val="single" w:color="000000" w:sz="6" w:space="0"/>
                  </w:tcBorders>
                  <w:noWrap w:val="0"/>
                  <w:vAlign w:val="center"/>
                </w:tcPr>
                <w:p>
                  <w:pP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LD</w:t>
                  </w:r>
                  <w:r>
                    <w:rPr>
                      <w:rFonts w:hint="default" w:ascii="Times New Roman" w:hAnsi="Times New Roman" w:cs="Times New Roman"/>
                      <w:spacing w:val="10"/>
                      <w:sz w:val="21"/>
                      <w:szCs w:val="21"/>
                      <w:vertAlign w:val="subscript"/>
                    </w:rPr>
                    <w:t>50</w:t>
                  </w:r>
                  <w:r>
                    <w:rPr>
                      <w:rFonts w:hint="default" w:ascii="Times New Roman" w:hAnsi="Times New Roman" w:cs="Times New Roman"/>
                      <w:spacing w:val="10"/>
                      <w:sz w:val="21"/>
                      <w:szCs w:val="21"/>
                    </w:rPr>
                    <w:t>：</w:t>
                  </w:r>
                </w:p>
                <w:p>
                  <w:pP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LC</w:t>
                  </w:r>
                  <w:r>
                    <w:rPr>
                      <w:rFonts w:hint="default" w:ascii="Times New Roman" w:hAnsi="Times New Roman" w:cs="Times New Roman"/>
                      <w:spacing w:val="10"/>
                      <w:sz w:val="21"/>
                      <w:szCs w:val="21"/>
                      <w:vertAlign w:val="subscript"/>
                    </w:rPr>
                    <w:t>50</w:t>
                  </w:r>
                  <w:r>
                    <w:rPr>
                      <w:rFonts w:hint="default" w:ascii="Times New Roman" w:hAnsi="Times New Roman" w:cs="Times New Roman"/>
                      <w:spacing w:val="10"/>
                      <w:sz w:val="21"/>
                      <w:szCs w:val="21"/>
                    </w:rPr>
                    <w:t>：</w:t>
                  </w:r>
                </w:p>
              </w:tc>
            </w:tr>
            <w:tr>
              <w:tblPrEx>
                <w:tblCellMar>
                  <w:top w:w="0" w:type="dxa"/>
                  <w:left w:w="108" w:type="dxa"/>
                  <w:bottom w:w="0" w:type="dxa"/>
                  <w:right w:w="108" w:type="dxa"/>
                </w:tblCellMar>
              </w:tblPrEx>
              <w:trPr>
                <w:cantSplit/>
                <w:trHeight w:val="1020" w:hRule="atLeast"/>
                <w:jc w:val="center"/>
              </w:trPr>
              <w:tc>
                <w:tcPr>
                  <w:tcW w:w="542"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jc w:val="left"/>
                    <w:rPr>
                      <w:rFonts w:hint="default" w:ascii="Times New Roman" w:hAnsi="Times New Roman" w:cs="Times New Roman"/>
                      <w:spacing w:val="10"/>
                      <w:sz w:val="21"/>
                      <w:szCs w:val="21"/>
                    </w:rPr>
                  </w:pPr>
                </w:p>
              </w:tc>
              <w:tc>
                <w:tcPr>
                  <w:tcW w:w="144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健康危害</w:t>
                  </w:r>
                </w:p>
              </w:tc>
              <w:tc>
                <w:tcPr>
                  <w:tcW w:w="5812" w:type="dxa"/>
                  <w:gridSpan w:val="10"/>
                  <w:tcBorders>
                    <w:top w:val="single" w:color="000000" w:sz="6" w:space="0"/>
                    <w:left w:val="single" w:color="000000" w:sz="6" w:space="0"/>
                    <w:bottom w:val="single" w:color="000000" w:sz="6" w:space="0"/>
                    <w:right w:val="single" w:color="000000" w:sz="6" w:space="0"/>
                  </w:tcBorders>
                  <w:noWrap w:val="0"/>
                  <w:vAlign w:val="center"/>
                </w:tcPr>
                <w:p>
                  <w:pP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皮肤接触柴油可引起接触性皮炎、油性座疮；吸入可引起吸入性肺炎，能经胎盘进入胎儿血中。柴油废气可引起眼、鼻刺激症状、头昏及头痛。</w:t>
                  </w:r>
                </w:p>
              </w:tc>
            </w:tr>
            <w:tr>
              <w:tblPrEx>
                <w:tblCellMar>
                  <w:top w:w="0" w:type="dxa"/>
                  <w:left w:w="108" w:type="dxa"/>
                  <w:bottom w:w="0" w:type="dxa"/>
                  <w:right w:w="108" w:type="dxa"/>
                </w:tblCellMar>
              </w:tblPrEx>
              <w:trPr>
                <w:cantSplit/>
                <w:trHeight w:val="1681" w:hRule="atLeast"/>
                <w:jc w:val="center"/>
              </w:trPr>
              <w:tc>
                <w:tcPr>
                  <w:tcW w:w="542"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jc w:val="left"/>
                    <w:rPr>
                      <w:rFonts w:hint="default" w:ascii="Times New Roman" w:hAnsi="Times New Roman" w:cs="Times New Roman"/>
                      <w:spacing w:val="10"/>
                      <w:sz w:val="21"/>
                      <w:szCs w:val="21"/>
                    </w:rPr>
                  </w:pPr>
                </w:p>
              </w:tc>
              <w:tc>
                <w:tcPr>
                  <w:tcW w:w="144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急救方法</w:t>
                  </w:r>
                </w:p>
              </w:tc>
              <w:tc>
                <w:tcPr>
                  <w:tcW w:w="5812" w:type="dxa"/>
                  <w:gridSpan w:val="10"/>
                  <w:tcBorders>
                    <w:top w:val="single" w:color="000000" w:sz="6" w:space="0"/>
                    <w:left w:val="single" w:color="000000" w:sz="6" w:space="0"/>
                    <w:bottom w:val="single" w:color="000000" w:sz="6" w:space="0"/>
                    <w:right w:val="single" w:color="000000" w:sz="6" w:space="0"/>
                  </w:tcBorders>
                  <w:noWrap w:val="0"/>
                  <w:vAlign w:val="center"/>
                </w:tcPr>
                <w:p>
                  <w:pP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皮肤接触：脱去被污染的衣着，用肥皂水和清水彻底冲洗皮肤。</w:t>
                  </w:r>
                </w:p>
                <w:p>
                  <w:pP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眼睛接触：提起眼睑，用流动清水或生理盐水彻底冲洗就医。</w:t>
                  </w:r>
                </w:p>
                <w:p>
                  <w:pP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吸入：迅速脱离现场至空气新鲜处。保持呼吸道通畅。如呼吸困难，给输氧。如呼吸停止，立即进行人工呼吸。就医。</w:t>
                  </w:r>
                </w:p>
                <w:p>
                  <w:pP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食入：尽快彻底洗胃。就医。</w:t>
                  </w:r>
                </w:p>
              </w:tc>
            </w:tr>
            <w:tr>
              <w:trPr>
                <w:cantSplit/>
                <w:trHeight w:val="424" w:hRule="atLeast"/>
                <w:jc w:val="center"/>
              </w:trPr>
              <w:tc>
                <w:tcPr>
                  <w:tcW w:w="542" w:type="dxa"/>
                  <w:vMerge w:val="restart"/>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燃烧爆炸危险性</w:t>
                  </w:r>
                </w:p>
              </w:tc>
              <w:tc>
                <w:tcPr>
                  <w:tcW w:w="144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燃烧性</w:t>
                  </w:r>
                </w:p>
              </w:tc>
              <w:tc>
                <w:tcPr>
                  <w:tcW w:w="1546" w:type="dxa"/>
                  <w:gridSpan w:val="2"/>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可燃</w:t>
                  </w:r>
                </w:p>
              </w:tc>
              <w:tc>
                <w:tcPr>
                  <w:tcW w:w="2062" w:type="dxa"/>
                  <w:gridSpan w:val="5"/>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燃烧分解物</w:t>
                  </w:r>
                </w:p>
              </w:tc>
              <w:tc>
                <w:tcPr>
                  <w:tcW w:w="2204" w:type="dxa"/>
                  <w:gridSpan w:val="3"/>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一氧化碳、二氧化碳。</w:t>
                  </w:r>
                </w:p>
              </w:tc>
            </w:tr>
            <w:tr>
              <w:tblPrEx>
                <w:tblCellMar>
                  <w:top w:w="0" w:type="dxa"/>
                  <w:left w:w="108" w:type="dxa"/>
                  <w:bottom w:w="0" w:type="dxa"/>
                  <w:right w:w="108" w:type="dxa"/>
                </w:tblCellMar>
              </w:tblPrEx>
              <w:trPr>
                <w:cantSplit/>
                <w:trHeight w:val="419" w:hRule="atLeast"/>
                <w:jc w:val="center"/>
              </w:trPr>
              <w:tc>
                <w:tcPr>
                  <w:tcW w:w="542"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jc w:val="left"/>
                    <w:rPr>
                      <w:rFonts w:hint="default" w:ascii="Times New Roman" w:hAnsi="Times New Roman" w:cs="Times New Roman"/>
                      <w:spacing w:val="10"/>
                      <w:sz w:val="21"/>
                      <w:szCs w:val="21"/>
                    </w:rPr>
                  </w:pPr>
                </w:p>
              </w:tc>
              <w:tc>
                <w:tcPr>
                  <w:tcW w:w="144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闪点(℃)</w:t>
                  </w:r>
                </w:p>
              </w:tc>
              <w:tc>
                <w:tcPr>
                  <w:tcW w:w="1546" w:type="dxa"/>
                  <w:gridSpan w:val="2"/>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38～55</w:t>
                  </w:r>
                </w:p>
              </w:tc>
              <w:tc>
                <w:tcPr>
                  <w:tcW w:w="2062" w:type="dxa"/>
                  <w:gridSpan w:val="5"/>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爆炸上限（v%）</w:t>
                  </w:r>
                </w:p>
              </w:tc>
              <w:tc>
                <w:tcPr>
                  <w:tcW w:w="2204" w:type="dxa"/>
                  <w:gridSpan w:val="3"/>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6.5</w:t>
                  </w:r>
                </w:p>
              </w:tc>
            </w:tr>
            <w:tr>
              <w:tblPrEx>
                <w:tblCellMar>
                  <w:top w:w="0" w:type="dxa"/>
                  <w:left w:w="108" w:type="dxa"/>
                  <w:bottom w:w="0" w:type="dxa"/>
                  <w:right w:w="108" w:type="dxa"/>
                </w:tblCellMar>
              </w:tblPrEx>
              <w:trPr>
                <w:cantSplit/>
                <w:trHeight w:val="448" w:hRule="atLeast"/>
                <w:jc w:val="center"/>
              </w:trPr>
              <w:tc>
                <w:tcPr>
                  <w:tcW w:w="542"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jc w:val="left"/>
                    <w:rPr>
                      <w:rFonts w:hint="default" w:ascii="Times New Roman" w:hAnsi="Times New Roman" w:cs="Times New Roman"/>
                      <w:spacing w:val="10"/>
                      <w:sz w:val="21"/>
                      <w:szCs w:val="21"/>
                    </w:rPr>
                  </w:pPr>
                </w:p>
              </w:tc>
              <w:tc>
                <w:tcPr>
                  <w:tcW w:w="144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引燃温度(℃)</w:t>
                  </w:r>
                </w:p>
              </w:tc>
              <w:tc>
                <w:tcPr>
                  <w:tcW w:w="1546" w:type="dxa"/>
                  <w:gridSpan w:val="2"/>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350～380</w:t>
                  </w:r>
                </w:p>
              </w:tc>
              <w:tc>
                <w:tcPr>
                  <w:tcW w:w="2062" w:type="dxa"/>
                  <w:gridSpan w:val="5"/>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爆炸下限（v%）</w:t>
                  </w:r>
                </w:p>
              </w:tc>
              <w:tc>
                <w:tcPr>
                  <w:tcW w:w="2204" w:type="dxa"/>
                  <w:gridSpan w:val="3"/>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0.6</w:t>
                  </w:r>
                </w:p>
              </w:tc>
            </w:tr>
            <w:tr>
              <w:tblPrEx>
                <w:tblCellMar>
                  <w:top w:w="0" w:type="dxa"/>
                  <w:left w:w="108" w:type="dxa"/>
                  <w:bottom w:w="0" w:type="dxa"/>
                  <w:right w:w="108" w:type="dxa"/>
                </w:tblCellMar>
              </w:tblPrEx>
              <w:trPr>
                <w:cantSplit/>
                <w:trHeight w:val="720" w:hRule="atLeast"/>
                <w:jc w:val="center"/>
              </w:trPr>
              <w:tc>
                <w:tcPr>
                  <w:tcW w:w="542"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jc w:val="left"/>
                    <w:rPr>
                      <w:rFonts w:hint="default" w:ascii="Times New Roman" w:hAnsi="Times New Roman" w:cs="Times New Roman"/>
                      <w:spacing w:val="10"/>
                      <w:sz w:val="21"/>
                      <w:szCs w:val="21"/>
                    </w:rPr>
                  </w:pPr>
                </w:p>
              </w:tc>
              <w:tc>
                <w:tcPr>
                  <w:tcW w:w="144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危险特性</w:t>
                  </w:r>
                </w:p>
              </w:tc>
              <w:tc>
                <w:tcPr>
                  <w:tcW w:w="5812" w:type="dxa"/>
                  <w:gridSpan w:val="10"/>
                  <w:tcBorders>
                    <w:top w:val="single" w:color="000000" w:sz="6" w:space="0"/>
                    <w:left w:val="single" w:color="000000" w:sz="6" w:space="0"/>
                    <w:bottom w:val="single" w:color="000000" w:sz="6" w:space="0"/>
                    <w:right w:val="single" w:color="000000" w:sz="6" w:space="0"/>
                  </w:tcBorders>
                  <w:noWrap w:val="0"/>
                  <w:vAlign w:val="center"/>
                </w:tcPr>
                <w:p>
                  <w:pP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遇明火、高热或与氧化剂接触有可能引起燃烧爆炸的危险。若遇高热，容器内压增大，有开裂和爆炸的危险。</w:t>
                  </w:r>
                </w:p>
              </w:tc>
            </w:tr>
            <w:tr>
              <w:tblPrEx>
                <w:tblCellMar>
                  <w:top w:w="0" w:type="dxa"/>
                  <w:left w:w="108" w:type="dxa"/>
                  <w:bottom w:w="0" w:type="dxa"/>
                  <w:right w:w="108" w:type="dxa"/>
                </w:tblCellMar>
              </w:tblPrEx>
              <w:trPr>
                <w:cantSplit/>
                <w:trHeight w:val="2671" w:hRule="atLeast"/>
                <w:jc w:val="center"/>
              </w:trPr>
              <w:tc>
                <w:tcPr>
                  <w:tcW w:w="542"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jc w:val="left"/>
                    <w:rPr>
                      <w:rFonts w:hint="default" w:ascii="Times New Roman" w:hAnsi="Times New Roman" w:cs="Times New Roman"/>
                      <w:spacing w:val="10"/>
                      <w:sz w:val="21"/>
                      <w:szCs w:val="21"/>
                    </w:rPr>
                  </w:pPr>
                </w:p>
              </w:tc>
              <w:tc>
                <w:tcPr>
                  <w:tcW w:w="144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储运条件</w:t>
                  </w:r>
                </w:p>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与泄漏处理</w:t>
                  </w:r>
                </w:p>
              </w:tc>
              <w:tc>
                <w:tcPr>
                  <w:tcW w:w="5812" w:type="dxa"/>
                  <w:gridSpan w:val="10"/>
                  <w:tcBorders>
                    <w:top w:val="single" w:color="000000" w:sz="6" w:space="0"/>
                    <w:left w:val="single" w:color="000000" w:sz="6" w:space="0"/>
                    <w:bottom w:val="single" w:color="000000" w:sz="6" w:space="0"/>
                    <w:right w:val="single" w:color="000000" w:sz="6" w:space="0"/>
                  </w:tcBorders>
                  <w:noWrap w:val="0"/>
                  <w:vAlign w:val="center"/>
                </w:tcPr>
                <w:p>
                  <w:pPr>
                    <w:rPr>
                      <w:rFonts w:hint="default" w:ascii="Times New Roman" w:hAnsi="Times New Roman" w:cs="Times New Roman"/>
                      <w:spacing w:val="10"/>
                      <w:sz w:val="21"/>
                      <w:szCs w:val="21"/>
                    </w:rPr>
                  </w:pPr>
                  <w:r>
                    <w:rPr>
                      <w:rFonts w:hint="default" w:ascii="Times New Roman" w:hAnsi="Times New Roman" w:cs="Times New Roman"/>
                      <w:b/>
                      <w:spacing w:val="10"/>
                      <w:sz w:val="21"/>
                      <w:szCs w:val="21"/>
                    </w:rPr>
                    <w:t>储运条件</w:t>
                  </w:r>
                  <w:r>
                    <w:rPr>
                      <w:rFonts w:hint="default" w:ascii="Times New Roman" w:hAnsi="Times New Roman" w:cs="Times New Roman"/>
                      <w:spacing w:val="10"/>
                      <w:sz w:val="21"/>
                      <w:szCs w:val="21"/>
                    </w:rPr>
                    <w:t>：储存于阴凉、通风的库房。远离火种、热源。应与氧化剂、卤素分开存放，切忌混储。公路运输时要按规定路线行驶。</w:t>
                  </w:r>
                  <w:r>
                    <w:rPr>
                      <w:rFonts w:hint="default" w:ascii="Times New Roman" w:hAnsi="Times New Roman" w:cs="Times New Roman"/>
                      <w:b/>
                      <w:spacing w:val="10"/>
                      <w:sz w:val="21"/>
                      <w:szCs w:val="21"/>
                    </w:rPr>
                    <w:t>泄漏处理</w:t>
                  </w:r>
                  <w:r>
                    <w:rPr>
                      <w:rFonts w:hint="default" w:ascii="Times New Roman" w:hAnsi="Times New Roman" w:cs="Times New Roman"/>
                      <w:spacing w:val="10"/>
                      <w:sz w:val="21"/>
                      <w:szCs w:val="21"/>
                    </w:rPr>
                    <w:t>：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构筑围堤或挖坑收容。用泵转移至槽车或专用收集器内，回收或运至废物处理场所处置。</w:t>
                  </w:r>
                </w:p>
              </w:tc>
            </w:tr>
            <w:tr>
              <w:tblPrEx>
                <w:tblCellMar>
                  <w:top w:w="0" w:type="dxa"/>
                  <w:left w:w="108" w:type="dxa"/>
                  <w:bottom w:w="0" w:type="dxa"/>
                  <w:right w:w="108" w:type="dxa"/>
                </w:tblCellMar>
              </w:tblPrEx>
              <w:trPr>
                <w:cantSplit/>
                <w:trHeight w:val="448" w:hRule="atLeast"/>
                <w:jc w:val="center"/>
              </w:trPr>
              <w:tc>
                <w:tcPr>
                  <w:tcW w:w="542"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jc w:val="left"/>
                    <w:rPr>
                      <w:rFonts w:hint="default" w:ascii="Times New Roman" w:hAnsi="Times New Roman" w:cs="Times New Roman"/>
                      <w:spacing w:val="10"/>
                      <w:sz w:val="21"/>
                      <w:szCs w:val="21"/>
                    </w:rPr>
                  </w:pPr>
                </w:p>
              </w:tc>
              <w:tc>
                <w:tcPr>
                  <w:tcW w:w="144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建规火险分级</w:t>
                  </w:r>
                </w:p>
              </w:tc>
              <w:tc>
                <w:tcPr>
                  <w:tcW w:w="1207"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乙</w:t>
                  </w:r>
                </w:p>
              </w:tc>
              <w:tc>
                <w:tcPr>
                  <w:tcW w:w="1119" w:type="dxa"/>
                  <w:gridSpan w:val="3"/>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稳定性</w:t>
                  </w:r>
                </w:p>
              </w:tc>
              <w:tc>
                <w:tcPr>
                  <w:tcW w:w="852" w:type="dxa"/>
                  <w:gridSpan w:val="2"/>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稳定</w:t>
                  </w:r>
                </w:p>
              </w:tc>
              <w:tc>
                <w:tcPr>
                  <w:tcW w:w="1341" w:type="dxa"/>
                  <w:gridSpan w:val="3"/>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聚合危害</w:t>
                  </w:r>
                </w:p>
              </w:tc>
              <w:tc>
                <w:tcPr>
                  <w:tcW w:w="129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不出现</w:t>
                  </w:r>
                </w:p>
              </w:tc>
            </w:tr>
            <w:tr>
              <w:trPr>
                <w:cantSplit/>
                <w:trHeight w:val="416" w:hRule="atLeast"/>
                <w:jc w:val="center"/>
              </w:trPr>
              <w:tc>
                <w:tcPr>
                  <w:tcW w:w="542"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jc w:val="left"/>
                    <w:rPr>
                      <w:rFonts w:hint="default" w:ascii="Times New Roman" w:hAnsi="Times New Roman" w:cs="Times New Roman"/>
                      <w:spacing w:val="10"/>
                      <w:sz w:val="21"/>
                      <w:szCs w:val="21"/>
                    </w:rPr>
                  </w:pPr>
                </w:p>
              </w:tc>
              <w:tc>
                <w:tcPr>
                  <w:tcW w:w="144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禁忌物</w:t>
                  </w:r>
                </w:p>
              </w:tc>
              <w:tc>
                <w:tcPr>
                  <w:tcW w:w="5812" w:type="dxa"/>
                  <w:gridSpan w:val="10"/>
                  <w:tcBorders>
                    <w:top w:val="single" w:color="000000" w:sz="6" w:space="0"/>
                    <w:left w:val="single" w:color="000000" w:sz="6" w:space="0"/>
                    <w:bottom w:val="single" w:color="000000" w:sz="6" w:space="0"/>
                    <w:right w:val="single" w:color="000000" w:sz="6" w:space="0"/>
                  </w:tcBorders>
                  <w:noWrap w:val="0"/>
                  <w:vAlign w:val="center"/>
                </w:tcPr>
                <w:p>
                  <w:pP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强氧化剂、卤素。</w:t>
                  </w:r>
                </w:p>
              </w:tc>
            </w:tr>
            <w:tr>
              <w:tblPrEx>
                <w:tblCellMar>
                  <w:top w:w="0" w:type="dxa"/>
                  <w:left w:w="108" w:type="dxa"/>
                  <w:bottom w:w="0" w:type="dxa"/>
                  <w:right w:w="108" w:type="dxa"/>
                </w:tblCellMar>
              </w:tblPrEx>
              <w:trPr>
                <w:cantSplit/>
                <w:trHeight w:val="563" w:hRule="atLeast"/>
                <w:jc w:val="center"/>
              </w:trPr>
              <w:tc>
                <w:tcPr>
                  <w:tcW w:w="542" w:type="dxa"/>
                  <w:vMerge w:val="continue"/>
                  <w:tcBorders>
                    <w:top w:val="single" w:color="000000" w:sz="6" w:space="0"/>
                    <w:left w:val="single" w:color="000000" w:sz="6" w:space="0"/>
                    <w:bottom w:val="single" w:color="000000" w:sz="6" w:space="0"/>
                    <w:right w:val="single" w:color="000000" w:sz="6" w:space="0"/>
                  </w:tcBorders>
                  <w:noWrap w:val="0"/>
                  <w:vAlign w:val="center"/>
                </w:tcPr>
                <w:p>
                  <w:pPr>
                    <w:widowControl/>
                    <w:jc w:val="left"/>
                    <w:rPr>
                      <w:rFonts w:hint="default" w:ascii="Times New Roman" w:hAnsi="Times New Roman" w:cs="Times New Roman"/>
                      <w:spacing w:val="10"/>
                      <w:sz w:val="21"/>
                      <w:szCs w:val="21"/>
                    </w:rPr>
                  </w:pPr>
                </w:p>
              </w:tc>
              <w:tc>
                <w:tcPr>
                  <w:tcW w:w="1443" w:type="dxa"/>
                  <w:tcBorders>
                    <w:top w:val="single" w:color="000000" w:sz="6" w:space="0"/>
                    <w:left w:val="single" w:color="000000" w:sz="6" w:space="0"/>
                    <w:bottom w:val="single" w:color="000000" w:sz="6" w:space="0"/>
                    <w:right w:val="single" w:color="000000" w:sz="6" w:space="0"/>
                  </w:tcBorders>
                  <w:noWrap w:val="0"/>
                  <w:vAlign w:val="center"/>
                </w:tcPr>
                <w:p>
                  <w:pPr>
                    <w:jc w:val="cente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灭火方法</w:t>
                  </w:r>
                </w:p>
              </w:tc>
              <w:tc>
                <w:tcPr>
                  <w:tcW w:w="5812" w:type="dxa"/>
                  <w:gridSpan w:val="10"/>
                  <w:tcBorders>
                    <w:top w:val="single" w:color="000000" w:sz="6" w:space="0"/>
                    <w:left w:val="single" w:color="000000" w:sz="6" w:space="0"/>
                    <w:bottom w:val="single" w:color="000000" w:sz="6" w:space="0"/>
                    <w:right w:val="single" w:color="000000" w:sz="6" w:space="0"/>
                  </w:tcBorders>
                  <w:noWrap w:val="0"/>
                  <w:vAlign w:val="center"/>
                </w:tcPr>
                <w:p>
                  <w:pPr>
                    <w:rPr>
                      <w:rFonts w:hint="default" w:ascii="Times New Roman" w:hAnsi="Times New Roman" w:cs="Times New Roman"/>
                      <w:spacing w:val="10"/>
                      <w:sz w:val="21"/>
                      <w:szCs w:val="21"/>
                    </w:rPr>
                  </w:pPr>
                  <w:r>
                    <w:rPr>
                      <w:rFonts w:hint="default" w:ascii="Times New Roman" w:hAnsi="Times New Roman" w:cs="Times New Roman"/>
                      <w:spacing w:val="10"/>
                      <w:sz w:val="21"/>
                      <w:szCs w:val="21"/>
                    </w:rPr>
                    <w:t>用泡沫、二氧化碳、干粉灭火，用水灭火无效。</w:t>
                  </w:r>
                </w:p>
              </w:tc>
            </w:tr>
          </w:tbl>
          <w:p>
            <w:pPr>
              <w:pStyle w:val="15"/>
              <w:keepNext w:val="0"/>
              <w:keepLines w:val="0"/>
              <w:pageBreakBefore w:val="0"/>
              <w:kinsoku/>
              <w:wordWrap/>
              <w:overflowPunct/>
              <w:topLinePunct w:val="0"/>
              <w:autoSpaceDE w:val="0"/>
              <w:autoSpaceDN w:val="0"/>
              <w:bidi w:val="0"/>
              <w:adjustRightInd/>
              <w:snapToGrid/>
              <w:spacing w:line="360" w:lineRule="auto"/>
              <w:ind w:firstLine="400" w:firstLineChars="200"/>
              <w:textAlignment w:val="auto"/>
              <w:rPr>
                <w:rFonts w:ascii="黑体"/>
                <w:sz w:val="20"/>
              </w:rPr>
            </w:pPr>
          </w:p>
          <w:p>
            <w:pPr>
              <w:pStyle w:val="15"/>
              <w:jc w:val="center"/>
              <w:rPr>
                <w:rFonts w:hint="eastAsia" w:ascii="Times New Roman" w:hAnsi="Times New Roman" w:eastAsia="宋体" w:cs="Times New Roman"/>
                <w:b/>
                <w:bCs/>
                <w:color w:val="auto"/>
                <w:sz w:val="21"/>
                <w:szCs w:val="21"/>
                <w:highlight w:val="none"/>
                <w:lang w:val="zh-CN" w:eastAsia="zh-CN" w:bidi="zh-CN"/>
              </w:rPr>
            </w:pPr>
            <w:r>
              <w:rPr>
                <w:rFonts w:hint="eastAsia" w:ascii="Times New Roman" w:hAnsi="Times New Roman" w:eastAsia="宋体" w:cs="Times New Roman"/>
                <w:b/>
                <w:bCs/>
                <w:color w:val="auto"/>
                <w:sz w:val="21"/>
                <w:szCs w:val="21"/>
                <w:highlight w:val="none"/>
                <w:lang w:val="zh-CN" w:eastAsia="zh-CN" w:bidi="zh-CN"/>
              </w:rPr>
              <w:t>表</w:t>
            </w:r>
            <w:r>
              <w:rPr>
                <w:rFonts w:hint="eastAsia" w:ascii="Times New Roman" w:hAnsi="Times New Roman" w:eastAsia="宋体" w:cs="Times New Roman"/>
                <w:b/>
                <w:bCs/>
                <w:color w:val="auto"/>
                <w:sz w:val="21"/>
                <w:szCs w:val="21"/>
                <w:highlight w:val="none"/>
                <w:lang w:val="en-US" w:eastAsia="zh-CN" w:bidi="zh-CN"/>
              </w:rPr>
              <w:t>4-21</w:t>
            </w:r>
            <w:r>
              <w:rPr>
                <w:rFonts w:hint="eastAsia" w:ascii="Times New Roman" w:hAnsi="Times New Roman" w:eastAsia="宋体" w:cs="Times New Roman"/>
                <w:b/>
                <w:bCs/>
                <w:color w:val="auto"/>
                <w:sz w:val="21"/>
                <w:szCs w:val="21"/>
                <w:highlight w:val="none"/>
                <w:lang w:val="zh-CN" w:eastAsia="zh-CN" w:bidi="zh-CN"/>
              </w:rPr>
              <w:t xml:space="preserve">  沥青的理化性质及危险特性</w:t>
            </w:r>
          </w:p>
          <w:tbl>
            <w:tblPr>
              <w:tblStyle w:val="11"/>
              <w:tblW w:w="0" w:type="auto"/>
              <w:jc w:val="center"/>
              <w:tblLayout w:type="fixed"/>
              <w:tblCellMar>
                <w:top w:w="0" w:type="dxa"/>
                <w:left w:w="15" w:type="dxa"/>
                <w:bottom w:w="0" w:type="dxa"/>
                <w:right w:w="15" w:type="dxa"/>
              </w:tblCellMar>
            </w:tblPr>
            <w:tblGrid>
              <w:gridCol w:w="734"/>
              <w:gridCol w:w="1477"/>
              <w:gridCol w:w="922"/>
              <w:gridCol w:w="921"/>
              <w:gridCol w:w="27"/>
              <w:gridCol w:w="1377"/>
              <w:gridCol w:w="2120"/>
            </w:tblGrid>
            <w:tr>
              <w:tblPrEx>
                <w:tblCellMar>
                  <w:top w:w="0" w:type="dxa"/>
                  <w:left w:w="15" w:type="dxa"/>
                  <w:bottom w:w="0" w:type="dxa"/>
                  <w:right w:w="15" w:type="dxa"/>
                </w:tblCellMar>
              </w:tblPrEx>
              <w:trPr>
                <w:trHeight w:val="316" w:hRule="atLeast"/>
                <w:jc w:val="center"/>
              </w:trPr>
              <w:tc>
                <w:tcPr>
                  <w:tcW w:w="734"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标识</w:t>
                  </w:r>
                </w:p>
              </w:tc>
              <w:tc>
                <w:tcPr>
                  <w:tcW w:w="2399"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中文名：石油沥青</w:t>
                  </w:r>
                </w:p>
              </w:tc>
              <w:tc>
                <w:tcPr>
                  <w:tcW w:w="2325"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英文名：bitumen</w:t>
                  </w:r>
                </w:p>
              </w:tc>
              <w:tc>
                <w:tcPr>
                  <w:tcW w:w="21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分子式：</w:t>
                  </w:r>
                </w:p>
              </w:tc>
            </w:tr>
            <w:tr>
              <w:trPr>
                <w:trHeight w:val="316"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2399"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CAS：</w:t>
                  </w:r>
                </w:p>
              </w:tc>
              <w:tc>
                <w:tcPr>
                  <w:tcW w:w="2325"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RTECS号：</w:t>
                  </w:r>
                </w:p>
              </w:tc>
              <w:tc>
                <w:tcPr>
                  <w:tcW w:w="21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分子量：</w:t>
                  </w:r>
                </w:p>
              </w:tc>
            </w:tr>
            <w:tr>
              <w:trPr>
                <w:trHeight w:val="603"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147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危险货物编号：</w:t>
                  </w:r>
                </w:p>
              </w:tc>
              <w:tc>
                <w:tcPr>
                  <w:tcW w:w="922"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p>
              </w:tc>
              <w:tc>
                <w:tcPr>
                  <w:tcW w:w="948"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IMDG规则页码</w:t>
                  </w:r>
                </w:p>
              </w:tc>
              <w:tc>
                <w:tcPr>
                  <w:tcW w:w="1377"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p>
              </w:tc>
              <w:tc>
                <w:tcPr>
                  <w:tcW w:w="2120"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UN编号：1999</w:t>
                  </w:r>
                </w:p>
              </w:tc>
            </w:tr>
            <w:tr>
              <w:trPr>
                <w:trHeight w:val="316" w:hRule="atLeast"/>
                <w:jc w:val="center"/>
              </w:trPr>
              <w:tc>
                <w:tcPr>
                  <w:tcW w:w="734"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理化性质</w:t>
                  </w:r>
                </w:p>
              </w:tc>
              <w:tc>
                <w:tcPr>
                  <w:tcW w:w="6844" w:type="dxa"/>
                  <w:gridSpan w:val="6"/>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性状：黑色液体，半固体或固体。</w:t>
                  </w:r>
                </w:p>
              </w:tc>
            </w:tr>
            <w:tr>
              <w:tblPrEx>
                <w:tblCellMar>
                  <w:top w:w="0" w:type="dxa"/>
                  <w:left w:w="15" w:type="dxa"/>
                  <w:bottom w:w="0" w:type="dxa"/>
                  <w:right w:w="15" w:type="dxa"/>
                </w:tblCellMar>
              </w:tblPrEx>
              <w:trPr>
                <w:trHeight w:val="999"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3320"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溶解性：</w:t>
                  </w:r>
                </w:p>
                <w:p>
                  <w:pPr>
                    <w:jc w:val="center"/>
                    <w:rPr>
                      <w:rFonts w:hint="default" w:ascii="Times New Roman" w:hAnsi="Times New Roman" w:cs="Times New Roman"/>
                      <w:sz w:val="21"/>
                      <w:szCs w:val="21"/>
                    </w:rPr>
                  </w:pPr>
                  <w:r>
                    <w:rPr>
                      <w:rFonts w:hint="default" w:ascii="Times New Roman" w:hAnsi="Times New Roman" w:cs="Times New Roman"/>
                      <w:sz w:val="21"/>
                      <w:szCs w:val="21"/>
                    </w:rPr>
                    <w:t>与水混溶，可混溶与醚、氯仿等多数有机溶剂</w:t>
                  </w:r>
                </w:p>
              </w:tc>
              <w:tc>
                <w:tcPr>
                  <w:tcW w:w="352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相对密度（水=1）：1.15-1.25</w:t>
                  </w:r>
                </w:p>
              </w:tc>
            </w:tr>
            <w:tr>
              <w:tblPrEx>
                <w:tblCellMar>
                  <w:top w:w="0" w:type="dxa"/>
                  <w:left w:w="15" w:type="dxa"/>
                  <w:bottom w:w="0" w:type="dxa"/>
                  <w:right w:w="15" w:type="dxa"/>
                </w:tblCellMar>
              </w:tblPrEx>
              <w:trPr>
                <w:trHeight w:val="316"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3320"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闪点（°C)：204.4</w:t>
                  </w:r>
                </w:p>
              </w:tc>
              <w:tc>
                <w:tcPr>
                  <w:tcW w:w="352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沸点（°C）:&lt;470</w:t>
                  </w:r>
                </w:p>
              </w:tc>
            </w:tr>
            <w:tr>
              <w:trPr>
                <w:trHeight w:val="316"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3320"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最小点火能（MJ):20</w:t>
                  </w:r>
                </w:p>
              </w:tc>
              <w:tc>
                <w:tcPr>
                  <w:tcW w:w="352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最小引燃温度（°C):485</w:t>
                  </w:r>
                </w:p>
              </w:tc>
            </w:tr>
            <w:tr>
              <w:trPr>
                <w:trHeight w:val="612" w:hRule="atLeast"/>
                <w:jc w:val="center"/>
              </w:trPr>
              <w:tc>
                <w:tcPr>
                  <w:tcW w:w="734"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燃烧爆       炸危险性</w:t>
                  </w:r>
                </w:p>
              </w:tc>
              <w:tc>
                <w:tcPr>
                  <w:tcW w:w="3320"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危险特性:遇明火、高热可燃、燃烧时放出有毒的刺激性烟雾。</w:t>
                  </w:r>
                </w:p>
              </w:tc>
              <w:tc>
                <w:tcPr>
                  <w:tcW w:w="352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p>
              </w:tc>
            </w:tr>
            <w:tr>
              <w:tblPrEx>
                <w:tblCellMar>
                  <w:top w:w="0" w:type="dxa"/>
                  <w:left w:w="15" w:type="dxa"/>
                  <w:bottom w:w="0" w:type="dxa"/>
                  <w:right w:w="15" w:type="dxa"/>
                </w:tblCellMar>
              </w:tblPrEx>
              <w:trPr>
                <w:trHeight w:val="356"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3320" w:type="dxa"/>
                  <w:gridSpan w:val="3"/>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燃烧分解产物：CO、二氧化碳、成分未知的黑色烟雾。</w:t>
                  </w:r>
                </w:p>
              </w:tc>
              <w:tc>
                <w:tcPr>
                  <w:tcW w:w="352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稳定性：稳定</w:t>
                  </w:r>
                </w:p>
              </w:tc>
            </w:tr>
            <w:tr>
              <w:trPr>
                <w:trHeight w:val="356"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3320" w:type="dxa"/>
                  <w:gridSpan w:val="3"/>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352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聚合危害：不聚合</w:t>
                  </w:r>
                </w:p>
              </w:tc>
            </w:tr>
            <w:tr>
              <w:tblPrEx>
                <w:tblCellMar>
                  <w:top w:w="0" w:type="dxa"/>
                  <w:left w:w="15" w:type="dxa"/>
                  <w:bottom w:w="0" w:type="dxa"/>
                  <w:right w:w="15" w:type="dxa"/>
                </w:tblCellMar>
              </w:tblPrEx>
              <w:trPr>
                <w:trHeight w:val="316"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6844" w:type="dxa"/>
                  <w:gridSpan w:val="6"/>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禁忌物：强氧化剂</w:t>
                  </w:r>
                </w:p>
              </w:tc>
            </w:tr>
            <w:tr>
              <w:tblPrEx>
                <w:tblCellMar>
                  <w:top w:w="0" w:type="dxa"/>
                  <w:left w:w="15" w:type="dxa"/>
                  <w:bottom w:w="0" w:type="dxa"/>
                  <w:right w:w="15" w:type="dxa"/>
                </w:tblCellMar>
              </w:tblPrEx>
              <w:trPr>
                <w:trHeight w:val="321"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6844" w:type="dxa"/>
                  <w:gridSpan w:val="6"/>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灭火方法：消防人员必须佩戴过滤式防毒面具(全面罩)或隔离式呼吸器、穿全身防火防毒服，在上风向灭火。尽可能将容器从火场移至空旷处。喷水保持火场容器冷却，直至灭火结束。处在火场中的容器若已变色或从安全泄压装置中产生声音，必须马上撤离。</w:t>
                  </w:r>
                </w:p>
              </w:tc>
            </w:tr>
            <w:tr>
              <w:tblPrEx>
                <w:tblCellMar>
                  <w:top w:w="0" w:type="dxa"/>
                  <w:left w:w="15" w:type="dxa"/>
                  <w:bottom w:w="0" w:type="dxa"/>
                  <w:right w:w="15" w:type="dxa"/>
                </w:tblCellMar>
              </w:tblPrEx>
              <w:trPr>
                <w:trHeight w:val="321"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6844" w:type="dxa"/>
                  <w:gridSpan w:val="6"/>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r>
            <w:tr>
              <w:trPr>
                <w:trHeight w:val="321"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6844" w:type="dxa"/>
                  <w:gridSpan w:val="6"/>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r>
            <w:tr>
              <w:tblPrEx>
                <w:tblCellMar>
                  <w:top w:w="0" w:type="dxa"/>
                  <w:left w:w="15" w:type="dxa"/>
                  <w:bottom w:w="0" w:type="dxa"/>
                  <w:right w:w="15" w:type="dxa"/>
                </w:tblCellMar>
              </w:tblPrEx>
              <w:trPr>
                <w:trHeight w:val="344"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6844" w:type="dxa"/>
                  <w:gridSpan w:val="6"/>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r>
            <w:tr>
              <w:trPr>
                <w:trHeight w:val="316"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6844" w:type="dxa"/>
                  <w:gridSpan w:val="6"/>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灭火剂：雾状水、泡沫、干粉、二氧化碳、砂土。</w:t>
                  </w:r>
                </w:p>
              </w:tc>
            </w:tr>
            <w:tr>
              <w:tblPrEx>
                <w:tblCellMar>
                  <w:top w:w="0" w:type="dxa"/>
                  <w:left w:w="15" w:type="dxa"/>
                  <w:bottom w:w="0" w:type="dxa"/>
                  <w:right w:w="15" w:type="dxa"/>
                </w:tblCellMar>
              </w:tblPrEx>
              <w:trPr>
                <w:trHeight w:val="316" w:hRule="atLeast"/>
                <w:jc w:val="center"/>
              </w:trPr>
              <w:tc>
                <w:tcPr>
                  <w:tcW w:w="734"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健康危害</w:t>
                  </w:r>
                </w:p>
              </w:tc>
              <w:tc>
                <w:tcPr>
                  <w:tcW w:w="6844" w:type="dxa"/>
                  <w:gridSpan w:val="6"/>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急性毒性：LD</w:t>
                  </w:r>
                  <w:r>
                    <w:rPr>
                      <w:rFonts w:hint="default" w:ascii="Times New Roman" w:hAnsi="Times New Roman" w:cs="Times New Roman"/>
                      <w:sz w:val="21"/>
                      <w:szCs w:val="21"/>
                      <w:vertAlign w:val="subscript"/>
                    </w:rPr>
                    <w:t>50</w:t>
                  </w:r>
                </w:p>
              </w:tc>
            </w:tr>
            <w:tr>
              <w:tblPrEx>
                <w:tblCellMar>
                  <w:top w:w="0" w:type="dxa"/>
                  <w:left w:w="15" w:type="dxa"/>
                  <w:bottom w:w="0" w:type="dxa"/>
                  <w:right w:w="15" w:type="dxa"/>
                </w:tblCellMar>
              </w:tblPrEx>
              <w:trPr>
                <w:trHeight w:val="316"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6844" w:type="dxa"/>
                  <w:gridSpan w:val="6"/>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LC</w:t>
                  </w:r>
                  <w:r>
                    <w:rPr>
                      <w:rFonts w:hint="default" w:ascii="Times New Roman" w:hAnsi="Times New Roman" w:cs="Times New Roman"/>
                      <w:sz w:val="21"/>
                      <w:szCs w:val="21"/>
                      <w:vertAlign w:val="subscript"/>
                    </w:rPr>
                    <w:t>50</w:t>
                  </w:r>
                </w:p>
              </w:tc>
            </w:tr>
            <w:tr>
              <w:tblPrEx>
                <w:tblCellMar>
                  <w:top w:w="0" w:type="dxa"/>
                  <w:left w:w="15" w:type="dxa"/>
                  <w:bottom w:w="0" w:type="dxa"/>
                  <w:right w:w="15" w:type="dxa"/>
                </w:tblCellMar>
              </w:tblPrEx>
              <w:trPr>
                <w:trHeight w:val="316"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6844" w:type="dxa"/>
                  <w:gridSpan w:val="6"/>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侵入途径：吸入、食入、经皮吸收</w:t>
                  </w:r>
                </w:p>
              </w:tc>
            </w:tr>
            <w:tr>
              <w:trPr>
                <w:trHeight w:val="1905"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6844" w:type="dxa"/>
                  <w:gridSpan w:val="6"/>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健康危害：沥青及其烟气对皮肤粘膜具有刺激性，有光毒作用和致肿瘤作用。我国三种主要沥青的毒性：煤焦沥青＞页岩沥青＞石油沥青，前二者有致癌性。沥青的主要皮肤损害有：光毒性皮炎，皮损限于面、颈部等暴露部分；黑变病，皮损常对称分布于暴露部位，呈片状，呈褐－深褐－褐黑色；职业性痤疮；疣状赘生物及事故引起的热烧伤。此外，尚有头昏、头胀，头痛、胸闷、乏力、恶心、食欲不振等全身症状和眼、鼻、咽部的刺激症状。</w:t>
                  </w:r>
                </w:p>
              </w:tc>
            </w:tr>
            <w:tr>
              <w:tblPrEx>
                <w:tblCellMar>
                  <w:top w:w="0" w:type="dxa"/>
                  <w:left w:w="15" w:type="dxa"/>
                  <w:bottom w:w="0" w:type="dxa"/>
                  <w:right w:w="15" w:type="dxa"/>
                </w:tblCellMar>
              </w:tblPrEx>
              <w:trPr>
                <w:trHeight w:val="321" w:hRule="atLeast"/>
                <w:jc w:val="center"/>
              </w:trPr>
              <w:tc>
                <w:tcPr>
                  <w:tcW w:w="734"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储存</w:t>
                  </w:r>
                </w:p>
              </w:tc>
              <w:tc>
                <w:tcPr>
                  <w:tcW w:w="6844" w:type="dxa"/>
                  <w:gridSpan w:val="6"/>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储存注意事项：储存于阴凉、通风的库房。远离火种、热源。应与氧化剂分开存放，切忌混储。配备相应品种和数量的消防器材。储区应备有泄漏应急处理设备和合适的收容材料。</w:t>
                  </w:r>
                </w:p>
              </w:tc>
            </w:tr>
            <w:tr>
              <w:trPr>
                <w:trHeight w:val="321"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6844" w:type="dxa"/>
                  <w:gridSpan w:val="6"/>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r>
            <w:tr>
              <w:trPr>
                <w:trHeight w:val="321"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6844" w:type="dxa"/>
                  <w:gridSpan w:val="6"/>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r>
            <w:tr>
              <w:tblPrEx>
                <w:tblCellMar>
                  <w:top w:w="0" w:type="dxa"/>
                  <w:left w:w="15" w:type="dxa"/>
                  <w:bottom w:w="0" w:type="dxa"/>
                  <w:right w:w="15" w:type="dxa"/>
                </w:tblCellMar>
              </w:tblPrEx>
              <w:trPr>
                <w:trHeight w:val="321" w:hRule="atLeast"/>
                <w:jc w:val="center"/>
              </w:trPr>
              <w:tc>
                <w:tcPr>
                  <w:tcW w:w="734" w:type="dxa"/>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急救         措施</w:t>
                  </w:r>
                </w:p>
              </w:tc>
              <w:tc>
                <w:tcPr>
                  <w:tcW w:w="6844" w:type="dxa"/>
                  <w:gridSpan w:val="6"/>
                  <w:vMerge w:val="restart"/>
                  <w:tcBorders>
                    <w:top w:val="single" w:color="000000" w:sz="4" w:space="0"/>
                    <w:left w:val="single" w:color="000000" w:sz="4" w:space="0"/>
                    <w:bottom w:val="single" w:color="000000" w:sz="4" w:space="0"/>
                    <w:right w:val="single" w:color="000000" w:sz="4" w:space="0"/>
                  </w:tcBorders>
                  <w:noWrap w:val="0"/>
                  <w:vAlign w:val="center"/>
                </w:tcPr>
                <w:p>
                  <w:pPr>
                    <w:rPr>
                      <w:rFonts w:hint="default" w:ascii="Times New Roman" w:hAnsi="Times New Roman" w:cs="Times New Roman"/>
                      <w:sz w:val="21"/>
                      <w:szCs w:val="21"/>
                    </w:rPr>
                  </w:pPr>
                  <w:r>
                    <w:rPr>
                      <w:rFonts w:hint="default" w:ascii="Times New Roman" w:hAnsi="Times New Roman" w:cs="Times New Roman"/>
                      <w:sz w:val="21"/>
                      <w:szCs w:val="21"/>
                    </w:rPr>
                    <w:t>皮肤接触：立即脱去污染的衣着，用肥皂水和清水彻底冲洗皮肤。就医。</w:t>
                  </w:r>
                </w:p>
              </w:tc>
            </w:tr>
            <w:tr>
              <w:trPr>
                <w:trHeight w:val="321"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6844" w:type="dxa"/>
                  <w:gridSpan w:val="6"/>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r>
            <w:tr>
              <w:tblPrEx>
                <w:tblCellMar>
                  <w:top w:w="0" w:type="dxa"/>
                  <w:left w:w="15" w:type="dxa"/>
                  <w:bottom w:w="0" w:type="dxa"/>
                  <w:right w:w="15" w:type="dxa"/>
                </w:tblCellMar>
              </w:tblPrEx>
              <w:trPr>
                <w:trHeight w:val="321"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6844" w:type="dxa"/>
                  <w:gridSpan w:val="6"/>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眼睛接触：立即提起眼睑，用大量流动清水或生理盐水彻底冲洗至少15分钟。就医。</w:t>
                  </w:r>
                </w:p>
              </w:tc>
            </w:tr>
            <w:tr>
              <w:tblPrEx>
                <w:tblCellMar>
                  <w:top w:w="0" w:type="dxa"/>
                  <w:left w:w="15" w:type="dxa"/>
                  <w:bottom w:w="0" w:type="dxa"/>
                  <w:right w:w="15" w:type="dxa"/>
                </w:tblCellMar>
              </w:tblPrEx>
              <w:trPr>
                <w:trHeight w:val="330"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6844" w:type="dxa"/>
                  <w:gridSpan w:val="6"/>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r>
            <w:tr>
              <w:trPr>
                <w:trHeight w:val="321"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6844" w:type="dxa"/>
                  <w:gridSpan w:val="6"/>
                  <w:vMerge w:val="restar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吸入：迅速脱离现场至空气新鲜处。保持呼吸道通畅。如呼吸困难，给输氧。如呼吸停止，立即进行人工呼吸。就医。</w:t>
                  </w:r>
                </w:p>
              </w:tc>
            </w:tr>
            <w:tr>
              <w:tblPrEx>
                <w:tblCellMar>
                  <w:top w:w="0" w:type="dxa"/>
                  <w:left w:w="15" w:type="dxa"/>
                  <w:bottom w:w="0" w:type="dxa"/>
                  <w:right w:w="15" w:type="dxa"/>
                </w:tblCellMar>
              </w:tblPrEx>
              <w:trPr>
                <w:trHeight w:val="330"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6844" w:type="dxa"/>
                  <w:gridSpan w:val="6"/>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r>
            <w:tr>
              <w:tblPrEx>
                <w:tblCellMar>
                  <w:top w:w="0" w:type="dxa"/>
                  <w:left w:w="15" w:type="dxa"/>
                  <w:bottom w:w="0" w:type="dxa"/>
                  <w:right w:w="15" w:type="dxa"/>
                </w:tblCellMar>
              </w:tblPrEx>
              <w:trPr>
                <w:trHeight w:val="316" w:hRule="atLeast"/>
                <w:jc w:val="center"/>
              </w:trPr>
              <w:tc>
                <w:tcPr>
                  <w:tcW w:w="734" w:type="dxa"/>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default" w:ascii="Times New Roman" w:hAnsi="Times New Roman" w:cs="Times New Roman"/>
                      <w:sz w:val="21"/>
                      <w:szCs w:val="21"/>
                    </w:rPr>
                  </w:pPr>
                </w:p>
              </w:tc>
              <w:tc>
                <w:tcPr>
                  <w:tcW w:w="6844" w:type="dxa"/>
                  <w:gridSpan w:val="6"/>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食入：饮足量温水，催吐。洗胃，导泄。就医。</w:t>
                  </w:r>
                </w:p>
              </w:tc>
            </w:tr>
            <w:tr>
              <w:tblPrEx>
                <w:tblCellMar>
                  <w:top w:w="0" w:type="dxa"/>
                  <w:left w:w="15" w:type="dxa"/>
                  <w:bottom w:w="0" w:type="dxa"/>
                  <w:right w:w="15" w:type="dxa"/>
                </w:tblCellMar>
              </w:tblPrEx>
              <w:trPr>
                <w:trHeight w:val="1915" w:hRule="atLeast"/>
                <w:jc w:val="center"/>
              </w:trPr>
              <w:tc>
                <w:tcPr>
                  <w:tcW w:w="7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泄漏处理</w:t>
                  </w:r>
                </w:p>
              </w:tc>
              <w:tc>
                <w:tcPr>
                  <w:tcW w:w="6844" w:type="dxa"/>
                  <w:gridSpan w:val="6"/>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迅速撤离泄漏污染区人员至安全区，并进行隔离，严格限制出入。切断火源。建议应急处理人员戴自给正压式呼吸器，穿防毒服。尽可能切断泄漏源。若是液体，防止流入下水道、排洪沟等限制性空间。小量泄漏：用大量水冲洗，洗水稀释后放入废水系统。大量泄漏：构筑围堤或挖坑收容。用泵转移至槽车或专用收集器内，回收或运至废物处理场所处置。若是固体，用洁净的铲子收集于干燥、洁净、有盖的容器中。若大量泄漏，收集回收或运至废物处理场所处置。</w:t>
                  </w:r>
                </w:p>
              </w:tc>
            </w:tr>
          </w:tbl>
          <w:p>
            <w:pPr>
              <w:spacing w:line="360" w:lineRule="auto"/>
              <w:ind w:firstLine="480"/>
              <w:rPr>
                <w:rFonts w:hint="eastAsia" w:hAnsi="宋体"/>
                <w:b/>
                <w:sz w:val="24"/>
              </w:rPr>
            </w:pPr>
            <w:r>
              <w:rPr>
                <w:rFonts w:hint="eastAsia" w:hAnsi="宋体"/>
                <w:b/>
                <w:sz w:val="24"/>
              </w:rPr>
              <w:t>（</w:t>
            </w:r>
            <w:r>
              <w:rPr>
                <w:rFonts w:hAnsi="宋体"/>
                <w:b/>
                <w:sz w:val="24"/>
              </w:rPr>
              <w:t>3</w:t>
            </w:r>
            <w:r>
              <w:rPr>
                <w:rFonts w:hint="eastAsia" w:hAnsi="宋体"/>
                <w:b/>
                <w:sz w:val="24"/>
              </w:rPr>
              <w:t>）环境敏感目标</w:t>
            </w:r>
            <w:r>
              <w:rPr>
                <w:rFonts w:hAnsi="宋体"/>
                <w:b/>
                <w:sz w:val="24"/>
              </w:rPr>
              <w:t>调查</w:t>
            </w:r>
          </w:p>
          <w:p>
            <w:pPr>
              <w:pStyle w:val="17"/>
              <w:ind w:firstLine="480"/>
            </w:pPr>
            <w:r>
              <w:rPr>
                <w:rFonts w:hint="eastAsia"/>
              </w:rPr>
              <w:t>本项目主要环境风险为沥青</w:t>
            </w:r>
            <w:r>
              <w:t>、</w:t>
            </w:r>
            <w:r>
              <w:rPr>
                <w:rFonts w:hint="eastAsia"/>
              </w:rPr>
              <w:t>柴油、重油泄漏和一般火灾、爆炸事故。当发生环境风险事故后，各类污染物会通过大气扩散污染周边大气环境，或通过泄漏、渗透等途径污染地表水、地下水和土壤环境。根据现场调查，本项目</w:t>
            </w:r>
            <w:r>
              <w:t>位于</w:t>
            </w:r>
            <w:r>
              <w:rPr>
                <w:rFonts w:hint="eastAsia"/>
                <w:color w:val="000000"/>
                <w:lang w:val="en-US" w:eastAsia="zh-CN"/>
              </w:rPr>
              <w:t>九龙县崩崩冲村</w:t>
            </w:r>
            <w:r>
              <w:rPr>
                <w:rFonts w:hint="eastAsia"/>
              </w:rPr>
              <w:t>，</w:t>
            </w:r>
            <w:r>
              <w:t>主要敏感保护目标</w:t>
            </w:r>
            <w:r>
              <w:rPr>
                <w:rFonts w:hint="eastAsia"/>
              </w:rPr>
              <w:t>如下</w:t>
            </w:r>
            <w:r>
              <w:t>：</w:t>
            </w:r>
          </w:p>
          <w:p>
            <w:pPr>
              <w:pStyle w:val="15"/>
              <w:jc w:val="center"/>
              <w:rPr>
                <w:rFonts w:hint="eastAsia" w:ascii="Times New Roman" w:hAnsi="Times New Roman" w:eastAsia="宋体" w:cs="Times New Roman"/>
                <w:b/>
                <w:bCs/>
                <w:color w:val="auto"/>
                <w:sz w:val="21"/>
                <w:szCs w:val="21"/>
                <w:highlight w:val="none"/>
                <w:lang w:val="zh-CN" w:eastAsia="zh-CN" w:bidi="zh-CN"/>
              </w:rPr>
            </w:pPr>
            <w:r>
              <w:rPr>
                <w:rFonts w:hint="eastAsia" w:ascii="Times New Roman" w:hAnsi="Times New Roman" w:eastAsia="宋体" w:cs="Times New Roman"/>
                <w:b/>
                <w:bCs/>
                <w:color w:val="auto"/>
                <w:sz w:val="21"/>
                <w:szCs w:val="21"/>
                <w:highlight w:val="none"/>
                <w:lang w:val="zh-CN" w:eastAsia="zh-CN" w:bidi="zh-CN"/>
              </w:rPr>
              <w:t>表</w:t>
            </w:r>
            <w:r>
              <w:rPr>
                <w:rFonts w:hint="eastAsia" w:ascii="Times New Roman" w:hAnsi="Times New Roman" w:eastAsia="宋体" w:cs="Times New Roman"/>
                <w:b/>
                <w:bCs/>
                <w:color w:val="auto"/>
                <w:sz w:val="21"/>
                <w:szCs w:val="21"/>
                <w:highlight w:val="none"/>
                <w:lang w:val="en-US" w:eastAsia="zh-CN" w:bidi="zh-CN"/>
              </w:rPr>
              <w:t>4-22</w:t>
            </w:r>
            <w:r>
              <w:rPr>
                <w:rFonts w:hint="eastAsia" w:ascii="Times New Roman" w:hAnsi="Times New Roman" w:eastAsia="宋体" w:cs="Times New Roman"/>
                <w:b/>
                <w:bCs/>
                <w:color w:val="auto"/>
                <w:sz w:val="21"/>
                <w:szCs w:val="21"/>
                <w:highlight w:val="none"/>
                <w:lang w:val="zh-CN" w:eastAsia="zh-CN" w:bidi="zh-CN"/>
              </w:rPr>
              <w:t xml:space="preserve">  主要环境保护目标</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444"/>
              <w:gridCol w:w="1444"/>
              <w:gridCol w:w="1444"/>
              <w:gridCol w:w="2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5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环境要素</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olor w:val="auto"/>
                      <w:sz w:val="21"/>
                      <w:szCs w:val="21"/>
                    </w:rPr>
                  </w:pPr>
                  <w:r>
                    <w:rPr>
                      <w:rFonts w:ascii="Times New Roman" w:hAnsi="Times New Roman" w:eastAsia="宋体"/>
                      <w:color w:val="auto"/>
                      <w:sz w:val="21"/>
                      <w:szCs w:val="21"/>
                    </w:rPr>
                    <w:t>环境保护目标</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规模或</w:t>
                  </w:r>
                  <w:r>
                    <w:rPr>
                      <w:rFonts w:ascii="Times New Roman" w:hAnsi="Times New Roman" w:eastAsia="宋体"/>
                      <w:color w:val="auto"/>
                      <w:sz w:val="21"/>
                      <w:szCs w:val="21"/>
                    </w:rPr>
                    <w:t>功能</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olor w:val="auto"/>
                      <w:sz w:val="21"/>
                      <w:szCs w:val="21"/>
                    </w:rPr>
                  </w:pPr>
                  <w:r>
                    <w:rPr>
                      <w:rFonts w:ascii="Times New Roman" w:hAnsi="Times New Roman" w:eastAsia="宋体"/>
                      <w:color w:val="auto"/>
                      <w:sz w:val="21"/>
                      <w:szCs w:val="21"/>
                    </w:rPr>
                    <w:t>相对位置关系</w:t>
                  </w:r>
                </w:p>
              </w:tc>
              <w:tc>
                <w:tcPr>
                  <w:tcW w:w="228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olor w:val="auto"/>
                      <w:sz w:val="21"/>
                      <w:szCs w:val="21"/>
                    </w:rPr>
                  </w:pPr>
                  <w:r>
                    <w:rPr>
                      <w:rFonts w:ascii="Times New Roman" w:hAnsi="Times New Roman" w:eastAsia="宋体"/>
                      <w:color w:val="auto"/>
                      <w:sz w:val="21"/>
                      <w:szCs w:val="21"/>
                    </w:rPr>
                    <w:t>环境功能区划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957"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olor w:val="auto"/>
                      <w:sz w:val="21"/>
                      <w:szCs w:val="21"/>
                    </w:rPr>
                  </w:pPr>
                  <w:r>
                    <w:rPr>
                      <w:rFonts w:ascii="Times New Roman" w:hAnsi="Times New Roman" w:eastAsia="宋体"/>
                      <w:color w:val="auto"/>
                      <w:sz w:val="21"/>
                      <w:szCs w:val="21"/>
                    </w:rPr>
                    <w:t>水环境</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九龙</w:t>
                  </w:r>
                  <w:r>
                    <w:rPr>
                      <w:rFonts w:hint="eastAsia" w:ascii="Times New Roman" w:hAnsi="Times New Roman" w:eastAsia="宋体"/>
                      <w:color w:val="auto"/>
                      <w:sz w:val="21"/>
                      <w:szCs w:val="21"/>
                    </w:rPr>
                    <w:t>河</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default" w:ascii="Times New Roman" w:hAnsi="Times New Roman" w:eastAsia="宋体" w:cs="Times New Roman"/>
                      <w:color w:val="auto"/>
                      <w:sz w:val="21"/>
                      <w:szCs w:val="21"/>
                      <w:lang w:eastAsia="ja-JP"/>
                    </w:rPr>
                    <w:t>Ⅱ</w:t>
                  </w:r>
                  <w:r>
                    <w:rPr>
                      <w:rFonts w:hint="eastAsia" w:ascii="Times New Roman" w:hAnsi="Times New Roman" w:eastAsia="宋体"/>
                      <w:color w:val="auto"/>
                      <w:sz w:val="21"/>
                      <w:szCs w:val="21"/>
                    </w:rPr>
                    <w:t>类水体，水力发电</w:t>
                  </w:r>
                </w:p>
                <w:p>
                  <w:pPr>
                    <w:jc w:val="center"/>
                    <w:rPr>
                      <w:rFonts w:ascii="Times New Roman" w:hAnsi="Times New Roman" w:eastAsia="宋体"/>
                      <w:color w:val="auto"/>
                      <w:sz w:val="21"/>
                      <w:szCs w:val="21"/>
                    </w:rPr>
                  </w:pPr>
                  <w:r>
                    <w:rPr>
                      <w:rFonts w:hint="eastAsia" w:ascii="Times New Roman" w:hAnsi="Times New Roman" w:eastAsia="宋体"/>
                      <w:color w:val="auto"/>
                      <w:sz w:val="21"/>
                      <w:szCs w:val="21"/>
                    </w:rPr>
                    <w:t>农业灌溉</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东</w:t>
                  </w:r>
                  <w:r>
                    <w:rPr>
                      <w:rFonts w:hint="eastAsia" w:ascii="Times New Roman" w:hAnsi="Times New Roman" w:eastAsia="宋体"/>
                      <w:color w:val="auto"/>
                      <w:sz w:val="21"/>
                      <w:szCs w:val="21"/>
                    </w:rPr>
                    <w:t>侧约</w:t>
                  </w:r>
                  <w:r>
                    <w:rPr>
                      <w:rFonts w:hint="eastAsia" w:ascii="Times New Roman" w:hAnsi="Times New Roman" w:eastAsia="宋体"/>
                      <w:color w:val="auto"/>
                      <w:sz w:val="21"/>
                      <w:szCs w:val="21"/>
                      <w:lang w:val="en-US" w:eastAsia="zh-CN"/>
                    </w:rPr>
                    <w:t>80</w:t>
                  </w:r>
                  <w:r>
                    <w:rPr>
                      <w:rFonts w:hint="eastAsia" w:ascii="Times New Roman" w:hAnsi="Times New Roman" w:eastAsia="宋体"/>
                      <w:color w:val="auto"/>
                      <w:sz w:val="21"/>
                      <w:szCs w:val="21"/>
                    </w:rPr>
                    <w:t>m</w:t>
                  </w:r>
                </w:p>
              </w:tc>
              <w:tc>
                <w:tcPr>
                  <w:tcW w:w="2288" w:type="dxa"/>
                  <w:tcBorders>
                    <w:top w:val="single" w:color="auto" w:sz="4" w:space="0"/>
                    <w:left w:val="single" w:color="auto" w:sz="4" w:space="0"/>
                    <w:right w:val="single" w:color="auto" w:sz="4" w:space="0"/>
                  </w:tcBorders>
                  <w:noWrap w:val="0"/>
                  <w:vAlign w:val="center"/>
                </w:tcPr>
                <w:p>
                  <w:pPr>
                    <w:jc w:val="center"/>
                    <w:rPr>
                      <w:rFonts w:ascii="Times New Roman" w:hAnsi="Times New Roman" w:eastAsia="宋体"/>
                      <w:color w:val="auto"/>
                      <w:sz w:val="21"/>
                      <w:szCs w:val="21"/>
                    </w:rPr>
                  </w:pPr>
                  <w:r>
                    <w:rPr>
                      <w:rFonts w:ascii="Times New Roman" w:hAnsi="Times New Roman" w:eastAsia="宋体"/>
                      <w:color w:val="auto"/>
                      <w:sz w:val="21"/>
                      <w:szCs w:val="21"/>
                    </w:rPr>
                    <w:t>《地表水环境质量标准》（GB3838-2002）中的</w:t>
                  </w:r>
                  <w:r>
                    <w:rPr>
                      <w:rFonts w:hint="default" w:ascii="Times New Roman" w:hAnsi="Times New Roman" w:eastAsia="宋体" w:cs="Times New Roman"/>
                      <w:color w:val="auto"/>
                      <w:sz w:val="21"/>
                      <w:szCs w:val="21"/>
                      <w:lang w:eastAsia="ja-JP"/>
                    </w:rPr>
                    <w:t>Ⅱ</w:t>
                  </w:r>
                  <w:r>
                    <w:rPr>
                      <w:rFonts w:ascii="Times New Roman" w:hAnsi="Times New Roman" w:eastAsia="宋体"/>
                      <w:color w:val="auto"/>
                      <w:sz w:val="21"/>
                      <w:szCs w:val="21"/>
                    </w:rPr>
                    <w:t>类水域标准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957" w:type="dxa"/>
                  <w:vMerge w:val="restar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声环境</w:t>
                  </w:r>
                  <w:r>
                    <w:rPr>
                      <w:rFonts w:ascii="Times New Roman" w:hAnsi="Times New Roman" w:eastAsia="宋体"/>
                      <w:color w:val="auto"/>
                      <w:sz w:val="21"/>
                      <w:szCs w:val="21"/>
                    </w:rPr>
                    <w:t>、大气</w:t>
                  </w:r>
                  <w:r>
                    <w:rPr>
                      <w:rFonts w:hint="eastAsia" w:ascii="Times New Roman" w:hAnsi="Times New Roman" w:eastAsia="宋体"/>
                      <w:color w:val="auto"/>
                      <w:sz w:val="21"/>
                      <w:szCs w:val="21"/>
                    </w:rPr>
                    <w:t>环境</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s="Times New Roman"/>
                      <w:color w:val="auto"/>
                      <w:sz w:val="21"/>
                      <w:szCs w:val="21"/>
                      <w:highlight w:val="none"/>
                      <w:lang w:val="en-US" w:eastAsia="zh-CN" w:bidi="zh-CN"/>
                    </w:rPr>
                    <w:t>生活</w:t>
                  </w:r>
                  <w:r>
                    <w:rPr>
                      <w:rFonts w:hint="eastAsia" w:ascii="Times New Roman" w:hAnsi="Times New Roman" w:eastAsia="宋体"/>
                      <w:color w:val="auto"/>
                      <w:sz w:val="21"/>
                      <w:szCs w:val="21"/>
                    </w:rPr>
                    <w:t>营地</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10人</w:t>
                  </w:r>
                  <w:r>
                    <w:rPr>
                      <w:rFonts w:ascii="Times New Roman" w:hAnsi="Times New Roman" w:eastAsia="宋体"/>
                      <w:color w:val="auto"/>
                      <w:sz w:val="21"/>
                      <w:szCs w:val="21"/>
                    </w:rPr>
                    <w:t>（</w:t>
                  </w:r>
                  <w:r>
                    <w:rPr>
                      <w:rFonts w:hint="eastAsia" w:ascii="Times New Roman" w:hAnsi="Times New Roman" w:eastAsia="宋体"/>
                      <w:color w:val="auto"/>
                      <w:sz w:val="21"/>
                      <w:szCs w:val="21"/>
                    </w:rPr>
                    <w:t>本项目职工</w:t>
                  </w:r>
                  <w:r>
                    <w:rPr>
                      <w:rFonts w:ascii="Times New Roman" w:hAnsi="Times New Roman" w:eastAsia="宋体"/>
                      <w:color w:val="auto"/>
                      <w:sz w:val="21"/>
                      <w:szCs w:val="21"/>
                    </w:rPr>
                    <w:t>）</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olor w:val="auto"/>
                      <w:sz w:val="21"/>
                      <w:szCs w:val="21"/>
                    </w:rPr>
                  </w:pPr>
                  <w:r>
                    <w:rPr>
                      <w:rFonts w:hint="eastAsia" w:ascii="Times New Roman" w:hAnsi="Times New Roman" w:eastAsia="宋体"/>
                      <w:color w:val="auto"/>
                      <w:sz w:val="21"/>
                      <w:szCs w:val="21"/>
                    </w:rPr>
                    <w:t>东南侧</w:t>
                  </w:r>
                </w:p>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lang w:val="en-US" w:eastAsia="zh-CN"/>
                    </w:rPr>
                    <w:t>20</w:t>
                  </w:r>
                  <w:r>
                    <w:rPr>
                      <w:rFonts w:hint="eastAsia" w:ascii="Times New Roman" w:hAnsi="Times New Roman" w:eastAsia="宋体"/>
                      <w:color w:val="auto"/>
                      <w:sz w:val="21"/>
                      <w:szCs w:val="21"/>
                    </w:rPr>
                    <w:t>0m</w:t>
                  </w:r>
                </w:p>
              </w:tc>
              <w:tc>
                <w:tcPr>
                  <w:tcW w:w="2288" w:type="dxa"/>
                  <w:vMerge w:val="restart"/>
                  <w:tcBorders>
                    <w:top w:val="single" w:color="auto" w:sz="4" w:space="0"/>
                    <w:left w:val="single" w:color="auto" w:sz="4" w:space="0"/>
                    <w:right w:val="single" w:color="auto" w:sz="4" w:space="0"/>
                  </w:tcBorders>
                  <w:noWrap w:val="0"/>
                  <w:vAlign w:val="center"/>
                </w:tcPr>
                <w:p>
                  <w:pPr>
                    <w:jc w:val="center"/>
                    <w:rPr>
                      <w:rFonts w:ascii="Times New Roman" w:hAnsi="Times New Roman" w:eastAsia="宋体"/>
                      <w:color w:val="auto"/>
                      <w:sz w:val="21"/>
                      <w:szCs w:val="21"/>
                    </w:rPr>
                  </w:pPr>
                  <w:r>
                    <w:rPr>
                      <w:rFonts w:hint="eastAsia" w:ascii="Times New Roman" w:hAnsi="Times New Roman" w:eastAsia="宋体"/>
                      <w:color w:val="auto"/>
                      <w:sz w:val="21"/>
                      <w:szCs w:val="21"/>
                    </w:rPr>
                    <w:t>《环境空气质量标准（GB3095-2012）二级标准；《声环境质量标准》（GB 3096-2008）中</w:t>
                  </w:r>
                  <w:r>
                    <w:rPr>
                      <w:rFonts w:hint="eastAsia" w:ascii="Times New Roman" w:hAnsi="Times New Roman"/>
                      <w:color w:val="auto"/>
                      <w:sz w:val="21"/>
                      <w:szCs w:val="21"/>
                      <w:lang w:val="en-US" w:eastAsia="zh-CN"/>
                    </w:rPr>
                    <w:t>2</w:t>
                  </w:r>
                  <w:r>
                    <w:rPr>
                      <w:rFonts w:hint="eastAsia" w:ascii="Times New Roman" w:hAnsi="Times New Roman" w:eastAsia="宋体"/>
                      <w:color w:val="auto"/>
                      <w:sz w:val="21"/>
                      <w:szCs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957"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s="Times New Roman"/>
                      <w:color w:val="auto"/>
                      <w:sz w:val="21"/>
                      <w:szCs w:val="21"/>
                      <w:highlight w:val="none"/>
                      <w:lang w:val="en-US" w:eastAsia="zh-CN" w:bidi="zh-CN"/>
                    </w:rPr>
                    <w:t>崩崩冲</w:t>
                  </w:r>
                  <w:r>
                    <w:rPr>
                      <w:rFonts w:hint="eastAsia" w:ascii="Times New Roman" w:hAnsi="Times New Roman" w:cs="Times New Roman"/>
                      <w:color w:val="auto"/>
                      <w:sz w:val="21"/>
                      <w:szCs w:val="21"/>
                      <w:highlight w:val="none"/>
                      <w:lang w:val="en-US" w:eastAsia="zh-CN" w:bidi="zh-CN"/>
                    </w:rPr>
                    <w:t>村居民点</w:t>
                  </w:r>
                  <w:r>
                    <w:rPr>
                      <w:rFonts w:hint="eastAsia" w:ascii="Times New Roman" w:hAnsi="Times New Roman" w:eastAsia="宋体"/>
                      <w:color w:val="auto"/>
                      <w:sz w:val="21"/>
                      <w:szCs w:val="21"/>
                    </w:rPr>
                    <w:t>点</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lang w:val="en-US" w:eastAsia="zh-CN"/>
                    </w:rPr>
                    <w:t>30</w:t>
                  </w:r>
                  <w:r>
                    <w:rPr>
                      <w:rFonts w:hint="eastAsia" w:ascii="Times New Roman" w:hAnsi="Times New Roman" w:eastAsia="宋体"/>
                      <w:color w:val="auto"/>
                      <w:sz w:val="21"/>
                      <w:szCs w:val="21"/>
                    </w:rPr>
                    <w:t>户</w:t>
                  </w:r>
                  <w:r>
                    <w:rPr>
                      <w:rFonts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12</w:t>
                  </w:r>
                  <w:r>
                    <w:rPr>
                      <w:rFonts w:hint="eastAsia" w:ascii="Times New Roman" w:hAnsi="Times New Roman" w:eastAsia="宋体"/>
                      <w:color w:val="auto"/>
                      <w:sz w:val="21"/>
                      <w:szCs w:val="21"/>
                    </w:rPr>
                    <w:t>0人</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北侧</w:t>
                  </w:r>
                  <w:r>
                    <w:rPr>
                      <w:rFonts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3</w:t>
                  </w:r>
                  <w:r>
                    <w:rPr>
                      <w:rFonts w:hint="eastAsia" w:ascii="Times New Roman" w:hAnsi="Times New Roman"/>
                      <w:color w:val="auto"/>
                      <w:sz w:val="21"/>
                      <w:szCs w:val="21"/>
                      <w:lang w:val="en-US" w:eastAsia="zh-CN"/>
                    </w:rPr>
                    <w:t>1</w:t>
                  </w:r>
                  <w:r>
                    <w:rPr>
                      <w:rFonts w:hint="eastAsia" w:ascii="Times New Roman" w:hAnsi="Times New Roman" w:eastAsia="宋体"/>
                      <w:color w:val="auto"/>
                      <w:sz w:val="21"/>
                      <w:szCs w:val="21"/>
                      <w:lang w:val="en-US" w:eastAsia="zh-CN"/>
                    </w:rPr>
                    <w:t>0</w:t>
                  </w:r>
                  <w:r>
                    <w:rPr>
                      <w:rFonts w:hint="eastAsia" w:ascii="Times New Roman" w:hAnsi="Times New Roman" w:eastAsia="宋体"/>
                      <w:color w:val="auto"/>
                      <w:sz w:val="21"/>
                      <w:szCs w:val="21"/>
                    </w:rPr>
                    <w:t>m～</w:t>
                  </w:r>
                  <w:r>
                    <w:rPr>
                      <w:rFonts w:hint="eastAsia" w:ascii="Times New Roman" w:hAnsi="Times New Roman" w:eastAsia="宋体"/>
                      <w:color w:val="auto"/>
                      <w:sz w:val="21"/>
                      <w:szCs w:val="21"/>
                      <w:lang w:val="en-US" w:eastAsia="zh-CN"/>
                    </w:rPr>
                    <w:t>950</w:t>
                  </w:r>
                  <w:r>
                    <w:rPr>
                      <w:rFonts w:hint="eastAsia" w:ascii="Times New Roman" w:hAnsi="Times New Roman" w:eastAsia="宋体"/>
                      <w:color w:val="auto"/>
                      <w:sz w:val="21"/>
                      <w:szCs w:val="21"/>
                    </w:rPr>
                    <w:t>m</w:t>
                  </w:r>
                </w:p>
              </w:tc>
              <w:tc>
                <w:tcPr>
                  <w:tcW w:w="2288" w:type="dxa"/>
                  <w:vMerge w:val="continue"/>
                  <w:tcBorders>
                    <w:left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957" w:type="dxa"/>
                  <w:vMerge w:val="restart"/>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社会环境</w:t>
                  </w:r>
                </w:p>
              </w:tc>
              <w:tc>
                <w:tcPr>
                  <w:tcW w:w="1444"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lang w:val="en-US" w:eastAsia="zh-CN"/>
                    </w:rPr>
                    <w:t>国</w:t>
                  </w:r>
                  <w:r>
                    <w:rPr>
                      <w:rFonts w:hint="eastAsia" w:ascii="Times New Roman" w:hAnsi="Times New Roman" w:eastAsia="宋体"/>
                      <w:color w:val="auto"/>
                      <w:sz w:val="21"/>
                      <w:szCs w:val="21"/>
                    </w:rPr>
                    <w:t>道</w:t>
                  </w:r>
                </w:p>
              </w:tc>
              <w:tc>
                <w:tcPr>
                  <w:tcW w:w="1444"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w:t>
                  </w:r>
                </w:p>
              </w:tc>
              <w:tc>
                <w:tcPr>
                  <w:tcW w:w="1444"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紧邻项目东侧</w:t>
                  </w:r>
                </w:p>
              </w:tc>
              <w:tc>
                <w:tcPr>
                  <w:tcW w:w="2288" w:type="dxa"/>
                  <w:tcBorders>
                    <w:left w:val="single" w:color="auto" w:sz="4" w:space="0"/>
                    <w:right w:val="single" w:color="auto" w:sz="4" w:space="0"/>
                  </w:tcBorders>
                  <w:noWrap w:val="0"/>
                  <w:vAlign w:val="center"/>
                </w:tcPr>
                <w:p>
                  <w:pPr>
                    <w:jc w:val="center"/>
                    <w:rPr>
                      <w:rFonts w:ascii="Times New Roman" w:hAnsi="Times New Roman" w:eastAsia="宋体"/>
                      <w:color w:val="auto"/>
                      <w:sz w:val="21"/>
                      <w:szCs w:val="21"/>
                    </w:rPr>
                  </w:pPr>
                  <w:r>
                    <w:rPr>
                      <w:rFonts w:hint="eastAsia" w:ascii="Times New Roman" w:hAnsi="Times New Roman" w:eastAsia="宋体"/>
                      <w:color w:val="auto"/>
                      <w:sz w:val="21"/>
                      <w:szCs w:val="21"/>
                    </w:rPr>
                    <w:t>不会造成道路拥堵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7" w:hRule="atLeast"/>
                <w:jc w:val="center"/>
              </w:trPr>
              <w:tc>
                <w:tcPr>
                  <w:tcW w:w="957" w:type="dxa"/>
                  <w:tcBorders>
                    <w:top w:val="single" w:color="auto" w:sz="4" w:space="0"/>
                    <w:left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生态环境</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项目工程范围内周围生态环境</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w:t>
                  </w:r>
                </w:p>
              </w:tc>
              <w:tc>
                <w:tcPr>
                  <w:tcW w:w="1444"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评价区域</w:t>
                  </w:r>
                </w:p>
              </w:tc>
              <w:tc>
                <w:tcPr>
                  <w:tcW w:w="2288" w:type="dxa"/>
                  <w:tcBorders>
                    <w:left w:val="single" w:color="auto" w:sz="4" w:space="0"/>
                    <w:right w:val="single" w:color="auto" w:sz="4" w:space="0"/>
                  </w:tcBorders>
                  <w:noWrap w:val="0"/>
                  <w:vAlign w:val="center"/>
                </w:tcPr>
                <w:p>
                  <w:pPr>
                    <w:jc w:val="center"/>
                    <w:rPr>
                      <w:rFonts w:ascii="Times New Roman" w:hAnsi="Times New Roman" w:eastAsia="宋体"/>
                      <w:color w:val="auto"/>
                      <w:sz w:val="21"/>
                      <w:szCs w:val="21"/>
                    </w:rPr>
                  </w:pPr>
                  <w:r>
                    <w:rPr>
                      <w:rFonts w:hint="eastAsia" w:ascii="Times New Roman" w:hAnsi="Times New Roman" w:eastAsia="宋体"/>
                      <w:color w:val="auto"/>
                      <w:sz w:val="21"/>
                      <w:szCs w:val="21"/>
                    </w:rPr>
                    <w:t>尽量降低本工程建设对工程区及周边地区生态环境的破坏程度，使工程影响区的水土流失达到地方水土保持规划的治理标准。</w:t>
                  </w:r>
                </w:p>
              </w:tc>
            </w:tr>
          </w:tbl>
          <w:p>
            <w:pPr>
              <w:pStyle w:val="15"/>
              <w:rPr>
                <w:rFonts w:ascii="黑体"/>
                <w:sz w:val="20"/>
              </w:rPr>
            </w:pP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2" w:firstLineChars="200"/>
              <w:jc w:val="left"/>
              <w:textAlignment w:val="auto"/>
            </w:pPr>
            <w:r>
              <w:rPr>
                <w:rFonts w:hint="eastAsia" w:ascii="宋体" w:hAnsi="宋体" w:eastAsia="宋体" w:cs="宋体"/>
                <w:b/>
                <w:bCs/>
                <w:color w:val="000000"/>
                <w:kern w:val="0"/>
                <w:sz w:val="24"/>
                <w:szCs w:val="24"/>
                <w:lang w:val="en-US" w:eastAsia="zh-CN" w:bidi="ar"/>
              </w:rPr>
              <w:t xml:space="preserve">风险识别范围和类型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本项目主要风险事故类型可以分为溢出与泄漏、火灾与爆炸两大类。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 xml:space="preserve">(1) </w:t>
            </w:r>
            <w:r>
              <w:rPr>
                <w:rFonts w:hint="eastAsia" w:ascii="宋体" w:hAnsi="宋体" w:eastAsia="宋体" w:cs="宋体"/>
                <w:color w:val="000000"/>
                <w:kern w:val="0"/>
                <w:sz w:val="24"/>
                <w:szCs w:val="24"/>
                <w:lang w:val="en-US" w:eastAsia="zh-CN" w:bidi="ar"/>
              </w:rPr>
              <w:t xml:space="preserve">泄漏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在沥青储罐、柴油储罐、导热油罐或管道泄漏风险事故中，往往是由于部件损坏以及操作不当引起的。溢出和泄漏的油品、沥青不仅污染周边土壤及影响农作物正常生长，而且可能会对地表水和地下水水质造成污染；而一旦发生大面积的油品泄漏污染后，其造成的环境影响在短时间内将难以消除。根据国内同类型企业事故类型统计， 储罐的泄漏和溢出事故发生机率较高，但大多为小面积的泄漏事故。 </w:t>
            </w:r>
          </w:p>
          <w:p>
            <w:pPr>
              <w:keepNext w:val="0"/>
              <w:keepLines w:val="0"/>
              <w:pageBreakBefore w:val="0"/>
              <w:widowControl/>
              <w:numPr>
                <w:ilvl w:val="0"/>
                <w:numId w:val="4"/>
              </w:numPr>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火灾与爆炸</w:t>
            </w:r>
          </w:p>
          <w:p>
            <w:pPr>
              <w:keepNext w:val="0"/>
              <w:keepLines w:val="0"/>
              <w:pageBreakBefore w:val="0"/>
              <w:widowControl/>
              <w:numPr>
                <w:ilvl w:val="0"/>
                <w:numId w:val="0"/>
              </w:numPr>
              <w:suppressLineNumbers w:val="0"/>
              <w:kinsoku/>
              <w:wordWrap/>
              <w:overflowPunct/>
              <w:topLinePunct w:val="0"/>
              <w:autoSpaceDE w:val="0"/>
              <w:autoSpaceDN w:val="0"/>
              <w:bidi w:val="0"/>
              <w:adjustRightInd/>
              <w:snapToGrid/>
              <w:spacing w:line="360" w:lineRule="auto"/>
              <w:ind w:leftChars="200" w:right="0" w:rightChars="0"/>
              <w:jc w:val="left"/>
              <w:textAlignment w:val="auto"/>
            </w:pPr>
            <w:r>
              <w:rPr>
                <w:rFonts w:hint="eastAsia" w:ascii="宋体" w:hAnsi="宋体" w:eastAsia="宋体" w:cs="宋体"/>
                <w:color w:val="000000"/>
                <w:kern w:val="0"/>
                <w:sz w:val="24"/>
                <w:szCs w:val="24"/>
                <w:lang w:val="en-US" w:eastAsia="zh-CN" w:bidi="ar"/>
              </w:rPr>
              <w:t xml:space="preserve">火灾与爆炸事故，按其发生原因可分为作业事故和非作业事故两大类。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①作业事故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作业事故主要发生在卸油、加油、清罐环节中，可能使油品暴露在空气中，如果在作业中违反操作规程，使油品在空气中与火源接触，就会导致燃烧爆炸事故的发生。作业事故发生概率较多的为卸油火灾。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油罐漫溢：卸油时对液位监测不及时易造成油品跑冒。油品溢出罐外后，遇到火星，随即发生爆炸燃烧。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油品滴漏：由于卸油胶管破裂、密封垫破损、快速接头紧固栓松动等原因，使油品滴漏至地面，遇火花即可能引发燃烧。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卸油中遇明火：在非密封卸油过程中，大量油蒸气从卸油口溢出，当周围出现烟火、火花时，就会产生爆炸燃烧事故。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②非作业事故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 xml:space="preserve">、 与油品相关的火灾主要原因有：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油罐、管道渗漏：由于设备管道腐蚀，产品制造缺陷，法兰、阀门未紧固等原因，在非作业状态下发生油品渗漏，遇明火引发燃烧。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雷击：雷电直接击中油罐设施，或者雷电作用在油罐处产生间接放电，都可能引发油品燃烧。</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B</w:t>
            </w:r>
            <w:r>
              <w:rPr>
                <w:rFonts w:hint="eastAsia" w:ascii="宋体" w:hAnsi="宋体" w:eastAsia="宋体" w:cs="宋体"/>
                <w:color w:val="000000"/>
                <w:kern w:val="0"/>
                <w:sz w:val="24"/>
                <w:szCs w:val="24"/>
                <w:lang w:val="en-US" w:eastAsia="zh-CN" w:bidi="ar"/>
              </w:rPr>
              <w:t xml:space="preserve">、非油品火灾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常见的非油品火灾有：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电气火灾：由于搅拌区内电气设备老化、绝缘破损、短路、私拉乱接、超负荷用电、过载、接线不规范、发热、电器使用管理不当等引起的火灾。明火管理不当，生产、生活用火失控，火灾蔓延殃及罐区。非作业火灾、非油品火灾如不能迅速控制会蔓延至罐区，引发更严重的油品火灾，造成重大损失。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③火灾或爆炸发生的必要因素分析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排除不可抗力的自然灾害，油罐若发生火灾及爆炸事故，必须具备下列条件。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Times New Roman" w:hAnsi="Times New Roman"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 xml:space="preserve">、油品泄漏；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B</w:t>
            </w:r>
            <w:r>
              <w:rPr>
                <w:rFonts w:hint="eastAsia" w:ascii="宋体" w:hAnsi="宋体" w:eastAsia="宋体" w:cs="宋体"/>
                <w:color w:val="000000"/>
                <w:kern w:val="0"/>
                <w:sz w:val="24"/>
                <w:szCs w:val="24"/>
                <w:lang w:val="en-US" w:eastAsia="zh-CN" w:bidi="ar"/>
              </w:rPr>
              <w:t xml:space="preserve">、有足够的空气助燃；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default" w:ascii="Times New Roman" w:hAnsi="Times New Roman" w:eastAsia="宋体" w:cs="Times New Roman"/>
                <w:color w:val="000000"/>
                <w:kern w:val="0"/>
                <w:sz w:val="24"/>
                <w:szCs w:val="24"/>
                <w:lang w:val="en-US" w:eastAsia="zh-CN" w:bidi="ar"/>
              </w:rPr>
              <w:t>C</w:t>
            </w:r>
            <w:r>
              <w:rPr>
                <w:rFonts w:hint="eastAsia" w:ascii="宋体" w:hAnsi="宋体" w:eastAsia="宋体" w:cs="宋体"/>
                <w:color w:val="000000"/>
                <w:kern w:val="0"/>
                <w:sz w:val="24"/>
                <w:szCs w:val="24"/>
                <w:lang w:val="en-US" w:eastAsia="zh-CN" w:bidi="ar"/>
              </w:rPr>
              <w:t xml:space="preserve">、现场有明火；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 xml:space="preserve">只有以上条件同时具备时，才可能发生火灾和爆炸。由此可见，油品泄漏及罐区存在明火是导致油罐发生火灾爆炸事故的主要原因。油罐一旦发生火灾和爆炸事故后，不仅将造成一定的人员伤亡和财产损失，还可能导致周边环境受到污染，因此必须加以重视并采取切实可靠的风险防范措施。 </w:t>
            </w:r>
          </w:p>
          <w:p>
            <w:pPr>
              <w:keepNext w:val="0"/>
              <w:keepLines w:val="0"/>
              <w:pageBreakBefore w:val="0"/>
              <w:widowControl/>
              <w:suppressLineNumbers w:val="0"/>
              <w:kinsoku/>
              <w:wordWrap/>
              <w:overflowPunct/>
              <w:topLinePunct w:val="0"/>
              <w:autoSpaceDE w:val="0"/>
              <w:autoSpaceDN w:val="0"/>
              <w:bidi w:val="0"/>
              <w:adjustRightInd/>
              <w:snapToGrid/>
              <w:spacing w:before="0" w:line="360" w:lineRule="auto"/>
              <w:ind w:left="0" w:firstLine="482" w:firstLineChars="200"/>
              <w:jc w:val="left"/>
              <w:textAlignment w:val="auto"/>
            </w:pPr>
            <w:r>
              <w:rPr>
                <w:rFonts w:hint="default" w:ascii="Times New Roman" w:hAnsi="Times New Roman" w:eastAsia="宋体" w:cs="Times New Roman"/>
                <w:b/>
                <w:bCs/>
                <w:color w:val="000000"/>
                <w:kern w:val="0"/>
                <w:sz w:val="24"/>
                <w:szCs w:val="24"/>
                <w:lang w:val="en-US" w:eastAsia="zh-CN" w:bidi="ar"/>
              </w:rPr>
              <w:t>5</w:t>
            </w:r>
            <w:r>
              <w:rPr>
                <w:rFonts w:hint="eastAsia" w:ascii="宋体" w:hAnsi="宋体" w:eastAsia="宋体" w:cs="宋体"/>
                <w:b/>
                <w:bCs/>
                <w:color w:val="000000"/>
                <w:kern w:val="0"/>
                <w:sz w:val="24"/>
                <w:szCs w:val="24"/>
                <w:lang w:val="en-US" w:eastAsia="zh-CN" w:bidi="ar"/>
              </w:rPr>
              <w:t xml:space="preserve">、风险事故防范措施 </w:t>
            </w:r>
          </w:p>
          <w:p>
            <w:pPr>
              <w:keepNext w:val="0"/>
              <w:keepLines w:val="0"/>
              <w:pageBreakBefore w:val="0"/>
              <w:widowControl/>
              <w:suppressLineNumbers w:val="0"/>
              <w:kinsoku/>
              <w:wordWrap/>
              <w:overflowPunct/>
              <w:topLinePunct w:val="0"/>
              <w:autoSpaceDE w:val="0"/>
              <w:autoSpaceDN w:val="0"/>
              <w:bidi w:val="0"/>
              <w:adjustRightInd/>
              <w:snapToGrid/>
              <w:spacing w:before="0" w:line="360" w:lineRule="auto"/>
              <w:ind w:left="0" w:firstLine="480" w:firstLineChars="200"/>
              <w:jc w:val="left"/>
              <w:textAlignment w:val="auto"/>
            </w:pPr>
            <w:r>
              <w:rPr>
                <w:rFonts w:hint="eastAsia" w:ascii="宋体" w:hAnsi="宋体" w:eastAsia="宋体" w:cs="宋体"/>
                <w:color w:val="000000"/>
                <w:kern w:val="0"/>
                <w:sz w:val="24"/>
                <w:szCs w:val="24"/>
                <w:lang w:val="en-US" w:eastAsia="zh-CN" w:bidi="ar"/>
              </w:rPr>
              <w:t xml:space="preserve">本项目为防止事故的发生，拟采取防范措施，主要包括： </w:t>
            </w:r>
          </w:p>
          <w:p>
            <w:pPr>
              <w:keepNext w:val="0"/>
              <w:keepLines w:val="0"/>
              <w:pageBreakBefore w:val="0"/>
              <w:widowControl/>
              <w:suppressLineNumbers w:val="0"/>
              <w:kinsoku/>
              <w:wordWrap/>
              <w:overflowPunct/>
              <w:topLinePunct w:val="0"/>
              <w:autoSpaceDE w:val="0"/>
              <w:autoSpaceDN w:val="0"/>
              <w:bidi w:val="0"/>
              <w:adjustRightInd/>
              <w:snapToGrid/>
              <w:spacing w:before="0" w:line="360" w:lineRule="auto"/>
              <w:ind w:left="0" w:firstLine="480" w:firstLineChars="200"/>
              <w:jc w:val="left"/>
              <w:textAlignment w:val="auto"/>
            </w:pPr>
            <w:r>
              <w:rPr>
                <w:rFonts w:hint="eastAsia" w:ascii="宋体" w:hAnsi="宋体" w:eastAsia="宋体" w:cs="宋体"/>
                <w:color w:val="000000"/>
                <w:kern w:val="0"/>
                <w:sz w:val="24"/>
                <w:szCs w:val="24"/>
                <w:lang w:val="en-US" w:eastAsia="zh-CN" w:bidi="ar"/>
              </w:rPr>
              <w:t xml:space="preserve">①厂区总图布置严格按照设计与施工规范的要求进行设计，严格控制各建、构筑物的安全防护距离； </w:t>
            </w:r>
          </w:p>
          <w:p>
            <w:pPr>
              <w:keepNext w:val="0"/>
              <w:keepLines w:val="0"/>
              <w:pageBreakBefore w:val="0"/>
              <w:widowControl/>
              <w:suppressLineNumbers w:val="0"/>
              <w:kinsoku/>
              <w:wordWrap/>
              <w:overflowPunct/>
              <w:topLinePunct w:val="0"/>
              <w:autoSpaceDE w:val="0"/>
              <w:autoSpaceDN w:val="0"/>
              <w:bidi w:val="0"/>
              <w:adjustRightInd/>
              <w:snapToGrid/>
              <w:spacing w:before="0" w:line="360" w:lineRule="auto"/>
              <w:ind w:left="0" w:firstLine="480" w:firstLineChars="200"/>
              <w:jc w:val="left"/>
              <w:textAlignment w:val="auto"/>
            </w:pPr>
            <w:r>
              <w:rPr>
                <w:rFonts w:hint="eastAsia" w:ascii="宋体" w:hAnsi="宋体" w:eastAsia="宋体" w:cs="宋体"/>
                <w:color w:val="000000"/>
                <w:kern w:val="0"/>
                <w:sz w:val="24"/>
                <w:szCs w:val="24"/>
                <w:lang w:val="en-US" w:eastAsia="zh-CN" w:bidi="ar"/>
              </w:rPr>
              <w:t>②按有关规范设计电气系统、消防系统，做到以防为主，严格控制操作区内的明火，严禁吸烟和带入火柴、打火机等火种，设置</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严禁烟火</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禁止吸烟</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 xml:space="preserve">等警告牌，避免火灾事故的发生； </w:t>
            </w:r>
          </w:p>
          <w:p>
            <w:pPr>
              <w:keepNext w:val="0"/>
              <w:keepLines w:val="0"/>
              <w:pageBreakBefore w:val="0"/>
              <w:widowControl/>
              <w:suppressLineNumbers w:val="0"/>
              <w:kinsoku/>
              <w:wordWrap/>
              <w:overflowPunct/>
              <w:topLinePunct w:val="0"/>
              <w:autoSpaceDE w:val="0"/>
              <w:autoSpaceDN w:val="0"/>
              <w:bidi w:val="0"/>
              <w:adjustRightInd/>
              <w:snapToGrid/>
              <w:spacing w:before="0" w:line="360" w:lineRule="auto"/>
              <w:ind w:left="0" w:firstLine="480" w:firstLineChars="200"/>
              <w:jc w:val="left"/>
              <w:textAlignment w:val="auto"/>
            </w:pPr>
            <w:r>
              <w:rPr>
                <w:rFonts w:hint="eastAsia" w:ascii="宋体" w:hAnsi="宋体" w:eastAsia="宋体" w:cs="宋体"/>
                <w:color w:val="000000"/>
                <w:kern w:val="0"/>
                <w:sz w:val="24"/>
                <w:szCs w:val="24"/>
                <w:lang w:val="en-US" w:eastAsia="zh-CN" w:bidi="ar"/>
              </w:rPr>
              <w:t xml:space="preserve">③在可能发生油品泄漏积聚的场所，设置可燃气体报警装置；油罐安装高低液位报警器，减少管线接口，油罐的进出口管道采用金属软管连接等。 </w:t>
            </w:r>
          </w:p>
          <w:p>
            <w:pPr>
              <w:keepNext w:val="0"/>
              <w:keepLines w:val="0"/>
              <w:pageBreakBefore w:val="0"/>
              <w:widowControl/>
              <w:suppressLineNumbers w:val="0"/>
              <w:kinsoku/>
              <w:wordWrap/>
              <w:overflowPunct/>
              <w:topLinePunct w:val="0"/>
              <w:autoSpaceDE w:val="0"/>
              <w:autoSpaceDN w:val="0"/>
              <w:bidi w:val="0"/>
              <w:adjustRightInd/>
              <w:snapToGrid/>
              <w:spacing w:before="0" w:line="360" w:lineRule="auto"/>
              <w:ind w:left="0" w:firstLine="480" w:firstLineChars="200"/>
              <w:jc w:val="left"/>
              <w:textAlignment w:val="auto"/>
            </w:pPr>
            <w:r>
              <w:rPr>
                <w:rFonts w:hint="eastAsia" w:ascii="宋体" w:hAnsi="宋体" w:eastAsia="宋体" w:cs="宋体"/>
                <w:color w:val="000000"/>
                <w:kern w:val="0"/>
                <w:sz w:val="24"/>
                <w:szCs w:val="24"/>
                <w:lang w:val="en-US" w:eastAsia="zh-CN" w:bidi="ar"/>
              </w:rPr>
              <w:t xml:space="preserve">④在厂区设置干粉灭火器、消防栓、消防水带、消防水枪等应急设施和装备，环境风险源、应急处置措施均设置标志牌，定期对应急设施进行了排查并保存记录。 </w:t>
            </w:r>
          </w:p>
          <w:p>
            <w:pPr>
              <w:keepNext w:val="0"/>
              <w:keepLines w:val="0"/>
              <w:pageBreakBefore w:val="0"/>
              <w:widowControl/>
              <w:suppressLineNumbers w:val="0"/>
              <w:kinsoku/>
              <w:wordWrap/>
              <w:overflowPunct/>
              <w:topLinePunct w:val="0"/>
              <w:autoSpaceDE w:val="0"/>
              <w:autoSpaceDN w:val="0"/>
              <w:bidi w:val="0"/>
              <w:adjustRightInd/>
              <w:snapToGrid/>
              <w:spacing w:before="0" w:line="360" w:lineRule="auto"/>
              <w:ind w:left="0" w:firstLine="480" w:firstLineChars="200"/>
              <w:jc w:val="left"/>
              <w:textAlignment w:val="auto"/>
            </w:pPr>
            <w:r>
              <w:rPr>
                <w:rFonts w:hint="eastAsia" w:ascii="宋体" w:hAnsi="宋体" w:eastAsia="宋体" w:cs="宋体"/>
                <w:color w:val="000000"/>
                <w:kern w:val="0"/>
                <w:sz w:val="24"/>
                <w:szCs w:val="24"/>
                <w:lang w:val="en-US" w:eastAsia="zh-CN" w:bidi="ar"/>
              </w:rPr>
              <w:t xml:space="preserve">⑤运行过程中对导热油密闭管路进行定期检查，导热油管路设置紧急切断转换电动阀门，一旦发生泄漏后及时紧急关闭，以减少导热油泄漏量； </w:t>
            </w:r>
          </w:p>
          <w:p>
            <w:pPr>
              <w:keepNext w:val="0"/>
              <w:keepLines w:val="0"/>
              <w:pageBreakBefore w:val="0"/>
              <w:widowControl/>
              <w:suppressLineNumbers w:val="0"/>
              <w:kinsoku/>
              <w:wordWrap/>
              <w:overflowPunct/>
              <w:topLinePunct w:val="0"/>
              <w:autoSpaceDE w:val="0"/>
              <w:autoSpaceDN w:val="0"/>
              <w:bidi w:val="0"/>
              <w:adjustRightInd/>
              <w:snapToGrid/>
              <w:spacing w:before="0" w:line="360" w:lineRule="auto"/>
              <w:ind w:left="0" w:firstLine="480" w:firstLineChars="200"/>
              <w:jc w:val="left"/>
              <w:textAlignment w:val="auto"/>
            </w:pPr>
            <w:r>
              <w:rPr>
                <w:rFonts w:hint="eastAsia" w:ascii="宋体" w:hAnsi="宋体" w:eastAsia="宋体" w:cs="宋体"/>
                <w:color w:val="000000"/>
                <w:kern w:val="0"/>
                <w:sz w:val="24"/>
                <w:szCs w:val="24"/>
                <w:lang w:val="en-US" w:eastAsia="zh-CN" w:bidi="ar"/>
              </w:rPr>
              <w:t>⑥沥青、导热油、柴油装卸、输送环节发生少量泄漏时用消防沙或其它不燃材料吸附或吸收，之后委托具有资质的处理单位清走处理。若发生大量泄漏时在柴油罐区、沥青罐区设置围堰，可以防止泄漏液第一时间渗漏，同时对现场已泄漏液用棉纱、毛巾、拖把、塑料桶容器等进行回收，禁止用铁锹等易产生静电火花的器皿进行回收；回收后用沙土覆盖残留渍，待充分吸收后将沙土清除干净；检查所有漏口是否有残漏液，若有应及时清理干净，并检查其他可能发生危险的区域是否有隐患存在。当泄漏液快溢过设有的围堰时，应立即通过应急管道引至事故应急池。项目用泡沫覆盖，降低蒸气灾害。用防爆泵转移至槽车或专用收集器内，回收或运至废物处现场处置组应当及时使用有针对性的材料堵塞下水道，防止泄漏液流入、下水道、排洪沟等限制性空间，负责人去拉下雨水闸门，封闭对外雨水排放口，防止污染物向天然水体排放。</w:t>
            </w:r>
          </w:p>
          <w:p>
            <w:pPr>
              <w:keepNext w:val="0"/>
              <w:keepLines w:val="0"/>
              <w:pageBreakBefore w:val="0"/>
              <w:widowControl/>
              <w:suppressLineNumbers w:val="0"/>
              <w:kinsoku/>
              <w:wordWrap/>
              <w:overflowPunct/>
              <w:topLinePunct w:val="0"/>
              <w:autoSpaceDE w:val="0"/>
              <w:autoSpaceDN w:val="0"/>
              <w:bidi w:val="0"/>
              <w:adjustRightInd/>
              <w:snapToGrid/>
              <w:spacing w:before="0" w:line="360" w:lineRule="auto"/>
              <w:ind w:left="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⑦项目按最不利事件泄露情况下设置事故池，一旦发生溢出与渗漏事故，油类物质或者沥青将控制在事故池内，发生火灾或者爆炸事故时产生消防废水、初期雨水可围截在事故围堰内，将污染控制厂区范围内，可有效防控泄露物质进入或者污染周边环境。事故状态下产生的消防废水以及事故废水，应交由具备处理资质单位进行处置，禁止直接排放环境。</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6</w:t>
            </w:r>
            <w:r>
              <w:rPr>
                <w:rFonts w:hint="eastAsia" w:ascii="宋体" w:hAnsi="宋体" w:eastAsia="宋体" w:cs="宋体"/>
                <w:b/>
                <w:bCs/>
                <w:color w:val="000000"/>
                <w:kern w:val="0"/>
                <w:sz w:val="24"/>
                <w:szCs w:val="24"/>
                <w:lang w:val="en-US" w:eastAsia="zh-CN" w:bidi="ar"/>
              </w:rPr>
              <w:t>、风险事故环境影响分析</w:t>
            </w:r>
          </w:p>
          <w:p>
            <w:pPr>
              <w:pStyle w:val="15"/>
              <w:keepNext w:val="0"/>
              <w:keepLines w:val="0"/>
              <w:pageBreakBefore w:val="0"/>
              <w:kinsoku/>
              <w:wordWrap/>
              <w:overflowPunct/>
              <w:topLinePunct w:val="0"/>
              <w:autoSpaceDE w:val="0"/>
              <w:autoSpaceDN w:val="0"/>
              <w:bidi w:val="0"/>
              <w:adjustRightInd/>
              <w:snapToGrid/>
              <w:spacing w:before="0" w:line="360" w:lineRule="auto"/>
              <w:ind w:left="0" w:firstLine="300" w:firstLineChars="200"/>
              <w:textAlignment w:val="auto"/>
              <w:rPr>
                <w:rFonts w:ascii="黑体"/>
                <w:sz w:val="15"/>
              </w:rPr>
            </w:pPr>
          </w:p>
          <w:p>
            <w:pPr>
              <w:keepNext w:val="0"/>
              <w:keepLines w:val="0"/>
              <w:pageBreakBefore w:val="0"/>
              <w:widowControl/>
              <w:suppressLineNumbers w:val="0"/>
              <w:kinsoku/>
              <w:wordWrap/>
              <w:overflowPunct/>
              <w:topLinePunct w:val="0"/>
              <w:autoSpaceDE w:val="0"/>
              <w:autoSpaceDN w:val="0"/>
              <w:bidi w:val="0"/>
              <w:adjustRightInd/>
              <w:snapToGrid/>
              <w:spacing w:before="0" w:line="360" w:lineRule="auto"/>
              <w:ind w:left="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油类物质、沥青的泄漏污染对环境影响主要表现在以下几个方面： </w:t>
            </w:r>
          </w:p>
          <w:p>
            <w:pPr>
              <w:keepNext w:val="0"/>
              <w:keepLines w:val="0"/>
              <w:pageBreakBefore w:val="0"/>
              <w:widowControl/>
              <w:suppressLineNumbers w:val="0"/>
              <w:kinsoku/>
              <w:wordWrap/>
              <w:overflowPunct/>
              <w:topLinePunct w:val="0"/>
              <w:autoSpaceDE w:val="0"/>
              <w:autoSpaceDN w:val="0"/>
              <w:bidi w:val="0"/>
              <w:adjustRightInd/>
              <w:snapToGrid/>
              <w:spacing w:before="0" w:line="360" w:lineRule="auto"/>
              <w:ind w:left="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①对地表水的污染 </w:t>
            </w:r>
          </w:p>
          <w:p>
            <w:pPr>
              <w:keepNext w:val="0"/>
              <w:keepLines w:val="0"/>
              <w:pageBreakBefore w:val="0"/>
              <w:widowControl/>
              <w:suppressLineNumbers w:val="0"/>
              <w:kinsoku/>
              <w:wordWrap/>
              <w:overflowPunct/>
              <w:topLinePunct w:val="0"/>
              <w:autoSpaceDE w:val="0"/>
              <w:autoSpaceDN w:val="0"/>
              <w:bidi w:val="0"/>
              <w:adjustRightInd/>
              <w:snapToGrid/>
              <w:spacing w:before="0" w:line="360" w:lineRule="auto"/>
              <w:ind w:left="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泄漏或渗漏的成品油一旦进入地表河流，将造成地表河流的污染，影响范围小到几公里大到几十公里。污染首先将造成地表河流的景观破坏，产生严重的刺鼻气味；其次，由于有机烃类物质难溶于水，大部分上浮在水层表面，形成一层油膜使空气与水隔离，造成水中溶解氧浓度降低，逐渐形成死水，致使水中生物死亡；油品中含有大量短类等有机物，一旦进入水环境，由于可生化性较差，造成被污染水体长时间得不到净化，完全恢复则需十几年、甚至几十年的时间。受周边地势、地形、地貌影响，建设项目泄露的油品在加强管理、设置事故</w:t>
            </w:r>
            <w:r>
              <w:rPr>
                <w:rFonts w:hint="eastAsia" w:cs="宋体"/>
                <w:color w:val="000000"/>
                <w:kern w:val="0"/>
                <w:sz w:val="24"/>
                <w:szCs w:val="24"/>
                <w:lang w:val="en-US" w:eastAsia="zh-CN" w:bidi="ar"/>
              </w:rPr>
              <w:t>池</w:t>
            </w:r>
            <w:r>
              <w:rPr>
                <w:rFonts w:hint="eastAsia" w:ascii="宋体" w:hAnsi="宋体" w:eastAsia="宋体" w:cs="宋体"/>
                <w:color w:val="000000"/>
                <w:kern w:val="0"/>
                <w:sz w:val="24"/>
                <w:szCs w:val="24"/>
                <w:lang w:val="en-US" w:eastAsia="zh-CN" w:bidi="ar"/>
              </w:rPr>
              <w:t xml:space="preserve">的情况下，泄露的污染物控制在厂区范围内，对周边地表水体的影响很小。 </w:t>
            </w:r>
          </w:p>
          <w:p>
            <w:pPr>
              <w:keepNext w:val="0"/>
              <w:keepLines w:val="0"/>
              <w:pageBreakBefore w:val="0"/>
              <w:widowControl/>
              <w:suppressLineNumbers w:val="0"/>
              <w:kinsoku/>
              <w:wordWrap/>
              <w:overflowPunct/>
              <w:topLinePunct w:val="0"/>
              <w:autoSpaceDE w:val="0"/>
              <w:autoSpaceDN w:val="0"/>
              <w:bidi w:val="0"/>
              <w:adjustRightInd/>
              <w:snapToGrid/>
              <w:spacing w:before="0" w:line="360" w:lineRule="auto"/>
              <w:ind w:left="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②对地下水的污染 </w:t>
            </w:r>
          </w:p>
          <w:p>
            <w:pPr>
              <w:keepNext w:val="0"/>
              <w:keepLines w:val="0"/>
              <w:pageBreakBefore w:val="0"/>
              <w:widowControl/>
              <w:suppressLineNumbers w:val="0"/>
              <w:kinsoku/>
              <w:wordWrap/>
              <w:overflowPunct/>
              <w:topLinePunct w:val="0"/>
              <w:autoSpaceDE w:val="0"/>
              <w:autoSpaceDN w:val="0"/>
              <w:bidi w:val="0"/>
              <w:adjustRightInd/>
              <w:snapToGrid/>
              <w:spacing w:before="0" w:line="360" w:lineRule="auto"/>
              <w:ind w:left="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储油罐的油类物质、沥青储罐的沥青泄漏或渗漏对地下水的污染较为严重，地下水一旦遭到成品油的污染，将使地下水产生严重异味，并可能导致较强的致畸致癌性，根本无法饮用。又由于这种渗漏必然穿过较厚的土壤层，使土壤层中吸附了大量的油，土壤层吸附的油不仅会造成植物生物的死亡，而且土壤层吸附的油还会随着地表水的下渗对土壤层的冲刷作用补充到地下水，这样即便污染源得到及时控制，地下水要完全恢复也需几十年甚至上百年的时间。</w:t>
            </w:r>
          </w:p>
          <w:p>
            <w:pPr>
              <w:keepNext w:val="0"/>
              <w:keepLines w:val="0"/>
              <w:pageBreakBefore w:val="0"/>
              <w:widowControl/>
              <w:suppressLineNumbers w:val="0"/>
              <w:kinsoku/>
              <w:wordWrap/>
              <w:overflowPunct/>
              <w:topLinePunct w:val="0"/>
              <w:autoSpaceDE w:val="0"/>
              <w:autoSpaceDN w:val="0"/>
              <w:bidi w:val="0"/>
              <w:adjustRightInd/>
              <w:snapToGrid/>
              <w:spacing w:before="0" w:line="360" w:lineRule="auto"/>
              <w:ind w:left="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因此，环评要求建设项目对罐区罐体基础采取防渗混凝土处理，并在罐区分区设置事故</w:t>
            </w:r>
            <w:r>
              <w:rPr>
                <w:rFonts w:hint="eastAsia" w:cs="宋体"/>
                <w:color w:val="000000"/>
                <w:kern w:val="0"/>
                <w:sz w:val="24"/>
                <w:szCs w:val="24"/>
                <w:lang w:val="en-US" w:eastAsia="zh-CN" w:bidi="ar"/>
              </w:rPr>
              <w:t>池</w:t>
            </w:r>
            <w:r>
              <w:rPr>
                <w:rFonts w:hint="eastAsia" w:ascii="宋体" w:hAnsi="宋体" w:eastAsia="宋体" w:cs="宋体"/>
                <w:color w:val="000000"/>
                <w:kern w:val="0"/>
                <w:sz w:val="24"/>
                <w:szCs w:val="24"/>
                <w:lang w:val="en-US" w:eastAsia="zh-CN" w:bidi="ar"/>
              </w:rPr>
              <w:t>，容积不应小于罐区最大泄露量，一旦发生溢出与渗漏事故，油类物质或者沥青以及火灾事故产生消防废水、事故废水将控制在事故</w:t>
            </w:r>
            <w:r>
              <w:rPr>
                <w:rFonts w:hint="eastAsia" w:cs="宋体"/>
                <w:color w:val="000000"/>
                <w:kern w:val="0"/>
                <w:sz w:val="24"/>
                <w:szCs w:val="24"/>
                <w:lang w:val="en-US" w:eastAsia="zh-CN" w:bidi="ar"/>
              </w:rPr>
              <w:t>池</w:t>
            </w:r>
            <w:r>
              <w:rPr>
                <w:rFonts w:hint="eastAsia" w:ascii="宋体" w:hAnsi="宋体" w:eastAsia="宋体" w:cs="宋体"/>
                <w:color w:val="000000"/>
                <w:kern w:val="0"/>
                <w:sz w:val="24"/>
                <w:szCs w:val="24"/>
                <w:lang w:val="en-US" w:eastAsia="zh-CN" w:bidi="ar"/>
              </w:rPr>
              <w:t>内，对地下水基本不会造成影响</w:t>
            </w:r>
            <w:r>
              <w:rPr>
                <w:rFonts w:hint="eastAsia" w:cs="宋体"/>
                <w:color w:val="000000"/>
                <w:kern w:val="0"/>
                <w:sz w:val="24"/>
                <w:szCs w:val="24"/>
                <w:lang w:val="en-US" w:eastAsia="zh-CN" w:bidi="ar"/>
              </w:rPr>
              <w:t>。</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7</w:t>
            </w:r>
            <w:r>
              <w:rPr>
                <w:rFonts w:hint="eastAsia" w:ascii="宋体" w:hAnsi="宋体" w:eastAsia="宋体" w:cs="宋体"/>
                <w:b/>
                <w:bCs/>
                <w:color w:val="000000"/>
                <w:kern w:val="0"/>
                <w:sz w:val="24"/>
                <w:szCs w:val="24"/>
                <w:lang w:val="en-US" w:eastAsia="zh-CN" w:bidi="ar"/>
              </w:rPr>
              <w:t>、管理措施</w:t>
            </w:r>
          </w:p>
          <w:p>
            <w:pPr>
              <w:keepNext w:val="0"/>
              <w:keepLines w:val="0"/>
              <w:pageBreakBefore w:val="0"/>
              <w:widowControl/>
              <w:suppressLineNumbers w:val="0"/>
              <w:kinsoku/>
              <w:wordWrap/>
              <w:overflowPunct/>
              <w:topLinePunct w:val="0"/>
              <w:autoSpaceDE w:val="0"/>
              <w:autoSpaceDN w:val="0"/>
              <w:bidi w:val="0"/>
              <w:adjustRightInd/>
              <w:snapToGrid/>
              <w:spacing w:before="0" w:line="360" w:lineRule="auto"/>
              <w:ind w:left="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各类事故及非正常生产情况的发生大多数与操作管理不当有直接关系，因此必须建立健全一整套严格的管理制度。管理制度应在以下几个方面予以关注：</w:t>
            </w:r>
          </w:p>
          <w:p>
            <w:pPr>
              <w:keepNext w:val="0"/>
              <w:keepLines w:val="0"/>
              <w:pageBreakBefore w:val="0"/>
              <w:widowControl/>
              <w:suppressLineNumbers w:val="0"/>
              <w:kinsoku/>
              <w:wordWrap/>
              <w:overflowPunct/>
              <w:topLinePunct w:val="0"/>
              <w:autoSpaceDE w:val="0"/>
              <w:autoSpaceDN w:val="0"/>
              <w:bidi w:val="0"/>
              <w:adjustRightInd/>
              <w:snapToGrid/>
              <w:spacing w:before="0" w:line="360" w:lineRule="auto"/>
              <w:ind w:left="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①加强油罐与管道系统的管理与维修，使整个油品储存系统处于密闭化，严格防止跑、冒、滴、漏现象发生。</w:t>
            </w:r>
          </w:p>
          <w:p>
            <w:pPr>
              <w:keepNext w:val="0"/>
              <w:keepLines w:val="0"/>
              <w:pageBreakBefore w:val="0"/>
              <w:widowControl/>
              <w:suppressLineNumbers w:val="0"/>
              <w:kinsoku/>
              <w:wordWrap/>
              <w:overflowPunct/>
              <w:topLinePunct w:val="0"/>
              <w:autoSpaceDE w:val="0"/>
              <w:autoSpaceDN w:val="0"/>
              <w:bidi w:val="0"/>
              <w:adjustRightInd/>
              <w:snapToGrid/>
              <w:spacing w:before="0" w:line="360" w:lineRule="auto"/>
              <w:ind w:left="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②把每个工作人员在业务上、工作上与消防安全管理上的职责、责任明确起来。</w:t>
            </w:r>
          </w:p>
          <w:p>
            <w:pPr>
              <w:keepNext w:val="0"/>
              <w:keepLines w:val="0"/>
              <w:pageBreakBefore w:val="0"/>
              <w:widowControl/>
              <w:suppressLineNumbers w:val="0"/>
              <w:kinsoku/>
              <w:wordWrap/>
              <w:overflowPunct/>
              <w:topLinePunct w:val="0"/>
              <w:autoSpaceDE w:val="0"/>
              <w:autoSpaceDN w:val="0"/>
              <w:bidi w:val="0"/>
              <w:adjustRightInd/>
              <w:snapToGrid/>
              <w:spacing w:before="0" w:line="360" w:lineRule="auto"/>
              <w:ind w:left="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③对各储油罐、机电装置、安全设施、消防器材等，进行各种日常的、定期的、专业的防火安全检查，并将发现的问题落实到人、限期落实整改。</w:t>
            </w:r>
          </w:p>
          <w:p>
            <w:pPr>
              <w:keepNext w:val="0"/>
              <w:keepLines w:val="0"/>
              <w:pageBreakBefore w:val="0"/>
              <w:widowControl/>
              <w:suppressLineNumbers w:val="0"/>
              <w:kinsoku/>
              <w:wordWrap/>
              <w:overflowPunct/>
              <w:topLinePunct w:val="0"/>
              <w:autoSpaceDE w:val="0"/>
              <w:autoSpaceDN w:val="0"/>
              <w:bidi w:val="0"/>
              <w:adjustRightInd/>
              <w:snapToGrid/>
              <w:spacing w:before="0" w:line="360" w:lineRule="auto"/>
              <w:ind w:left="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④建立夜间值班巡查制度、火险报告制度、安全奖惩制度等。</w:t>
            </w:r>
          </w:p>
          <w:p>
            <w:pPr>
              <w:keepNext w:val="0"/>
              <w:keepLines w:val="0"/>
              <w:pageBreakBefore w:val="0"/>
              <w:widowControl/>
              <w:suppressLineNumbers w:val="0"/>
              <w:kinsoku/>
              <w:wordWrap/>
              <w:overflowPunct/>
              <w:topLinePunct w:val="0"/>
              <w:autoSpaceDE w:val="0"/>
              <w:autoSpaceDN w:val="0"/>
              <w:bidi w:val="0"/>
              <w:adjustRightInd/>
              <w:snapToGrid/>
              <w:spacing w:before="0" w:line="360" w:lineRule="auto"/>
              <w:ind w:left="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⑤建议建设单位委托有安全评价资质单位对本项目进行安全评价。</w:t>
            </w:r>
          </w:p>
          <w:p>
            <w:pPr>
              <w:keepNext w:val="0"/>
              <w:keepLines w:val="0"/>
              <w:widowControl/>
              <w:suppressLineNumbers w:val="0"/>
              <w:jc w:val="left"/>
            </w:pPr>
            <w:r>
              <w:rPr>
                <w:rFonts w:hint="default" w:ascii="Times New Roman" w:hAnsi="Times New Roman" w:eastAsia="宋体" w:cs="Times New Roman"/>
                <w:b/>
                <w:bCs/>
                <w:color w:val="000000"/>
                <w:kern w:val="0"/>
                <w:sz w:val="24"/>
                <w:szCs w:val="24"/>
                <w:lang w:val="en-US" w:eastAsia="zh-CN" w:bidi="ar"/>
              </w:rPr>
              <w:t>8</w:t>
            </w:r>
            <w:r>
              <w:rPr>
                <w:rFonts w:hint="eastAsia" w:ascii="宋体" w:hAnsi="宋体" w:eastAsia="宋体" w:cs="宋体"/>
                <w:b/>
                <w:bCs/>
                <w:color w:val="000000"/>
                <w:kern w:val="0"/>
                <w:sz w:val="24"/>
                <w:szCs w:val="24"/>
                <w:lang w:val="en-US" w:eastAsia="zh-CN" w:bidi="ar"/>
              </w:rPr>
              <w:t xml:space="preserve">、风险应急预案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由于自然灾害或人为原因，当事故灾害不可避免的时候，有效的应急救援行动是唯一可以抵御事故灾害蔓延和减缓灾害后果的有力措施。所以，如果在事故灾害发生前建立完善的应急救援系统，制定周密的救援计划，而在灾害发生的时候采取及时有效的应急救援行动，以及系统的恢复和善后处理，可以拯救生命、保护财产、保护环境。事故救援计划应包括以下内容：</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①应急救援系统的建立和组成；</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②应急救援计划的制定；</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③应急培训和演习；</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④应急救援行动；</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⑤现场清除与净化；</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⑥系统的恢复和善后处理。</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事故应急预案应包括以下几个方面：</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①停电时的应急预案；</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②易燃易爆物料</w:t>
            </w:r>
            <w:r>
              <w:rPr>
                <w:rFonts w:hint="default" w:ascii="Times New Roman" w:hAnsi="Times New Roman" w:eastAsia="宋体" w:cs="Times New Roman"/>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大量〉泄漏时的应急预案；</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③发生火灾时的应急预案；</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④发生爆炸时的应急预案；</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⑤发生人员中毒时的应急预案；</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⑥发生人员化学烧伤时的应急预案；</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⑦生产操作出现严重触电、高温烫伤伤害和严重机械伤害时的应急预案；</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fldChar w:fldCharType="begin"/>
            </w:r>
            <w:r>
              <w:rPr>
                <w:rFonts w:hint="eastAsia" w:ascii="宋体" w:hAnsi="宋体" w:eastAsia="宋体" w:cs="宋体"/>
                <w:color w:val="000000"/>
                <w:kern w:val="0"/>
                <w:sz w:val="24"/>
                <w:szCs w:val="24"/>
                <w:lang w:val="en-US" w:eastAsia="zh-CN" w:bidi="ar"/>
              </w:rPr>
              <w:instrText xml:space="preserve"> = 8 \* GB3 \* MERGEFORMAT </w:instrText>
            </w:r>
            <w:r>
              <w:rPr>
                <w:rFonts w:hint="eastAsia" w:ascii="宋体" w:hAnsi="宋体" w:eastAsia="宋体" w:cs="宋体"/>
                <w:color w:val="000000"/>
                <w:kern w:val="0"/>
                <w:sz w:val="24"/>
                <w:szCs w:val="24"/>
                <w:lang w:val="en-US" w:eastAsia="zh-CN" w:bidi="ar"/>
              </w:rPr>
              <w:fldChar w:fldCharType="separate"/>
            </w:r>
            <w:r>
              <w:t>⑧</w:t>
            </w:r>
            <w:r>
              <w:rPr>
                <w:rFonts w:hint="eastAsia" w:ascii="宋体" w:hAnsi="宋体" w:eastAsia="宋体" w:cs="宋体"/>
                <w:color w:val="000000"/>
                <w:kern w:val="0"/>
                <w:sz w:val="24"/>
                <w:szCs w:val="24"/>
                <w:lang w:val="en-US" w:eastAsia="zh-CN" w:bidi="ar"/>
              </w:rPr>
              <w:fldChar w:fldCharType="end"/>
            </w:r>
            <w:r>
              <w:rPr>
                <w:rFonts w:hint="eastAsia" w:ascii="宋体" w:hAnsi="宋体" w:eastAsia="宋体" w:cs="宋体"/>
                <w:color w:val="000000"/>
                <w:kern w:val="0"/>
                <w:sz w:val="24"/>
                <w:szCs w:val="24"/>
                <w:lang w:val="en-US" w:eastAsia="zh-CN" w:bidi="ar"/>
              </w:rPr>
              <w:t>生产操作控制出现异常情况时的应急预案；</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fldChar w:fldCharType="begin"/>
            </w:r>
            <w:r>
              <w:rPr>
                <w:rFonts w:hint="eastAsia" w:ascii="宋体" w:hAnsi="宋体" w:eastAsia="宋体" w:cs="宋体"/>
                <w:color w:val="000000"/>
                <w:kern w:val="0"/>
                <w:sz w:val="24"/>
                <w:szCs w:val="24"/>
                <w:lang w:val="en-US" w:eastAsia="zh-CN" w:bidi="ar"/>
              </w:rPr>
              <w:instrText xml:space="preserve"> = 9 \* GB3 \* MERGEFORMAT </w:instrText>
            </w:r>
            <w:r>
              <w:rPr>
                <w:rFonts w:hint="eastAsia" w:ascii="宋体" w:hAnsi="宋体" w:eastAsia="宋体" w:cs="宋体"/>
                <w:color w:val="000000"/>
                <w:kern w:val="0"/>
                <w:sz w:val="24"/>
                <w:szCs w:val="24"/>
                <w:lang w:val="en-US" w:eastAsia="zh-CN" w:bidi="ar"/>
              </w:rPr>
              <w:fldChar w:fldCharType="separate"/>
            </w:r>
            <w:r>
              <w:t>⑨</w:t>
            </w:r>
            <w:r>
              <w:rPr>
                <w:rFonts w:hint="eastAsia" w:ascii="宋体" w:hAnsi="宋体" w:eastAsia="宋体" w:cs="宋体"/>
                <w:color w:val="000000"/>
                <w:kern w:val="0"/>
                <w:sz w:val="24"/>
                <w:szCs w:val="24"/>
                <w:lang w:val="en-US" w:eastAsia="zh-CN" w:bidi="ar"/>
              </w:rPr>
              <w:fldChar w:fldCharType="end"/>
            </w:r>
            <w:r>
              <w:rPr>
                <w:rFonts w:hint="eastAsia" w:ascii="宋体" w:hAnsi="宋体" w:eastAsia="宋体" w:cs="宋体"/>
                <w:color w:val="000000"/>
                <w:kern w:val="0"/>
                <w:sz w:val="24"/>
                <w:szCs w:val="24"/>
                <w:lang w:val="en-US" w:eastAsia="zh-CN" w:bidi="ar"/>
              </w:rPr>
              <w:t>特殊气象条件和自然火灾时的应急预案。</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综上所述，通过采取以上安全防范措施和配备相应的应急预案及消防措施可以最大程度的减少风险事故的发生以及风险事故发生时造成的对环境和人身安全的伤害。该项目建成后，虽存在发生风险事故的可能，但概率很低，且由于其不属于重大危险源，发生环境风险事故的后果较小，在可以接受的范围内。</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2" w:firstLineChars="200"/>
              <w:jc w:val="left"/>
              <w:textAlignment w:val="auto"/>
              <w:rPr>
                <w:rFonts w:hint="eastAsia" w:ascii="宋体" w:hAnsi="宋体" w:eastAsia="宋体" w:cs="宋体"/>
                <w:b/>
                <w:bCs/>
                <w:color w:val="000000"/>
                <w:kern w:val="0"/>
                <w:sz w:val="24"/>
                <w:szCs w:val="24"/>
                <w:lang w:val="en-US" w:eastAsia="zh-CN" w:bidi="ar"/>
              </w:rPr>
            </w:pPr>
            <w:r>
              <w:rPr>
                <w:rFonts w:hint="eastAsia" w:ascii="宋体" w:hAnsi="宋体" w:eastAsia="宋体" w:cs="宋体"/>
                <w:b/>
                <w:bCs/>
                <w:color w:val="000000"/>
                <w:kern w:val="0"/>
                <w:sz w:val="24"/>
                <w:szCs w:val="24"/>
                <w:lang w:val="en-US" w:eastAsia="zh-CN" w:bidi="ar"/>
              </w:rPr>
              <w:t>四、清洁生产</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、清洁生产的内容</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清洁生产是将</w:t>
            </w:r>
            <w:r>
              <w:rPr>
                <w:rFonts w:hint="default"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预防污染</w:t>
            </w:r>
            <w:r>
              <w:rPr>
                <w:rFonts w:hint="default"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的方针持续应用于生产过程、产品和服务中，以减少对人体及环境的危害。因此，将清洁生产纳入环境影响评价工作中，使环境影响评价内容更加完善，在预防和控制污染方面发挥更大的作用。清洁生产追求的目标是在生产过程、产品的设计和开发以及服务过程中，充分提高效率，减少污染物的产生，从而达到环境效益和经济效益的协调统一，达到</w:t>
            </w:r>
            <w:r>
              <w:rPr>
                <w:rFonts w:hint="default"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可持续发展</w:t>
            </w:r>
            <w:r>
              <w:rPr>
                <w:rFonts w:hint="default"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的战略目标。发布的</w:t>
            </w:r>
            <w:r>
              <w:rPr>
                <w:rFonts w:hint="default"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关于印发国家环保局关于推行清洁生产若干意见的通知</w:t>
            </w:r>
            <w:r>
              <w:rPr>
                <w:rFonts w:hint="default"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中，明确提出建设项目的环境评价应包括清洁生产的内容，同时要求项目建议书阶段，要对工艺和产品是否符合清洁生产要求提出初步分析；项目可行性研究阶段，要对重点原料选用、生产工艺和技术改进、产品等方案进行分析，最大限度地减少技术和产品的环境风险；对于使用限期淘汰的落后工艺和设备，不符合清洁生产要求的建设项目，环境保护行政主管部门不得批准其立项，环境影响评价报告表所提出的清洁生产措施要与主体工程</w:t>
            </w:r>
            <w:r>
              <w:rPr>
                <w:rFonts w:hint="default"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同时设计，同时施工</w:t>
            </w:r>
            <w:r>
              <w:rPr>
                <w:rFonts w:hint="eastAsia"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同时投产</w:t>
            </w:r>
            <w:r>
              <w:rPr>
                <w:rFonts w:hint="default"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、原材料及产品</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本项目原材料主要为沥青、石子、碎石等，其主要原辅材料均无毒无害，符合国家的产业政策，符合清洁生产的要求。同时通过对提高原料进货把关能力，可杜绝不合格材料入厂。</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default" w:ascii="宋体" w:hAnsi="宋体" w:eastAsia="宋体" w:cs="宋体"/>
                <w:color w:val="000000"/>
                <w:kern w:val="0"/>
                <w:sz w:val="24"/>
                <w:szCs w:val="24"/>
                <w:lang w:val="en-US" w:eastAsia="zh-CN" w:bidi="ar"/>
              </w:rPr>
              <w:t>3</w:t>
            </w:r>
            <w:r>
              <w:rPr>
                <w:rFonts w:hint="eastAsia" w:ascii="宋体" w:hAnsi="宋体" w:eastAsia="宋体" w:cs="宋体"/>
                <w:color w:val="000000"/>
                <w:kern w:val="0"/>
                <w:sz w:val="24"/>
                <w:szCs w:val="24"/>
                <w:lang w:val="en-US" w:eastAsia="zh-CN" w:bidi="ar"/>
              </w:rPr>
              <w:t>、污染物指标</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①废水产生指标</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本项目生产工艺中不产生废水，只产生生活废水，生活废水经</w:t>
            </w:r>
            <w:r>
              <w:rPr>
                <w:rFonts w:hint="eastAsia"/>
                <w:color w:val="000000" w:themeColor="text1"/>
                <w:sz w:val="24"/>
                <w:lang w:val="en-US" w:eastAsia="zh-CN"/>
                <w14:textFill>
                  <w14:solidFill>
                    <w14:schemeClr w14:val="tx1"/>
                  </w14:solidFill>
                </w14:textFill>
              </w:rPr>
              <w:t>旱厕</w:t>
            </w:r>
            <w:r>
              <w:rPr>
                <w:rFonts w:hint="eastAsia" w:ascii="宋体" w:hAnsi="宋体" w:eastAsia="宋体" w:cs="宋体"/>
                <w:color w:val="000000"/>
                <w:kern w:val="0"/>
                <w:sz w:val="24"/>
                <w:szCs w:val="24"/>
                <w:lang w:val="en-US" w:eastAsia="zh-CN" w:bidi="ar"/>
              </w:rPr>
              <w:t>处理后用作农肥使用。</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②废气产生指标</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本项目生产过程中，工艺粉尘和沥青烟气经处理后能够达标排放。</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③噪声指标</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本项目噪声经采取降噪措施，厂界噪声可以达到《工业企业厂界环境噪声排放标准》（</w:t>
            </w:r>
            <w:r>
              <w:rPr>
                <w:rFonts w:hint="default" w:ascii="宋体" w:hAnsi="宋体" w:eastAsia="宋体" w:cs="宋体"/>
                <w:color w:val="000000"/>
                <w:kern w:val="0"/>
                <w:sz w:val="24"/>
                <w:szCs w:val="24"/>
                <w:lang w:val="en-US" w:eastAsia="zh-CN" w:bidi="ar"/>
              </w:rPr>
              <w:t>GBl2348-2008</w:t>
            </w:r>
            <w:r>
              <w:rPr>
                <w:rFonts w:hint="eastAsia" w:ascii="宋体" w:hAnsi="宋体" w:eastAsia="宋体" w:cs="宋体"/>
                <w:color w:val="000000"/>
                <w:kern w:val="0"/>
                <w:sz w:val="24"/>
                <w:szCs w:val="24"/>
                <w:lang w:val="en-US" w:eastAsia="zh-CN" w:bidi="ar"/>
              </w:rPr>
              <w:t>）</w:t>
            </w:r>
            <w:r>
              <w:rPr>
                <w:rFonts w:hint="eastAsia" w:cs="宋体"/>
                <w:color w:val="000000"/>
                <w:kern w:val="0"/>
                <w:sz w:val="24"/>
                <w:szCs w:val="24"/>
                <w:lang w:val="en-US" w:eastAsia="zh-CN" w:bidi="ar"/>
              </w:rPr>
              <w:t>3</w:t>
            </w:r>
            <w:r>
              <w:rPr>
                <w:rFonts w:hint="default" w:ascii="宋体" w:hAnsi="宋体" w:eastAsia="宋体" w:cs="宋体"/>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类标准。</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④固体废物产生指标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本项目固体废物全部合理处置，不产生二次污染。</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综上，本项目满足清洁生产要求。</w:t>
            </w:r>
          </w:p>
          <w:p>
            <w:pPr>
              <w:spacing w:line="520" w:lineRule="exact"/>
              <w:ind w:firstLine="482" w:firstLineChars="200"/>
              <w:rPr>
                <w:b/>
                <w:color w:val="auto"/>
                <w:sz w:val="24"/>
                <w:highlight w:val="none"/>
              </w:rPr>
            </w:pPr>
            <w:r>
              <w:rPr>
                <w:b/>
                <w:color w:val="auto"/>
                <w:sz w:val="24"/>
                <w:highlight w:val="none"/>
              </w:rPr>
              <w:t>10、环境管理</w:t>
            </w:r>
          </w:p>
          <w:p>
            <w:pPr>
              <w:pStyle w:val="3"/>
              <w:ind w:firstLine="480"/>
              <w:rPr>
                <w:color w:val="auto"/>
                <w:highlight w:val="none"/>
              </w:rPr>
            </w:pPr>
            <w:r>
              <w:rPr>
                <w:color w:val="auto"/>
                <w:highlight w:val="none"/>
              </w:rPr>
              <w:t>（1）环境管理</w:t>
            </w:r>
          </w:p>
          <w:p>
            <w:pPr>
              <w:pStyle w:val="3"/>
              <w:ind w:firstLine="480"/>
              <w:rPr>
                <w:color w:val="auto"/>
                <w:highlight w:val="none"/>
              </w:rPr>
            </w:pPr>
            <w:r>
              <w:rPr>
                <w:color w:val="auto"/>
                <w:highlight w:val="none"/>
              </w:rPr>
              <w:t>1）环境管理机构</w:t>
            </w:r>
          </w:p>
          <w:p>
            <w:pPr>
              <w:pStyle w:val="3"/>
              <w:ind w:firstLine="480"/>
              <w:rPr>
                <w:color w:val="auto"/>
                <w:highlight w:val="none"/>
              </w:rPr>
            </w:pPr>
            <w:r>
              <w:rPr>
                <w:color w:val="auto"/>
                <w:highlight w:val="none"/>
              </w:rPr>
              <w:t>建设项目的环境管理工作应由专门机构负责，由于该建设项目拟设置环保设施健全，所涉及的污染物不多，根据国家有关规定，该企业应设立1～3人的环境管理和监测机构，由</w:t>
            </w:r>
            <w:r>
              <w:rPr>
                <w:rFonts w:hint="eastAsia"/>
                <w:color w:val="auto"/>
                <w:highlight w:val="none"/>
                <w:lang w:val="en-US" w:eastAsia="zh-CN"/>
              </w:rPr>
              <w:t>主要负责人</w:t>
            </w:r>
            <w:r>
              <w:rPr>
                <w:color w:val="auto"/>
                <w:highlight w:val="none"/>
              </w:rPr>
              <w:t>直接领导，形成良好的环境管理体系，为加强环境管理提供组织保证，配合</w:t>
            </w:r>
            <w:r>
              <w:rPr>
                <w:rFonts w:hint="eastAsia"/>
                <w:color w:val="auto"/>
                <w:highlight w:val="none"/>
                <w:lang w:val="en-US" w:eastAsia="zh-CN"/>
              </w:rPr>
              <w:t>九龙</w:t>
            </w:r>
            <w:r>
              <w:rPr>
                <w:rFonts w:hint="eastAsia"/>
                <w:color w:val="auto"/>
                <w:highlight w:val="none"/>
                <w:lang w:eastAsia="zh-CN"/>
              </w:rPr>
              <w:t>县</w:t>
            </w:r>
            <w:r>
              <w:rPr>
                <w:color w:val="auto"/>
                <w:highlight w:val="none"/>
              </w:rPr>
              <w:t>生态环境局依法对企业进行环境监督、管理、考核，以及接受县生态环境局在具体业务上给予技术指导。</w:t>
            </w:r>
          </w:p>
          <w:p>
            <w:pPr>
              <w:pStyle w:val="3"/>
              <w:ind w:firstLine="480"/>
              <w:rPr>
                <w:color w:val="auto"/>
                <w:highlight w:val="none"/>
              </w:rPr>
            </w:pPr>
            <w:r>
              <w:rPr>
                <w:color w:val="auto"/>
                <w:highlight w:val="none"/>
              </w:rPr>
              <w:t>2）环境管理职责</w:t>
            </w:r>
          </w:p>
          <w:p>
            <w:pPr>
              <w:pStyle w:val="3"/>
              <w:ind w:firstLine="480"/>
              <w:rPr>
                <w:color w:val="auto"/>
                <w:highlight w:val="none"/>
              </w:rPr>
            </w:pPr>
            <w:r>
              <w:rPr>
                <w:rFonts w:hint="eastAsia" w:ascii="宋体" w:hAnsi="宋体" w:cs="宋体"/>
                <w:color w:val="auto"/>
                <w:highlight w:val="none"/>
              </w:rPr>
              <w:t>①</w:t>
            </w:r>
            <w:r>
              <w:rPr>
                <w:color w:val="auto"/>
                <w:highlight w:val="none"/>
              </w:rPr>
              <w:t>严格遵照国家和地方有关环境保护的方针、政策、法规、条例，如《中华人民共和国环境保护法》、《全国生态环境保护纲要》等，结合企业的实际情况，确定环境保护控制目标，制定环境保护发展规划和年度实施计划，建立环境保护制度，并组织、监督实施。</w:t>
            </w:r>
          </w:p>
          <w:p>
            <w:pPr>
              <w:pStyle w:val="3"/>
              <w:ind w:firstLine="480"/>
              <w:rPr>
                <w:color w:val="auto"/>
                <w:highlight w:val="none"/>
              </w:rPr>
            </w:pPr>
            <w:r>
              <w:rPr>
                <w:rFonts w:hint="eastAsia" w:ascii="宋体" w:hAnsi="宋体" w:cs="宋体"/>
                <w:color w:val="auto"/>
                <w:highlight w:val="none"/>
              </w:rPr>
              <w:t>②</w:t>
            </w:r>
            <w:r>
              <w:rPr>
                <w:color w:val="auto"/>
                <w:highlight w:val="none"/>
              </w:rPr>
              <w:t>安排组织员工的环保教育、培训和考核，提高员工的环保意识和环境法制观念；推广并应用先进的环境保护管理经验和污染治理技术，提高环保管理人员和监测人员的业务水平。</w:t>
            </w:r>
          </w:p>
          <w:p>
            <w:pPr>
              <w:pStyle w:val="3"/>
              <w:ind w:firstLine="480"/>
              <w:rPr>
                <w:color w:val="auto"/>
                <w:highlight w:val="none"/>
              </w:rPr>
            </w:pPr>
            <w:r>
              <w:rPr>
                <w:rFonts w:hint="eastAsia" w:ascii="宋体" w:hAnsi="宋体" w:cs="宋体"/>
                <w:color w:val="auto"/>
                <w:highlight w:val="none"/>
              </w:rPr>
              <w:t>③</w:t>
            </w:r>
            <w:r>
              <w:rPr>
                <w:color w:val="auto"/>
                <w:highlight w:val="none"/>
              </w:rPr>
              <w:t>组织与领导项目的环境监测和统计工作，掌握污染源动态，及时反馈生产操作系统，提出防治措施建议。搞好污染源总量控制，定期进行清洁生产审核。</w:t>
            </w:r>
          </w:p>
          <w:p>
            <w:pPr>
              <w:pStyle w:val="3"/>
              <w:ind w:firstLine="480"/>
              <w:rPr>
                <w:color w:val="auto"/>
                <w:highlight w:val="none"/>
              </w:rPr>
            </w:pPr>
            <w:r>
              <w:rPr>
                <w:rFonts w:hint="eastAsia" w:ascii="宋体" w:hAnsi="宋体" w:cs="宋体"/>
                <w:color w:val="auto"/>
                <w:highlight w:val="none"/>
              </w:rPr>
              <w:t>④</w:t>
            </w:r>
            <w:r>
              <w:rPr>
                <w:color w:val="auto"/>
                <w:highlight w:val="none"/>
              </w:rPr>
              <w:t>监督、检查环保设施、设备的运行及维护，建立环保设施运行档案。</w:t>
            </w:r>
          </w:p>
          <w:p>
            <w:pPr>
              <w:pStyle w:val="3"/>
              <w:ind w:firstLine="480"/>
              <w:rPr>
                <w:color w:val="auto"/>
                <w:highlight w:val="none"/>
              </w:rPr>
            </w:pPr>
            <w:r>
              <w:rPr>
                <w:rFonts w:hint="eastAsia" w:ascii="宋体" w:hAnsi="宋体" w:cs="宋体"/>
                <w:color w:val="auto"/>
                <w:highlight w:val="none"/>
              </w:rPr>
              <w:t>⑤</w:t>
            </w:r>
            <w:r>
              <w:rPr>
                <w:color w:val="auto"/>
                <w:highlight w:val="none"/>
              </w:rPr>
              <w:t>组织实施事故状态下防治污染产生及扩散的应急措施；调查处理项目内、外污染事故及纠纷。</w:t>
            </w:r>
          </w:p>
          <w:p>
            <w:pPr>
              <w:pStyle w:val="3"/>
              <w:ind w:firstLine="480"/>
              <w:rPr>
                <w:color w:val="auto"/>
                <w:highlight w:val="none"/>
              </w:rPr>
            </w:pPr>
            <w:r>
              <w:rPr>
                <w:rFonts w:hint="eastAsia" w:ascii="宋体" w:hAnsi="宋体" w:cs="宋体"/>
                <w:color w:val="auto"/>
                <w:highlight w:val="none"/>
              </w:rPr>
              <w:t>⑥</w:t>
            </w:r>
            <w:r>
              <w:rPr>
                <w:color w:val="auto"/>
                <w:highlight w:val="none"/>
              </w:rPr>
              <w:t>加强与地方环境保护管理部门的联系，使项目的环保工作纳入地方环保管理工作体系，在业务上接受检查和监督。</w:t>
            </w:r>
          </w:p>
          <w:p>
            <w:pPr>
              <w:pStyle w:val="3"/>
              <w:ind w:firstLine="480"/>
              <w:rPr>
                <w:color w:val="auto"/>
                <w:highlight w:val="none"/>
              </w:rPr>
            </w:pPr>
            <w:r>
              <w:rPr>
                <w:color w:val="auto"/>
                <w:highlight w:val="none"/>
              </w:rPr>
              <w:t>3）现场管理要求</w:t>
            </w:r>
          </w:p>
          <w:p>
            <w:pPr>
              <w:pStyle w:val="3"/>
              <w:ind w:firstLine="480"/>
              <w:rPr>
                <w:color w:val="auto"/>
                <w:highlight w:val="none"/>
              </w:rPr>
            </w:pPr>
            <w:r>
              <w:rPr>
                <w:rFonts w:hint="eastAsia" w:ascii="宋体" w:hAnsi="宋体" w:cs="宋体"/>
                <w:color w:val="auto"/>
                <w:highlight w:val="none"/>
              </w:rPr>
              <w:t>①</w:t>
            </w:r>
            <w:r>
              <w:rPr>
                <w:rFonts w:hint="eastAsia"/>
                <w:color w:val="auto"/>
                <w:highlight w:val="none"/>
                <w:lang w:val="en-US" w:eastAsia="zh-CN"/>
              </w:rPr>
              <w:t>站</w:t>
            </w:r>
            <w:r>
              <w:rPr>
                <w:color w:val="auto"/>
                <w:highlight w:val="none"/>
              </w:rPr>
              <w:t>内设置公示牌，明确项目生产规模、建设单位、环保设施设备等。</w:t>
            </w:r>
          </w:p>
          <w:p>
            <w:pPr>
              <w:pStyle w:val="3"/>
              <w:ind w:firstLine="480"/>
              <w:rPr>
                <w:color w:val="auto"/>
                <w:highlight w:val="none"/>
              </w:rPr>
            </w:pPr>
            <w:r>
              <w:rPr>
                <w:rFonts w:hint="eastAsia" w:ascii="宋体" w:hAnsi="宋体" w:cs="宋体"/>
                <w:color w:val="auto"/>
                <w:highlight w:val="none"/>
              </w:rPr>
              <w:t>②</w:t>
            </w:r>
            <w:r>
              <w:rPr>
                <w:color w:val="auto"/>
                <w:highlight w:val="none"/>
              </w:rPr>
              <w:t>加强运输车辆管理</w:t>
            </w:r>
            <w:r>
              <w:rPr>
                <w:rFonts w:hint="eastAsia"/>
                <w:color w:val="auto"/>
                <w:highlight w:val="none"/>
                <w:lang w:eastAsia="zh-CN"/>
              </w:rPr>
              <w:t>，</w:t>
            </w:r>
            <w:r>
              <w:rPr>
                <w:color w:val="auto"/>
                <w:highlight w:val="none"/>
              </w:rPr>
              <w:t>控制车辆速度，减少扬尘。</w:t>
            </w:r>
          </w:p>
          <w:p>
            <w:pPr>
              <w:pStyle w:val="3"/>
              <w:ind w:firstLine="480"/>
              <w:rPr>
                <w:color w:val="auto"/>
                <w:highlight w:val="none"/>
              </w:rPr>
            </w:pPr>
            <w:r>
              <w:rPr>
                <w:rFonts w:hint="eastAsia" w:ascii="宋体" w:hAnsi="宋体" w:cs="宋体"/>
                <w:color w:val="auto"/>
                <w:highlight w:val="none"/>
              </w:rPr>
              <w:t>③</w:t>
            </w:r>
            <w:r>
              <w:rPr>
                <w:color w:val="auto"/>
                <w:highlight w:val="none"/>
              </w:rPr>
              <w:t>设置安全宣传横幅，在有危险因素的生产场地和有关设施、设备上，设置明显的安全警示标志。</w:t>
            </w:r>
          </w:p>
          <w:p>
            <w:pPr>
              <w:pStyle w:val="3"/>
              <w:ind w:firstLine="480"/>
              <w:rPr>
                <w:color w:val="auto"/>
                <w:highlight w:val="none"/>
              </w:rPr>
            </w:pPr>
            <w:r>
              <w:rPr>
                <w:rFonts w:hint="eastAsia" w:ascii="宋体" w:hAnsi="宋体" w:cs="宋体"/>
                <w:color w:val="auto"/>
                <w:highlight w:val="none"/>
              </w:rPr>
              <w:t>④</w:t>
            </w:r>
            <w:r>
              <w:rPr>
                <w:color w:val="auto"/>
                <w:highlight w:val="none"/>
              </w:rPr>
              <w:t>危废暂存间、油库房门口设置标识、标志，专人负责管理，并做好防渗。</w:t>
            </w:r>
          </w:p>
          <w:p>
            <w:pPr>
              <w:pStyle w:val="3"/>
              <w:ind w:firstLine="480"/>
              <w:rPr>
                <w:color w:val="auto"/>
                <w:highlight w:val="none"/>
              </w:rPr>
            </w:pPr>
            <w:r>
              <w:rPr>
                <w:rFonts w:hint="eastAsia" w:ascii="宋体" w:hAnsi="宋体" w:cs="宋体"/>
                <w:color w:val="auto"/>
                <w:highlight w:val="none"/>
              </w:rPr>
              <w:t>⑤</w:t>
            </w:r>
            <w:r>
              <w:rPr>
                <w:rFonts w:hint="eastAsia"/>
                <w:color w:val="auto"/>
                <w:highlight w:val="none"/>
                <w:lang w:val="en-US" w:eastAsia="zh-CN"/>
              </w:rPr>
              <w:t>站</w:t>
            </w:r>
            <w:r>
              <w:rPr>
                <w:color w:val="auto"/>
                <w:highlight w:val="none"/>
              </w:rPr>
              <w:t>内及时清扫，并进行洒水降尘，保持清洁。</w:t>
            </w:r>
          </w:p>
          <w:p>
            <w:pPr>
              <w:pStyle w:val="3"/>
              <w:ind w:firstLine="480"/>
              <w:rPr>
                <w:color w:val="auto"/>
                <w:highlight w:val="none"/>
              </w:rPr>
            </w:pPr>
            <w:r>
              <w:rPr>
                <w:rFonts w:hint="eastAsia" w:ascii="宋体" w:hAnsi="宋体" w:cs="宋体"/>
                <w:color w:val="auto"/>
                <w:highlight w:val="none"/>
              </w:rPr>
              <w:t>⑥</w:t>
            </w:r>
            <w:r>
              <w:rPr>
                <w:color w:val="auto"/>
                <w:highlight w:val="none"/>
              </w:rPr>
              <w:t>根据四川省和</w:t>
            </w:r>
            <w:r>
              <w:rPr>
                <w:rFonts w:hint="eastAsia"/>
                <w:color w:val="auto"/>
                <w:highlight w:val="none"/>
                <w:lang w:val="en-US" w:eastAsia="zh-CN"/>
              </w:rPr>
              <w:t>雅江</w:t>
            </w:r>
            <w:r>
              <w:rPr>
                <w:rFonts w:hint="eastAsia"/>
                <w:color w:val="auto"/>
                <w:highlight w:val="none"/>
                <w:lang w:eastAsia="zh-CN"/>
              </w:rPr>
              <w:t>县</w:t>
            </w:r>
            <w:r>
              <w:rPr>
                <w:color w:val="auto"/>
                <w:highlight w:val="none"/>
              </w:rPr>
              <w:t>重污染天气应急预案的要求，根据不同的预案级别，制定限产停产及运输方案。</w:t>
            </w:r>
          </w:p>
          <w:p>
            <w:pPr>
              <w:pStyle w:val="15"/>
              <w:keepNext w:val="0"/>
              <w:keepLines w:val="0"/>
              <w:pageBreakBefore w:val="0"/>
              <w:kinsoku/>
              <w:wordWrap/>
              <w:overflowPunct/>
              <w:topLinePunct w:val="0"/>
              <w:autoSpaceDE w:val="0"/>
              <w:autoSpaceDN w:val="0"/>
              <w:bidi w:val="0"/>
              <w:adjustRightInd/>
              <w:snapToGrid/>
              <w:spacing w:before="0" w:line="360" w:lineRule="auto"/>
              <w:ind w:left="0" w:firstLine="440" w:firstLineChars="200"/>
              <w:textAlignment w:val="auto"/>
              <w:rPr>
                <w:sz w:val="21"/>
              </w:rPr>
            </w:pPr>
            <w:r>
              <w:rPr>
                <w:rFonts w:hint="eastAsia" w:ascii="宋体" w:hAnsi="宋体" w:cs="宋体"/>
                <w:color w:val="auto"/>
                <w:highlight w:val="none"/>
              </w:rPr>
              <w:t>⑦</w:t>
            </w:r>
            <w:r>
              <w:rPr>
                <w:color w:val="auto"/>
                <w:highlight w:val="none"/>
              </w:rPr>
              <w:t>对</w:t>
            </w:r>
            <w:r>
              <w:rPr>
                <w:rFonts w:hint="eastAsia"/>
                <w:color w:val="auto"/>
                <w:highlight w:val="none"/>
                <w:lang w:val="en-US" w:eastAsia="zh-CN"/>
              </w:rPr>
              <w:t>站</w:t>
            </w:r>
            <w:r>
              <w:rPr>
                <w:color w:val="auto"/>
                <w:highlight w:val="none"/>
              </w:rPr>
              <w:t>内的环保设施进行定期维护和检修，确保处理设施的正常运行。</w:t>
            </w:r>
          </w:p>
        </w:tc>
      </w:tr>
    </w:tbl>
    <w:p>
      <w:pPr>
        <w:spacing w:after="0"/>
        <w:rPr>
          <w:sz w:val="21"/>
        </w:rPr>
        <w:sectPr>
          <w:pgSz w:w="11910" w:h="16850"/>
          <w:pgMar w:top="1600" w:right="1320" w:bottom="1000" w:left="1340" w:header="0" w:footer="817" w:gutter="0"/>
          <w:pgBorders>
            <w:top w:val="none" w:sz="0" w:space="0"/>
            <w:left w:val="none" w:sz="0" w:space="0"/>
            <w:bottom w:val="none" w:sz="0" w:space="0"/>
            <w:right w:val="none" w:sz="0" w:space="0"/>
          </w:pgBorders>
          <w:pgNumType w:fmt="decimal"/>
          <w:cols w:space="720" w:num="1"/>
        </w:sectPr>
      </w:pPr>
    </w:p>
    <w:p>
      <w:pPr>
        <w:pStyle w:val="7"/>
        <w:spacing w:before="8"/>
        <w:rPr>
          <w:sz w:val="25"/>
        </w:rPr>
      </w:pPr>
    </w:p>
    <w:p>
      <w:pPr>
        <w:pStyle w:val="7"/>
        <w:spacing w:before="58"/>
        <w:ind w:left="635" w:right="653"/>
        <w:jc w:val="center"/>
      </w:pPr>
      <w:r>
        <mc:AlternateContent>
          <mc:Choice Requires="wps">
            <w:drawing>
              <wp:anchor distT="0" distB="0" distL="114300" distR="114300" simplePos="0" relativeHeight="251661312" behindDoc="1" locked="0" layoutInCell="1" allowOverlap="1">
                <wp:simplePos x="0" y="0"/>
                <wp:positionH relativeFrom="page">
                  <wp:posOffset>991870</wp:posOffset>
                </wp:positionH>
                <wp:positionV relativeFrom="paragraph">
                  <wp:posOffset>470535</wp:posOffset>
                </wp:positionV>
                <wp:extent cx="1119505" cy="345440"/>
                <wp:effectExtent l="1270" t="4445" r="3175" b="12065"/>
                <wp:wrapNone/>
                <wp:docPr id="1" name="直线 2"/>
                <wp:cNvGraphicFramePr/>
                <a:graphic xmlns:a="http://schemas.openxmlformats.org/drawingml/2006/main">
                  <a:graphicData uri="http://schemas.microsoft.com/office/word/2010/wordprocessingShape">
                    <wps:wsp>
                      <wps:cNvCnPr/>
                      <wps:spPr>
                        <a:xfrm>
                          <a:off x="0" y="0"/>
                          <a:ext cx="1119505" cy="34544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78.1pt;margin-top:37.05pt;height:27.2pt;width:88.15pt;mso-position-horizontal-relative:page;z-index:-251655168;mso-width-relative:page;mso-height-relative:page;" filled="f" stroked="t" coordsize="21600,21600" o:gfxdata="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3CYZtkAAAAKAQAADwAAAAAAAAABACAAAAAiAAAAZHJzL2Rvd25yZXYueG1sUEsBAhQAFAAA&#10;AAgAh07iQJVHi23uAQAA4AMAAA4AAAAAAAAAAQAgAAAAKAEAAGRycy9lMm9Eb2MueG1sUEsFBgAA&#10;AAAGAAYAWQEAAIgFAAAAAA==&#10;">
                <v:fill on="f" focussize="0,0"/>
                <v:stroke weight="0.48pt" color="#000000" joinstyle="round"/>
                <v:imagedata o:title=""/>
                <o:lock v:ext="edit" aspectratio="f"/>
              </v:line>
            </w:pict>
          </mc:Fallback>
        </mc:AlternateContent>
      </w:r>
      <w:r>
        <w:t>五、环境保护措施监督检查清单</w:t>
      </w:r>
    </w:p>
    <w:p>
      <w:pPr>
        <w:pStyle w:val="7"/>
        <w:spacing w:before="11" w:after="1"/>
        <w:rPr>
          <w:sz w:val="21"/>
        </w:rPr>
      </w:pPr>
    </w:p>
    <w:tbl>
      <w:tblPr>
        <w:tblStyle w:val="11"/>
        <w:tblW w:w="0" w:type="auto"/>
        <w:tblInd w:w="22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551"/>
        <w:gridCol w:w="1982"/>
        <w:gridCol w:w="1757"/>
        <w:gridCol w:w="1754"/>
        <w:gridCol w:w="17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trPr>
        <w:tc>
          <w:tcPr>
            <w:tcW w:w="1551" w:type="dxa"/>
            <w:tcBorders>
              <w:bottom w:val="single" w:color="000000" w:sz="4" w:space="0"/>
              <w:right w:val="single" w:color="000000" w:sz="4" w:space="0"/>
            </w:tcBorders>
          </w:tcPr>
          <w:p>
            <w:pPr>
              <w:pStyle w:val="15"/>
              <w:spacing w:before="3"/>
              <w:ind w:left="947"/>
              <w:rPr>
                <w:color w:val="auto"/>
                <w:sz w:val="24"/>
                <w:szCs w:val="24"/>
                <w:highlight w:val="none"/>
              </w:rPr>
            </w:pPr>
            <w:r>
              <w:rPr>
                <w:color w:val="auto"/>
                <w:sz w:val="24"/>
                <w:szCs w:val="24"/>
                <w:highlight w:val="none"/>
              </w:rPr>
              <w:t xml:space="preserve">内容 </w:t>
            </w:r>
          </w:p>
          <w:p>
            <w:pPr>
              <w:pStyle w:val="15"/>
              <w:spacing w:before="2" w:line="250" w:lineRule="exact"/>
              <w:ind w:left="107"/>
              <w:rPr>
                <w:color w:val="auto"/>
                <w:sz w:val="24"/>
                <w:szCs w:val="24"/>
                <w:highlight w:val="none"/>
              </w:rPr>
            </w:pPr>
            <w:r>
              <w:rPr>
                <w:color w:val="auto"/>
                <w:sz w:val="24"/>
                <w:szCs w:val="24"/>
                <w:highlight w:val="none"/>
              </w:rPr>
              <w:t xml:space="preserve">要素 </w:t>
            </w:r>
          </w:p>
        </w:tc>
        <w:tc>
          <w:tcPr>
            <w:tcW w:w="1982" w:type="dxa"/>
            <w:tcBorders>
              <w:left w:val="single" w:color="000000" w:sz="4" w:space="0"/>
              <w:bottom w:val="single" w:color="000000" w:sz="4" w:space="0"/>
              <w:right w:val="single" w:color="000000" w:sz="4" w:space="0"/>
            </w:tcBorders>
          </w:tcPr>
          <w:p>
            <w:pPr>
              <w:pStyle w:val="15"/>
              <w:spacing w:before="2" w:line="270" w:lineRule="atLeast"/>
              <w:ind w:left="252" w:right="71" w:hanging="53"/>
              <w:rPr>
                <w:color w:val="auto"/>
                <w:sz w:val="24"/>
                <w:szCs w:val="24"/>
                <w:highlight w:val="none"/>
              </w:rPr>
            </w:pPr>
            <w:r>
              <w:rPr>
                <w:color w:val="auto"/>
                <w:sz w:val="24"/>
                <w:szCs w:val="24"/>
                <w:highlight w:val="none"/>
              </w:rPr>
              <w:t xml:space="preserve">排放口(编号、名称)/污染源 </w:t>
            </w:r>
          </w:p>
        </w:tc>
        <w:tc>
          <w:tcPr>
            <w:tcW w:w="1757" w:type="dxa"/>
            <w:tcBorders>
              <w:left w:val="single" w:color="000000" w:sz="4" w:space="0"/>
              <w:bottom w:val="single" w:color="000000" w:sz="4" w:space="0"/>
              <w:right w:val="single" w:color="000000" w:sz="4" w:space="0"/>
            </w:tcBorders>
          </w:tcPr>
          <w:p>
            <w:pPr>
              <w:pStyle w:val="15"/>
              <w:spacing w:before="137"/>
              <w:ind w:left="388" w:right="268"/>
              <w:jc w:val="center"/>
              <w:rPr>
                <w:color w:val="auto"/>
                <w:sz w:val="24"/>
                <w:szCs w:val="24"/>
                <w:highlight w:val="none"/>
              </w:rPr>
            </w:pPr>
            <w:r>
              <w:rPr>
                <w:color w:val="auto"/>
                <w:sz w:val="24"/>
                <w:szCs w:val="24"/>
                <w:highlight w:val="none"/>
              </w:rPr>
              <w:t xml:space="preserve">污染物项目 </w:t>
            </w:r>
          </w:p>
        </w:tc>
        <w:tc>
          <w:tcPr>
            <w:tcW w:w="1754" w:type="dxa"/>
            <w:tcBorders>
              <w:left w:val="single" w:color="000000" w:sz="4" w:space="0"/>
              <w:bottom w:val="single" w:color="000000" w:sz="4" w:space="0"/>
              <w:right w:val="single" w:color="000000" w:sz="4" w:space="0"/>
            </w:tcBorders>
          </w:tcPr>
          <w:p>
            <w:pPr>
              <w:pStyle w:val="15"/>
              <w:spacing w:before="137"/>
              <w:ind w:left="282" w:right="161"/>
              <w:jc w:val="center"/>
              <w:rPr>
                <w:color w:val="auto"/>
                <w:sz w:val="24"/>
                <w:szCs w:val="24"/>
                <w:highlight w:val="none"/>
              </w:rPr>
            </w:pPr>
            <w:r>
              <w:rPr>
                <w:color w:val="auto"/>
                <w:sz w:val="24"/>
                <w:szCs w:val="24"/>
                <w:highlight w:val="none"/>
              </w:rPr>
              <w:t xml:space="preserve">环境保护措施 </w:t>
            </w:r>
          </w:p>
        </w:tc>
        <w:tc>
          <w:tcPr>
            <w:tcW w:w="1757" w:type="dxa"/>
            <w:tcBorders>
              <w:left w:val="single" w:color="000000" w:sz="4" w:space="0"/>
              <w:bottom w:val="single" w:color="000000" w:sz="4" w:space="0"/>
            </w:tcBorders>
          </w:tcPr>
          <w:p>
            <w:pPr>
              <w:pStyle w:val="15"/>
              <w:spacing w:before="137"/>
              <w:ind w:left="497" w:right="365"/>
              <w:jc w:val="center"/>
              <w:rPr>
                <w:color w:val="auto"/>
                <w:sz w:val="24"/>
                <w:szCs w:val="24"/>
                <w:highlight w:val="none"/>
              </w:rPr>
            </w:pPr>
            <w:r>
              <w:rPr>
                <w:color w:val="auto"/>
                <w:sz w:val="24"/>
                <w:szCs w:val="24"/>
                <w:highlight w:val="none"/>
              </w:rPr>
              <w:t xml:space="preserve">执行标准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6" w:hRule="atLeast"/>
        </w:trPr>
        <w:tc>
          <w:tcPr>
            <w:tcW w:w="1551" w:type="dxa"/>
            <w:vMerge w:val="restart"/>
            <w:tcBorders>
              <w:top w:val="single" w:color="000000" w:sz="4" w:space="0"/>
              <w:right w:val="single" w:color="000000" w:sz="4" w:space="0"/>
            </w:tcBorders>
          </w:tcPr>
          <w:p>
            <w:pPr>
              <w:pStyle w:val="15"/>
              <w:rPr>
                <w:rFonts w:ascii="黑体"/>
                <w:color w:val="auto"/>
                <w:sz w:val="24"/>
                <w:szCs w:val="24"/>
                <w:highlight w:val="none"/>
              </w:rPr>
            </w:pPr>
          </w:p>
          <w:p>
            <w:pPr>
              <w:pStyle w:val="15"/>
              <w:spacing w:before="2"/>
              <w:rPr>
                <w:rFonts w:ascii="黑体"/>
                <w:color w:val="auto"/>
                <w:sz w:val="24"/>
                <w:szCs w:val="24"/>
                <w:highlight w:val="none"/>
              </w:rPr>
            </w:pPr>
          </w:p>
          <w:p>
            <w:pPr>
              <w:pStyle w:val="15"/>
              <w:ind w:left="467"/>
              <w:rPr>
                <w:color w:val="auto"/>
                <w:sz w:val="24"/>
                <w:szCs w:val="24"/>
                <w:highlight w:val="none"/>
              </w:rPr>
            </w:pPr>
          </w:p>
          <w:p>
            <w:pPr>
              <w:pStyle w:val="15"/>
              <w:ind w:left="467"/>
              <w:rPr>
                <w:color w:val="auto"/>
                <w:sz w:val="24"/>
                <w:szCs w:val="24"/>
                <w:highlight w:val="none"/>
              </w:rPr>
            </w:pPr>
          </w:p>
          <w:p>
            <w:pPr>
              <w:pStyle w:val="15"/>
              <w:ind w:left="467"/>
              <w:rPr>
                <w:color w:val="auto"/>
                <w:sz w:val="24"/>
                <w:szCs w:val="24"/>
                <w:highlight w:val="none"/>
              </w:rPr>
            </w:pPr>
          </w:p>
          <w:p>
            <w:pPr>
              <w:pStyle w:val="15"/>
              <w:ind w:left="467"/>
              <w:rPr>
                <w:color w:val="auto"/>
                <w:sz w:val="24"/>
                <w:szCs w:val="24"/>
                <w:highlight w:val="none"/>
              </w:rPr>
            </w:pPr>
          </w:p>
          <w:p>
            <w:pPr>
              <w:pStyle w:val="15"/>
              <w:ind w:left="467"/>
              <w:rPr>
                <w:color w:val="auto"/>
                <w:sz w:val="24"/>
                <w:szCs w:val="24"/>
                <w:highlight w:val="none"/>
              </w:rPr>
            </w:pPr>
          </w:p>
          <w:p>
            <w:pPr>
              <w:pStyle w:val="15"/>
              <w:ind w:left="467"/>
              <w:rPr>
                <w:color w:val="auto"/>
                <w:sz w:val="24"/>
                <w:szCs w:val="24"/>
                <w:highlight w:val="none"/>
              </w:rPr>
            </w:pPr>
          </w:p>
          <w:p>
            <w:pPr>
              <w:pStyle w:val="15"/>
              <w:ind w:left="467"/>
              <w:rPr>
                <w:color w:val="auto"/>
                <w:sz w:val="24"/>
                <w:szCs w:val="24"/>
                <w:highlight w:val="none"/>
              </w:rPr>
            </w:pPr>
          </w:p>
          <w:p>
            <w:pPr>
              <w:pStyle w:val="15"/>
              <w:ind w:left="467"/>
              <w:rPr>
                <w:color w:val="auto"/>
                <w:sz w:val="24"/>
                <w:szCs w:val="24"/>
                <w:highlight w:val="none"/>
              </w:rPr>
            </w:pPr>
          </w:p>
          <w:p>
            <w:pPr>
              <w:pStyle w:val="15"/>
              <w:ind w:left="467"/>
              <w:rPr>
                <w:color w:val="auto"/>
                <w:sz w:val="24"/>
                <w:szCs w:val="24"/>
                <w:highlight w:val="none"/>
              </w:rPr>
            </w:pPr>
          </w:p>
          <w:p>
            <w:pPr>
              <w:pStyle w:val="15"/>
              <w:ind w:left="467"/>
              <w:rPr>
                <w:color w:val="auto"/>
                <w:sz w:val="24"/>
                <w:szCs w:val="24"/>
                <w:highlight w:val="none"/>
              </w:rPr>
            </w:pPr>
          </w:p>
          <w:p>
            <w:pPr>
              <w:pStyle w:val="15"/>
              <w:ind w:left="467"/>
              <w:rPr>
                <w:color w:val="auto"/>
                <w:sz w:val="24"/>
                <w:szCs w:val="24"/>
                <w:highlight w:val="none"/>
              </w:rPr>
            </w:pPr>
            <w:r>
              <w:rPr>
                <w:color w:val="auto"/>
                <w:sz w:val="24"/>
                <w:szCs w:val="24"/>
                <w:highlight w:val="none"/>
              </w:rPr>
              <w:t xml:space="preserve">大气环境 </w:t>
            </w:r>
          </w:p>
        </w:tc>
        <w:tc>
          <w:tcPr>
            <w:tcW w:w="19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0" w:leftChars="0" w:right="0" w:rightChars="0"/>
              <w:jc w:val="center"/>
              <w:rPr>
                <w:color w:val="auto"/>
                <w:sz w:val="21"/>
                <w:highlight w:val="none"/>
              </w:rPr>
            </w:pPr>
            <w:r>
              <w:rPr>
                <w:rFonts w:hint="eastAsia" w:ascii="Times New Roman" w:hAnsi="Times New Roman" w:eastAsia="宋体" w:cs="宋体"/>
                <w:color w:val="auto"/>
                <w:sz w:val="24"/>
                <w:szCs w:val="21"/>
                <w:highlight w:val="none"/>
                <w:lang w:val="en-US" w:eastAsia="zh-CN"/>
              </w:rPr>
              <w:t>无组织排放（</w:t>
            </w:r>
            <w:r>
              <w:rPr>
                <w:rFonts w:ascii="Times New Roman" w:hAnsi="Times New Roman" w:eastAsia="宋体"/>
                <w:color w:val="auto"/>
                <w:sz w:val="24"/>
                <w:szCs w:val="21"/>
                <w:highlight w:val="none"/>
              </w:rPr>
              <w:t>车辆运输</w:t>
            </w:r>
            <w:r>
              <w:rPr>
                <w:rFonts w:hint="eastAsia" w:ascii="Times New Roman" w:hAnsi="Times New Roman" w:eastAsia="宋体"/>
                <w:color w:val="auto"/>
                <w:sz w:val="24"/>
                <w:szCs w:val="21"/>
                <w:highlight w:val="none"/>
                <w:lang w:eastAsia="zh-CN"/>
              </w:rPr>
              <w:t>、</w:t>
            </w:r>
            <w:r>
              <w:rPr>
                <w:rFonts w:ascii="Times New Roman" w:hAnsi="Times New Roman" w:eastAsia="宋体"/>
                <w:color w:val="auto"/>
                <w:sz w:val="24"/>
                <w:szCs w:val="21"/>
                <w:highlight w:val="none"/>
              </w:rPr>
              <w:t>骨料堆场、冷料仓上料</w:t>
            </w:r>
            <w:r>
              <w:rPr>
                <w:rFonts w:hint="eastAsia" w:ascii="Times New Roman" w:hAnsi="Times New Roman" w:eastAsia="宋体"/>
                <w:color w:val="auto"/>
                <w:sz w:val="24"/>
                <w:szCs w:val="21"/>
                <w:highlight w:val="none"/>
                <w:lang w:eastAsia="zh-CN"/>
              </w:rPr>
              <w:t>、</w:t>
            </w:r>
            <w:r>
              <w:rPr>
                <w:rFonts w:ascii="Times New Roman" w:hAnsi="Times New Roman" w:eastAsia="宋体"/>
                <w:color w:val="auto"/>
                <w:sz w:val="24"/>
                <w:szCs w:val="21"/>
                <w:highlight w:val="none"/>
              </w:rPr>
              <w:t>矿粉仓</w:t>
            </w:r>
            <w:r>
              <w:rPr>
                <w:rFonts w:hint="eastAsia" w:ascii="Times New Roman" w:hAnsi="Times New Roman" w:eastAsia="宋体" w:cs="宋体"/>
                <w:color w:val="auto"/>
                <w:sz w:val="24"/>
                <w:szCs w:val="21"/>
                <w:highlight w:val="none"/>
                <w:lang w:val="en-US" w:eastAsia="zh-CN"/>
              </w:rPr>
              <w:t>）</w:t>
            </w:r>
          </w:p>
        </w:tc>
        <w:tc>
          <w:tcPr>
            <w:tcW w:w="175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0" w:leftChars="0" w:right="0" w:rightChars="0"/>
              <w:jc w:val="center"/>
              <w:rPr>
                <w:color w:val="auto"/>
                <w:sz w:val="21"/>
                <w:highlight w:val="none"/>
              </w:rPr>
            </w:pPr>
            <w:r>
              <w:rPr>
                <w:rFonts w:hint="eastAsia" w:ascii="Times New Roman" w:hAnsi="Times New Roman" w:eastAsia="宋体" w:cs="宋体"/>
                <w:color w:val="auto"/>
                <w:sz w:val="24"/>
                <w:szCs w:val="21"/>
                <w:highlight w:val="none"/>
                <w:lang w:val="en-US" w:eastAsia="zh-CN"/>
              </w:rPr>
              <w:t>粉尘</w:t>
            </w:r>
          </w:p>
        </w:tc>
        <w:tc>
          <w:tcPr>
            <w:tcW w:w="17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0" w:leftChars="0" w:right="0" w:rightChars="0"/>
              <w:jc w:val="center"/>
              <w:rPr>
                <w:color w:val="auto"/>
                <w:sz w:val="21"/>
                <w:highlight w:val="none"/>
              </w:rPr>
            </w:pPr>
            <w:r>
              <w:rPr>
                <w:rFonts w:ascii="Times New Roman" w:hAnsi="Times New Roman" w:eastAsia="宋体"/>
                <w:color w:val="auto"/>
                <w:sz w:val="24"/>
                <w:szCs w:val="21"/>
                <w:highlight w:val="none"/>
              </w:rPr>
              <w:t>篷布遮盖，道路硬化，洒水降尘</w:t>
            </w:r>
          </w:p>
        </w:tc>
        <w:tc>
          <w:tcPr>
            <w:tcW w:w="1757" w:type="dxa"/>
            <w:tcBorders>
              <w:top w:val="single" w:color="000000" w:sz="4" w:space="0"/>
              <w:left w:val="single" w:color="000000" w:sz="4" w:space="0"/>
              <w:bottom w:val="single" w:color="000000" w:sz="4" w:space="0"/>
            </w:tcBorders>
            <w:vAlign w:val="center"/>
          </w:tcPr>
          <w:p>
            <w:pPr>
              <w:adjustRightInd w:val="0"/>
              <w:snapToGrid w:val="0"/>
              <w:ind w:left="0" w:leftChars="0" w:right="0" w:rightChars="0"/>
              <w:jc w:val="center"/>
              <w:rPr>
                <w:color w:val="auto"/>
                <w:sz w:val="21"/>
                <w:highlight w:val="none"/>
              </w:rPr>
            </w:pPr>
            <w:r>
              <w:rPr>
                <w:rFonts w:ascii="Times New Roman" w:hAnsi="Times New Roman" w:eastAsia="宋体"/>
                <w:color w:val="auto"/>
                <w:sz w:val="24"/>
                <w:szCs w:val="21"/>
                <w:highlight w:val="none"/>
              </w:rPr>
              <w:t>《大气污染物综合排放标准》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551" w:type="dxa"/>
            <w:vMerge w:val="continue"/>
            <w:tcBorders>
              <w:right w:val="single" w:color="000000" w:sz="4" w:space="0"/>
            </w:tcBorders>
          </w:tcPr>
          <w:p>
            <w:pPr>
              <w:rPr>
                <w:color w:val="auto"/>
                <w:sz w:val="24"/>
                <w:szCs w:val="24"/>
                <w:highlight w:val="none"/>
              </w:rPr>
            </w:pPr>
          </w:p>
        </w:tc>
        <w:tc>
          <w:tcPr>
            <w:tcW w:w="19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0" w:leftChars="0" w:right="0" w:rightChars="0"/>
              <w:jc w:val="center"/>
              <w:rPr>
                <w:color w:val="auto"/>
                <w:sz w:val="21"/>
                <w:highlight w:val="none"/>
              </w:rPr>
            </w:pPr>
            <w:r>
              <w:rPr>
                <w:rFonts w:hint="eastAsia" w:ascii="Times New Roman" w:hAnsi="Times New Roman" w:eastAsia="宋体" w:cs="宋体"/>
                <w:color w:val="auto"/>
                <w:sz w:val="24"/>
                <w:szCs w:val="21"/>
                <w:highlight w:val="none"/>
                <w:lang w:val="en-US" w:eastAsia="zh-CN"/>
              </w:rPr>
              <w:t>排气筒（</w:t>
            </w:r>
            <w:r>
              <w:rPr>
                <w:rFonts w:ascii="Times New Roman" w:hAnsi="Times New Roman" w:eastAsia="宋体"/>
                <w:color w:val="auto"/>
                <w:sz w:val="24"/>
                <w:szCs w:val="21"/>
                <w:highlight w:val="none"/>
              </w:rPr>
              <w:t>烘干滚筒燃烧器</w:t>
            </w:r>
            <w:r>
              <w:rPr>
                <w:rFonts w:hint="eastAsia" w:ascii="Times New Roman" w:hAnsi="Times New Roman" w:eastAsia="宋体"/>
                <w:color w:val="auto"/>
                <w:sz w:val="24"/>
                <w:szCs w:val="21"/>
                <w:highlight w:val="none"/>
                <w:lang w:eastAsia="zh-CN"/>
              </w:rPr>
              <w:t>、</w:t>
            </w:r>
            <w:r>
              <w:rPr>
                <w:rFonts w:ascii="Times New Roman" w:hAnsi="Times New Roman" w:eastAsia="宋体"/>
                <w:color w:val="auto"/>
                <w:sz w:val="24"/>
                <w:szCs w:val="21"/>
                <w:highlight w:val="none"/>
              </w:rPr>
              <w:t>烘干滚筒及筛分</w:t>
            </w:r>
            <w:r>
              <w:rPr>
                <w:rFonts w:hint="eastAsia" w:ascii="Times New Roman" w:hAnsi="Times New Roman" w:eastAsia="宋体" w:cs="宋体"/>
                <w:color w:val="auto"/>
                <w:sz w:val="24"/>
                <w:szCs w:val="21"/>
                <w:highlight w:val="none"/>
                <w:lang w:val="en-US" w:eastAsia="zh-CN"/>
              </w:rPr>
              <w:t>）</w:t>
            </w:r>
          </w:p>
        </w:tc>
        <w:tc>
          <w:tcPr>
            <w:tcW w:w="175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0" w:leftChars="0" w:right="0" w:rightChars="0"/>
              <w:jc w:val="center"/>
              <w:rPr>
                <w:color w:val="auto"/>
                <w:sz w:val="21"/>
                <w:highlight w:val="none"/>
              </w:rPr>
            </w:pPr>
            <w:r>
              <w:rPr>
                <w:rFonts w:ascii="Times New Roman" w:hAnsi="Times New Roman" w:eastAsia="宋体"/>
                <w:color w:val="auto"/>
                <w:sz w:val="24"/>
                <w:szCs w:val="21"/>
                <w:highlight w:val="none"/>
              </w:rPr>
              <w:t>SO</w:t>
            </w:r>
            <w:r>
              <w:rPr>
                <w:rFonts w:ascii="Times New Roman" w:hAnsi="Times New Roman" w:eastAsia="宋体"/>
                <w:color w:val="auto"/>
                <w:sz w:val="24"/>
                <w:szCs w:val="21"/>
                <w:highlight w:val="none"/>
                <w:vertAlign w:val="subscript"/>
              </w:rPr>
              <w:t>2</w:t>
            </w:r>
            <w:r>
              <w:rPr>
                <w:rFonts w:hint="eastAsia" w:ascii="Times New Roman" w:hAnsi="Times New Roman" w:eastAsia="宋体"/>
                <w:color w:val="auto"/>
                <w:sz w:val="24"/>
                <w:szCs w:val="21"/>
                <w:highlight w:val="none"/>
                <w:vertAlign w:val="subscript"/>
                <w:lang w:eastAsia="zh-CN"/>
              </w:rPr>
              <w:t>、</w:t>
            </w:r>
            <w:r>
              <w:rPr>
                <w:rFonts w:ascii="Times New Roman" w:hAnsi="Times New Roman" w:eastAsia="宋体"/>
                <w:color w:val="auto"/>
                <w:sz w:val="24"/>
                <w:szCs w:val="21"/>
                <w:highlight w:val="none"/>
              </w:rPr>
              <w:t>NO</w:t>
            </w:r>
            <w:r>
              <w:rPr>
                <w:rFonts w:ascii="Times New Roman" w:hAnsi="Times New Roman" w:eastAsia="宋体"/>
                <w:color w:val="auto"/>
                <w:sz w:val="24"/>
                <w:szCs w:val="21"/>
                <w:highlight w:val="none"/>
                <w:vertAlign w:val="subscript"/>
              </w:rPr>
              <w:t>x</w:t>
            </w:r>
            <w:r>
              <w:rPr>
                <w:rFonts w:hint="eastAsia" w:ascii="Times New Roman" w:hAnsi="Times New Roman" w:eastAsia="宋体"/>
                <w:color w:val="auto"/>
                <w:sz w:val="24"/>
                <w:szCs w:val="21"/>
                <w:highlight w:val="none"/>
                <w:vertAlign w:val="subscript"/>
                <w:lang w:eastAsia="zh-CN"/>
              </w:rPr>
              <w:t>、</w:t>
            </w:r>
            <w:r>
              <w:rPr>
                <w:rFonts w:ascii="Times New Roman" w:hAnsi="Times New Roman" w:eastAsia="宋体"/>
                <w:color w:val="auto"/>
                <w:sz w:val="24"/>
                <w:szCs w:val="21"/>
                <w:highlight w:val="none"/>
              </w:rPr>
              <w:t>粉尘</w:t>
            </w:r>
          </w:p>
        </w:tc>
        <w:tc>
          <w:tcPr>
            <w:tcW w:w="17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0" w:leftChars="0" w:right="0" w:rightChars="0"/>
              <w:jc w:val="center"/>
              <w:rPr>
                <w:color w:val="auto"/>
                <w:sz w:val="21"/>
                <w:highlight w:val="none"/>
              </w:rPr>
            </w:pPr>
            <w:r>
              <w:rPr>
                <w:rFonts w:hint="eastAsia"/>
                <w:color w:val="auto"/>
                <w:sz w:val="24"/>
                <w:szCs w:val="21"/>
                <w:highlight w:val="none"/>
                <w:lang w:val="en-US" w:eastAsia="zh-CN"/>
              </w:rPr>
              <w:t>低氮燃烧器，蜗牛惯性</w:t>
            </w:r>
            <w:r>
              <w:rPr>
                <w:rFonts w:ascii="Times New Roman" w:hAnsi="Times New Roman" w:eastAsia="宋体"/>
                <w:color w:val="auto"/>
                <w:sz w:val="24"/>
                <w:szCs w:val="21"/>
                <w:highlight w:val="none"/>
              </w:rPr>
              <w:t>除尘+</w:t>
            </w:r>
            <w:r>
              <w:rPr>
                <w:rFonts w:hint="eastAsia" w:ascii="Times New Roman" w:hAnsi="Times New Roman"/>
                <w:color w:val="auto"/>
                <w:sz w:val="24"/>
                <w:szCs w:val="21"/>
                <w:highlight w:val="none"/>
                <w:lang w:val="en-US" w:eastAsia="zh-CN"/>
              </w:rPr>
              <w:t>二级</w:t>
            </w:r>
            <w:r>
              <w:rPr>
                <w:rFonts w:ascii="Times New Roman" w:hAnsi="Times New Roman" w:eastAsia="宋体"/>
                <w:color w:val="auto"/>
                <w:sz w:val="24"/>
                <w:szCs w:val="21"/>
                <w:highlight w:val="none"/>
              </w:rPr>
              <w:t>布袋除尘+</w:t>
            </w:r>
            <w:r>
              <w:rPr>
                <w:rFonts w:hint="eastAsia" w:ascii="Times New Roman" w:hAnsi="Times New Roman"/>
                <w:color w:val="auto"/>
                <w:sz w:val="24"/>
                <w:szCs w:val="21"/>
                <w:highlight w:val="none"/>
                <w:lang w:val="en-US" w:eastAsia="zh-CN"/>
              </w:rPr>
              <w:t>15</w:t>
            </w:r>
            <w:r>
              <w:rPr>
                <w:rFonts w:ascii="Times New Roman" w:hAnsi="Times New Roman" w:eastAsia="宋体"/>
                <w:color w:val="auto"/>
                <w:sz w:val="24"/>
                <w:szCs w:val="21"/>
                <w:highlight w:val="none"/>
              </w:rPr>
              <w:t>m排气筒</w:t>
            </w:r>
          </w:p>
        </w:tc>
        <w:tc>
          <w:tcPr>
            <w:tcW w:w="1757" w:type="dxa"/>
            <w:tcBorders>
              <w:top w:val="single" w:color="000000" w:sz="4" w:space="0"/>
              <w:left w:val="single" w:color="000000" w:sz="4" w:space="0"/>
              <w:bottom w:val="single" w:color="000000" w:sz="4" w:space="0"/>
            </w:tcBorders>
            <w:vAlign w:val="center"/>
          </w:tcPr>
          <w:p>
            <w:pPr>
              <w:spacing w:line="280" w:lineRule="exact"/>
              <w:jc w:val="center"/>
              <w:rPr>
                <w:rFonts w:ascii="Times New Roman" w:hAnsi="Times New Roman" w:eastAsia="宋体"/>
                <w:color w:val="auto"/>
                <w:sz w:val="24"/>
                <w:szCs w:val="21"/>
                <w:highlight w:val="none"/>
              </w:rPr>
            </w:pPr>
            <w:r>
              <w:rPr>
                <w:rFonts w:ascii="Times New Roman" w:hAnsi="Times New Roman" w:eastAsia="宋体"/>
                <w:color w:val="auto"/>
                <w:sz w:val="24"/>
                <w:szCs w:val="21"/>
                <w:highlight w:val="none"/>
              </w:rPr>
              <w:t>烟粉尘、林格曼黑度满足《工业炉窑大气污染物排放标准》表2标准，</w:t>
            </w:r>
          </w:p>
          <w:p>
            <w:pPr>
              <w:adjustRightInd w:val="0"/>
              <w:snapToGrid w:val="0"/>
              <w:ind w:left="0" w:leftChars="0" w:right="0" w:rightChars="0"/>
              <w:jc w:val="center"/>
              <w:rPr>
                <w:color w:val="auto"/>
                <w:sz w:val="21"/>
                <w:highlight w:val="none"/>
              </w:rPr>
            </w:pPr>
            <w:r>
              <w:rPr>
                <w:rFonts w:ascii="Times New Roman" w:hAnsi="Times New Roman" w:eastAsia="宋体"/>
                <w:color w:val="auto"/>
                <w:sz w:val="24"/>
                <w:szCs w:val="21"/>
                <w:highlight w:val="none"/>
              </w:rPr>
              <w:t>排气筒高度、SO</w:t>
            </w:r>
            <w:r>
              <w:rPr>
                <w:rFonts w:ascii="Times New Roman" w:hAnsi="Times New Roman" w:eastAsia="宋体"/>
                <w:color w:val="auto"/>
                <w:sz w:val="24"/>
                <w:szCs w:val="21"/>
                <w:highlight w:val="none"/>
                <w:vertAlign w:val="subscript"/>
              </w:rPr>
              <w:t>2</w:t>
            </w:r>
            <w:r>
              <w:rPr>
                <w:rFonts w:ascii="Times New Roman" w:hAnsi="Times New Roman" w:eastAsia="宋体"/>
                <w:color w:val="auto"/>
                <w:sz w:val="24"/>
                <w:szCs w:val="21"/>
                <w:highlight w:val="none"/>
              </w:rPr>
              <w:t>、NOx满足《大气污染物综合排放标准》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551" w:type="dxa"/>
            <w:vMerge w:val="continue"/>
            <w:tcBorders>
              <w:right w:val="single" w:color="000000" w:sz="4" w:space="0"/>
            </w:tcBorders>
          </w:tcPr>
          <w:p>
            <w:pPr>
              <w:rPr>
                <w:color w:val="auto"/>
                <w:sz w:val="24"/>
                <w:szCs w:val="24"/>
                <w:highlight w:val="none"/>
              </w:rPr>
            </w:pPr>
          </w:p>
        </w:tc>
        <w:tc>
          <w:tcPr>
            <w:tcW w:w="19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0" w:leftChars="0" w:right="0" w:rightChars="0"/>
              <w:jc w:val="center"/>
              <w:rPr>
                <w:color w:val="auto"/>
                <w:sz w:val="21"/>
                <w:highlight w:val="none"/>
              </w:rPr>
            </w:pPr>
            <w:r>
              <w:rPr>
                <w:rFonts w:hint="eastAsia" w:ascii="Times New Roman" w:hAnsi="Times New Roman" w:eastAsia="宋体" w:cs="宋体"/>
                <w:color w:val="auto"/>
                <w:sz w:val="24"/>
                <w:szCs w:val="21"/>
                <w:highlight w:val="none"/>
                <w:lang w:val="en-US" w:eastAsia="zh-CN"/>
              </w:rPr>
              <w:t>排气筒（</w:t>
            </w:r>
            <w:r>
              <w:rPr>
                <w:rFonts w:ascii="Times New Roman" w:hAnsi="Times New Roman" w:eastAsia="宋体"/>
                <w:color w:val="auto"/>
                <w:sz w:val="24"/>
                <w:szCs w:val="21"/>
                <w:highlight w:val="none"/>
              </w:rPr>
              <w:t>导热油炉</w:t>
            </w:r>
            <w:r>
              <w:rPr>
                <w:rFonts w:hint="eastAsia" w:ascii="Times New Roman" w:hAnsi="Times New Roman" w:eastAsia="宋体" w:cs="宋体"/>
                <w:color w:val="auto"/>
                <w:sz w:val="24"/>
                <w:szCs w:val="21"/>
                <w:highlight w:val="none"/>
                <w:lang w:val="en-US" w:eastAsia="zh-CN"/>
              </w:rPr>
              <w:t>）</w:t>
            </w:r>
          </w:p>
        </w:tc>
        <w:tc>
          <w:tcPr>
            <w:tcW w:w="175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0" w:leftChars="0" w:right="0" w:rightChars="0"/>
              <w:jc w:val="center"/>
              <w:rPr>
                <w:color w:val="auto"/>
                <w:sz w:val="21"/>
                <w:highlight w:val="none"/>
              </w:rPr>
            </w:pPr>
            <w:r>
              <w:rPr>
                <w:rFonts w:ascii="Times New Roman" w:hAnsi="Times New Roman" w:eastAsia="宋体"/>
                <w:color w:val="auto"/>
                <w:sz w:val="24"/>
                <w:szCs w:val="21"/>
                <w:highlight w:val="none"/>
              </w:rPr>
              <w:t>SO</w:t>
            </w:r>
            <w:r>
              <w:rPr>
                <w:rFonts w:ascii="Times New Roman" w:hAnsi="Times New Roman" w:eastAsia="宋体"/>
                <w:color w:val="auto"/>
                <w:sz w:val="24"/>
                <w:szCs w:val="21"/>
                <w:highlight w:val="none"/>
                <w:vertAlign w:val="subscript"/>
              </w:rPr>
              <w:t>2</w:t>
            </w:r>
            <w:r>
              <w:rPr>
                <w:rFonts w:hint="eastAsia" w:ascii="Times New Roman" w:hAnsi="Times New Roman" w:eastAsia="宋体"/>
                <w:color w:val="auto"/>
                <w:sz w:val="24"/>
                <w:szCs w:val="21"/>
                <w:highlight w:val="none"/>
                <w:vertAlign w:val="subscript"/>
                <w:lang w:eastAsia="zh-CN"/>
              </w:rPr>
              <w:t>、</w:t>
            </w:r>
            <w:r>
              <w:rPr>
                <w:rFonts w:hint="eastAsia" w:ascii="Times New Roman" w:hAnsi="Times New Roman" w:eastAsia="宋体"/>
                <w:color w:val="auto"/>
                <w:sz w:val="24"/>
                <w:szCs w:val="21"/>
                <w:highlight w:val="none"/>
                <w:vertAlign w:val="baseline"/>
                <w:lang w:val="en-US" w:eastAsia="zh-CN"/>
              </w:rPr>
              <w:t>烟尘、</w:t>
            </w:r>
            <w:r>
              <w:rPr>
                <w:rFonts w:ascii="Times New Roman" w:hAnsi="Times New Roman" w:eastAsia="宋体"/>
                <w:color w:val="auto"/>
                <w:sz w:val="24"/>
                <w:szCs w:val="21"/>
                <w:highlight w:val="none"/>
              </w:rPr>
              <w:t>NO</w:t>
            </w:r>
            <w:r>
              <w:rPr>
                <w:rFonts w:ascii="Times New Roman" w:hAnsi="Times New Roman" w:eastAsia="宋体"/>
                <w:color w:val="auto"/>
                <w:sz w:val="24"/>
                <w:szCs w:val="21"/>
                <w:highlight w:val="none"/>
                <w:vertAlign w:val="subscript"/>
              </w:rPr>
              <w:t>x</w:t>
            </w:r>
          </w:p>
        </w:tc>
        <w:tc>
          <w:tcPr>
            <w:tcW w:w="17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0" w:leftChars="0" w:right="0" w:rightChars="0"/>
              <w:jc w:val="center"/>
              <w:rPr>
                <w:color w:val="auto"/>
                <w:sz w:val="21"/>
                <w:highlight w:val="none"/>
              </w:rPr>
            </w:pPr>
            <w:r>
              <w:rPr>
                <w:rFonts w:ascii="Times New Roman" w:hAnsi="Times New Roman" w:eastAsia="宋体"/>
                <w:color w:val="auto"/>
                <w:sz w:val="24"/>
                <w:szCs w:val="21"/>
                <w:highlight w:val="none"/>
              </w:rPr>
              <w:t>低氮燃烧器+15m排气筒</w:t>
            </w:r>
          </w:p>
        </w:tc>
        <w:tc>
          <w:tcPr>
            <w:tcW w:w="1757" w:type="dxa"/>
            <w:tcBorders>
              <w:top w:val="single" w:color="000000" w:sz="4" w:space="0"/>
              <w:left w:val="single" w:color="000000" w:sz="4" w:space="0"/>
              <w:bottom w:val="single" w:color="000000" w:sz="4" w:space="0"/>
            </w:tcBorders>
            <w:vAlign w:val="center"/>
          </w:tcPr>
          <w:p>
            <w:pPr>
              <w:adjustRightInd w:val="0"/>
              <w:snapToGrid w:val="0"/>
              <w:ind w:left="0" w:leftChars="0" w:right="0" w:rightChars="0"/>
              <w:jc w:val="center"/>
              <w:rPr>
                <w:color w:val="auto"/>
                <w:sz w:val="21"/>
                <w:highlight w:val="none"/>
              </w:rPr>
            </w:pPr>
            <w:r>
              <w:rPr>
                <w:rFonts w:ascii="Times New Roman" w:hAnsi="Times New Roman" w:eastAsia="宋体"/>
                <w:color w:val="auto"/>
                <w:sz w:val="24"/>
                <w:szCs w:val="21"/>
                <w:highlight w:val="none"/>
              </w:rPr>
              <w:t>满足《锅炉大气污染物排放标准》中燃油锅炉标准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551" w:type="dxa"/>
            <w:vMerge w:val="continue"/>
            <w:tcBorders>
              <w:right w:val="single" w:color="000000" w:sz="4" w:space="0"/>
            </w:tcBorders>
          </w:tcPr>
          <w:p>
            <w:pPr>
              <w:rPr>
                <w:color w:val="auto"/>
                <w:sz w:val="24"/>
                <w:szCs w:val="24"/>
                <w:highlight w:val="none"/>
              </w:rPr>
            </w:pPr>
          </w:p>
        </w:tc>
        <w:tc>
          <w:tcPr>
            <w:tcW w:w="19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0" w:leftChars="0" w:right="0" w:rightChars="0"/>
              <w:jc w:val="center"/>
              <w:rPr>
                <w:rFonts w:hint="eastAsia" w:ascii="Times New Roman" w:hAnsi="Times New Roman" w:eastAsia="宋体" w:cs="宋体"/>
                <w:color w:val="auto"/>
                <w:sz w:val="24"/>
                <w:szCs w:val="21"/>
                <w:highlight w:val="none"/>
                <w:lang w:val="en-US" w:eastAsia="zh-CN"/>
              </w:rPr>
            </w:pPr>
            <w:r>
              <w:rPr>
                <w:rFonts w:hint="eastAsia" w:ascii="Times New Roman" w:hAnsi="Times New Roman" w:eastAsia="宋体" w:cs="宋体"/>
                <w:color w:val="auto"/>
                <w:sz w:val="24"/>
                <w:szCs w:val="21"/>
                <w:highlight w:val="none"/>
                <w:lang w:val="en-US" w:eastAsia="zh-CN"/>
              </w:rPr>
              <w:t>排气筒（</w:t>
            </w:r>
            <w:r>
              <w:rPr>
                <w:rFonts w:ascii="Times New Roman" w:hAnsi="Times New Roman" w:eastAsia="宋体"/>
                <w:color w:val="auto"/>
                <w:sz w:val="24"/>
                <w:szCs w:val="21"/>
                <w:highlight w:val="none"/>
              </w:rPr>
              <w:t>搅拌缸</w:t>
            </w:r>
            <w:r>
              <w:rPr>
                <w:rFonts w:hint="eastAsia" w:ascii="Times New Roman" w:hAnsi="Times New Roman" w:eastAsia="宋体" w:cs="宋体"/>
                <w:color w:val="auto"/>
                <w:sz w:val="24"/>
                <w:szCs w:val="21"/>
                <w:highlight w:val="none"/>
                <w:lang w:val="en-US" w:eastAsia="zh-CN"/>
              </w:rPr>
              <w:t>）</w:t>
            </w:r>
          </w:p>
        </w:tc>
        <w:tc>
          <w:tcPr>
            <w:tcW w:w="175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0" w:leftChars="0" w:right="0" w:rightChars="0"/>
              <w:jc w:val="center"/>
              <w:rPr>
                <w:rFonts w:ascii="Times New Roman" w:hAnsi="Times New Roman" w:eastAsia="宋体"/>
                <w:color w:val="auto"/>
                <w:sz w:val="24"/>
                <w:szCs w:val="21"/>
                <w:highlight w:val="none"/>
              </w:rPr>
            </w:pPr>
            <w:r>
              <w:rPr>
                <w:rFonts w:ascii="Times New Roman" w:hAnsi="Times New Roman" w:eastAsia="宋体"/>
                <w:color w:val="auto"/>
                <w:sz w:val="24"/>
                <w:szCs w:val="21"/>
                <w:highlight w:val="none"/>
              </w:rPr>
              <w:t>苯并(a)芘</w:t>
            </w:r>
            <w:r>
              <w:rPr>
                <w:rFonts w:hint="eastAsia" w:ascii="Times New Roman" w:hAnsi="Times New Roman" w:eastAsia="宋体"/>
                <w:color w:val="auto"/>
                <w:sz w:val="24"/>
                <w:szCs w:val="21"/>
                <w:highlight w:val="none"/>
                <w:lang w:eastAsia="zh-CN"/>
              </w:rPr>
              <w:t>、</w:t>
            </w:r>
            <w:r>
              <w:rPr>
                <w:rFonts w:ascii="Times New Roman" w:hAnsi="Times New Roman" w:eastAsia="宋体"/>
                <w:color w:val="auto"/>
                <w:sz w:val="24"/>
                <w:szCs w:val="21"/>
                <w:highlight w:val="none"/>
              </w:rPr>
              <w:t>沥青烟</w:t>
            </w:r>
            <w:r>
              <w:rPr>
                <w:rFonts w:hint="eastAsia"/>
                <w:color w:val="auto"/>
                <w:sz w:val="24"/>
                <w:szCs w:val="21"/>
                <w:highlight w:val="none"/>
                <w:lang w:eastAsia="zh-CN"/>
              </w:rPr>
              <w:t>、</w:t>
            </w:r>
            <w:r>
              <w:rPr>
                <w:rFonts w:hint="eastAsia"/>
                <w:color w:val="auto"/>
                <w:sz w:val="24"/>
                <w:szCs w:val="21"/>
                <w:highlight w:val="none"/>
                <w:lang w:val="en-US" w:eastAsia="zh-CN"/>
              </w:rPr>
              <w:t>非甲烷总烃</w:t>
            </w:r>
          </w:p>
        </w:tc>
        <w:tc>
          <w:tcPr>
            <w:tcW w:w="17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0" w:leftChars="0" w:right="0" w:rightChars="0"/>
              <w:jc w:val="center"/>
              <w:rPr>
                <w:rFonts w:ascii="Times New Roman" w:hAnsi="Times New Roman" w:eastAsia="宋体"/>
                <w:color w:val="auto"/>
                <w:sz w:val="24"/>
                <w:szCs w:val="21"/>
                <w:highlight w:val="none"/>
              </w:rPr>
            </w:pPr>
            <w:r>
              <w:rPr>
                <w:rFonts w:ascii="Times New Roman" w:hAnsi="Times New Roman" w:eastAsia="宋体"/>
                <w:color w:val="auto"/>
                <w:sz w:val="24"/>
                <w:szCs w:val="21"/>
                <w:highlight w:val="none"/>
              </w:rPr>
              <w:t>+15m排气筒</w:t>
            </w:r>
          </w:p>
        </w:tc>
        <w:tc>
          <w:tcPr>
            <w:tcW w:w="1757" w:type="dxa"/>
            <w:tcBorders>
              <w:top w:val="single" w:color="000000" w:sz="4" w:space="0"/>
              <w:left w:val="single" w:color="000000" w:sz="4" w:space="0"/>
              <w:bottom w:val="single" w:color="000000" w:sz="4" w:space="0"/>
            </w:tcBorders>
            <w:vAlign w:val="center"/>
          </w:tcPr>
          <w:p>
            <w:pPr>
              <w:adjustRightInd w:val="0"/>
              <w:snapToGrid w:val="0"/>
              <w:ind w:left="0" w:leftChars="0" w:right="0" w:rightChars="0"/>
              <w:jc w:val="center"/>
              <w:rPr>
                <w:rFonts w:ascii="Times New Roman" w:hAnsi="Times New Roman" w:eastAsia="宋体"/>
                <w:color w:val="auto"/>
                <w:sz w:val="24"/>
                <w:szCs w:val="21"/>
                <w:highlight w:val="none"/>
              </w:rPr>
            </w:pPr>
            <w:r>
              <w:rPr>
                <w:rFonts w:ascii="Times New Roman" w:hAnsi="Times New Roman" w:eastAsia="宋体"/>
                <w:color w:val="auto"/>
                <w:sz w:val="24"/>
                <w:szCs w:val="21"/>
                <w:highlight w:val="none"/>
              </w:rPr>
              <w:t>《大气污染物综合排放标准》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551" w:type="dxa"/>
            <w:vMerge w:val="continue"/>
            <w:tcBorders>
              <w:right w:val="single" w:color="000000" w:sz="4" w:space="0"/>
            </w:tcBorders>
          </w:tcPr>
          <w:p>
            <w:pPr>
              <w:rPr>
                <w:color w:val="auto"/>
                <w:sz w:val="24"/>
                <w:szCs w:val="24"/>
                <w:highlight w:val="none"/>
              </w:rPr>
            </w:pPr>
          </w:p>
        </w:tc>
        <w:tc>
          <w:tcPr>
            <w:tcW w:w="19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0" w:leftChars="0" w:right="0" w:rightChars="0"/>
              <w:jc w:val="center"/>
              <w:rPr>
                <w:rFonts w:hint="eastAsia" w:ascii="Times New Roman" w:hAnsi="Times New Roman" w:eastAsia="宋体" w:cs="宋体"/>
                <w:color w:val="auto"/>
                <w:sz w:val="24"/>
                <w:szCs w:val="21"/>
                <w:highlight w:val="none"/>
                <w:lang w:val="en-US" w:eastAsia="zh-CN"/>
              </w:rPr>
            </w:pPr>
            <w:r>
              <w:rPr>
                <w:rFonts w:hint="eastAsia" w:ascii="Times New Roman" w:hAnsi="Times New Roman" w:eastAsia="宋体" w:cs="宋体"/>
                <w:color w:val="auto"/>
                <w:sz w:val="24"/>
                <w:szCs w:val="21"/>
                <w:highlight w:val="none"/>
                <w:lang w:val="en-US" w:eastAsia="zh-CN"/>
              </w:rPr>
              <w:t>粉料筒仓</w:t>
            </w:r>
          </w:p>
        </w:tc>
        <w:tc>
          <w:tcPr>
            <w:tcW w:w="1757"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0" w:leftChars="0" w:right="0" w:rightChars="0"/>
              <w:jc w:val="center"/>
              <w:rPr>
                <w:rFonts w:ascii="Times New Roman" w:hAnsi="Times New Roman" w:eastAsia="宋体"/>
                <w:color w:val="auto"/>
                <w:sz w:val="24"/>
                <w:szCs w:val="21"/>
                <w:highlight w:val="none"/>
              </w:rPr>
            </w:pPr>
            <w:r>
              <w:rPr>
                <w:rFonts w:hint="eastAsia" w:ascii="Times New Roman" w:hAnsi="Times New Roman" w:eastAsia="宋体"/>
                <w:color w:val="auto"/>
                <w:sz w:val="24"/>
                <w:szCs w:val="21"/>
                <w:highlight w:val="none"/>
                <w:lang w:val="en-US" w:eastAsia="zh-CN"/>
              </w:rPr>
              <w:t>粉尘</w:t>
            </w:r>
          </w:p>
        </w:tc>
        <w:tc>
          <w:tcPr>
            <w:tcW w:w="17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0" w:leftChars="0" w:right="0" w:rightChars="0"/>
              <w:jc w:val="center"/>
              <w:rPr>
                <w:rFonts w:ascii="Times New Roman" w:hAnsi="Times New Roman" w:eastAsia="宋体"/>
                <w:color w:val="auto"/>
                <w:sz w:val="24"/>
                <w:szCs w:val="21"/>
                <w:highlight w:val="none"/>
              </w:rPr>
            </w:pPr>
            <w:r>
              <w:rPr>
                <w:rFonts w:hint="eastAsia" w:ascii="Times New Roman" w:hAnsi="Times New Roman" w:eastAsia="宋体"/>
                <w:color w:val="auto"/>
                <w:sz w:val="24"/>
                <w:highlight w:val="none"/>
                <w:lang w:val="en-US" w:eastAsia="zh-CN"/>
              </w:rPr>
              <w:t>仓顶除尘器</w:t>
            </w:r>
          </w:p>
        </w:tc>
        <w:tc>
          <w:tcPr>
            <w:tcW w:w="1757" w:type="dxa"/>
            <w:tcBorders>
              <w:top w:val="single" w:color="000000" w:sz="4" w:space="0"/>
              <w:left w:val="single" w:color="000000" w:sz="4" w:space="0"/>
              <w:bottom w:val="single" w:color="000000" w:sz="4" w:space="0"/>
            </w:tcBorders>
            <w:vAlign w:val="center"/>
          </w:tcPr>
          <w:p>
            <w:pPr>
              <w:adjustRightInd w:val="0"/>
              <w:snapToGrid w:val="0"/>
              <w:ind w:left="0" w:leftChars="0" w:right="0" w:rightChars="0"/>
              <w:jc w:val="center"/>
              <w:rPr>
                <w:rFonts w:ascii="Times New Roman" w:hAnsi="Times New Roman" w:eastAsia="宋体"/>
                <w:color w:val="auto"/>
                <w:sz w:val="24"/>
                <w:szCs w:val="21"/>
                <w:highlight w:val="none"/>
              </w:rPr>
            </w:pPr>
            <w:r>
              <w:rPr>
                <w:rFonts w:hint="eastAsia" w:ascii="Times New Roman" w:hAnsi="Times New Roman" w:eastAsia="宋体"/>
                <w:color w:val="auto"/>
                <w:sz w:val="24"/>
                <w:szCs w:val="21"/>
                <w:highlight w:val="none"/>
              </w:rPr>
              <w:t>《水泥工业大气污染物排放标准》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28" w:hRule="atLeast"/>
        </w:trPr>
        <w:tc>
          <w:tcPr>
            <w:tcW w:w="1551" w:type="dxa"/>
            <w:vMerge w:val="restart"/>
            <w:tcBorders>
              <w:top w:val="single" w:color="000000" w:sz="4" w:space="0"/>
              <w:right w:val="single" w:color="000000" w:sz="4" w:space="0"/>
            </w:tcBorders>
          </w:tcPr>
          <w:p>
            <w:pPr>
              <w:pStyle w:val="15"/>
              <w:rPr>
                <w:rFonts w:ascii="黑体"/>
                <w:color w:val="auto"/>
                <w:sz w:val="24"/>
                <w:szCs w:val="24"/>
                <w:highlight w:val="none"/>
              </w:rPr>
            </w:pPr>
          </w:p>
          <w:p>
            <w:pPr>
              <w:pStyle w:val="15"/>
              <w:rPr>
                <w:rFonts w:ascii="黑体"/>
                <w:color w:val="auto"/>
                <w:sz w:val="24"/>
                <w:szCs w:val="24"/>
                <w:highlight w:val="none"/>
              </w:rPr>
            </w:pPr>
          </w:p>
          <w:p>
            <w:pPr>
              <w:pStyle w:val="15"/>
              <w:ind w:left="362"/>
              <w:rPr>
                <w:color w:val="auto"/>
                <w:sz w:val="24"/>
                <w:szCs w:val="24"/>
                <w:highlight w:val="none"/>
              </w:rPr>
            </w:pPr>
            <w:r>
              <w:rPr>
                <w:color w:val="auto"/>
                <w:sz w:val="24"/>
                <w:szCs w:val="24"/>
                <w:highlight w:val="none"/>
              </w:rPr>
              <w:t xml:space="preserve">地表水环境 </w:t>
            </w:r>
          </w:p>
        </w:tc>
        <w:tc>
          <w:tcPr>
            <w:tcW w:w="19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0" w:leftChars="0" w:right="0" w:rightChars="0"/>
              <w:jc w:val="center"/>
              <w:rPr>
                <w:rFonts w:hint="default" w:ascii="Times New Roman" w:hAnsi="Times New Roman" w:eastAsia="宋体"/>
                <w:color w:val="auto"/>
                <w:sz w:val="24"/>
                <w:szCs w:val="21"/>
                <w:highlight w:val="none"/>
                <w:lang w:val="en-US" w:eastAsia="zh-CN"/>
              </w:rPr>
            </w:pPr>
            <w:r>
              <w:rPr>
                <w:rFonts w:hint="eastAsia" w:ascii="Times New Roman" w:hAnsi="Times New Roman" w:eastAsia="宋体"/>
                <w:color w:val="auto"/>
                <w:sz w:val="24"/>
                <w:szCs w:val="21"/>
                <w:highlight w:val="none"/>
                <w:lang w:val="en-US" w:eastAsia="zh-CN"/>
              </w:rPr>
              <w:t>生活污水</w:t>
            </w:r>
          </w:p>
        </w:tc>
        <w:tc>
          <w:tcPr>
            <w:tcW w:w="1757" w:type="dxa"/>
            <w:tcBorders>
              <w:top w:val="single" w:color="000000" w:sz="4" w:space="0"/>
              <w:left w:val="single" w:color="000000" w:sz="4" w:space="0"/>
              <w:right w:val="single" w:color="000000" w:sz="4" w:space="0"/>
            </w:tcBorders>
          </w:tcPr>
          <w:p>
            <w:pPr>
              <w:adjustRightInd w:val="0"/>
              <w:snapToGrid w:val="0"/>
              <w:ind w:left="0" w:leftChars="0" w:right="0" w:rightChars="0"/>
              <w:jc w:val="center"/>
              <w:rPr>
                <w:rFonts w:ascii="Times New Roman" w:hAnsi="Times New Roman" w:eastAsia="宋体"/>
                <w:color w:val="auto"/>
                <w:sz w:val="24"/>
                <w:szCs w:val="21"/>
                <w:highlight w:val="none"/>
              </w:rPr>
            </w:pPr>
            <w:r>
              <w:rPr>
                <w:rFonts w:hint="eastAsia" w:ascii="Times New Roman" w:hAnsi="Times New Roman"/>
                <w:color w:val="auto"/>
                <w:sz w:val="24"/>
                <w:szCs w:val="21"/>
                <w:highlight w:val="none"/>
                <w:lang w:val="en-US" w:eastAsia="zh-CN"/>
              </w:rPr>
              <w:t>C</w:t>
            </w:r>
            <w:r>
              <w:rPr>
                <w:rFonts w:hint="default" w:ascii="Times New Roman" w:hAnsi="Times New Roman" w:eastAsia="宋体"/>
                <w:color w:val="auto"/>
                <w:sz w:val="24"/>
                <w:szCs w:val="21"/>
                <w:highlight w:val="none"/>
                <w:lang w:val="en-US" w:eastAsia="zh-CN"/>
              </w:rPr>
              <w:t>O</w:t>
            </w:r>
            <w:r>
              <w:rPr>
                <w:rFonts w:hint="eastAsia" w:ascii="Times New Roman" w:hAnsi="Times New Roman"/>
                <w:color w:val="auto"/>
                <w:sz w:val="24"/>
                <w:szCs w:val="21"/>
                <w:highlight w:val="none"/>
                <w:lang w:val="en-US" w:eastAsia="zh-CN"/>
              </w:rPr>
              <w:t>D</w:t>
            </w:r>
            <w:r>
              <w:rPr>
                <w:rFonts w:hint="eastAsia" w:ascii="Times New Roman" w:hAnsi="Times New Roman" w:eastAsia="宋体"/>
                <w:color w:val="auto"/>
                <w:sz w:val="24"/>
                <w:szCs w:val="21"/>
                <w:highlight w:val="none"/>
                <w:lang w:val="en-US" w:eastAsia="zh-CN"/>
              </w:rPr>
              <w:t>、</w:t>
            </w:r>
            <w:r>
              <w:rPr>
                <w:rFonts w:hint="default" w:ascii="Times New Roman" w:hAnsi="Times New Roman" w:eastAsia="宋体"/>
                <w:color w:val="auto"/>
                <w:sz w:val="24"/>
                <w:szCs w:val="21"/>
                <w:highlight w:val="none"/>
                <w:lang w:val="en-US" w:eastAsia="zh-CN"/>
              </w:rPr>
              <w:t>SS</w:t>
            </w:r>
            <w:r>
              <w:rPr>
                <w:rFonts w:hint="eastAsia" w:ascii="Times New Roman" w:hAnsi="Times New Roman" w:eastAsia="宋体"/>
                <w:color w:val="auto"/>
                <w:sz w:val="24"/>
                <w:szCs w:val="21"/>
                <w:highlight w:val="none"/>
                <w:lang w:val="en-US" w:eastAsia="zh-CN"/>
              </w:rPr>
              <w:t>、氨氮</w:t>
            </w:r>
          </w:p>
          <w:p>
            <w:pPr>
              <w:adjustRightInd w:val="0"/>
              <w:snapToGrid w:val="0"/>
              <w:ind w:left="0" w:leftChars="0" w:right="0" w:rightChars="0"/>
              <w:jc w:val="center"/>
              <w:rPr>
                <w:rFonts w:ascii="Times New Roman" w:hAnsi="Times New Roman" w:eastAsia="宋体"/>
                <w:color w:val="auto"/>
                <w:sz w:val="24"/>
                <w:szCs w:val="21"/>
                <w:highlight w:val="none"/>
              </w:rPr>
            </w:pPr>
          </w:p>
          <w:p>
            <w:pPr>
              <w:adjustRightInd w:val="0"/>
              <w:snapToGrid w:val="0"/>
              <w:ind w:left="0" w:leftChars="0" w:right="0" w:rightChars="0"/>
              <w:jc w:val="center"/>
              <w:rPr>
                <w:rFonts w:ascii="Times New Roman" w:hAnsi="Times New Roman" w:eastAsia="宋体"/>
                <w:color w:val="auto"/>
                <w:sz w:val="24"/>
                <w:szCs w:val="21"/>
                <w:highlight w:val="none"/>
              </w:rPr>
            </w:pPr>
          </w:p>
        </w:tc>
        <w:tc>
          <w:tcPr>
            <w:tcW w:w="1754" w:type="dxa"/>
            <w:tcBorders>
              <w:top w:val="single" w:color="000000" w:sz="4" w:space="0"/>
              <w:left w:val="single" w:color="000000" w:sz="4" w:space="0"/>
              <w:right w:val="single" w:color="000000" w:sz="4" w:space="0"/>
            </w:tcBorders>
          </w:tcPr>
          <w:p>
            <w:pPr>
              <w:adjustRightInd w:val="0"/>
              <w:snapToGrid w:val="0"/>
              <w:ind w:left="0" w:leftChars="0" w:right="0" w:rightChars="0"/>
              <w:jc w:val="center"/>
              <w:rPr>
                <w:rFonts w:ascii="Times New Roman" w:hAnsi="Times New Roman" w:eastAsia="宋体"/>
                <w:color w:val="auto"/>
                <w:sz w:val="24"/>
                <w:szCs w:val="21"/>
                <w:highlight w:val="none"/>
              </w:rPr>
            </w:pPr>
            <w:r>
              <w:rPr>
                <w:rFonts w:ascii="Times New Roman" w:hAnsi="Times New Roman" w:eastAsia="宋体"/>
                <w:color w:val="auto"/>
                <w:sz w:val="24"/>
                <w:szCs w:val="21"/>
                <w:highlight w:val="none"/>
              </w:rPr>
              <w:t xml:space="preserve"> </w:t>
            </w:r>
          </w:p>
          <w:p>
            <w:pPr>
              <w:adjustRightInd w:val="0"/>
              <w:snapToGrid w:val="0"/>
              <w:ind w:left="0" w:leftChars="0" w:right="0" w:rightChars="0"/>
              <w:jc w:val="center"/>
              <w:rPr>
                <w:rFonts w:ascii="Times New Roman" w:hAnsi="Times New Roman" w:eastAsia="宋体"/>
                <w:color w:val="auto"/>
                <w:sz w:val="24"/>
                <w:szCs w:val="21"/>
                <w:highlight w:val="none"/>
              </w:rPr>
            </w:pPr>
            <w:r>
              <w:rPr>
                <w:rFonts w:ascii="Times New Roman" w:hAnsi="Times New Roman" w:eastAsia="宋体"/>
                <w:color w:val="auto"/>
                <w:sz w:val="24"/>
                <w:szCs w:val="21"/>
                <w:highlight w:val="none"/>
              </w:rPr>
              <w:t xml:space="preserve"> </w:t>
            </w:r>
          </w:p>
          <w:p>
            <w:pPr>
              <w:adjustRightInd w:val="0"/>
              <w:snapToGrid w:val="0"/>
              <w:ind w:left="0" w:leftChars="0" w:right="0" w:rightChars="0"/>
              <w:jc w:val="center"/>
              <w:rPr>
                <w:rFonts w:hint="default" w:ascii="Times New Roman" w:hAnsi="Times New Roman" w:eastAsia="宋体"/>
                <w:color w:val="auto"/>
                <w:sz w:val="24"/>
                <w:szCs w:val="21"/>
                <w:highlight w:val="none"/>
                <w:lang w:val="en-US" w:eastAsia="zh-CN"/>
              </w:rPr>
            </w:pPr>
            <w:r>
              <w:rPr>
                <w:rFonts w:hint="eastAsia" w:ascii="Times New Roman" w:hAnsi="Times New Roman"/>
                <w:color w:val="auto"/>
                <w:sz w:val="24"/>
                <w:szCs w:val="21"/>
                <w:highlight w:val="none"/>
                <w:lang w:val="en-US" w:eastAsia="zh-CN"/>
              </w:rPr>
              <w:t>旱厕</w:t>
            </w:r>
          </w:p>
        </w:tc>
        <w:tc>
          <w:tcPr>
            <w:tcW w:w="1757" w:type="dxa"/>
            <w:tcBorders>
              <w:top w:val="single" w:color="000000" w:sz="4" w:space="0"/>
              <w:left w:val="single" w:color="000000" w:sz="4" w:space="0"/>
            </w:tcBorders>
          </w:tcPr>
          <w:p>
            <w:pPr>
              <w:adjustRightInd w:val="0"/>
              <w:snapToGrid w:val="0"/>
              <w:ind w:left="0" w:leftChars="0" w:right="0" w:rightChars="0"/>
              <w:jc w:val="center"/>
              <w:rPr>
                <w:rFonts w:ascii="Times New Roman" w:hAnsi="Times New Roman" w:eastAsia="宋体"/>
                <w:color w:val="auto"/>
                <w:sz w:val="24"/>
                <w:szCs w:val="21"/>
                <w:highlight w:val="none"/>
              </w:rPr>
            </w:pPr>
            <w:r>
              <w:rPr>
                <w:rFonts w:ascii="Times New Roman" w:hAnsi="Times New Roman" w:eastAsia="宋体"/>
                <w:color w:val="auto"/>
                <w:sz w:val="24"/>
                <w:szCs w:val="21"/>
                <w:highlight w:val="none"/>
              </w:rPr>
              <w:t xml:space="preserve"> </w:t>
            </w:r>
          </w:p>
          <w:p>
            <w:pPr>
              <w:adjustRightInd w:val="0"/>
              <w:snapToGrid w:val="0"/>
              <w:ind w:left="0" w:leftChars="0" w:right="0" w:rightChars="0"/>
              <w:jc w:val="center"/>
              <w:rPr>
                <w:rFonts w:ascii="Times New Roman" w:hAnsi="Times New Roman" w:eastAsia="宋体"/>
                <w:color w:val="auto"/>
                <w:sz w:val="24"/>
                <w:szCs w:val="21"/>
                <w:highlight w:val="none"/>
              </w:rPr>
            </w:pPr>
            <w:r>
              <w:rPr>
                <w:rFonts w:ascii="Times New Roman" w:hAnsi="Times New Roman" w:eastAsia="宋体"/>
                <w:color w:val="auto"/>
                <w:sz w:val="24"/>
                <w:szCs w:val="21"/>
                <w:highlight w:val="none"/>
              </w:rPr>
              <w:t xml:space="preserve"> </w:t>
            </w:r>
          </w:p>
          <w:p>
            <w:pPr>
              <w:adjustRightInd w:val="0"/>
              <w:snapToGrid w:val="0"/>
              <w:ind w:left="0" w:leftChars="0" w:right="0" w:rightChars="0"/>
              <w:jc w:val="center"/>
              <w:rPr>
                <w:rFonts w:ascii="Times New Roman" w:hAnsi="Times New Roman" w:eastAsia="宋体"/>
                <w:color w:val="auto"/>
                <w:sz w:val="24"/>
                <w:szCs w:val="21"/>
                <w:highlight w:val="none"/>
              </w:rPr>
            </w:pPr>
            <w:r>
              <w:rPr>
                <w:rFonts w:hint="eastAsia" w:ascii="Times New Roman" w:hAnsi="Times New Roman" w:eastAsia="宋体"/>
                <w:color w:val="auto"/>
                <w:sz w:val="24"/>
                <w:szCs w:val="21"/>
                <w:highlight w:val="none"/>
                <w:lang w:val="en-US" w:eastAsia="zh-CN"/>
              </w:rPr>
              <w:t>经化</w:t>
            </w:r>
            <w:r>
              <w:rPr>
                <w:rFonts w:hint="eastAsia" w:ascii="Times New Roman" w:hAnsi="Times New Roman"/>
                <w:color w:val="auto"/>
                <w:sz w:val="24"/>
                <w:szCs w:val="21"/>
                <w:highlight w:val="none"/>
                <w:lang w:val="en-US" w:eastAsia="zh-CN"/>
              </w:rPr>
              <w:t>旱厕</w:t>
            </w:r>
            <w:r>
              <w:rPr>
                <w:rFonts w:hint="eastAsia" w:ascii="Times New Roman" w:hAnsi="Times New Roman" w:eastAsia="宋体"/>
                <w:color w:val="auto"/>
                <w:sz w:val="24"/>
                <w:szCs w:val="21"/>
                <w:highlight w:val="none"/>
                <w:lang w:val="en-US" w:eastAsia="zh-CN"/>
              </w:rPr>
              <w:t>后用于林灌</w:t>
            </w:r>
            <w:r>
              <w:rPr>
                <w:rFonts w:ascii="Times New Roman" w:hAnsi="Times New Roman" w:eastAsia="宋体"/>
                <w:color w:val="auto"/>
                <w:sz w:val="24"/>
                <w:szCs w:val="21"/>
                <w:highlight w:val="none"/>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771" w:hRule="atLeast"/>
        </w:trPr>
        <w:tc>
          <w:tcPr>
            <w:tcW w:w="1551" w:type="dxa"/>
            <w:vMerge w:val="continue"/>
            <w:tcBorders>
              <w:right w:val="single" w:color="000000" w:sz="4" w:space="0"/>
            </w:tcBorders>
          </w:tcPr>
          <w:p>
            <w:pPr>
              <w:rPr>
                <w:color w:val="auto"/>
                <w:sz w:val="24"/>
                <w:szCs w:val="24"/>
                <w:highlight w:val="none"/>
              </w:rPr>
            </w:pPr>
          </w:p>
        </w:tc>
        <w:tc>
          <w:tcPr>
            <w:tcW w:w="19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0" w:leftChars="0" w:right="0" w:rightChars="0"/>
              <w:jc w:val="center"/>
              <w:rPr>
                <w:rFonts w:ascii="Times New Roman" w:hAnsi="Times New Roman" w:eastAsia="宋体"/>
                <w:color w:val="auto"/>
                <w:sz w:val="24"/>
                <w:szCs w:val="21"/>
                <w:highlight w:val="none"/>
              </w:rPr>
            </w:pPr>
            <w:r>
              <w:rPr>
                <w:rFonts w:ascii="Times New Roman" w:hAnsi="Times New Roman" w:eastAsia="宋体"/>
                <w:color w:val="auto"/>
                <w:sz w:val="24"/>
                <w:szCs w:val="21"/>
                <w:highlight w:val="none"/>
              </w:rPr>
              <w:t>地面冲洗废水</w:t>
            </w:r>
          </w:p>
        </w:tc>
        <w:tc>
          <w:tcPr>
            <w:tcW w:w="1757" w:type="dxa"/>
            <w:tcBorders>
              <w:left w:val="single" w:color="000000" w:sz="4" w:space="0"/>
              <w:right w:val="single" w:color="000000" w:sz="4" w:space="0"/>
            </w:tcBorders>
          </w:tcPr>
          <w:p>
            <w:pPr>
              <w:adjustRightInd w:val="0"/>
              <w:snapToGrid w:val="0"/>
              <w:ind w:left="0" w:leftChars="0" w:right="0" w:rightChars="0"/>
              <w:jc w:val="center"/>
              <w:rPr>
                <w:rFonts w:ascii="Times New Roman" w:hAnsi="Times New Roman" w:eastAsia="宋体"/>
                <w:color w:val="auto"/>
                <w:sz w:val="24"/>
                <w:szCs w:val="21"/>
                <w:highlight w:val="none"/>
              </w:rPr>
            </w:pPr>
            <w:r>
              <w:rPr>
                <w:rFonts w:ascii="Times New Roman" w:hAnsi="Times New Roman" w:eastAsia="宋体"/>
                <w:color w:val="auto"/>
                <w:sz w:val="24"/>
                <w:szCs w:val="21"/>
                <w:highlight w:val="none"/>
              </w:rPr>
              <w:t xml:space="preserve">SS </w:t>
            </w:r>
          </w:p>
        </w:tc>
        <w:tc>
          <w:tcPr>
            <w:tcW w:w="1754" w:type="dxa"/>
            <w:tcBorders>
              <w:left w:val="single" w:color="000000" w:sz="4" w:space="0"/>
              <w:right w:val="single" w:color="000000" w:sz="4" w:space="0"/>
            </w:tcBorders>
          </w:tcPr>
          <w:p>
            <w:pPr>
              <w:adjustRightInd w:val="0"/>
              <w:snapToGrid w:val="0"/>
              <w:ind w:left="0" w:leftChars="0" w:right="0" w:rightChars="0"/>
              <w:jc w:val="center"/>
              <w:rPr>
                <w:rFonts w:hint="default" w:ascii="Times New Roman" w:hAnsi="Times New Roman" w:eastAsia="宋体"/>
                <w:color w:val="auto"/>
                <w:sz w:val="24"/>
                <w:szCs w:val="21"/>
                <w:highlight w:val="none"/>
                <w:lang w:val="en-US"/>
              </w:rPr>
            </w:pPr>
            <w:r>
              <w:rPr>
                <w:rFonts w:hint="eastAsia" w:ascii="Times New Roman" w:hAnsi="Times New Roman" w:eastAsia="宋体"/>
                <w:color w:val="auto"/>
                <w:sz w:val="24"/>
                <w:szCs w:val="21"/>
                <w:highlight w:val="none"/>
                <w:lang w:val="en-US" w:eastAsia="zh-CN"/>
              </w:rPr>
              <w:t>三级沉砂池</w:t>
            </w:r>
          </w:p>
        </w:tc>
        <w:tc>
          <w:tcPr>
            <w:tcW w:w="1757" w:type="dxa"/>
            <w:tcBorders>
              <w:left w:val="single" w:color="000000" w:sz="4" w:space="0"/>
            </w:tcBorders>
          </w:tcPr>
          <w:p>
            <w:pPr>
              <w:adjustRightInd w:val="0"/>
              <w:snapToGrid w:val="0"/>
              <w:ind w:left="0" w:leftChars="0" w:right="0" w:rightChars="0"/>
              <w:jc w:val="center"/>
              <w:rPr>
                <w:rFonts w:hint="default" w:ascii="Times New Roman" w:hAnsi="Times New Roman" w:eastAsia="宋体"/>
                <w:color w:val="auto"/>
                <w:sz w:val="24"/>
                <w:szCs w:val="21"/>
                <w:highlight w:val="none"/>
                <w:lang w:val="en-US" w:eastAsia="zh-CN"/>
              </w:rPr>
            </w:pPr>
            <w:r>
              <w:rPr>
                <w:rFonts w:hint="eastAsia" w:ascii="Times New Roman" w:hAnsi="Times New Roman" w:eastAsia="宋体"/>
                <w:color w:val="auto"/>
                <w:sz w:val="24"/>
                <w:szCs w:val="21"/>
                <w:highlight w:val="none"/>
                <w:lang w:val="en-US" w:eastAsia="zh-CN"/>
              </w:rPr>
              <w:t>回用于地面洒水和车辆冲洗，不外排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24" w:hRule="atLeast"/>
        </w:trPr>
        <w:tc>
          <w:tcPr>
            <w:tcW w:w="1551" w:type="dxa"/>
            <w:vMerge w:val="restart"/>
            <w:tcBorders>
              <w:top w:val="single" w:color="000000" w:sz="4" w:space="0"/>
              <w:bottom w:val="single" w:color="000000" w:sz="4" w:space="0"/>
              <w:right w:val="single" w:color="000000" w:sz="4" w:space="0"/>
            </w:tcBorders>
          </w:tcPr>
          <w:p>
            <w:pPr>
              <w:pStyle w:val="15"/>
              <w:rPr>
                <w:rFonts w:ascii="黑体"/>
                <w:color w:val="auto"/>
                <w:sz w:val="24"/>
                <w:szCs w:val="24"/>
                <w:highlight w:val="none"/>
              </w:rPr>
            </w:pPr>
          </w:p>
          <w:p>
            <w:pPr>
              <w:pStyle w:val="15"/>
              <w:spacing w:before="12"/>
              <w:rPr>
                <w:rFonts w:ascii="黑体"/>
                <w:color w:val="auto"/>
                <w:sz w:val="24"/>
                <w:szCs w:val="24"/>
                <w:highlight w:val="none"/>
              </w:rPr>
            </w:pPr>
          </w:p>
          <w:p>
            <w:pPr>
              <w:pStyle w:val="15"/>
              <w:ind w:left="573"/>
              <w:rPr>
                <w:color w:val="auto"/>
                <w:sz w:val="24"/>
                <w:szCs w:val="24"/>
                <w:highlight w:val="none"/>
              </w:rPr>
            </w:pPr>
            <w:r>
              <w:rPr>
                <w:color w:val="auto"/>
                <w:sz w:val="24"/>
                <w:szCs w:val="24"/>
                <w:highlight w:val="none"/>
              </w:rPr>
              <w:t xml:space="preserve">声环境 </w:t>
            </w:r>
          </w:p>
        </w:tc>
        <w:tc>
          <w:tcPr>
            <w:tcW w:w="19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0" w:leftChars="0" w:right="0" w:rightChars="0"/>
              <w:jc w:val="center"/>
              <w:rPr>
                <w:rFonts w:ascii="Times New Roman" w:hAnsi="Times New Roman" w:eastAsia="宋体"/>
                <w:color w:val="auto"/>
                <w:sz w:val="24"/>
                <w:szCs w:val="21"/>
                <w:highlight w:val="none"/>
              </w:rPr>
            </w:pPr>
            <w:r>
              <w:rPr>
                <w:rFonts w:ascii="Times New Roman" w:hAnsi="Times New Roman" w:eastAsia="宋体"/>
                <w:color w:val="auto"/>
                <w:sz w:val="24"/>
                <w:szCs w:val="21"/>
                <w:highlight w:val="none"/>
              </w:rPr>
              <w:t>设备噪声</w:t>
            </w:r>
          </w:p>
        </w:tc>
        <w:tc>
          <w:tcPr>
            <w:tcW w:w="1757" w:type="dxa"/>
            <w:vMerge w:val="restart"/>
            <w:tcBorders>
              <w:top w:val="single" w:color="000000" w:sz="4" w:space="0"/>
              <w:left w:val="single" w:color="000000" w:sz="4" w:space="0"/>
              <w:right w:val="single" w:color="000000" w:sz="4" w:space="0"/>
            </w:tcBorders>
          </w:tcPr>
          <w:p>
            <w:pPr>
              <w:adjustRightInd w:val="0"/>
              <w:snapToGrid w:val="0"/>
              <w:ind w:left="0" w:leftChars="0" w:right="0" w:rightChars="0"/>
              <w:jc w:val="center"/>
              <w:rPr>
                <w:rFonts w:ascii="Times New Roman" w:hAnsi="Times New Roman" w:eastAsia="宋体"/>
                <w:color w:val="auto"/>
                <w:sz w:val="24"/>
                <w:szCs w:val="21"/>
                <w:highlight w:val="none"/>
              </w:rPr>
            </w:pPr>
            <w:r>
              <w:rPr>
                <w:rFonts w:ascii="Times New Roman" w:hAnsi="Times New Roman" w:eastAsia="宋体"/>
                <w:color w:val="auto"/>
                <w:sz w:val="24"/>
                <w:szCs w:val="21"/>
                <w:highlight w:val="none"/>
              </w:rPr>
              <w:t xml:space="preserve"> </w:t>
            </w:r>
          </w:p>
          <w:p>
            <w:pPr>
              <w:adjustRightInd w:val="0"/>
              <w:snapToGrid w:val="0"/>
              <w:ind w:left="0" w:leftChars="0" w:right="0" w:rightChars="0"/>
              <w:jc w:val="center"/>
              <w:rPr>
                <w:rFonts w:ascii="Times New Roman" w:hAnsi="Times New Roman" w:eastAsia="宋体"/>
                <w:color w:val="auto"/>
                <w:sz w:val="24"/>
                <w:szCs w:val="21"/>
                <w:highlight w:val="none"/>
              </w:rPr>
            </w:pPr>
            <w:r>
              <w:rPr>
                <w:rFonts w:ascii="Times New Roman" w:hAnsi="Times New Roman" w:eastAsia="宋体"/>
                <w:color w:val="auto"/>
                <w:sz w:val="24"/>
                <w:szCs w:val="21"/>
                <w:highlight w:val="none"/>
              </w:rPr>
              <w:t xml:space="preserve"> 噪声</w:t>
            </w:r>
          </w:p>
        </w:tc>
        <w:tc>
          <w:tcPr>
            <w:tcW w:w="175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0" w:leftChars="0" w:right="0" w:rightChars="0"/>
              <w:jc w:val="center"/>
              <w:rPr>
                <w:rFonts w:ascii="Times New Roman" w:hAnsi="Times New Roman" w:eastAsia="宋体"/>
                <w:color w:val="auto"/>
                <w:sz w:val="24"/>
                <w:szCs w:val="21"/>
                <w:highlight w:val="none"/>
              </w:rPr>
            </w:pPr>
            <w:r>
              <w:rPr>
                <w:rFonts w:ascii="Times New Roman" w:hAnsi="Times New Roman" w:eastAsia="宋体"/>
                <w:color w:val="auto"/>
                <w:sz w:val="24"/>
                <w:szCs w:val="21"/>
                <w:highlight w:val="none"/>
              </w:rPr>
              <w:t>合理布局，加强管理，文明施工</w:t>
            </w:r>
          </w:p>
        </w:tc>
        <w:tc>
          <w:tcPr>
            <w:tcW w:w="1757" w:type="dxa"/>
            <w:tcBorders>
              <w:top w:val="single" w:color="000000" w:sz="4" w:space="0"/>
              <w:left w:val="single" w:color="000000" w:sz="4" w:space="0"/>
              <w:bottom w:val="single" w:color="000000" w:sz="4" w:space="0"/>
            </w:tcBorders>
            <w:vAlign w:val="center"/>
          </w:tcPr>
          <w:p>
            <w:pPr>
              <w:adjustRightInd w:val="0"/>
              <w:snapToGrid w:val="0"/>
              <w:ind w:left="0" w:leftChars="0" w:right="0" w:rightChars="0"/>
              <w:jc w:val="center"/>
              <w:rPr>
                <w:rFonts w:ascii="Times New Roman" w:hAnsi="Times New Roman" w:eastAsia="宋体"/>
                <w:color w:val="auto"/>
                <w:sz w:val="24"/>
                <w:szCs w:val="21"/>
                <w:highlight w:val="none"/>
              </w:rPr>
            </w:pPr>
            <w:r>
              <w:rPr>
                <w:rFonts w:ascii="Times New Roman" w:hAnsi="Times New Roman" w:eastAsia="宋体"/>
                <w:color w:val="auto"/>
                <w:sz w:val="24"/>
                <w:szCs w:val="21"/>
                <w:highlight w:val="none"/>
              </w:rPr>
              <w:t>满足《建筑施工场界环境噪声排放标准》（GB12523-2011）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551" w:type="dxa"/>
            <w:vMerge w:val="continue"/>
            <w:tcBorders>
              <w:top w:val="nil"/>
              <w:bottom w:val="single" w:color="000000" w:sz="4" w:space="0"/>
              <w:right w:val="single" w:color="000000" w:sz="4" w:space="0"/>
            </w:tcBorders>
          </w:tcPr>
          <w:p>
            <w:pPr>
              <w:rPr>
                <w:color w:val="auto"/>
                <w:sz w:val="24"/>
                <w:szCs w:val="24"/>
                <w:highlight w:val="none"/>
              </w:rPr>
            </w:pPr>
          </w:p>
        </w:tc>
        <w:tc>
          <w:tcPr>
            <w:tcW w:w="198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ind w:left="0" w:leftChars="0" w:right="0" w:rightChars="0"/>
              <w:jc w:val="center"/>
              <w:rPr>
                <w:color w:val="auto"/>
                <w:sz w:val="21"/>
                <w:highlight w:val="none"/>
              </w:rPr>
            </w:pPr>
            <w:r>
              <w:rPr>
                <w:rFonts w:ascii="Times New Roman" w:hAnsi="Times New Roman" w:eastAsia="宋体"/>
                <w:color w:val="auto"/>
                <w:sz w:val="24"/>
                <w:szCs w:val="21"/>
                <w:highlight w:val="none"/>
              </w:rPr>
              <w:t>机械噪声</w:t>
            </w:r>
          </w:p>
        </w:tc>
        <w:tc>
          <w:tcPr>
            <w:tcW w:w="1757" w:type="dxa"/>
            <w:vMerge w:val="continue"/>
            <w:tcBorders>
              <w:left w:val="single" w:color="000000" w:sz="4" w:space="0"/>
              <w:bottom w:val="single" w:color="000000" w:sz="4" w:space="0"/>
              <w:right w:val="single" w:color="000000" w:sz="4" w:space="0"/>
            </w:tcBorders>
          </w:tcPr>
          <w:p>
            <w:pPr>
              <w:pStyle w:val="15"/>
              <w:spacing w:before="77"/>
              <w:ind w:left="120"/>
              <w:jc w:val="center"/>
              <w:rPr>
                <w:color w:val="auto"/>
                <w:sz w:val="21"/>
                <w:highlight w:val="none"/>
              </w:rPr>
            </w:pPr>
          </w:p>
        </w:tc>
        <w:tc>
          <w:tcPr>
            <w:tcW w:w="1754" w:type="dxa"/>
            <w:tcBorders>
              <w:top w:val="single" w:color="000000" w:sz="4" w:space="0"/>
              <w:left w:val="single" w:color="000000" w:sz="4" w:space="0"/>
              <w:bottom w:val="single" w:color="000000" w:sz="4" w:space="0"/>
              <w:right w:val="single" w:color="000000" w:sz="4" w:space="0"/>
            </w:tcBorders>
            <w:vAlign w:val="center"/>
          </w:tcPr>
          <w:p>
            <w:pPr>
              <w:ind w:left="0" w:leftChars="0" w:right="0" w:rightChars="0"/>
              <w:jc w:val="center"/>
              <w:rPr>
                <w:color w:val="auto"/>
                <w:sz w:val="21"/>
                <w:highlight w:val="none"/>
              </w:rPr>
            </w:pPr>
            <w:r>
              <w:rPr>
                <w:rFonts w:ascii="Times New Roman" w:hAnsi="Times New Roman" w:eastAsia="宋体"/>
                <w:color w:val="auto"/>
                <w:sz w:val="24"/>
                <w:szCs w:val="21"/>
                <w:highlight w:val="none"/>
              </w:rPr>
              <w:t>机座减振、合理布局、建筑隔声等措施</w:t>
            </w:r>
          </w:p>
        </w:tc>
        <w:tc>
          <w:tcPr>
            <w:tcW w:w="1757" w:type="dxa"/>
            <w:tcBorders>
              <w:top w:val="single" w:color="000000" w:sz="4" w:space="0"/>
              <w:left w:val="single" w:color="000000" w:sz="4" w:space="0"/>
              <w:bottom w:val="single" w:color="000000" w:sz="4" w:space="0"/>
            </w:tcBorders>
            <w:vAlign w:val="center"/>
          </w:tcPr>
          <w:p>
            <w:pPr>
              <w:jc w:val="center"/>
              <w:rPr>
                <w:rFonts w:ascii="Times New Roman" w:hAnsi="Times New Roman" w:eastAsia="宋体"/>
                <w:color w:val="auto"/>
                <w:sz w:val="24"/>
                <w:szCs w:val="21"/>
                <w:highlight w:val="none"/>
              </w:rPr>
            </w:pPr>
            <w:r>
              <w:rPr>
                <w:rFonts w:ascii="Times New Roman" w:hAnsi="Times New Roman" w:eastAsia="宋体"/>
                <w:color w:val="auto"/>
                <w:sz w:val="24"/>
                <w:szCs w:val="21"/>
                <w:highlight w:val="none"/>
              </w:rPr>
              <w:t>昼间≤60dB(A)</w:t>
            </w:r>
          </w:p>
          <w:p>
            <w:pPr>
              <w:ind w:left="0" w:leftChars="0" w:right="0" w:rightChars="0"/>
              <w:jc w:val="center"/>
              <w:rPr>
                <w:color w:val="auto"/>
                <w:sz w:val="21"/>
                <w:highlight w:val="none"/>
              </w:rPr>
            </w:pPr>
            <w:r>
              <w:rPr>
                <w:rFonts w:ascii="Times New Roman" w:hAnsi="Times New Roman" w:eastAsia="宋体"/>
                <w:color w:val="auto"/>
                <w:sz w:val="24"/>
                <w:highlight w:val="none"/>
              </w:rPr>
              <w:t>夜间</w:t>
            </w:r>
            <w:r>
              <w:rPr>
                <w:rFonts w:ascii="Times New Roman" w:hAnsi="Times New Roman" w:eastAsia="宋体"/>
                <w:color w:val="auto"/>
                <w:sz w:val="24"/>
                <w:szCs w:val="21"/>
                <w:highlight w:val="none"/>
              </w:rPr>
              <w:t>≤50dB(A)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40" w:hRule="atLeast"/>
        </w:trPr>
        <w:tc>
          <w:tcPr>
            <w:tcW w:w="1551" w:type="dxa"/>
            <w:tcBorders>
              <w:top w:val="single" w:color="000000" w:sz="4" w:space="0"/>
              <w:bottom w:val="single" w:color="000000" w:sz="4" w:space="0"/>
              <w:right w:val="single" w:color="000000" w:sz="4" w:space="0"/>
            </w:tcBorders>
          </w:tcPr>
          <w:p>
            <w:pPr>
              <w:pStyle w:val="15"/>
              <w:rPr>
                <w:rFonts w:ascii="黑体"/>
                <w:color w:val="auto"/>
                <w:sz w:val="24"/>
                <w:szCs w:val="24"/>
                <w:highlight w:val="none"/>
              </w:rPr>
            </w:pPr>
          </w:p>
          <w:p>
            <w:pPr>
              <w:pStyle w:val="15"/>
              <w:jc w:val="center"/>
              <w:rPr>
                <w:color w:val="auto"/>
                <w:sz w:val="24"/>
                <w:szCs w:val="24"/>
                <w:highlight w:val="none"/>
              </w:rPr>
            </w:pPr>
            <w:r>
              <w:rPr>
                <w:color w:val="auto"/>
                <w:sz w:val="24"/>
                <w:szCs w:val="24"/>
                <w:highlight w:val="none"/>
              </w:rPr>
              <w:t>电磁辐射</w:t>
            </w:r>
          </w:p>
        </w:tc>
        <w:tc>
          <w:tcPr>
            <w:tcW w:w="1982" w:type="dxa"/>
            <w:tcBorders>
              <w:top w:val="single" w:color="000000" w:sz="4" w:space="0"/>
              <w:left w:val="single" w:color="000000" w:sz="4" w:space="0"/>
              <w:right w:val="single" w:color="000000" w:sz="4" w:space="0"/>
            </w:tcBorders>
          </w:tcPr>
          <w:p>
            <w:pPr>
              <w:pStyle w:val="15"/>
              <w:spacing w:before="78"/>
              <w:ind w:right="755"/>
              <w:jc w:val="right"/>
              <w:rPr>
                <w:color w:val="auto"/>
                <w:w w:val="100"/>
                <w:sz w:val="21"/>
                <w:highlight w:val="none"/>
              </w:rPr>
            </w:pPr>
            <w:r>
              <w:rPr>
                <w:color w:val="auto"/>
                <w:w w:val="100"/>
                <w:sz w:val="21"/>
                <w:highlight w:val="none"/>
              </w:rPr>
              <w:t xml:space="preserve"> </w:t>
            </w:r>
            <w:r>
              <w:rPr>
                <w:rFonts w:hint="eastAsia" w:ascii="Times New Roman" w:hAnsi="Times New Roman" w:eastAsia="宋体" w:cs="宋体"/>
                <w:color w:val="auto"/>
                <w:sz w:val="24"/>
                <w:szCs w:val="21"/>
                <w:highlight w:val="none"/>
                <w:lang w:val="en-US" w:eastAsia="zh-CN"/>
              </w:rPr>
              <w:t>/</w:t>
            </w:r>
          </w:p>
          <w:p>
            <w:pPr>
              <w:pStyle w:val="15"/>
              <w:spacing w:before="78"/>
              <w:ind w:right="755"/>
              <w:jc w:val="both"/>
              <w:rPr>
                <w:color w:val="auto"/>
                <w:sz w:val="21"/>
                <w:highlight w:val="none"/>
              </w:rPr>
            </w:pPr>
          </w:p>
        </w:tc>
        <w:tc>
          <w:tcPr>
            <w:tcW w:w="1757" w:type="dxa"/>
            <w:tcBorders>
              <w:top w:val="single" w:color="000000" w:sz="4" w:space="0"/>
              <w:left w:val="single" w:color="000000" w:sz="4" w:space="0"/>
              <w:right w:val="single" w:color="000000" w:sz="4" w:space="0"/>
            </w:tcBorders>
          </w:tcPr>
          <w:p>
            <w:pPr>
              <w:pStyle w:val="15"/>
              <w:spacing w:before="78"/>
              <w:ind w:left="120"/>
              <w:jc w:val="center"/>
              <w:rPr>
                <w:color w:val="auto"/>
                <w:sz w:val="21"/>
                <w:highlight w:val="none"/>
              </w:rPr>
            </w:pPr>
            <w:r>
              <w:rPr>
                <w:rFonts w:hint="eastAsia" w:ascii="Times New Roman" w:hAnsi="Times New Roman" w:eastAsia="宋体" w:cs="宋体"/>
                <w:color w:val="auto"/>
                <w:sz w:val="24"/>
                <w:szCs w:val="21"/>
                <w:highlight w:val="none"/>
                <w:lang w:val="en-US" w:eastAsia="zh-CN"/>
              </w:rPr>
              <w:t>/</w:t>
            </w:r>
          </w:p>
        </w:tc>
        <w:tc>
          <w:tcPr>
            <w:tcW w:w="1754" w:type="dxa"/>
            <w:tcBorders>
              <w:top w:val="single" w:color="000000" w:sz="4" w:space="0"/>
              <w:left w:val="single" w:color="000000" w:sz="4" w:space="0"/>
              <w:right w:val="single" w:color="000000" w:sz="4" w:space="0"/>
            </w:tcBorders>
          </w:tcPr>
          <w:p>
            <w:pPr>
              <w:pStyle w:val="15"/>
              <w:spacing w:before="78"/>
              <w:ind w:left="119"/>
              <w:jc w:val="center"/>
              <w:rPr>
                <w:i/>
                <w:iCs/>
                <w:color w:val="auto"/>
                <w:sz w:val="21"/>
                <w:highlight w:val="none"/>
              </w:rPr>
            </w:pPr>
            <w:r>
              <w:rPr>
                <w:i/>
                <w:iCs/>
                <w:color w:val="auto"/>
                <w:w w:val="100"/>
                <w:sz w:val="21"/>
                <w:highlight w:val="none"/>
              </w:rPr>
              <w:t xml:space="preserve"> </w:t>
            </w:r>
            <w:r>
              <w:rPr>
                <w:rFonts w:hint="eastAsia" w:ascii="Times New Roman" w:hAnsi="Times New Roman" w:eastAsia="宋体" w:cs="宋体"/>
                <w:i/>
                <w:iCs/>
                <w:color w:val="auto"/>
                <w:sz w:val="24"/>
                <w:szCs w:val="21"/>
                <w:highlight w:val="none"/>
                <w:lang w:val="en-US" w:eastAsia="zh-CN"/>
              </w:rPr>
              <w:t>/</w:t>
            </w:r>
          </w:p>
        </w:tc>
        <w:tc>
          <w:tcPr>
            <w:tcW w:w="1757" w:type="dxa"/>
            <w:tcBorders>
              <w:top w:val="single" w:color="000000" w:sz="4" w:space="0"/>
              <w:left w:val="single" w:color="000000" w:sz="4" w:space="0"/>
              <w:bottom w:val="single" w:color="000000" w:sz="4" w:space="0"/>
            </w:tcBorders>
          </w:tcPr>
          <w:p>
            <w:pPr>
              <w:pStyle w:val="15"/>
              <w:spacing w:before="78"/>
              <w:ind w:left="132"/>
              <w:jc w:val="center"/>
              <w:rPr>
                <w:rFonts w:hint="eastAsia" w:ascii="Times New Roman" w:hAnsi="Times New Roman" w:eastAsia="宋体" w:cs="宋体"/>
                <w:i/>
                <w:iCs/>
                <w:color w:val="auto"/>
                <w:sz w:val="24"/>
                <w:szCs w:val="21"/>
                <w:highlight w:val="none"/>
                <w:lang w:val="en-US" w:eastAsia="zh-CN"/>
              </w:rPr>
            </w:pPr>
            <w:r>
              <w:rPr>
                <w:rFonts w:hint="eastAsia" w:ascii="Times New Roman" w:hAnsi="Times New Roman" w:eastAsia="宋体" w:cs="宋体"/>
                <w:i/>
                <w:iCs/>
                <w:color w:val="auto"/>
                <w:sz w:val="24"/>
                <w:szCs w:val="21"/>
                <w:highlight w:val="none"/>
                <w:lang w:val="en-US" w:eastAsia="zh-CN"/>
              </w:rPr>
              <w:t>/</w:t>
            </w:r>
            <w:r>
              <w:rPr>
                <w:i/>
                <w:iCs/>
                <w:color w:val="auto"/>
                <w:w w:val="100"/>
                <w:sz w:val="21"/>
                <w:highlight w:val="none"/>
              </w:rPr>
              <w:t xml:space="preserve"> </w:t>
            </w:r>
          </w:p>
          <w:p>
            <w:pPr>
              <w:pStyle w:val="15"/>
              <w:spacing w:before="78"/>
              <w:jc w:val="both"/>
              <w:rPr>
                <w:i/>
                <w:iCs/>
                <w:color w:val="auto"/>
                <w:sz w:val="21"/>
                <w:highlight w:val="none"/>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551" w:type="dxa"/>
            <w:vMerge w:val="restart"/>
            <w:tcBorders>
              <w:top w:val="nil"/>
              <w:right w:val="single" w:color="000000" w:sz="4" w:space="0"/>
            </w:tcBorders>
          </w:tcPr>
          <w:p>
            <w:pPr>
              <w:jc w:val="center"/>
              <w:rPr>
                <w:rFonts w:ascii="宋体" w:hAnsi="宋体" w:eastAsia="宋体" w:cs="宋体"/>
                <w:color w:val="auto"/>
                <w:sz w:val="24"/>
                <w:szCs w:val="24"/>
                <w:highlight w:val="none"/>
                <w:lang w:val="zh-CN" w:eastAsia="zh-CN" w:bidi="zh-CN"/>
              </w:rPr>
            </w:pPr>
          </w:p>
          <w:p>
            <w:pPr>
              <w:jc w:val="center"/>
              <w:rPr>
                <w:rFonts w:ascii="宋体" w:hAnsi="宋体" w:eastAsia="宋体" w:cs="宋体"/>
                <w:color w:val="auto"/>
                <w:sz w:val="24"/>
                <w:szCs w:val="24"/>
                <w:highlight w:val="none"/>
                <w:lang w:val="zh-CN" w:eastAsia="zh-CN" w:bidi="zh-CN"/>
              </w:rPr>
            </w:pPr>
          </w:p>
          <w:p>
            <w:pPr>
              <w:jc w:val="center"/>
              <w:rPr>
                <w:color w:val="auto"/>
                <w:sz w:val="24"/>
                <w:szCs w:val="24"/>
                <w:highlight w:val="none"/>
              </w:rPr>
            </w:pPr>
            <w:r>
              <w:rPr>
                <w:rFonts w:ascii="宋体" w:hAnsi="宋体" w:eastAsia="宋体" w:cs="宋体"/>
                <w:color w:val="auto"/>
                <w:sz w:val="24"/>
                <w:szCs w:val="24"/>
                <w:highlight w:val="none"/>
                <w:lang w:val="zh-CN" w:eastAsia="zh-CN" w:bidi="zh-CN"/>
              </w:rPr>
              <w:t>固体废物</w:t>
            </w:r>
          </w:p>
        </w:tc>
        <w:tc>
          <w:tcPr>
            <w:tcW w:w="3739" w:type="dxa"/>
            <w:gridSpan w:val="2"/>
            <w:tcBorders>
              <w:top w:val="single" w:color="000000" w:sz="4" w:space="0"/>
              <w:left w:val="single" w:color="000000" w:sz="4" w:space="0"/>
              <w:bottom w:val="single" w:color="000000" w:sz="4" w:space="0"/>
              <w:right w:val="single" w:color="000000" w:sz="4" w:space="0"/>
            </w:tcBorders>
          </w:tcPr>
          <w:p>
            <w:pPr>
              <w:pStyle w:val="15"/>
              <w:spacing w:before="78"/>
              <w:ind w:left="120"/>
              <w:jc w:val="center"/>
              <w:rPr>
                <w:color w:val="auto"/>
                <w:w w:val="100"/>
                <w:sz w:val="21"/>
                <w:highlight w:val="none"/>
              </w:rPr>
            </w:pPr>
            <w:r>
              <w:rPr>
                <w:rFonts w:ascii="Times New Roman" w:hAnsi="Times New Roman" w:eastAsia="宋体"/>
                <w:color w:val="auto"/>
                <w:sz w:val="24"/>
                <w:szCs w:val="21"/>
                <w:highlight w:val="none"/>
              </w:rPr>
              <w:t>生活垃圾</w:t>
            </w:r>
          </w:p>
        </w:tc>
        <w:tc>
          <w:tcPr>
            <w:tcW w:w="3511" w:type="dxa"/>
            <w:gridSpan w:val="2"/>
            <w:tcBorders>
              <w:top w:val="single" w:color="000000" w:sz="4" w:space="0"/>
              <w:left w:val="single" w:color="000000" w:sz="4" w:space="0"/>
              <w:bottom w:val="single" w:color="000000" w:sz="4" w:space="0"/>
            </w:tcBorders>
          </w:tcPr>
          <w:p>
            <w:pPr>
              <w:pStyle w:val="15"/>
              <w:spacing w:before="78"/>
              <w:ind w:left="132"/>
              <w:jc w:val="center"/>
              <w:rPr>
                <w:i/>
                <w:iCs/>
                <w:color w:val="auto"/>
                <w:w w:val="100"/>
                <w:sz w:val="21"/>
                <w:highlight w:val="none"/>
              </w:rPr>
            </w:pPr>
            <w:r>
              <w:rPr>
                <w:rFonts w:ascii="Times New Roman" w:hAnsi="Times New Roman" w:eastAsia="宋体"/>
                <w:i w:val="0"/>
                <w:iCs w:val="0"/>
                <w:color w:val="auto"/>
                <w:sz w:val="24"/>
                <w:szCs w:val="21"/>
                <w:highlight w:val="none"/>
              </w:rPr>
              <w:t>经垃圾桶统一收集后交由环卫部门处理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trPr>
        <w:tc>
          <w:tcPr>
            <w:tcW w:w="1551" w:type="dxa"/>
            <w:vMerge w:val="continue"/>
            <w:tcBorders>
              <w:bottom w:val="single" w:color="000000" w:sz="4" w:space="0"/>
              <w:right w:val="single" w:color="000000" w:sz="4" w:space="0"/>
            </w:tcBorders>
          </w:tcPr>
          <w:p>
            <w:pPr>
              <w:rPr>
                <w:color w:val="auto"/>
                <w:sz w:val="24"/>
                <w:szCs w:val="24"/>
                <w:highlight w:val="none"/>
              </w:rPr>
            </w:pPr>
          </w:p>
        </w:tc>
        <w:tc>
          <w:tcPr>
            <w:tcW w:w="3739" w:type="dxa"/>
            <w:gridSpan w:val="2"/>
            <w:tcBorders>
              <w:top w:val="single" w:color="000000" w:sz="4" w:space="0"/>
              <w:left w:val="single" w:color="000000" w:sz="4" w:space="0"/>
              <w:bottom w:val="single" w:color="000000" w:sz="4" w:space="0"/>
              <w:right w:val="single" w:color="000000" w:sz="4" w:space="0"/>
            </w:tcBorders>
          </w:tcPr>
          <w:p>
            <w:pPr>
              <w:pStyle w:val="15"/>
              <w:spacing w:before="78"/>
              <w:ind w:left="120"/>
              <w:jc w:val="center"/>
              <w:rPr>
                <w:color w:val="auto"/>
                <w:w w:val="100"/>
                <w:sz w:val="21"/>
                <w:highlight w:val="none"/>
              </w:rPr>
            </w:pPr>
            <w:r>
              <w:rPr>
                <w:rFonts w:ascii="Times New Roman" w:hAnsi="Times New Roman" w:eastAsia="宋体"/>
                <w:bCs/>
                <w:color w:val="auto"/>
                <w:sz w:val="24"/>
                <w:szCs w:val="21"/>
                <w:highlight w:val="none"/>
              </w:rPr>
              <w:t>废润滑油、废活性炭</w:t>
            </w:r>
          </w:p>
        </w:tc>
        <w:tc>
          <w:tcPr>
            <w:tcW w:w="3511" w:type="dxa"/>
            <w:gridSpan w:val="2"/>
            <w:tcBorders>
              <w:top w:val="single" w:color="000000" w:sz="4" w:space="0"/>
              <w:left w:val="single" w:color="000000" w:sz="4" w:space="0"/>
              <w:bottom w:val="single" w:color="000000" w:sz="4" w:space="0"/>
            </w:tcBorders>
          </w:tcPr>
          <w:p>
            <w:pPr>
              <w:pStyle w:val="15"/>
              <w:spacing w:before="78"/>
              <w:ind w:left="132"/>
              <w:jc w:val="center"/>
              <w:rPr>
                <w:color w:val="auto"/>
                <w:w w:val="100"/>
                <w:sz w:val="21"/>
                <w:highlight w:val="none"/>
              </w:rPr>
            </w:pPr>
            <w:r>
              <w:rPr>
                <w:rFonts w:ascii="Times New Roman" w:hAnsi="Times New Roman" w:eastAsia="宋体"/>
                <w:bCs/>
                <w:color w:val="auto"/>
                <w:sz w:val="24"/>
                <w:szCs w:val="21"/>
                <w:highlight w:val="none"/>
              </w:rPr>
              <w:t>设置危废暂存间，交由具有该类危废资质的单位处理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6" w:hRule="atLeast"/>
        </w:trPr>
        <w:tc>
          <w:tcPr>
            <w:tcW w:w="1551" w:type="dxa"/>
            <w:tcBorders>
              <w:top w:val="single" w:color="000000" w:sz="4" w:space="0"/>
              <w:bottom w:val="single" w:color="000000" w:sz="4" w:space="0"/>
              <w:right w:val="single" w:color="000000" w:sz="4" w:space="0"/>
            </w:tcBorders>
          </w:tcPr>
          <w:p>
            <w:pPr>
              <w:pStyle w:val="15"/>
              <w:spacing w:before="9"/>
              <w:rPr>
                <w:rFonts w:ascii="黑体"/>
                <w:color w:val="auto"/>
                <w:sz w:val="24"/>
                <w:szCs w:val="24"/>
                <w:highlight w:val="none"/>
              </w:rPr>
            </w:pPr>
          </w:p>
          <w:p>
            <w:pPr>
              <w:pStyle w:val="15"/>
              <w:spacing w:line="242" w:lineRule="auto"/>
              <w:ind w:left="258" w:right="136"/>
              <w:rPr>
                <w:color w:val="auto"/>
                <w:sz w:val="24"/>
                <w:szCs w:val="24"/>
                <w:highlight w:val="none"/>
              </w:rPr>
            </w:pPr>
            <w:r>
              <w:rPr>
                <w:color w:val="auto"/>
                <w:sz w:val="24"/>
                <w:szCs w:val="24"/>
                <w:highlight w:val="none"/>
              </w:rPr>
              <w:t xml:space="preserve">土壤及地下水污染防治措施 </w:t>
            </w:r>
          </w:p>
        </w:tc>
        <w:tc>
          <w:tcPr>
            <w:tcW w:w="7250" w:type="dxa"/>
            <w:gridSpan w:val="4"/>
            <w:tcBorders>
              <w:top w:val="single" w:color="000000" w:sz="4" w:space="0"/>
              <w:left w:val="single" w:color="000000" w:sz="4" w:space="0"/>
              <w:bottom w:val="single" w:color="000000" w:sz="4" w:space="0"/>
            </w:tcBorders>
          </w:tcPr>
          <w:p>
            <w:pPr>
              <w:pStyle w:val="15"/>
              <w:rPr>
                <w:rFonts w:ascii="黑体"/>
                <w:color w:val="auto"/>
                <w:sz w:val="20"/>
                <w:highlight w:val="none"/>
              </w:rPr>
            </w:pPr>
          </w:p>
          <w:p>
            <w:pPr>
              <w:pStyle w:val="15"/>
              <w:spacing w:before="5"/>
              <w:rPr>
                <w:rFonts w:ascii="Times New Roman" w:hAnsi="Times New Roman" w:eastAsia="宋体"/>
                <w:color w:val="auto"/>
                <w:sz w:val="24"/>
                <w:highlight w:val="none"/>
              </w:rPr>
            </w:pPr>
            <w:r>
              <w:rPr>
                <w:rFonts w:hint="default" w:ascii="Calibri" w:hAnsi="Calibri" w:cs="Calibri"/>
                <w:color w:val="auto"/>
                <w:sz w:val="19"/>
                <w:highlight w:val="none"/>
              </w:rPr>
              <w:t>①</w:t>
            </w:r>
            <w:r>
              <w:rPr>
                <w:rFonts w:ascii="Times New Roman" w:hAnsi="Times New Roman" w:eastAsia="宋体"/>
                <w:color w:val="auto"/>
                <w:sz w:val="24"/>
                <w:highlight w:val="none"/>
              </w:rPr>
              <w:t>危废暂存间、柴油罐、沥青罐、沥青搅拌区域采取重点防渗措施：采用至少1m厚黏土层（渗透系数K≤1×10</w:t>
            </w:r>
            <w:r>
              <w:rPr>
                <w:rFonts w:ascii="Times New Roman" w:hAnsi="Times New Roman" w:eastAsia="宋体"/>
                <w:color w:val="auto"/>
                <w:sz w:val="24"/>
                <w:highlight w:val="none"/>
                <w:vertAlign w:val="superscript"/>
              </w:rPr>
              <w:t>-7</w:t>
            </w:r>
            <w:r>
              <w:rPr>
                <w:rFonts w:ascii="Times New Roman" w:hAnsi="Times New Roman" w:eastAsia="宋体"/>
                <w:color w:val="auto"/>
                <w:sz w:val="24"/>
                <w:highlight w:val="none"/>
              </w:rPr>
              <w:t>cm/s），或2mm厚高密度聚乙烯，或至少2mm厚的其它人工材料，渗透系数≤10</w:t>
            </w:r>
            <w:r>
              <w:rPr>
                <w:rFonts w:ascii="Times New Roman" w:hAnsi="Times New Roman" w:eastAsia="宋体"/>
                <w:color w:val="auto"/>
                <w:sz w:val="24"/>
                <w:highlight w:val="none"/>
                <w:vertAlign w:val="superscript"/>
              </w:rPr>
              <w:t>-10</w:t>
            </w:r>
            <w:r>
              <w:rPr>
                <w:rFonts w:ascii="Times New Roman" w:hAnsi="Times New Roman" w:eastAsia="宋体"/>
                <w:color w:val="auto"/>
                <w:sz w:val="24"/>
                <w:highlight w:val="none"/>
              </w:rPr>
              <w:t>cm/s。</w:t>
            </w:r>
          </w:p>
          <w:p>
            <w:pPr>
              <w:pStyle w:val="15"/>
              <w:spacing w:before="5"/>
              <w:rPr>
                <w:rFonts w:hint="eastAsia" w:ascii="Times New Roman" w:hAnsi="Times New Roman" w:eastAsia="宋体"/>
                <w:color w:val="auto"/>
                <w:sz w:val="24"/>
                <w:highlight w:val="none"/>
                <w:lang w:eastAsia="zh-CN"/>
              </w:rPr>
            </w:pPr>
            <w:r>
              <w:rPr>
                <w:rFonts w:hint="default" w:ascii="Calibri" w:hAnsi="Calibri" w:eastAsia="宋体" w:cs="Calibri"/>
                <w:color w:val="auto"/>
                <w:sz w:val="24"/>
                <w:highlight w:val="none"/>
              </w:rPr>
              <w:t>②</w:t>
            </w:r>
            <w:r>
              <w:rPr>
                <w:rFonts w:ascii="Times New Roman" w:hAnsi="Times New Roman" w:eastAsia="宋体"/>
                <w:color w:val="auto"/>
                <w:sz w:val="24"/>
                <w:szCs w:val="21"/>
                <w:highlight w:val="none"/>
              </w:rPr>
              <w:t>骨料堆放区、商品混凝土生产区等采取一般防渗措施：</w:t>
            </w:r>
            <w:r>
              <w:rPr>
                <w:rFonts w:ascii="Times New Roman" w:hAnsi="Times New Roman" w:eastAsia="宋体"/>
                <w:color w:val="auto"/>
                <w:sz w:val="24"/>
                <w:highlight w:val="none"/>
              </w:rPr>
              <w:t>地面采取粘土铺底，再在上层铺10~15cm 的水泥进行硬化，一般防渗区各单元防渗层渗透系数≤10</w:t>
            </w:r>
            <w:r>
              <w:rPr>
                <w:rFonts w:ascii="Times New Roman" w:hAnsi="Times New Roman" w:eastAsia="宋体"/>
                <w:color w:val="auto"/>
                <w:sz w:val="24"/>
                <w:highlight w:val="none"/>
                <w:vertAlign w:val="superscript"/>
              </w:rPr>
              <w:t>-7</w:t>
            </w:r>
            <w:r>
              <w:rPr>
                <w:rFonts w:ascii="Times New Roman" w:hAnsi="Times New Roman" w:eastAsia="宋体"/>
                <w:color w:val="auto"/>
                <w:sz w:val="24"/>
                <w:highlight w:val="none"/>
              </w:rPr>
              <w:t>cm/s</w:t>
            </w:r>
            <w:r>
              <w:rPr>
                <w:rFonts w:hint="eastAsia" w:ascii="Times New Roman" w:hAnsi="Times New Roman"/>
                <w:color w:val="auto"/>
                <w:sz w:val="24"/>
                <w:highlight w:val="none"/>
                <w:lang w:eastAsia="zh-CN"/>
              </w:rPr>
              <w:t>。</w:t>
            </w:r>
          </w:p>
          <w:p>
            <w:pPr>
              <w:pStyle w:val="15"/>
              <w:ind w:left="131"/>
              <w:jc w:val="center"/>
              <w:rPr>
                <w:color w:val="auto"/>
                <w:sz w:val="21"/>
                <w:highlight w:val="none"/>
              </w:rPr>
            </w:pPr>
            <w:r>
              <w:rPr>
                <w:color w:val="auto"/>
                <w:w w:val="100"/>
                <w:sz w:val="21"/>
                <w:highlight w:val="none"/>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6" w:hRule="atLeast"/>
        </w:trPr>
        <w:tc>
          <w:tcPr>
            <w:tcW w:w="1551" w:type="dxa"/>
            <w:tcBorders>
              <w:top w:val="single" w:color="000000" w:sz="4" w:space="0"/>
              <w:bottom w:val="single" w:color="000000" w:sz="4" w:space="0"/>
              <w:right w:val="single" w:color="000000" w:sz="4" w:space="0"/>
            </w:tcBorders>
          </w:tcPr>
          <w:p>
            <w:pPr>
              <w:pStyle w:val="15"/>
              <w:rPr>
                <w:rFonts w:ascii="黑体"/>
                <w:color w:val="auto"/>
                <w:sz w:val="24"/>
                <w:szCs w:val="24"/>
                <w:highlight w:val="none"/>
              </w:rPr>
            </w:pPr>
          </w:p>
          <w:p>
            <w:pPr>
              <w:pStyle w:val="15"/>
              <w:spacing w:before="2"/>
              <w:rPr>
                <w:rFonts w:ascii="黑体"/>
                <w:color w:val="auto"/>
                <w:sz w:val="24"/>
                <w:szCs w:val="24"/>
                <w:highlight w:val="none"/>
              </w:rPr>
            </w:pPr>
          </w:p>
          <w:p>
            <w:pPr>
              <w:pStyle w:val="15"/>
              <w:spacing w:before="1"/>
              <w:ind w:left="291" w:right="171"/>
              <w:jc w:val="center"/>
              <w:rPr>
                <w:color w:val="auto"/>
                <w:sz w:val="24"/>
                <w:szCs w:val="24"/>
                <w:highlight w:val="none"/>
              </w:rPr>
            </w:pPr>
            <w:r>
              <w:rPr>
                <w:color w:val="auto"/>
                <w:sz w:val="24"/>
                <w:szCs w:val="24"/>
                <w:highlight w:val="none"/>
              </w:rPr>
              <w:t xml:space="preserve">生态保护措施 </w:t>
            </w:r>
          </w:p>
        </w:tc>
        <w:tc>
          <w:tcPr>
            <w:tcW w:w="7250" w:type="dxa"/>
            <w:gridSpan w:val="4"/>
            <w:tcBorders>
              <w:top w:val="single" w:color="000000" w:sz="4" w:space="0"/>
              <w:left w:val="single" w:color="000000" w:sz="4" w:space="0"/>
              <w:bottom w:val="single" w:color="000000" w:sz="4" w:space="0"/>
            </w:tcBorders>
          </w:tcPr>
          <w:p>
            <w:pPr>
              <w:pStyle w:val="15"/>
              <w:rPr>
                <w:rFonts w:ascii="黑体"/>
                <w:color w:val="auto"/>
                <w:sz w:val="20"/>
                <w:highlight w:val="none"/>
              </w:rPr>
            </w:pPr>
          </w:p>
          <w:p>
            <w:pPr>
              <w:pStyle w:val="15"/>
              <w:spacing w:before="2"/>
              <w:rPr>
                <w:rFonts w:ascii="黑体"/>
                <w:color w:val="auto"/>
                <w:sz w:val="19"/>
                <w:highlight w:val="none"/>
              </w:rPr>
            </w:pPr>
          </w:p>
          <w:p>
            <w:pPr>
              <w:pStyle w:val="15"/>
              <w:spacing w:before="1"/>
              <w:ind w:left="131"/>
              <w:jc w:val="center"/>
              <w:rPr>
                <w:color w:val="auto"/>
                <w:sz w:val="21"/>
                <w:highlight w:val="none"/>
              </w:rPr>
            </w:pPr>
            <w:r>
              <w:rPr>
                <w:rFonts w:hint="eastAsia"/>
                <w:color w:val="auto"/>
                <w:sz w:val="24"/>
                <w:szCs w:val="21"/>
                <w:highlight w:val="none"/>
                <w:lang w:eastAsia="zh-CN"/>
              </w:rPr>
              <w:t>建成区</w:t>
            </w:r>
            <w:r>
              <w:rPr>
                <w:rFonts w:ascii="Times New Roman" w:hAnsi="Times New Roman" w:eastAsia="宋体"/>
                <w:color w:val="auto"/>
                <w:sz w:val="24"/>
                <w:szCs w:val="21"/>
                <w:highlight w:val="none"/>
              </w:rPr>
              <w:t>周边绿化</w:t>
            </w:r>
            <w:r>
              <w:rPr>
                <w:color w:val="auto"/>
                <w:w w:val="100"/>
                <w:sz w:val="21"/>
                <w:highlight w:val="none"/>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7" w:hRule="atLeast"/>
        </w:trPr>
        <w:tc>
          <w:tcPr>
            <w:tcW w:w="1551" w:type="dxa"/>
            <w:tcBorders>
              <w:top w:val="single" w:color="000000" w:sz="4" w:space="0"/>
              <w:bottom w:val="single" w:color="000000" w:sz="4" w:space="0"/>
              <w:right w:val="single" w:color="000000" w:sz="4" w:space="0"/>
            </w:tcBorders>
          </w:tcPr>
          <w:p>
            <w:pPr>
              <w:pStyle w:val="15"/>
              <w:spacing w:before="10"/>
              <w:rPr>
                <w:rFonts w:ascii="黑体"/>
                <w:color w:val="auto"/>
                <w:sz w:val="24"/>
                <w:szCs w:val="24"/>
                <w:highlight w:val="none"/>
              </w:rPr>
            </w:pPr>
          </w:p>
          <w:p>
            <w:pPr>
              <w:pStyle w:val="15"/>
              <w:spacing w:line="242" w:lineRule="auto"/>
              <w:ind w:left="501" w:right="379"/>
              <w:rPr>
                <w:color w:val="auto"/>
                <w:sz w:val="24"/>
                <w:szCs w:val="24"/>
                <w:highlight w:val="none"/>
              </w:rPr>
            </w:pPr>
            <w:r>
              <w:rPr>
                <w:color w:val="auto"/>
                <w:sz w:val="24"/>
                <w:szCs w:val="24"/>
                <w:highlight w:val="none"/>
              </w:rPr>
              <w:t xml:space="preserve">环境风险防范措施 </w:t>
            </w:r>
          </w:p>
        </w:tc>
        <w:tc>
          <w:tcPr>
            <w:tcW w:w="7250" w:type="dxa"/>
            <w:gridSpan w:val="4"/>
            <w:tcBorders>
              <w:top w:val="single" w:color="000000" w:sz="4" w:space="0"/>
              <w:left w:val="single" w:color="000000" w:sz="4" w:space="0"/>
              <w:bottom w:val="single" w:color="000000" w:sz="4" w:space="0"/>
            </w:tcBorders>
          </w:tcPr>
          <w:p>
            <w:pPr>
              <w:pStyle w:val="15"/>
              <w:rPr>
                <w:rFonts w:ascii="黑体"/>
                <w:color w:val="auto"/>
                <w:sz w:val="20"/>
                <w:highlight w:val="none"/>
              </w:rPr>
            </w:pP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由工程分析可知，本项目涉及风险的主要为柴油和沥青。其中：柴油最大储存量</w:t>
            </w:r>
            <w:r>
              <w:rPr>
                <w:rFonts w:hint="default" w:ascii="Times New Roman" w:hAnsi="Times New Roman" w:eastAsia="宋体" w:cs="Times New Roman"/>
                <w:color w:val="auto"/>
                <w:kern w:val="0"/>
                <w:sz w:val="24"/>
                <w:szCs w:val="24"/>
                <w:highlight w:val="none"/>
                <w:lang w:val="en-US" w:eastAsia="zh-CN" w:bidi="ar"/>
              </w:rPr>
              <w:t>30t</w:t>
            </w:r>
            <w:r>
              <w:rPr>
                <w:rFonts w:hint="eastAsia" w:ascii="宋体" w:hAnsi="宋体" w:eastAsia="宋体" w:cs="宋体"/>
                <w:color w:val="auto"/>
                <w:kern w:val="0"/>
                <w:sz w:val="24"/>
                <w:szCs w:val="24"/>
                <w:highlight w:val="none"/>
                <w:lang w:val="en-US" w:eastAsia="zh-CN" w:bidi="ar"/>
              </w:rPr>
              <w:t>，储存方式为罐装；项目使用沥青为石油沥青，最大存储量为</w:t>
            </w:r>
            <w:r>
              <w:rPr>
                <w:rFonts w:hint="eastAsia" w:ascii="Times New Roman" w:hAnsi="Times New Roman" w:eastAsia="宋体" w:cs="Times New Roman"/>
                <w:color w:val="auto"/>
                <w:kern w:val="0"/>
                <w:sz w:val="24"/>
                <w:szCs w:val="24"/>
                <w:highlight w:val="none"/>
                <w:lang w:val="en-US" w:eastAsia="zh-CN" w:bidi="ar"/>
              </w:rPr>
              <w:t>150</w:t>
            </w:r>
            <w:r>
              <w:rPr>
                <w:rFonts w:hint="default" w:ascii="Times New Roman" w:hAnsi="Times New Roman" w:eastAsia="宋体" w:cs="Times New Roman"/>
                <w:color w:val="auto"/>
                <w:kern w:val="0"/>
                <w:sz w:val="24"/>
                <w:szCs w:val="24"/>
                <w:highlight w:val="none"/>
                <w:lang w:val="en-US" w:eastAsia="zh-CN" w:bidi="ar"/>
              </w:rPr>
              <w:t>t</w:t>
            </w:r>
            <w:r>
              <w:rPr>
                <w:rFonts w:hint="eastAsia" w:ascii="宋体" w:hAnsi="宋体" w:eastAsia="宋体" w:cs="宋体"/>
                <w:color w:val="auto"/>
                <w:kern w:val="0"/>
                <w:sz w:val="24"/>
                <w:szCs w:val="24"/>
                <w:highlight w:val="none"/>
                <w:lang w:val="en-US" w:eastAsia="zh-CN" w:bidi="ar"/>
              </w:rPr>
              <w:t>，储存方式为罐装.</w:t>
            </w:r>
          </w:p>
          <w:p>
            <w:pPr>
              <w:pStyle w:val="15"/>
              <w:jc w:val="center"/>
              <w:rPr>
                <w:rFonts w:hint="default" w:ascii="Times New Roman" w:hAnsi="Times New Roman" w:eastAsia="宋体" w:cs="Times New Roman"/>
                <w:b/>
                <w:bCs/>
                <w:color w:val="auto"/>
                <w:sz w:val="21"/>
                <w:szCs w:val="21"/>
                <w:highlight w:val="none"/>
                <w:lang w:val="en-US" w:eastAsia="zh-CN" w:bidi="zh-CN"/>
              </w:rPr>
            </w:pPr>
            <w:r>
              <w:rPr>
                <w:rFonts w:hint="eastAsia" w:ascii="Times New Roman" w:hAnsi="Times New Roman" w:eastAsia="宋体" w:cs="Times New Roman"/>
                <w:b/>
                <w:bCs/>
                <w:color w:val="auto"/>
                <w:sz w:val="21"/>
                <w:szCs w:val="21"/>
                <w:highlight w:val="none"/>
                <w:lang w:val="en-US" w:eastAsia="zh-CN" w:bidi="zh-CN"/>
              </w:rPr>
              <w:t>表5-1  项目Q值计算表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102"/>
              <w:gridCol w:w="1102"/>
              <w:gridCol w:w="1103"/>
              <w:gridCol w:w="1103"/>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102" w:type="dxa"/>
                </w:tcPr>
                <w:p>
                  <w:pPr>
                    <w:pStyle w:val="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序号</w:t>
                  </w:r>
                </w:p>
              </w:tc>
              <w:tc>
                <w:tcPr>
                  <w:tcW w:w="1102" w:type="dxa"/>
                </w:tcPr>
                <w:p>
                  <w:pPr>
                    <w:pStyle w:val="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危险物质名称</w:t>
                  </w:r>
                </w:p>
              </w:tc>
              <w:tc>
                <w:tcPr>
                  <w:tcW w:w="1102" w:type="dxa"/>
                </w:tcPr>
                <w:p>
                  <w:pPr>
                    <w:pStyle w:val="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分布情况</w:t>
                  </w:r>
                </w:p>
              </w:tc>
              <w:tc>
                <w:tcPr>
                  <w:tcW w:w="1103" w:type="dxa"/>
                </w:tcPr>
                <w:p>
                  <w:pPr>
                    <w:pStyle w:val="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最大储存量t</w:t>
                  </w:r>
                </w:p>
              </w:tc>
              <w:tc>
                <w:tcPr>
                  <w:tcW w:w="1103" w:type="dxa"/>
                </w:tcPr>
                <w:p>
                  <w:pPr>
                    <w:pStyle w:val="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临界值Q</w:t>
                  </w:r>
                  <w:r>
                    <w:rPr>
                      <w:rFonts w:hint="default" w:ascii="Times New Roman" w:hAnsi="Times New Roman" w:eastAsia="宋体" w:cs="Times New Roman"/>
                      <w:color w:val="auto"/>
                      <w:kern w:val="0"/>
                      <w:sz w:val="21"/>
                      <w:szCs w:val="21"/>
                      <w:highlight w:val="none"/>
                      <w:vertAlign w:val="subscript"/>
                      <w:lang w:val="en-US" w:eastAsia="zh-CN" w:bidi="ar"/>
                    </w:rPr>
                    <w:t>n</w:t>
                  </w:r>
                  <w:r>
                    <w:rPr>
                      <w:rFonts w:hint="default" w:ascii="Times New Roman" w:hAnsi="Times New Roman" w:eastAsia="宋体" w:cs="Times New Roman"/>
                      <w:color w:val="auto"/>
                      <w:kern w:val="0"/>
                      <w:sz w:val="21"/>
                      <w:szCs w:val="21"/>
                      <w:highlight w:val="none"/>
                      <w:vertAlign w:val="baseline"/>
                      <w:lang w:val="en-US" w:eastAsia="zh-CN" w:bidi="ar"/>
                    </w:rPr>
                    <w:t>/t</w:t>
                  </w:r>
                </w:p>
              </w:tc>
              <w:tc>
                <w:tcPr>
                  <w:tcW w:w="1103" w:type="dxa"/>
                </w:tcPr>
                <w:p>
                  <w:pPr>
                    <w:pStyle w:val="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102" w:type="dxa"/>
                </w:tcPr>
                <w:p>
                  <w:pPr>
                    <w:pStyle w:val="3"/>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1</w:t>
                  </w:r>
                </w:p>
              </w:tc>
              <w:tc>
                <w:tcPr>
                  <w:tcW w:w="1102" w:type="dxa"/>
                </w:tcPr>
                <w:p>
                  <w:pPr>
                    <w:pStyle w:val="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柴油</w:t>
                  </w:r>
                </w:p>
              </w:tc>
              <w:tc>
                <w:tcPr>
                  <w:tcW w:w="1102" w:type="dxa"/>
                </w:tcPr>
                <w:p>
                  <w:pPr>
                    <w:keepNext w:val="0"/>
                    <w:keepLines w:val="0"/>
                    <w:widowControl/>
                    <w:suppressLineNumbers w:val="0"/>
                    <w:jc w:val="left"/>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bidi="ar"/>
                    </w:rPr>
                    <w:t>柴油罐</w:t>
                  </w:r>
                </w:p>
                <w:p>
                  <w:pPr>
                    <w:pStyle w:val="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default" w:ascii="Times New Roman" w:hAnsi="Times New Roman" w:eastAsia="宋体" w:cs="Times New Roman"/>
                      <w:color w:val="auto"/>
                      <w:kern w:val="0"/>
                      <w:sz w:val="21"/>
                      <w:szCs w:val="21"/>
                      <w:highlight w:val="none"/>
                      <w:vertAlign w:val="baseline"/>
                      <w:lang w:val="en-US" w:eastAsia="zh-CN" w:bidi="ar"/>
                    </w:rPr>
                  </w:pPr>
                </w:p>
              </w:tc>
              <w:tc>
                <w:tcPr>
                  <w:tcW w:w="1103" w:type="dxa"/>
                </w:tcPr>
                <w:p>
                  <w:pPr>
                    <w:pStyle w:val="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50</w:t>
                  </w:r>
                </w:p>
              </w:tc>
              <w:tc>
                <w:tcPr>
                  <w:tcW w:w="1103" w:type="dxa"/>
                </w:tcPr>
                <w:p>
                  <w:pPr>
                    <w:pStyle w:val="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5000</w:t>
                  </w:r>
                </w:p>
              </w:tc>
              <w:tc>
                <w:tcPr>
                  <w:tcW w:w="1103" w:type="dxa"/>
                </w:tcPr>
                <w:p>
                  <w:pPr>
                    <w:pStyle w:val="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02" w:type="dxa"/>
                </w:tcPr>
                <w:p>
                  <w:pPr>
                    <w:pStyle w:val="3"/>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2</w:t>
                  </w:r>
                </w:p>
              </w:tc>
              <w:tc>
                <w:tcPr>
                  <w:tcW w:w="1102" w:type="dxa"/>
                </w:tcPr>
                <w:p>
                  <w:pPr>
                    <w:pStyle w:val="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沥青</w:t>
                  </w:r>
                </w:p>
              </w:tc>
              <w:tc>
                <w:tcPr>
                  <w:tcW w:w="1102" w:type="dxa"/>
                </w:tcPr>
                <w:p>
                  <w:pPr>
                    <w:pStyle w:val="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沥青罐</w:t>
                  </w:r>
                </w:p>
              </w:tc>
              <w:tc>
                <w:tcPr>
                  <w:tcW w:w="1103" w:type="dxa"/>
                </w:tcPr>
                <w:p>
                  <w:pPr>
                    <w:pStyle w:val="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150</w:t>
                  </w:r>
                </w:p>
              </w:tc>
              <w:tc>
                <w:tcPr>
                  <w:tcW w:w="1103" w:type="dxa"/>
                </w:tcPr>
                <w:p>
                  <w:pPr>
                    <w:pStyle w:val="3"/>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w:t>
                  </w:r>
                </w:p>
              </w:tc>
              <w:tc>
                <w:tcPr>
                  <w:tcW w:w="1103" w:type="dxa"/>
                </w:tcPr>
                <w:p>
                  <w:pPr>
                    <w:pStyle w:val="3"/>
                    <w:keepNext w:val="0"/>
                    <w:keepLines w:val="0"/>
                    <w:pageBreakBefore w:val="0"/>
                    <w:widowControl w:val="0"/>
                    <w:kinsoku/>
                    <w:wordWrap/>
                    <w:overflowPunct/>
                    <w:topLinePunct w:val="0"/>
                    <w:autoSpaceDE w:val="0"/>
                    <w:autoSpaceDN w:val="0"/>
                    <w:bidi w:val="0"/>
                    <w:adjustRightInd/>
                    <w:snapToGrid/>
                    <w:spacing w:line="240" w:lineRule="auto"/>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5512" w:type="dxa"/>
                  <w:gridSpan w:val="5"/>
                </w:tcPr>
                <w:p>
                  <w:pPr>
                    <w:pStyle w:val="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项目Q值总计</w:t>
                  </w:r>
                </w:p>
              </w:tc>
              <w:tc>
                <w:tcPr>
                  <w:tcW w:w="1103" w:type="dxa"/>
                </w:tcPr>
                <w:p>
                  <w:pPr>
                    <w:pStyle w:val="3"/>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textAlignment w:val="auto"/>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0.006</w:t>
                  </w:r>
                </w:p>
              </w:tc>
            </w:tr>
          </w:tbl>
          <w:p>
            <w:pPr>
              <w:pStyle w:val="3"/>
              <w:rPr>
                <w:rFonts w:hint="eastAsia" w:ascii="宋体" w:hAnsi="宋体" w:eastAsia="宋体" w:cs="宋体"/>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经计算，本项目危险物质数量与临界量比值 </w:t>
            </w:r>
            <w:r>
              <w:rPr>
                <w:rFonts w:hint="default" w:ascii="Times New Roman" w:hAnsi="Times New Roman" w:eastAsia="宋体" w:cs="Times New Roman"/>
                <w:color w:val="auto"/>
                <w:kern w:val="0"/>
                <w:sz w:val="24"/>
                <w:szCs w:val="24"/>
                <w:highlight w:val="none"/>
                <w:lang w:val="en-US" w:eastAsia="zh-CN" w:bidi="ar"/>
              </w:rPr>
              <w:t>Q</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，根据《建设项目环境风险评价技术导则》（</w:t>
            </w:r>
            <w:r>
              <w:rPr>
                <w:rFonts w:hint="default" w:ascii="Times New Roman" w:hAnsi="Times New Roman" w:eastAsia="宋体" w:cs="Times New Roman"/>
                <w:color w:val="auto"/>
                <w:kern w:val="0"/>
                <w:sz w:val="24"/>
                <w:szCs w:val="24"/>
                <w:highlight w:val="none"/>
                <w:lang w:val="en-US" w:eastAsia="zh-CN" w:bidi="ar"/>
              </w:rPr>
              <w:t>HJ169-2018</w:t>
            </w:r>
            <w:r>
              <w:rPr>
                <w:rFonts w:hint="eastAsia" w:ascii="宋体" w:hAnsi="宋体" w:eastAsia="宋体" w:cs="宋体"/>
                <w:color w:val="auto"/>
                <w:kern w:val="0"/>
                <w:sz w:val="24"/>
                <w:szCs w:val="24"/>
                <w:highlight w:val="none"/>
                <w:lang w:val="en-US" w:eastAsia="zh-CN" w:bidi="ar"/>
              </w:rPr>
              <w:t>），判断本项目风险潜势为Ⅰ，简单分析，提出防范、减缓和应急措施。</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根据项目的特点和性质，本项目发生事故主要部位为储罐或容器阀门等破损，主要风险为轻柴油储罐泄露引起火灾和沥青罐泄露。</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 xml:space="preserve">）柴油、沥青罐泄漏事故应急对策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针对本项目柴油泄漏和沥青泄露事故，建设单位将在罐区周边设置围堰，同时对贮油罐和沥青罐内外表面做</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六胶两布</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 xml:space="preserve">防渗防腐处理。防渗、防漏措施依据国家危险贮存标准要求设计、施工，采用 </w:t>
            </w:r>
            <w:r>
              <w:rPr>
                <w:rFonts w:hint="default" w:ascii="Times New Roman" w:hAnsi="Times New Roman" w:eastAsia="宋体" w:cs="Times New Roman"/>
                <w:color w:val="auto"/>
                <w:kern w:val="0"/>
                <w:sz w:val="24"/>
                <w:szCs w:val="24"/>
                <w:highlight w:val="none"/>
                <w:lang w:val="en-US" w:eastAsia="zh-CN" w:bidi="ar"/>
              </w:rPr>
              <w:t xml:space="preserve">200mm </w:t>
            </w:r>
            <w:r>
              <w:rPr>
                <w:rFonts w:hint="eastAsia" w:ascii="宋体" w:hAnsi="宋体" w:eastAsia="宋体" w:cs="宋体"/>
                <w:color w:val="auto"/>
                <w:kern w:val="0"/>
                <w:sz w:val="24"/>
                <w:szCs w:val="24"/>
                <w:highlight w:val="none"/>
                <w:lang w:val="en-US" w:eastAsia="zh-CN" w:bidi="ar"/>
              </w:rPr>
              <w:t xml:space="preserve">厚 </w:t>
            </w:r>
            <w:r>
              <w:rPr>
                <w:rFonts w:hint="default" w:ascii="Times New Roman" w:hAnsi="Times New Roman" w:eastAsia="宋体" w:cs="Times New Roman"/>
                <w:color w:val="auto"/>
                <w:kern w:val="0"/>
                <w:sz w:val="24"/>
                <w:szCs w:val="24"/>
                <w:highlight w:val="none"/>
                <w:lang w:val="en-US" w:eastAsia="zh-CN" w:bidi="ar"/>
              </w:rPr>
              <w:t xml:space="preserve">C15 </w:t>
            </w:r>
            <w:r>
              <w:rPr>
                <w:rFonts w:hint="eastAsia" w:ascii="宋体" w:hAnsi="宋体" w:eastAsia="宋体" w:cs="宋体"/>
                <w:color w:val="auto"/>
                <w:kern w:val="0"/>
                <w:sz w:val="24"/>
                <w:szCs w:val="24"/>
                <w:highlight w:val="none"/>
                <w:lang w:val="en-US" w:eastAsia="zh-CN" w:bidi="ar"/>
              </w:rPr>
              <w:t>砼垫层随打随抹光，并设置钢筋混凝土围堰；底部采用加设土工膜进行防渗，使渗透系数</w:t>
            </w:r>
            <w:r>
              <w:rPr>
                <w:rFonts w:hint="default" w:ascii="Times New Roman" w:hAnsi="Times New Roman" w:eastAsia="宋体" w:cs="Times New Roman"/>
                <w:color w:val="auto"/>
                <w:kern w:val="0"/>
                <w:sz w:val="24"/>
                <w:szCs w:val="24"/>
                <w:highlight w:val="none"/>
                <w:lang w:val="en-US" w:eastAsia="zh-CN" w:bidi="ar"/>
              </w:rPr>
              <w:t>≤10</w:t>
            </w:r>
            <w:r>
              <w:rPr>
                <w:rFonts w:hint="eastAsia" w:ascii="Times New Roman" w:hAnsi="Times New Roman" w:cs="Times New Roman"/>
                <w:color w:val="auto"/>
                <w:kern w:val="0"/>
                <w:sz w:val="24"/>
                <w:szCs w:val="24"/>
                <w:highlight w:val="none"/>
                <w:vertAlign w:val="superscript"/>
                <w:lang w:val="en-US" w:eastAsia="zh-CN" w:bidi="ar"/>
              </w:rPr>
              <w:t>-10</w:t>
            </w:r>
            <w:r>
              <w:rPr>
                <w:rFonts w:hint="default" w:ascii="Times New Roman" w:hAnsi="Times New Roman" w:eastAsia="宋体" w:cs="Times New Roman"/>
                <w:color w:val="auto"/>
                <w:kern w:val="0"/>
                <w:sz w:val="24"/>
                <w:szCs w:val="24"/>
                <w:highlight w:val="none"/>
                <w:lang w:val="en-US" w:eastAsia="zh-CN" w:bidi="ar"/>
              </w:rPr>
              <w:t>cm/s</w:t>
            </w:r>
            <w:r>
              <w:rPr>
                <w:rFonts w:hint="eastAsia" w:ascii="宋体" w:hAnsi="宋体" w:eastAsia="宋体" w:cs="宋体"/>
                <w:color w:val="auto"/>
                <w:kern w:val="0"/>
                <w:sz w:val="24"/>
                <w:szCs w:val="24"/>
                <w:highlight w:val="none"/>
                <w:lang w:val="en-US" w:eastAsia="zh-CN" w:bidi="ar"/>
              </w:rPr>
              <w:t xml:space="preserve">。建议注重罐区的防雨和防晒；堆放的固体废弃物需及时清运处置。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下面提出物料泄漏常用的应急处理预案：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迅速撤离泄漏污染区人员至上风处，并进行隔离，严格限制出入。切断火源。建议应急处理人员戴自给正压式呼吸器，穿消防防护服。尽可能切断泄漏源。用工业覆盖层或吸附</w:t>
            </w:r>
            <w:r>
              <w:rPr>
                <w:rFonts w:hint="default" w:ascii="Times New Roman" w:hAnsi="Times New Roman" w:eastAsia="宋体" w:cs="Times New Roman"/>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吸收剂盖住泄漏点附近的下水道等地方，防止气体进入。合理通风，加速扩散。喷雾状水稀释、溶解。</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 xml:space="preserve">）火灾应急对策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①报警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一旦发生火灾事故，现场操作人员应迅速以无线对讲机或电话向储罐区负责人报警和采用 </w:t>
            </w:r>
            <w:r>
              <w:rPr>
                <w:rFonts w:hint="default" w:ascii="Times New Roman" w:hAnsi="Times New Roman" w:eastAsia="宋体" w:cs="Times New Roman"/>
                <w:color w:val="auto"/>
                <w:kern w:val="0"/>
                <w:sz w:val="24"/>
                <w:szCs w:val="24"/>
                <w:highlight w:val="none"/>
                <w:lang w:val="en-US" w:eastAsia="zh-CN" w:bidi="ar"/>
              </w:rPr>
              <w:t xml:space="preserve">119 </w:t>
            </w:r>
            <w:r>
              <w:rPr>
                <w:rFonts w:hint="eastAsia" w:ascii="宋体" w:hAnsi="宋体" w:eastAsia="宋体" w:cs="宋体"/>
                <w:color w:val="auto"/>
                <w:kern w:val="0"/>
                <w:sz w:val="24"/>
                <w:szCs w:val="24"/>
                <w:highlight w:val="none"/>
                <w:lang w:val="en-US" w:eastAsia="zh-CN" w:bidi="ar"/>
              </w:rPr>
              <w:t xml:space="preserve">电话报警。负责人在接报后应立即确认火灾位置、大小和性质，迅即向事故应急指挥中心报警。事故应急对策指挥中心接报后，通知消防部门、救护等部门，并且指挥扑救工作。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②抢险工作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负责人在向指挥中心报警的同时，启动事故程序，指挥有关工作人员，启动内部的消防应急设备，控制火灾的进一步蔓延，救护受伤人员，及时疏导周围的群众。外援消防部门、救护部门赶到后协助其工作。建设单位必须加强管理，制定完备、有效的安全防范措施，对轻柴油储罐设置围堰及事故池，尽可能降低本项目环境风险事故发生的概率，减少事故的损失和危害，事故一旦发生，应及时抢救处理，不能拖延事故持续时间。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根据《常用化学危险品贮存通则</w:t>
            </w:r>
            <w:r>
              <w:rPr>
                <w:rFonts w:hint="default" w:ascii="Times New Roman" w:hAnsi="Times New Roman" w:eastAsia="宋体" w:cs="Times New Roman"/>
                <w:color w:val="auto"/>
                <w:kern w:val="0"/>
                <w:sz w:val="24"/>
                <w:szCs w:val="24"/>
                <w:highlight w:val="none"/>
                <w:lang w:val="en-US" w:eastAsia="zh-CN" w:bidi="ar"/>
              </w:rPr>
              <w:t>(GB 15603-1995)</w:t>
            </w:r>
            <w:r>
              <w:rPr>
                <w:rFonts w:hint="eastAsia" w:ascii="宋体" w:hAnsi="宋体" w:eastAsia="宋体" w:cs="宋体"/>
                <w:color w:val="auto"/>
                <w:kern w:val="0"/>
                <w:sz w:val="24"/>
                <w:szCs w:val="24"/>
                <w:highlight w:val="none"/>
                <w:lang w:val="en-US" w:eastAsia="zh-CN" w:bidi="ar"/>
              </w:rPr>
              <w:t xml:space="preserve">》中要求，在贮存和使用危险化学品的过程中，应做到以下几点：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1</w:t>
            </w:r>
            <w:r>
              <w:rPr>
                <w:rFonts w:hint="eastAsia" w:ascii="宋体" w:hAnsi="宋体" w:eastAsia="宋体" w:cs="宋体"/>
                <w:color w:val="auto"/>
                <w:kern w:val="0"/>
                <w:sz w:val="24"/>
                <w:szCs w:val="24"/>
                <w:highlight w:val="none"/>
                <w:lang w:val="en-US" w:eastAsia="zh-CN" w:bidi="ar"/>
              </w:rPr>
              <w:t>）经脱水、大罐抽气、轻柴油稳定处理后的合格轻柴油在储存温度下的饱和蒸气压小于当地大气压的</w:t>
            </w:r>
            <w:r>
              <w:rPr>
                <w:rFonts w:hint="default" w:ascii="Times New Roman" w:hAnsi="Times New Roman" w:eastAsia="宋体" w:cs="Times New Roman"/>
                <w:color w:val="auto"/>
                <w:kern w:val="0"/>
                <w:sz w:val="24"/>
                <w:szCs w:val="24"/>
                <w:highlight w:val="none"/>
                <w:lang w:val="en-US" w:eastAsia="zh-CN" w:bidi="ar"/>
              </w:rPr>
              <w:t>0.7</w:t>
            </w:r>
            <w:r>
              <w:rPr>
                <w:rFonts w:hint="eastAsia" w:ascii="宋体" w:hAnsi="宋体" w:eastAsia="宋体" w:cs="宋体"/>
                <w:color w:val="auto"/>
                <w:kern w:val="0"/>
                <w:sz w:val="24"/>
                <w:szCs w:val="24"/>
                <w:highlight w:val="none"/>
                <w:lang w:val="en-US" w:eastAsia="zh-CN" w:bidi="ar"/>
              </w:rPr>
              <w:t xml:space="preserve">倍，提高了轻柴油在储存过程中的安全性。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 xml:space="preserve">）容器、管线防静电接地装置和设备、构筑物防雷接地均采用热镀锌扁钢进行等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电位连接。 </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color w:val="auto"/>
                <w:highlight w:val="none"/>
              </w:rPr>
            </w:pPr>
            <w:r>
              <w:rPr>
                <w:rFonts w:hint="default" w:ascii="Times New Roman" w:hAnsi="Times New Roman" w:eastAsia="宋体" w:cs="Times New Roman"/>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储罐区配用防爆电机和防爆电气设备，严格按照《原油和天然气工程设计防火规范》进行平面布置</w:t>
            </w:r>
          </w:p>
          <w:p>
            <w:pPr>
              <w:pStyle w:val="3"/>
              <w:keepNext w:val="0"/>
              <w:keepLines w:val="0"/>
              <w:pageBreakBefore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color w:val="auto"/>
                <w:kern w:val="0"/>
                <w:sz w:val="24"/>
                <w:szCs w:val="24"/>
                <w:highlight w:val="none"/>
                <w:lang w:val="en-US" w:eastAsia="zh-CN" w:bidi="ar"/>
              </w:rPr>
            </w:pPr>
          </w:p>
          <w:p>
            <w:pPr>
              <w:pStyle w:val="3"/>
              <w:rPr>
                <w:rFonts w:hint="eastAsia" w:ascii="宋体" w:hAnsi="宋体" w:eastAsia="宋体" w:cs="宋体"/>
                <w:color w:val="auto"/>
                <w:kern w:val="0"/>
                <w:sz w:val="24"/>
                <w:szCs w:val="24"/>
                <w:highlight w:val="none"/>
                <w:lang w:val="en-US" w:eastAsia="zh-CN" w:bidi="ar"/>
              </w:rPr>
            </w:pPr>
          </w:p>
          <w:p>
            <w:pPr>
              <w:pStyle w:val="3"/>
              <w:rPr>
                <w:rFonts w:hint="eastAsia" w:ascii="宋体" w:hAnsi="宋体" w:eastAsia="宋体" w:cs="宋体"/>
                <w:color w:val="auto"/>
                <w:kern w:val="0"/>
                <w:sz w:val="24"/>
                <w:szCs w:val="24"/>
                <w:highlight w:val="none"/>
                <w:lang w:val="en-US" w:eastAsia="zh-CN" w:bidi="ar"/>
              </w:rPr>
            </w:pPr>
          </w:p>
          <w:p>
            <w:pPr>
              <w:pStyle w:val="3"/>
              <w:rPr>
                <w:rFonts w:hint="default" w:ascii="宋体" w:hAnsi="宋体" w:eastAsia="宋体" w:cs="宋体"/>
                <w:color w:val="auto"/>
                <w:kern w:val="0"/>
                <w:sz w:val="24"/>
                <w:szCs w:val="24"/>
                <w:highlight w:val="none"/>
                <w:lang w:val="en-US" w:eastAsia="zh-CN" w:bidi="ar"/>
              </w:rPr>
            </w:pPr>
          </w:p>
          <w:p>
            <w:pPr>
              <w:pStyle w:val="15"/>
              <w:ind w:left="131"/>
              <w:jc w:val="center"/>
              <w:rPr>
                <w:color w:val="auto"/>
                <w:sz w:val="21"/>
                <w:highlight w:val="none"/>
              </w:rPr>
            </w:pPr>
            <w:r>
              <w:rPr>
                <w:color w:val="auto"/>
                <w:w w:val="100"/>
                <w:sz w:val="21"/>
                <w:highlight w:val="none"/>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2" w:hRule="atLeast"/>
        </w:trPr>
        <w:tc>
          <w:tcPr>
            <w:tcW w:w="1551" w:type="dxa"/>
            <w:tcBorders>
              <w:top w:val="single" w:color="000000" w:sz="4" w:space="0"/>
              <w:right w:val="single" w:color="000000" w:sz="4" w:space="0"/>
            </w:tcBorders>
          </w:tcPr>
          <w:p>
            <w:pPr>
              <w:pStyle w:val="15"/>
              <w:spacing w:before="11"/>
              <w:rPr>
                <w:rFonts w:ascii="黑体"/>
                <w:color w:val="auto"/>
                <w:sz w:val="24"/>
                <w:szCs w:val="24"/>
                <w:highlight w:val="none"/>
              </w:rPr>
            </w:pPr>
          </w:p>
          <w:p>
            <w:pPr>
              <w:pStyle w:val="15"/>
              <w:spacing w:line="244" w:lineRule="auto"/>
              <w:ind w:left="501" w:right="379"/>
              <w:rPr>
                <w:color w:val="auto"/>
                <w:sz w:val="24"/>
                <w:szCs w:val="24"/>
                <w:highlight w:val="none"/>
              </w:rPr>
            </w:pPr>
            <w:r>
              <w:rPr>
                <w:color w:val="auto"/>
                <w:sz w:val="24"/>
                <w:szCs w:val="24"/>
                <w:highlight w:val="none"/>
              </w:rPr>
              <w:t xml:space="preserve">其他环境管理要求 </w:t>
            </w:r>
          </w:p>
        </w:tc>
        <w:tc>
          <w:tcPr>
            <w:tcW w:w="7250" w:type="dxa"/>
            <w:gridSpan w:val="4"/>
            <w:tcBorders>
              <w:top w:val="single" w:color="000000" w:sz="4" w:space="0"/>
              <w:left w:val="single" w:color="000000" w:sz="4" w:space="0"/>
            </w:tcBorders>
          </w:tcPr>
          <w:p>
            <w:pPr>
              <w:pStyle w:val="15"/>
              <w:spacing w:before="7"/>
              <w:rPr>
                <w:rFonts w:ascii="黑体"/>
                <w:color w:val="auto"/>
                <w:sz w:val="28"/>
                <w:highlight w:val="none"/>
              </w:rPr>
            </w:pPr>
          </w:p>
          <w:p>
            <w:pPr>
              <w:pStyle w:val="3"/>
              <w:ind w:left="0" w:leftChars="0" w:firstLine="0" w:firstLineChars="0"/>
              <w:rPr>
                <w:rFonts w:hint="eastAsia" w:ascii="Times New Roman" w:hAnsi="Times New Roman" w:eastAsia="宋体"/>
                <w:b/>
                <w:bCs/>
                <w:color w:val="auto"/>
                <w:sz w:val="24"/>
                <w:highlight w:val="none"/>
                <w:u w:val="none"/>
                <w:lang w:val="en-US" w:eastAsia="zh-CN"/>
              </w:rPr>
            </w:pPr>
            <w:r>
              <w:rPr>
                <w:color w:val="auto"/>
                <w:w w:val="100"/>
                <w:sz w:val="21"/>
                <w:highlight w:val="none"/>
              </w:rPr>
              <w:t xml:space="preserve"> </w:t>
            </w:r>
            <w:r>
              <w:rPr>
                <w:rFonts w:ascii="Times New Roman" w:hAnsi="Times New Roman" w:eastAsia="宋体"/>
                <w:b/>
                <w:bCs/>
                <w:color w:val="auto"/>
                <w:sz w:val="24"/>
                <w:highlight w:val="none"/>
                <w:u w:val="none"/>
              </w:rPr>
              <w:t>项目环保措施及投资估算</w:t>
            </w:r>
          </w:p>
          <w:p>
            <w:pPr>
              <w:pStyle w:val="3"/>
              <w:ind w:firstLine="480"/>
              <w:rPr>
                <w:rFonts w:ascii="Times New Roman" w:hAnsi="Times New Roman" w:eastAsia="宋体"/>
                <w:color w:val="auto"/>
                <w:sz w:val="24"/>
                <w:highlight w:val="none"/>
                <w:u w:val="none"/>
              </w:rPr>
            </w:pPr>
            <w:r>
              <w:rPr>
                <w:rFonts w:ascii="Times New Roman" w:hAnsi="Times New Roman" w:eastAsia="宋体"/>
                <w:color w:val="auto"/>
                <w:sz w:val="24"/>
                <w:highlight w:val="none"/>
                <w:u w:val="none"/>
              </w:rPr>
              <w:t>本项目总投资</w:t>
            </w:r>
            <w:r>
              <w:rPr>
                <w:rFonts w:hint="eastAsia" w:ascii="Times New Roman" w:hAnsi="Times New Roman" w:eastAsia="宋体"/>
                <w:color w:val="auto"/>
                <w:sz w:val="24"/>
                <w:highlight w:val="none"/>
                <w:u w:val="none"/>
                <w:lang w:val="en-US" w:eastAsia="zh-CN"/>
              </w:rPr>
              <w:t>1</w:t>
            </w:r>
            <w:r>
              <w:rPr>
                <w:rFonts w:hint="eastAsia"/>
                <w:color w:val="auto"/>
                <w:sz w:val="24"/>
                <w:highlight w:val="none"/>
                <w:u w:val="none"/>
                <w:lang w:val="en-US" w:eastAsia="zh-CN"/>
              </w:rPr>
              <w:t>10</w:t>
            </w:r>
            <w:r>
              <w:rPr>
                <w:rFonts w:ascii="Times New Roman" w:hAnsi="Times New Roman" w:eastAsia="宋体"/>
                <w:color w:val="auto"/>
                <w:sz w:val="24"/>
                <w:highlight w:val="none"/>
                <w:u w:val="none"/>
              </w:rPr>
              <w:t>万元，环保投资</w:t>
            </w:r>
            <w:r>
              <w:rPr>
                <w:rFonts w:hint="eastAsia"/>
                <w:color w:val="auto"/>
                <w:sz w:val="24"/>
                <w:highlight w:val="none"/>
                <w:u w:val="none"/>
                <w:lang w:val="en-US" w:eastAsia="zh-CN"/>
              </w:rPr>
              <w:t>20</w:t>
            </w:r>
            <w:r>
              <w:rPr>
                <w:rFonts w:ascii="Times New Roman" w:hAnsi="Times New Roman" w:eastAsia="宋体"/>
                <w:color w:val="auto"/>
                <w:sz w:val="24"/>
                <w:highlight w:val="none"/>
                <w:u w:val="none"/>
              </w:rPr>
              <w:t>万元，占工程总投资的</w:t>
            </w:r>
            <w:r>
              <w:rPr>
                <w:rFonts w:hint="eastAsia"/>
                <w:color w:val="auto"/>
                <w:sz w:val="24"/>
                <w:highlight w:val="none"/>
                <w:u w:val="none"/>
                <w:lang w:val="en-US" w:eastAsia="zh-CN"/>
              </w:rPr>
              <w:t>18</w:t>
            </w:r>
            <w:r>
              <w:rPr>
                <w:rFonts w:ascii="Times New Roman" w:hAnsi="Times New Roman" w:eastAsia="宋体"/>
                <w:color w:val="auto"/>
                <w:sz w:val="24"/>
                <w:highlight w:val="none"/>
                <w:u w:val="none"/>
              </w:rPr>
              <w:t>%。其环保措施及投资额基本合理。项目环保设施（措施）及投资估算见表。</w:t>
            </w:r>
          </w:p>
          <w:p>
            <w:pPr>
              <w:pStyle w:val="15"/>
              <w:jc w:val="center"/>
              <w:rPr>
                <w:rFonts w:hint="eastAsia" w:ascii="Times New Roman" w:hAnsi="Times New Roman" w:eastAsia="宋体" w:cs="Times New Roman"/>
                <w:b/>
                <w:bCs/>
                <w:color w:val="auto"/>
                <w:sz w:val="21"/>
                <w:szCs w:val="21"/>
                <w:highlight w:val="none"/>
                <w:lang w:val="zh-CN" w:eastAsia="zh-CN" w:bidi="zh-CN"/>
              </w:rPr>
            </w:pPr>
            <w:r>
              <w:rPr>
                <w:rFonts w:hint="eastAsia" w:ascii="Times New Roman" w:hAnsi="Times New Roman" w:eastAsia="宋体" w:cs="Times New Roman"/>
                <w:b/>
                <w:bCs/>
                <w:color w:val="auto"/>
                <w:sz w:val="21"/>
                <w:szCs w:val="21"/>
                <w:highlight w:val="none"/>
                <w:lang w:val="zh-CN" w:eastAsia="zh-CN" w:bidi="zh-CN"/>
              </w:rPr>
              <w:t>表</w:t>
            </w:r>
            <w:r>
              <w:rPr>
                <w:rFonts w:hint="eastAsia" w:ascii="Times New Roman" w:hAnsi="Times New Roman" w:eastAsia="宋体" w:cs="Times New Roman"/>
                <w:b/>
                <w:bCs/>
                <w:color w:val="auto"/>
                <w:sz w:val="21"/>
                <w:szCs w:val="21"/>
                <w:highlight w:val="none"/>
                <w:lang w:val="en-US" w:eastAsia="zh-CN" w:bidi="zh-CN"/>
              </w:rPr>
              <w:t>5</w:t>
            </w:r>
            <w:r>
              <w:rPr>
                <w:rFonts w:hint="eastAsia" w:ascii="Times New Roman" w:hAnsi="Times New Roman" w:eastAsia="宋体" w:cs="Times New Roman"/>
                <w:b/>
                <w:bCs/>
                <w:color w:val="auto"/>
                <w:sz w:val="21"/>
                <w:szCs w:val="21"/>
                <w:highlight w:val="none"/>
                <w:lang w:val="zh-CN" w:eastAsia="zh-CN" w:bidi="zh-CN"/>
              </w:rPr>
              <w:t>-</w:t>
            </w:r>
            <w:r>
              <w:rPr>
                <w:rFonts w:hint="eastAsia" w:ascii="Times New Roman" w:hAnsi="Times New Roman" w:eastAsia="宋体" w:cs="Times New Roman"/>
                <w:b/>
                <w:bCs/>
                <w:color w:val="auto"/>
                <w:sz w:val="21"/>
                <w:szCs w:val="21"/>
                <w:highlight w:val="none"/>
                <w:lang w:val="en-US" w:eastAsia="zh-CN" w:bidi="zh-CN"/>
              </w:rPr>
              <w:t>2</w:t>
            </w:r>
            <w:r>
              <w:rPr>
                <w:rFonts w:hint="eastAsia" w:ascii="Times New Roman" w:hAnsi="Times New Roman" w:eastAsia="宋体" w:cs="Times New Roman"/>
                <w:b/>
                <w:bCs/>
                <w:color w:val="auto"/>
                <w:sz w:val="21"/>
                <w:szCs w:val="21"/>
                <w:highlight w:val="none"/>
                <w:lang w:val="zh-CN" w:eastAsia="zh-CN" w:bidi="zh-CN"/>
              </w:rPr>
              <w:t xml:space="preserve">  环保投资估算一览表</w:t>
            </w:r>
          </w:p>
          <w:tbl>
            <w:tblPr>
              <w:tblStyle w:val="11"/>
              <w:tblpPr w:leftFromText="180" w:rightFromText="180" w:vertAnchor="text" w:horzAnchor="page" w:tblpX="227" w:tblpY="399"/>
              <w:tblOverlap w:val="never"/>
              <w:tblW w:w="69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4"/>
              <w:gridCol w:w="2597"/>
              <w:gridCol w:w="2794"/>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3141" w:type="dxa"/>
                  <w:gridSpan w:val="2"/>
                  <w:noWrap w:val="0"/>
                  <w:vAlign w:val="top"/>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类别</w:t>
                  </w:r>
                </w:p>
              </w:tc>
              <w:tc>
                <w:tcPr>
                  <w:tcW w:w="2794" w:type="dxa"/>
                  <w:noWrap w:val="0"/>
                  <w:vAlign w:val="top"/>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治理措施</w:t>
                  </w:r>
                </w:p>
              </w:tc>
              <w:tc>
                <w:tcPr>
                  <w:tcW w:w="1018" w:type="dxa"/>
                  <w:noWrap w:val="0"/>
                  <w:vAlign w:val="top"/>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44" w:type="dxa"/>
                  <w:vMerge w:val="restart"/>
                  <w:noWrap w:val="0"/>
                  <w:vAlign w:val="center"/>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废气治理</w:t>
                  </w:r>
                </w:p>
              </w:tc>
              <w:tc>
                <w:tcPr>
                  <w:tcW w:w="2597" w:type="dxa"/>
                  <w:noWrap w:val="0"/>
                  <w:vAlign w:val="center"/>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原料装卸扬尘、冷料仓上料粉尘</w:t>
                  </w:r>
                </w:p>
              </w:tc>
              <w:tc>
                <w:tcPr>
                  <w:tcW w:w="2794" w:type="dxa"/>
                  <w:noWrap w:val="0"/>
                  <w:vAlign w:val="top"/>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喷淋洒水降尘</w:t>
                  </w:r>
                </w:p>
              </w:tc>
              <w:tc>
                <w:tcPr>
                  <w:tcW w:w="1018" w:type="dxa"/>
                  <w:noWrap w:val="0"/>
                  <w:vAlign w:val="center"/>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544" w:type="dxa"/>
                  <w:vMerge w:val="continue"/>
                  <w:noWrap w:val="0"/>
                  <w:vAlign w:val="center"/>
                </w:tcPr>
                <w:p>
                  <w:pPr>
                    <w:pStyle w:val="15"/>
                    <w:ind w:left="112"/>
                    <w:rPr>
                      <w:rFonts w:hint="default" w:ascii="Times New Roman" w:hAnsi="Times New Roman" w:cs="Times New Roman"/>
                      <w:color w:val="auto"/>
                      <w:sz w:val="21"/>
                      <w:highlight w:val="none"/>
                    </w:rPr>
                  </w:pPr>
                </w:p>
              </w:tc>
              <w:tc>
                <w:tcPr>
                  <w:tcW w:w="2597" w:type="dxa"/>
                  <w:noWrap w:val="0"/>
                  <w:vAlign w:val="center"/>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车辆运输扬尘</w:t>
                  </w:r>
                </w:p>
              </w:tc>
              <w:tc>
                <w:tcPr>
                  <w:tcW w:w="2794" w:type="dxa"/>
                  <w:noWrap w:val="0"/>
                  <w:vAlign w:val="top"/>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车辆篷布遮盖+道路硬化+洒水</w:t>
                  </w:r>
                </w:p>
              </w:tc>
              <w:tc>
                <w:tcPr>
                  <w:tcW w:w="1018" w:type="dxa"/>
                  <w:noWrap w:val="0"/>
                  <w:vAlign w:val="center"/>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544" w:type="dxa"/>
                  <w:vMerge w:val="continue"/>
                  <w:noWrap w:val="0"/>
                  <w:vAlign w:val="center"/>
                </w:tcPr>
                <w:p>
                  <w:pPr>
                    <w:pStyle w:val="15"/>
                    <w:ind w:left="112"/>
                    <w:rPr>
                      <w:rFonts w:hint="default" w:ascii="Times New Roman" w:hAnsi="Times New Roman" w:cs="Times New Roman"/>
                      <w:color w:val="auto"/>
                      <w:sz w:val="21"/>
                      <w:highlight w:val="none"/>
                    </w:rPr>
                  </w:pPr>
                </w:p>
              </w:tc>
              <w:tc>
                <w:tcPr>
                  <w:tcW w:w="2597" w:type="dxa"/>
                  <w:noWrap w:val="0"/>
                  <w:vAlign w:val="center"/>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烘干、筛分、搅拌废气、烘干燃烧废气</w:t>
                  </w:r>
                </w:p>
              </w:tc>
              <w:tc>
                <w:tcPr>
                  <w:tcW w:w="2794" w:type="dxa"/>
                  <w:noWrap w:val="0"/>
                  <w:vAlign w:val="top"/>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重力除尘+高温布袋除尘+15m烟囱</w:t>
                  </w:r>
                </w:p>
              </w:tc>
              <w:tc>
                <w:tcPr>
                  <w:tcW w:w="1018" w:type="dxa"/>
                  <w:vMerge w:val="restart"/>
                  <w:noWrap w:val="0"/>
                  <w:vAlign w:val="center"/>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纳入租用设备费用，不另算费用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544" w:type="dxa"/>
                  <w:vMerge w:val="continue"/>
                  <w:noWrap w:val="0"/>
                  <w:vAlign w:val="center"/>
                </w:tcPr>
                <w:p>
                  <w:pPr>
                    <w:pStyle w:val="15"/>
                    <w:ind w:left="112"/>
                    <w:rPr>
                      <w:rFonts w:hint="default" w:ascii="Times New Roman" w:hAnsi="Times New Roman" w:cs="Times New Roman"/>
                      <w:color w:val="auto"/>
                      <w:sz w:val="21"/>
                      <w:highlight w:val="none"/>
                    </w:rPr>
                  </w:pPr>
                </w:p>
              </w:tc>
              <w:tc>
                <w:tcPr>
                  <w:tcW w:w="2597" w:type="dxa"/>
                  <w:noWrap w:val="0"/>
                  <w:vAlign w:val="center"/>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沥青搅拌缸废气</w:t>
                  </w:r>
                </w:p>
              </w:tc>
              <w:tc>
                <w:tcPr>
                  <w:tcW w:w="2794" w:type="dxa"/>
                  <w:noWrap w:val="0"/>
                  <w:vAlign w:val="top"/>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喷淋洗涤塔+电场等离子+UV 光氧催化一体化处理设备</w:t>
                  </w:r>
                </w:p>
              </w:tc>
              <w:tc>
                <w:tcPr>
                  <w:tcW w:w="1018" w:type="dxa"/>
                  <w:vMerge w:val="continue"/>
                  <w:noWrap w:val="0"/>
                  <w:vAlign w:val="center"/>
                </w:tcPr>
                <w:p>
                  <w:pPr>
                    <w:pStyle w:val="15"/>
                    <w:ind w:left="112"/>
                    <w:rPr>
                      <w:rFonts w:hint="default" w:ascii="Times New Roman" w:hAnsi="Times New Roman" w:cs="Times New Roman"/>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44" w:type="dxa"/>
                  <w:vMerge w:val="continue"/>
                  <w:noWrap w:val="0"/>
                  <w:vAlign w:val="center"/>
                </w:tcPr>
                <w:p>
                  <w:pPr>
                    <w:pStyle w:val="15"/>
                    <w:ind w:left="112"/>
                    <w:rPr>
                      <w:rFonts w:hint="default" w:ascii="Times New Roman" w:hAnsi="Times New Roman" w:cs="Times New Roman"/>
                      <w:color w:val="auto"/>
                      <w:sz w:val="21"/>
                      <w:highlight w:val="none"/>
                    </w:rPr>
                  </w:pPr>
                </w:p>
              </w:tc>
              <w:tc>
                <w:tcPr>
                  <w:tcW w:w="2597" w:type="dxa"/>
                  <w:noWrap w:val="0"/>
                  <w:vAlign w:val="center"/>
                </w:tcPr>
                <w:p>
                  <w:pPr>
                    <w:pStyle w:val="15"/>
                    <w:keepNext w:val="0"/>
                    <w:keepLines w:val="0"/>
                    <w:pageBreakBefore w:val="0"/>
                    <w:widowControl w:val="0"/>
                    <w:kinsoku/>
                    <w:wordWrap/>
                    <w:overflowPunct/>
                    <w:topLinePunct w:val="0"/>
                    <w:autoSpaceDE w:val="0"/>
                    <w:autoSpaceDN w:val="0"/>
                    <w:bidi w:val="0"/>
                    <w:adjustRightInd/>
                    <w:snapToGrid/>
                    <w:textAlignment w:val="auto"/>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导热油炉燃烧废气</w:t>
                  </w:r>
                </w:p>
                <w:p>
                  <w:pPr>
                    <w:pStyle w:val="15"/>
                    <w:keepNext w:val="0"/>
                    <w:keepLines w:val="0"/>
                    <w:pageBreakBefore w:val="0"/>
                    <w:widowControl w:val="0"/>
                    <w:kinsoku/>
                    <w:wordWrap/>
                    <w:overflowPunct/>
                    <w:topLinePunct w:val="0"/>
                    <w:autoSpaceDE w:val="0"/>
                    <w:autoSpaceDN w:val="0"/>
                    <w:bidi w:val="0"/>
                    <w:adjustRightInd/>
                    <w:snapToGrid/>
                    <w:ind w:firstLine="420" w:firstLineChars="200"/>
                    <w:textAlignment w:val="auto"/>
                    <w:rPr>
                      <w:rFonts w:hint="default" w:ascii="Times New Roman" w:hAnsi="Times New Roman" w:cs="Times New Roman"/>
                      <w:color w:val="auto"/>
                      <w:sz w:val="21"/>
                      <w:highlight w:val="none"/>
                    </w:rPr>
                  </w:pPr>
                </w:p>
              </w:tc>
              <w:tc>
                <w:tcPr>
                  <w:tcW w:w="2794" w:type="dxa"/>
                  <w:noWrap w:val="0"/>
                  <w:vAlign w:val="top"/>
                </w:tcPr>
                <w:p>
                  <w:pPr>
                    <w:pStyle w:val="15"/>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低氮燃烧+1</w:t>
                  </w:r>
                  <w:r>
                    <w:rPr>
                      <w:rFonts w:hint="default" w:ascii="Times New Roman" w:hAnsi="Times New Roman" w:cs="Times New Roman"/>
                      <w:color w:val="auto"/>
                      <w:sz w:val="21"/>
                      <w:highlight w:val="none"/>
                      <w:lang w:val="en-US" w:eastAsia="zh-CN"/>
                    </w:rPr>
                    <w:t>5</w:t>
                  </w:r>
                  <w:r>
                    <w:rPr>
                      <w:rFonts w:hint="default" w:ascii="Times New Roman" w:hAnsi="Times New Roman" w:cs="Times New Roman"/>
                      <w:color w:val="auto"/>
                      <w:sz w:val="21"/>
                      <w:highlight w:val="none"/>
                    </w:rPr>
                    <w:t>m烟囱</w:t>
                  </w:r>
                </w:p>
              </w:tc>
              <w:tc>
                <w:tcPr>
                  <w:tcW w:w="1018" w:type="dxa"/>
                  <w:vMerge w:val="continue"/>
                  <w:noWrap w:val="0"/>
                  <w:vAlign w:val="center"/>
                </w:tcPr>
                <w:p>
                  <w:pPr>
                    <w:pStyle w:val="15"/>
                    <w:ind w:left="112"/>
                    <w:rPr>
                      <w:rFonts w:hint="default" w:ascii="Times New Roman" w:hAnsi="Times New Roman" w:cs="Times New Roman"/>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44" w:type="dxa"/>
                  <w:noWrap w:val="0"/>
                  <w:vAlign w:val="center"/>
                </w:tcPr>
                <w:p>
                  <w:pPr>
                    <w:pStyle w:val="15"/>
                    <w:ind w:left="112"/>
                    <w:rPr>
                      <w:rFonts w:hint="default" w:ascii="Times New Roman" w:hAnsi="Times New Roman" w:cs="Times New Roman"/>
                      <w:color w:val="auto"/>
                      <w:sz w:val="21"/>
                      <w:highlight w:val="none"/>
                    </w:rPr>
                  </w:pPr>
                </w:p>
              </w:tc>
              <w:tc>
                <w:tcPr>
                  <w:tcW w:w="2597" w:type="dxa"/>
                  <w:noWrap w:val="0"/>
                  <w:vAlign w:val="center"/>
                </w:tcPr>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粉尘（烘干筒 区域）</w:t>
                  </w:r>
                </w:p>
                <w:p>
                  <w:pPr>
                    <w:pStyle w:val="15"/>
                    <w:keepNext w:val="0"/>
                    <w:keepLines w:val="0"/>
                    <w:pageBreakBefore w:val="0"/>
                    <w:widowControl w:val="0"/>
                    <w:kinsoku/>
                    <w:wordWrap/>
                    <w:overflowPunct/>
                    <w:topLinePunct w:val="0"/>
                    <w:autoSpaceDE w:val="0"/>
                    <w:autoSpaceDN w:val="0"/>
                    <w:bidi w:val="0"/>
                    <w:adjustRightInd/>
                    <w:snapToGrid/>
                    <w:ind w:firstLine="420" w:firstLineChars="200"/>
                    <w:textAlignment w:val="auto"/>
                    <w:rPr>
                      <w:rFonts w:hint="default" w:ascii="Times New Roman" w:hAnsi="Times New Roman" w:cs="Times New Roman"/>
                      <w:color w:val="auto"/>
                      <w:sz w:val="21"/>
                      <w:highlight w:val="none"/>
                    </w:rPr>
                  </w:pPr>
                </w:p>
              </w:tc>
              <w:tc>
                <w:tcPr>
                  <w:tcW w:w="2794" w:type="dxa"/>
                  <w:noWrap w:val="0"/>
                  <w:vAlign w:val="top"/>
                </w:tcPr>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 xml:space="preserve">采用密闭形式，产生的混合气体经布袋除尘器（除 </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 xml:space="preserve">尘效率达 99.9%以上）除尘后通过高 </w:t>
                  </w:r>
                  <w:r>
                    <w:rPr>
                      <w:rFonts w:hint="default" w:ascii="Times New Roman" w:hAnsi="Times New Roman" w:cs="Times New Roman"/>
                      <w:color w:val="auto"/>
                      <w:kern w:val="0"/>
                      <w:sz w:val="21"/>
                      <w:szCs w:val="21"/>
                      <w:highlight w:val="none"/>
                      <w:lang w:val="en-US" w:eastAsia="zh-CN" w:bidi="ar"/>
                    </w:rPr>
                    <w:t>15</w:t>
                  </w:r>
                  <w:r>
                    <w:rPr>
                      <w:rFonts w:hint="default" w:ascii="Times New Roman" w:hAnsi="Times New Roman" w:eastAsia="宋体" w:cs="Times New Roman"/>
                      <w:color w:val="auto"/>
                      <w:kern w:val="0"/>
                      <w:sz w:val="21"/>
                      <w:szCs w:val="21"/>
                      <w:highlight w:val="none"/>
                      <w:lang w:val="en-US" w:eastAsia="zh-CN" w:bidi="ar"/>
                    </w:rPr>
                    <w:t xml:space="preserve">m、内径 </w:t>
                  </w:r>
                </w:p>
                <w:p>
                  <w:pPr>
                    <w:keepNext w:val="0"/>
                    <w:keepLines w:val="0"/>
                    <w:widowControl/>
                    <w:suppressLineNumbers w:val="0"/>
                    <w:jc w:val="left"/>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1"/>
                      <w:szCs w:val="21"/>
                      <w:highlight w:val="none"/>
                      <w:lang w:val="en-US" w:eastAsia="zh-CN" w:bidi="ar"/>
                    </w:rPr>
                    <w:t>1.5m 烟囱排放</w:t>
                  </w:r>
                </w:p>
                <w:p>
                  <w:pPr>
                    <w:pStyle w:val="15"/>
                    <w:rPr>
                      <w:rFonts w:hint="default" w:ascii="Times New Roman" w:hAnsi="Times New Roman" w:cs="Times New Roman"/>
                      <w:color w:val="auto"/>
                      <w:sz w:val="21"/>
                      <w:highlight w:val="none"/>
                    </w:rPr>
                  </w:pPr>
                </w:p>
              </w:tc>
              <w:tc>
                <w:tcPr>
                  <w:tcW w:w="1018" w:type="dxa"/>
                  <w:noWrap w:val="0"/>
                  <w:vAlign w:val="center"/>
                </w:tcPr>
                <w:p>
                  <w:pPr>
                    <w:pStyle w:val="15"/>
                    <w:ind w:left="112"/>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6" w:hRule="atLeast"/>
              </w:trPr>
              <w:tc>
                <w:tcPr>
                  <w:tcW w:w="544" w:type="dxa"/>
                  <w:vMerge w:val="restart"/>
                  <w:noWrap w:val="0"/>
                  <w:vAlign w:val="center"/>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废水治理</w:t>
                  </w:r>
                </w:p>
              </w:tc>
              <w:tc>
                <w:tcPr>
                  <w:tcW w:w="2597" w:type="dxa"/>
                  <w:noWrap w:val="0"/>
                  <w:vAlign w:val="center"/>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雨水</w:t>
                  </w:r>
                </w:p>
              </w:tc>
              <w:tc>
                <w:tcPr>
                  <w:tcW w:w="2794" w:type="dxa"/>
                  <w:noWrap w:val="0"/>
                  <w:vAlign w:val="top"/>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修建</w:t>
                  </w:r>
                  <w:r>
                    <w:rPr>
                      <w:rFonts w:hint="default" w:ascii="Times New Roman" w:hAnsi="Times New Roman" w:cs="Times New Roman"/>
                      <w:color w:val="auto"/>
                      <w:sz w:val="21"/>
                      <w:highlight w:val="none"/>
                      <w:lang w:val="en-US" w:eastAsia="zh-CN"/>
                    </w:rPr>
                    <w:t>三级</w:t>
                  </w:r>
                  <w:r>
                    <w:rPr>
                      <w:rFonts w:hint="default" w:ascii="Times New Roman" w:hAnsi="Times New Roman" w:cs="Times New Roman"/>
                      <w:color w:val="auto"/>
                      <w:sz w:val="21"/>
                      <w:highlight w:val="none"/>
                    </w:rPr>
                    <w:t>沉淀池收集初期雨水，同时建设截排水沟，将清净雨水收集后汇入雨水沟</w:t>
                  </w:r>
                </w:p>
              </w:tc>
              <w:tc>
                <w:tcPr>
                  <w:tcW w:w="1018" w:type="dxa"/>
                  <w:noWrap w:val="0"/>
                  <w:vAlign w:val="center"/>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44" w:type="dxa"/>
                  <w:vMerge w:val="continue"/>
                  <w:noWrap w:val="0"/>
                  <w:vAlign w:val="center"/>
                </w:tcPr>
                <w:p>
                  <w:pPr>
                    <w:pStyle w:val="15"/>
                    <w:ind w:left="112"/>
                    <w:rPr>
                      <w:rFonts w:hint="default" w:ascii="Times New Roman" w:hAnsi="Times New Roman" w:cs="Times New Roman"/>
                      <w:color w:val="auto"/>
                      <w:sz w:val="21"/>
                      <w:highlight w:val="none"/>
                    </w:rPr>
                  </w:pPr>
                </w:p>
              </w:tc>
              <w:tc>
                <w:tcPr>
                  <w:tcW w:w="2597" w:type="dxa"/>
                  <w:noWrap w:val="0"/>
                  <w:vAlign w:val="center"/>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生活污水</w:t>
                  </w:r>
                </w:p>
              </w:tc>
              <w:tc>
                <w:tcPr>
                  <w:tcW w:w="2794" w:type="dxa"/>
                  <w:noWrap w:val="0"/>
                  <w:vAlign w:val="top"/>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依托现有</w:t>
                  </w:r>
                  <w:r>
                    <w:rPr>
                      <w:rFonts w:hint="eastAsia"/>
                      <w:color w:val="000000" w:themeColor="text1"/>
                      <w:sz w:val="24"/>
                      <w:lang w:val="en-US" w:eastAsia="zh-CN"/>
                      <w14:textFill>
                        <w14:solidFill>
                          <w14:schemeClr w14:val="tx1"/>
                        </w14:solidFill>
                      </w14:textFill>
                    </w:rPr>
                    <w:t>旱厕</w:t>
                  </w:r>
                  <w:r>
                    <w:rPr>
                      <w:rFonts w:hint="default" w:ascii="Times New Roman" w:hAnsi="Times New Roman" w:cs="Times New Roman"/>
                      <w:color w:val="auto"/>
                      <w:sz w:val="21"/>
                      <w:highlight w:val="none"/>
                    </w:rPr>
                    <w:t>处理后进行林灌</w:t>
                  </w:r>
                </w:p>
              </w:tc>
              <w:tc>
                <w:tcPr>
                  <w:tcW w:w="1018" w:type="dxa"/>
                  <w:noWrap w:val="0"/>
                  <w:vAlign w:val="center"/>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544" w:type="dxa"/>
                  <w:noWrap w:val="0"/>
                  <w:vAlign w:val="center"/>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噪声治理</w:t>
                  </w:r>
                </w:p>
              </w:tc>
              <w:tc>
                <w:tcPr>
                  <w:tcW w:w="2597" w:type="dxa"/>
                  <w:noWrap w:val="0"/>
                  <w:vAlign w:val="center"/>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设备噪声、运输噪声</w:t>
                  </w:r>
                </w:p>
              </w:tc>
              <w:tc>
                <w:tcPr>
                  <w:tcW w:w="2794" w:type="dxa"/>
                  <w:noWrap w:val="0"/>
                  <w:vAlign w:val="top"/>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设备安装减震垫；加强维护、定期保养；厂房隔声</w:t>
                  </w:r>
                </w:p>
              </w:tc>
              <w:tc>
                <w:tcPr>
                  <w:tcW w:w="1018" w:type="dxa"/>
                  <w:noWrap w:val="0"/>
                  <w:vAlign w:val="center"/>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544" w:type="dxa"/>
                  <w:vMerge w:val="restart"/>
                  <w:noWrap w:val="0"/>
                  <w:vAlign w:val="center"/>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固废治理</w:t>
                  </w:r>
                </w:p>
              </w:tc>
              <w:tc>
                <w:tcPr>
                  <w:tcW w:w="2597" w:type="dxa"/>
                  <w:noWrap w:val="0"/>
                  <w:vAlign w:val="center"/>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生活垃圾</w:t>
                  </w:r>
                </w:p>
              </w:tc>
              <w:tc>
                <w:tcPr>
                  <w:tcW w:w="2794" w:type="dxa"/>
                  <w:noWrap w:val="0"/>
                  <w:vAlign w:val="top"/>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经垃圾桶统一收集后交由环卫部门处理</w:t>
                  </w:r>
                </w:p>
              </w:tc>
              <w:tc>
                <w:tcPr>
                  <w:tcW w:w="1018" w:type="dxa"/>
                  <w:noWrap w:val="0"/>
                  <w:vAlign w:val="center"/>
                </w:tcPr>
                <w:p>
                  <w:pPr>
                    <w:pStyle w:val="15"/>
                    <w:ind w:left="112"/>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544" w:type="dxa"/>
                  <w:vMerge w:val="continue"/>
                  <w:noWrap w:val="0"/>
                  <w:vAlign w:val="center"/>
                </w:tcPr>
                <w:p>
                  <w:pPr>
                    <w:pStyle w:val="15"/>
                    <w:ind w:left="112"/>
                    <w:rPr>
                      <w:rFonts w:hint="default" w:ascii="Times New Roman" w:hAnsi="Times New Roman" w:cs="Times New Roman"/>
                      <w:color w:val="auto"/>
                      <w:sz w:val="21"/>
                      <w:highlight w:val="none"/>
                    </w:rPr>
                  </w:pPr>
                </w:p>
              </w:tc>
              <w:tc>
                <w:tcPr>
                  <w:tcW w:w="2597" w:type="dxa"/>
                  <w:noWrap w:val="0"/>
                  <w:vAlign w:val="center"/>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除尘灰</w:t>
                  </w:r>
                </w:p>
              </w:tc>
              <w:tc>
                <w:tcPr>
                  <w:tcW w:w="2794" w:type="dxa"/>
                  <w:noWrap w:val="0"/>
                  <w:vAlign w:val="top"/>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作为一般建筑垃圾，运至指定的建筑垃圾堆放点</w:t>
                  </w:r>
                </w:p>
              </w:tc>
              <w:tc>
                <w:tcPr>
                  <w:tcW w:w="1018" w:type="dxa"/>
                  <w:noWrap w:val="0"/>
                  <w:vAlign w:val="center"/>
                </w:tcPr>
                <w:p>
                  <w:pPr>
                    <w:pStyle w:val="15"/>
                    <w:ind w:left="112"/>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trPr>
              <w:tc>
                <w:tcPr>
                  <w:tcW w:w="544" w:type="dxa"/>
                  <w:vMerge w:val="continue"/>
                  <w:noWrap w:val="0"/>
                  <w:vAlign w:val="center"/>
                </w:tcPr>
                <w:p>
                  <w:pPr>
                    <w:pStyle w:val="15"/>
                    <w:ind w:left="112"/>
                    <w:rPr>
                      <w:rFonts w:hint="default" w:ascii="Times New Roman" w:hAnsi="Times New Roman" w:cs="Times New Roman"/>
                      <w:color w:val="auto"/>
                      <w:sz w:val="21"/>
                      <w:highlight w:val="none"/>
                    </w:rPr>
                  </w:pPr>
                </w:p>
              </w:tc>
              <w:tc>
                <w:tcPr>
                  <w:tcW w:w="2597" w:type="dxa"/>
                  <w:noWrap w:val="0"/>
                  <w:vAlign w:val="center"/>
                </w:tcPr>
                <w:p>
                  <w:pPr>
                    <w:pStyle w:val="15"/>
                    <w:ind w:left="112"/>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rPr>
                    <w:t>废润滑油、废活性炭</w:t>
                  </w:r>
                  <w:r>
                    <w:rPr>
                      <w:rFonts w:hint="default" w:ascii="Times New Roman" w:hAnsi="Times New Roman" w:cs="Times New Roman"/>
                      <w:color w:val="auto"/>
                      <w:sz w:val="21"/>
                      <w:highlight w:val="none"/>
                      <w:lang w:eastAsia="zh-CN"/>
                    </w:rPr>
                    <w:t>、</w:t>
                  </w:r>
                  <w:r>
                    <w:rPr>
                      <w:rFonts w:hint="default" w:ascii="Times New Roman" w:hAnsi="Times New Roman" w:cs="Times New Roman"/>
                      <w:color w:val="auto"/>
                      <w:sz w:val="21"/>
                      <w:highlight w:val="none"/>
                      <w:lang w:val="en-US" w:eastAsia="zh-CN"/>
                    </w:rPr>
                    <w:t>含油手套</w:t>
                  </w:r>
                </w:p>
              </w:tc>
              <w:tc>
                <w:tcPr>
                  <w:tcW w:w="2794" w:type="dxa"/>
                  <w:noWrap w:val="0"/>
                  <w:vAlign w:val="top"/>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设置危废暂存间，交由具有该类危废资质的单位处理</w:t>
                  </w:r>
                </w:p>
              </w:tc>
              <w:tc>
                <w:tcPr>
                  <w:tcW w:w="1018" w:type="dxa"/>
                  <w:noWrap w:val="0"/>
                  <w:vAlign w:val="center"/>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lang w:val="en-US" w:eastAsia="zh-CN"/>
                    </w:rPr>
                    <w:t>1</w:t>
                  </w:r>
                  <w:r>
                    <w:rPr>
                      <w:rFonts w:hint="default" w:ascii="Times New Roman" w:hAnsi="Times New Roman" w:cs="Times New Roman"/>
                      <w:color w:val="auto"/>
                      <w:sz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544" w:type="dxa"/>
                  <w:vMerge w:val="restart"/>
                  <w:noWrap w:val="0"/>
                  <w:vAlign w:val="center"/>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地下水防渗处理</w:t>
                  </w:r>
                </w:p>
              </w:tc>
              <w:tc>
                <w:tcPr>
                  <w:tcW w:w="5391" w:type="dxa"/>
                  <w:gridSpan w:val="2"/>
                  <w:noWrap w:val="0"/>
                  <w:vAlign w:val="top"/>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危废暂存间、重油罐、柴油罐、沥青罐、沥青搅拌区域采取重点防渗措施：采用至少1m厚黏土层（渗透系数K≤1×10-7cm/s），或2mm厚高密度聚乙烯，或至少2mm厚的其它人工材料，渗透系数≤10-10cm/s。</w:t>
                  </w:r>
                </w:p>
              </w:tc>
              <w:tc>
                <w:tcPr>
                  <w:tcW w:w="1018" w:type="dxa"/>
                  <w:vMerge w:val="restart"/>
                  <w:noWrap w:val="0"/>
                  <w:vAlign w:val="center"/>
                </w:tcPr>
                <w:p>
                  <w:pPr>
                    <w:pStyle w:val="15"/>
                    <w:ind w:left="112"/>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544" w:type="dxa"/>
                  <w:vMerge w:val="continue"/>
                  <w:noWrap w:val="0"/>
                  <w:vAlign w:val="center"/>
                </w:tcPr>
                <w:p>
                  <w:pPr>
                    <w:pStyle w:val="15"/>
                    <w:ind w:left="112"/>
                    <w:rPr>
                      <w:rFonts w:hint="default" w:ascii="Times New Roman" w:hAnsi="Times New Roman" w:cs="Times New Roman"/>
                      <w:color w:val="auto"/>
                      <w:sz w:val="21"/>
                      <w:highlight w:val="none"/>
                    </w:rPr>
                  </w:pPr>
                </w:p>
              </w:tc>
              <w:tc>
                <w:tcPr>
                  <w:tcW w:w="5391" w:type="dxa"/>
                  <w:gridSpan w:val="2"/>
                  <w:noWrap w:val="0"/>
                  <w:vAlign w:val="top"/>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骨料堆放区、门卫室等采取一般防渗措施：地面采取粘土铺底，再在上层铺10~15cm 的水泥进行硬化，一般防渗区各单元防渗层渗透系数≤10-7cm/s</w:t>
                  </w:r>
                </w:p>
              </w:tc>
              <w:tc>
                <w:tcPr>
                  <w:tcW w:w="1018" w:type="dxa"/>
                  <w:vMerge w:val="continue"/>
                  <w:noWrap w:val="0"/>
                  <w:vAlign w:val="center"/>
                </w:tcPr>
                <w:p>
                  <w:pPr>
                    <w:pStyle w:val="15"/>
                    <w:ind w:left="112"/>
                    <w:rPr>
                      <w:rFonts w:hint="default" w:ascii="Times New Roman" w:hAnsi="Times New Roman" w:cs="Times New Roman"/>
                      <w:color w:val="auto"/>
                      <w:sz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544" w:type="dxa"/>
                  <w:vMerge w:val="restart"/>
                  <w:noWrap w:val="0"/>
                  <w:vAlign w:val="center"/>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环境风险</w:t>
                  </w:r>
                </w:p>
              </w:tc>
              <w:tc>
                <w:tcPr>
                  <w:tcW w:w="2597" w:type="dxa"/>
                  <w:noWrap w:val="0"/>
                  <w:vAlign w:val="top"/>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事故性火灾、泄漏</w:t>
                  </w:r>
                </w:p>
              </w:tc>
              <w:tc>
                <w:tcPr>
                  <w:tcW w:w="2794" w:type="dxa"/>
                  <w:noWrap w:val="0"/>
                  <w:vAlign w:val="top"/>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防火装置、事故应急池</w:t>
                  </w:r>
                </w:p>
              </w:tc>
              <w:tc>
                <w:tcPr>
                  <w:tcW w:w="1018" w:type="dxa"/>
                  <w:vMerge w:val="restart"/>
                  <w:noWrap w:val="0"/>
                  <w:vAlign w:val="center"/>
                </w:tcPr>
                <w:p>
                  <w:pPr>
                    <w:pStyle w:val="15"/>
                    <w:ind w:left="112"/>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544" w:type="dxa"/>
                  <w:vMerge w:val="continue"/>
                  <w:noWrap w:val="0"/>
                  <w:vAlign w:val="center"/>
                </w:tcPr>
                <w:p>
                  <w:pPr>
                    <w:pStyle w:val="15"/>
                    <w:ind w:left="112"/>
                    <w:rPr>
                      <w:rFonts w:hint="default" w:ascii="Times New Roman" w:hAnsi="Times New Roman" w:cs="Times New Roman"/>
                      <w:color w:val="auto"/>
                      <w:sz w:val="21"/>
                      <w:highlight w:val="none"/>
                    </w:rPr>
                  </w:pPr>
                </w:p>
              </w:tc>
              <w:tc>
                <w:tcPr>
                  <w:tcW w:w="2597" w:type="dxa"/>
                  <w:noWrap w:val="0"/>
                  <w:vAlign w:val="top"/>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事故防范及应急</w:t>
                  </w:r>
                </w:p>
              </w:tc>
              <w:tc>
                <w:tcPr>
                  <w:tcW w:w="2794" w:type="dxa"/>
                  <w:noWrap w:val="0"/>
                  <w:vAlign w:val="top"/>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建立风险管理措施等</w:t>
                  </w:r>
                </w:p>
              </w:tc>
              <w:tc>
                <w:tcPr>
                  <w:tcW w:w="1018" w:type="dxa"/>
                  <w:vMerge w:val="continue"/>
                  <w:noWrap w:val="0"/>
                  <w:vAlign w:val="center"/>
                </w:tcPr>
                <w:p>
                  <w:pPr>
                    <w:pStyle w:val="15"/>
                    <w:ind w:left="112"/>
                    <w:rPr>
                      <w:rFonts w:hint="default" w:ascii="Times New Roman" w:hAnsi="Times New Roman" w:eastAsia="宋体" w:cs="Times New Roman"/>
                      <w:color w:val="auto"/>
                      <w:sz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544" w:type="dxa"/>
                  <w:noWrap w:val="0"/>
                  <w:vAlign w:val="center"/>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生态治理措施</w:t>
                  </w:r>
                </w:p>
              </w:tc>
              <w:tc>
                <w:tcPr>
                  <w:tcW w:w="5391" w:type="dxa"/>
                  <w:gridSpan w:val="2"/>
                  <w:noWrap w:val="0"/>
                  <w:vAlign w:val="center"/>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厂区周边绿化</w:t>
                  </w:r>
                </w:p>
              </w:tc>
              <w:tc>
                <w:tcPr>
                  <w:tcW w:w="1018" w:type="dxa"/>
                  <w:noWrap w:val="0"/>
                  <w:vAlign w:val="center"/>
                </w:tcPr>
                <w:p>
                  <w:pPr>
                    <w:pStyle w:val="15"/>
                    <w:ind w:left="112"/>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935" w:type="dxa"/>
                  <w:gridSpan w:val="3"/>
                  <w:noWrap w:val="0"/>
                  <w:vAlign w:val="top"/>
                </w:tcPr>
                <w:p>
                  <w:pPr>
                    <w:pStyle w:val="15"/>
                    <w:ind w:left="112"/>
                    <w:rPr>
                      <w:rFonts w:hint="default" w:ascii="Times New Roman" w:hAnsi="Times New Roman" w:cs="Times New Roman"/>
                      <w:color w:val="auto"/>
                      <w:sz w:val="21"/>
                      <w:highlight w:val="none"/>
                    </w:rPr>
                  </w:pPr>
                  <w:r>
                    <w:rPr>
                      <w:rFonts w:hint="default" w:ascii="Times New Roman" w:hAnsi="Times New Roman" w:cs="Times New Roman"/>
                      <w:color w:val="auto"/>
                      <w:sz w:val="21"/>
                      <w:highlight w:val="none"/>
                    </w:rPr>
                    <w:t>合计</w:t>
                  </w:r>
                </w:p>
              </w:tc>
              <w:tc>
                <w:tcPr>
                  <w:tcW w:w="1018" w:type="dxa"/>
                  <w:noWrap w:val="0"/>
                  <w:vAlign w:val="top"/>
                </w:tcPr>
                <w:p>
                  <w:pPr>
                    <w:pStyle w:val="15"/>
                    <w:ind w:left="112"/>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20</w:t>
                  </w:r>
                </w:p>
              </w:tc>
            </w:tr>
          </w:tbl>
          <w:p>
            <w:pPr>
              <w:pStyle w:val="15"/>
              <w:ind w:left="112"/>
              <w:rPr>
                <w:color w:val="auto"/>
                <w:sz w:val="21"/>
                <w:highlight w:val="none"/>
              </w:rPr>
            </w:pPr>
          </w:p>
          <w:p>
            <w:pPr>
              <w:pStyle w:val="15"/>
              <w:ind w:left="112"/>
              <w:rPr>
                <w:color w:val="auto"/>
                <w:sz w:val="21"/>
                <w:highlight w:val="none"/>
              </w:rPr>
            </w:pPr>
          </w:p>
          <w:p>
            <w:pPr>
              <w:pStyle w:val="15"/>
              <w:ind w:left="112"/>
              <w:rPr>
                <w:color w:val="auto"/>
                <w:sz w:val="21"/>
                <w:highlight w:val="none"/>
              </w:rPr>
            </w:pPr>
          </w:p>
          <w:p>
            <w:pPr>
              <w:pStyle w:val="15"/>
              <w:ind w:left="112"/>
              <w:rPr>
                <w:color w:val="auto"/>
                <w:sz w:val="21"/>
                <w:highlight w:val="none"/>
              </w:rPr>
            </w:pPr>
          </w:p>
          <w:p>
            <w:pPr>
              <w:pStyle w:val="15"/>
              <w:ind w:left="112"/>
              <w:rPr>
                <w:color w:val="auto"/>
                <w:sz w:val="21"/>
                <w:highlight w:val="none"/>
              </w:rPr>
            </w:pPr>
          </w:p>
          <w:p>
            <w:pPr>
              <w:pStyle w:val="15"/>
              <w:ind w:left="112"/>
              <w:rPr>
                <w:color w:val="auto"/>
                <w:sz w:val="21"/>
                <w:highlight w:val="none"/>
              </w:rPr>
            </w:pPr>
          </w:p>
          <w:p>
            <w:pPr>
              <w:pStyle w:val="15"/>
              <w:ind w:left="112"/>
              <w:rPr>
                <w:color w:val="auto"/>
                <w:sz w:val="21"/>
                <w:highlight w:val="none"/>
              </w:rPr>
            </w:pPr>
          </w:p>
          <w:p>
            <w:pPr>
              <w:pStyle w:val="15"/>
              <w:ind w:left="112"/>
              <w:rPr>
                <w:color w:val="auto"/>
                <w:sz w:val="21"/>
                <w:highlight w:val="none"/>
              </w:rPr>
            </w:pPr>
          </w:p>
          <w:p>
            <w:pPr>
              <w:pStyle w:val="15"/>
              <w:ind w:left="112"/>
              <w:rPr>
                <w:color w:val="auto"/>
                <w:sz w:val="21"/>
                <w:highlight w:val="none"/>
              </w:rPr>
            </w:pPr>
          </w:p>
          <w:p>
            <w:pPr>
              <w:pStyle w:val="15"/>
              <w:rPr>
                <w:color w:val="auto"/>
                <w:sz w:val="21"/>
                <w:highlight w:val="none"/>
              </w:rPr>
            </w:pPr>
          </w:p>
        </w:tc>
      </w:tr>
    </w:tbl>
    <w:p>
      <w:pPr>
        <w:spacing w:after="0"/>
        <w:rPr>
          <w:sz w:val="21"/>
        </w:rPr>
        <w:sectPr>
          <w:pgSz w:w="11910" w:h="16840"/>
          <w:pgMar w:top="1580" w:right="1320" w:bottom="1000" w:left="1340" w:header="0" w:footer="817" w:gutter="0"/>
          <w:pgBorders>
            <w:top w:val="none" w:sz="0" w:space="0"/>
            <w:left w:val="none" w:sz="0" w:space="0"/>
            <w:bottom w:val="none" w:sz="0" w:space="0"/>
            <w:right w:val="none" w:sz="0" w:space="0"/>
          </w:pgBorders>
          <w:pgNumType w:fmt="decimal"/>
          <w:cols w:space="720" w:num="1"/>
        </w:sectPr>
      </w:pPr>
    </w:p>
    <w:p>
      <w:pPr>
        <w:pStyle w:val="7"/>
        <w:spacing w:before="8"/>
        <w:rPr>
          <w:sz w:val="25"/>
        </w:rPr>
      </w:pPr>
    </w:p>
    <w:p>
      <w:pPr>
        <w:pStyle w:val="7"/>
        <w:spacing w:before="58"/>
        <w:ind w:left="635" w:right="653"/>
        <w:jc w:val="center"/>
      </w:pPr>
      <w:r>
        <w:t>六、结论</w:t>
      </w:r>
    </w:p>
    <w:p>
      <w:pPr>
        <w:pStyle w:val="7"/>
        <w:spacing w:before="10"/>
        <w:rPr>
          <w:sz w:val="18"/>
        </w:rPr>
        <w:sectPr>
          <w:pgSz w:w="11910" w:h="16840"/>
          <w:pgMar w:top="1580" w:right="1320" w:bottom="1000" w:left="1340" w:header="0" w:footer="817" w:gutter="0"/>
          <w:pgBorders>
            <w:top w:val="none" w:sz="0" w:space="0"/>
            <w:left w:val="none" w:sz="0" w:space="0"/>
            <w:bottom w:val="none" w:sz="0" w:space="0"/>
            <w:right w:val="none" w:sz="0" w:space="0"/>
          </w:pgBorders>
          <w:pgNumType w:fmt="decimal"/>
          <w:cols w:space="720" w:num="1"/>
        </w:sectPr>
      </w:pPr>
      <w:r>
        <mc:AlternateContent>
          <mc:Choice Requires="wps">
            <w:drawing>
              <wp:anchor distT="0" distB="0" distL="0" distR="0" simplePos="0" relativeHeight="251662336" behindDoc="1" locked="0" layoutInCell="1" allowOverlap="1">
                <wp:simplePos x="0" y="0"/>
                <wp:positionH relativeFrom="page">
                  <wp:posOffset>964565</wp:posOffset>
                </wp:positionH>
                <wp:positionV relativeFrom="paragraph">
                  <wp:posOffset>184150</wp:posOffset>
                </wp:positionV>
                <wp:extent cx="5631180" cy="7628890"/>
                <wp:effectExtent l="6350" t="6350" r="20320" b="22860"/>
                <wp:wrapTopAndBottom/>
                <wp:docPr id="3" name="文本框 3"/>
                <wp:cNvGraphicFramePr/>
                <a:graphic xmlns:a="http://schemas.openxmlformats.org/drawingml/2006/main">
                  <a:graphicData uri="http://schemas.microsoft.com/office/word/2010/wordprocessingShape">
                    <wps:wsp>
                      <wps:cNvSpPr txBox="1"/>
                      <wps:spPr>
                        <a:xfrm>
                          <a:off x="0" y="0"/>
                          <a:ext cx="5631180" cy="7628890"/>
                        </a:xfrm>
                        <a:prstGeom prst="rect">
                          <a:avLst/>
                        </a:prstGeom>
                        <a:noFill/>
                        <a:ln w="12191" cap="flat" cmpd="sng">
                          <a:solidFill>
                            <a:srgbClr val="000000"/>
                          </a:solidFill>
                          <a:prstDash val="solid"/>
                          <a:miter/>
                          <a:headEnd type="none" w="med" len="med"/>
                          <a:tailEnd type="none" w="med" len="med"/>
                        </a:ln>
                      </wps:spPr>
                      <wps:txbx>
                        <w:txbxContent>
                          <w:p>
                            <w:pPr>
                              <w:pStyle w:val="7"/>
                              <w:rPr>
                                <w:sz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lang w:val="en-US" w:eastAsia="zh-CN"/>
                              </w:rPr>
                              <w:t>1</w:t>
                            </w:r>
                            <w:r>
                              <w:rPr>
                                <w:rFonts w:ascii="Times New Roman" w:hAnsi="Times New Roman" w:eastAsia="宋体" w:cs="Times New Roman"/>
                                <w:b/>
                                <w:color w:val="auto"/>
                                <w:sz w:val="24"/>
                                <w:highlight w:val="none"/>
                              </w:rPr>
                              <w:t>、综合结论</w:t>
                            </w:r>
                          </w:p>
                          <w:p>
                            <w:pPr>
                              <w:pStyle w:val="7"/>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sz w:val="24"/>
                              </w:rPr>
                            </w:pPr>
                            <w:r>
                              <w:rPr>
                                <w:rFonts w:ascii="Times New Roman" w:hAnsi="Times New Roman" w:eastAsia="宋体" w:cs="Times New Roman"/>
                                <w:color w:val="auto"/>
                                <w:sz w:val="24"/>
                                <w:szCs w:val="22"/>
                                <w:highlight w:val="none"/>
                              </w:rPr>
                              <w:t>本项目为沥青混凝土生产项目，项目符合国家有关产业政策，符合相关规划发展要求，贯彻了“总量控制和达标排放”的原则，采取的“三废”及噪声的治理措施经济技术可行，措施有效。工程实施后，在各项污染治理措施（含本评价的建议措施）实施且确保全部污染物达标排放的前提下，本项目对当地及区域的环境质量影响可控。因此，从环境保护角度而言，本项目的建设是可行的。</w:t>
                            </w:r>
                          </w:p>
                          <w:p>
                            <w:pPr>
                              <w:pStyle w:val="7"/>
                              <w:rPr>
                                <w:sz w:val="24"/>
                              </w:rPr>
                            </w:pPr>
                          </w:p>
                          <w:p>
                            <w:pPr>
                              <w:keepNext w:val="0"/>
                              <w:keepLines w:val="0"/>
                              <w:pageBreakBefore w:val="0"/>
                              <w:widowControl w:val="0"/>
                              <w:tabs>
                                <w:tab w:val="left" w:pos="3255"/>
                              </w:tabs>
                              <w:kinsoku/>
                              <w:wordWrap/>
                              <w:overflowPunct/>
                              <w:topLinePunct w:val="0"/>
                              <w:autoSpaceDE/>
                              <w:autoSpaceDN/>
                              <w:bidi w:val="0"/>
                              <w:adjustRightInd/>
                              <w:snapToGrid/>
                              <w:spacing w:line="360" w:lineRule="auto"/>
                              <w:ind w:firstLine="482" w:firstLineChars="200"/>
                              <w:jc w:val="both"/>
                              <w:textAlignment w:val="auto"/>
                              <w:rPr>
                                <w:rFonts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lang w:val="en-US" w:eastAsia="zh-CN"/>
                              </w:rPr>
                              <w:t>2</w:t>
                            </w:r>
                            <w:r>
                              <w:rPr>
                                <w:rFonts w:ascii="Times New Roman" w:hAnsi="Times New Roman" w:eastAsia="宋体" w:cs="Times New Roman"/>
                                <w:b/>
                                <w:color w:val="auto"/>
                                <w:sz w:val="24"/>
                                <w:highlight w:val="none"/>
                              </w:rPr>
                              <w:t>、要求与建议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1</w:t>
                            </w:r>
                            <w:r>
                              <w:rPr>
                                <w:rFonts w:ascii="Times New Roman" w:hAnsi="Times New Roman" w:eastAsia="宋体" w:cs="Times New Roman"/>
                                <w:bCs/>
                                <w:color w:val="auto"/>
                                <w:sz w:val="24"/>
                                <w:highlight w:val="none"/>
                              </w:rPr>
                              <w:t>）制定严格的生产操作规程，加强项目日常管理工作，强化设备的维修、保养，保证环保设施正常运转，减少和避免生产系统由于环保设备故障造成的污染。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2</w:t>
                            </w:r>
                            <w:r>
                              <w:rPr>
                                <w:rFonts w:ascii="Times New Roman" w:hAnsi="Times New Roman" w:eastAsia="宋体" w:cs="Times New Roman"/>
                                <w:bCs/>
                                <w:color w:val="auto"/>
                                <w:sz w:val="24"/>
                                <w:highlight w:val="none"/>
                              </w:rPr>
                              <w:t>）所有固废及时收集，放置在指定地点，定期清运及处理，避免在</w:t>
                            </w:r>
                            <w:r>
                              <w:rPr>
                                <w:rFonts w:hint="eastAsia" w:cs="Times New Roman"/>
                                <w:bCs/>
                                <w:color w:val="auto"/>
                                <w:sz w:val="24"/>
                                <w:highlight w:val="none"/>
                                <w:lang w:eastAsia="zh-CN"/>
                              </w:rPr>
                              <w:t>建成区</w:t>
                            </w:r>
                            <w:r>
                              <w:rPr>
                                <w:rFonts w:ascii="Times New Roman" w:hAnsi="Times New Roman" w:eastAsia="宋体" w:cs="Times New Roman"/>
                                <w:bCs/>
                                <w:color w:val="auto"/>
                                <w:sz w:val="24"/>
                                <w:highlight w:val="none"/>
                              </w:rPr>
                              <w:t>长时间堆存引起二次污染。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3</w:t>
                            </w:r>
                            <w:r>
                              <w:rPr>
                                <w:rFonts w:ascii="Times New Roman" w:hAnsi="Times New Roman" w:eastAsia="宋体" w:cs="Times New Roman"/>
                                <w:bCs/>
                                <w:color w:val="auto"/>
                                <w:sz w:val="24"/>
                                <w:highlight w:val="none"/>
                              </w:rPr>
                              <w:t>）建设单位在本工程的建设及使用过程中必须严格执行国家现行的法律法规要求。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4</w:t>
                            </w:r>
                            <w:r>
                              <w:rPr>
                                <w:rFonts w:ascii="Times New Roman" w:hAnsi="Times New Roman" w:eastAsia="宋体" w:cs="Times New Roman"/>
                                <w:bCs/>
                                <w:color w:val="auto"/>
                                <w:sz w:val="24"/>
                                <w:highlight w:val="none"/>
                              </w:rPr>
                              <w:t>）项目做到文明生产。由于本项目原料运输量大，注意运输过程中的管理。运输车辆用篷布覆盖，防止物料的洒落。原料及成品运输尽量安排在昼间进行，防止夜间扰民。</w:t>
                            </w:r>
                          </w:p>
                          <w:p>
                            <w:pPr>
                              <w:pStyle w:val="7"/>
                              <w:ind w:firstLine="480" w:firstLineChars="200"/>
                              <w:rPr>
                                <w:sz w:val="24"/>
                              </w:rPr>
                            </w:pPr>
                            <w:r>
                              <w:rPr>
                                <w:rFonts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5</w:t>
                            </w:r>
                            <w:r>
                              <w:rPr>
                                <w:rFonts w:ascii="Times New Roman" w:hAnsi="Times New Roman" w:eastAsia="宋体" w:cs="Times New Roman"/>
                                <w:bCs/>
                                <w:color w:val="auto"/>
                                <w:sz w:val="24"/>
                                <w:highlight w:val="none"/>
                              </w:rPr>
                              <w:t>）加强现场管理。</w:t>
                            </w: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2"/>
                              <w:rPr>
                                <w:sz w:val="17"/>
                              </w:rPr>
                            </w:pPr>
                          </w:p>
                          <w:p>
                            <w:pPr>
                              <w:spacing w:before="0"/>
                              <w:ind w:left="98" w:right="0" w:firstLine="0"/>
                              <w:jc w:val="left"/>
                              <w:rPr>
                                <w:sz w:val="24"/>
                              </w:rPr>
                            </w:pPr>
                            <w:r>
                              <w:rPr>
                                <w:sz w:val="24"/>
                              </w:rPr>
                              <w:t xml:space="preserve"> </w:t>
                            </w:r>
                          </w:p>
                        </w:txbxContent>
                      </wps:txbx>
                      <wps:bodyPr lIns="0" tIns="0" rIns="0" bIns="0" upright="1"/>
                    </wps:wsp>
                  </a:graphicData>
                </a:graphic>
              </wp:anchor>
            </w:drawing>
          </mc:Choice>
          <mc:Fallback>
            <w:pict>
              <v:shape id="_x0000_s1026" o:spid="_x0000_s1026" o:spt="202" type="#_x0000_t202" style="position:absolute;left:0pt;margin-left:75.95pt;margin-top:14.5pt;height:600.7pt;width:443.4pt;mso-position-horizontal-relative:page;mso-wrap-distance-bottom:0pt;mso-wrap-distance-top:0pt;z-index:-251654144;mso-width-relative:page;mso-height-relative:page;" filled="f" stroked="t" coordsize="21600,21600" o:gfxdata="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hCc3+NgAAAAMAQAADwAA&#10;AAAAAAABACAAAAAiAAAAZHJzL2Rvd25yZXYueG1sUEsBAhQAFAAAAAgAh07iQE9o5toWAgAAMwQA&#10;AA4AAAAAAAAAAQAgAAAAJwEAAGRycy9lMm9Eb2MueG1sUEsFBgAAAAAGAAYAWQEAAK8FAAAAAA==&#10;">
                <v:fill on="f" focussize="0,0"/>
                <v:stroke weight="0.95992125984252pt" color="#000000" joinstyle="miter"/>
                <v:imagedata o:title=""/>
                <o:lock v:ext="edit" aspectratio="f"/>
                <v:textbox inset="0mm,0mm,0mm,0mm">
                  <w:txbxContent>
                    <w:p>
                      <w:pPr>
                        <w:pStyle w:val="7"/>
                        <w:rPr>
                          <w:sz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lang w:val="en-US" w:eastAsia="zh-CN"/>
                        </w:rPr>
                        <w:t>1</w:t>
                      </w:r>
                      <w:r>
                        <w:rPr>
                          <w:rFonts w:ascii="Times New Roman" w:hAnsi="Times New Roman" w:eastAsia="宋体" w:cs="Times New Roman"/>
                          <w:b/>
                          <w:color w:val="auto"/>
                          <w:sz w:val="24"/>
                          <w:highlight w:val="none"/>
                        </w:rPr>
                        <w:t>、综合结论</w:t>
                      </w:r>
                    </w:p>
                    <w:p>
                      <w:pPr>
                        <w:pStyle w:val="7"/>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sz w:val="24"/>
                        </w:rPr>
                      </w:pPr>
                      <w:r>
                        <w:rPr>
                          <w:rFonts w:ascii="Times New Roman" w:hAnsi="Times New Roman" w:eastAsia="宋体" w:cs="Times New Roman"/>
                          <w:color w:val="auto"/>
                          <w:sz w:val="24"/>
                          <w:szCs w:val="22"/>
                          <w:highlight w:val="none"/>
                        </w:rPr>
                        <w:t>本项目为沥青混凝土生产项目，项目符合国家有关产业政策，符合相关规划发展要求，贯彻了“总量控制和达标排放”的原则，采取的“三废”及噪声的治理措施经济技术可行，措施有效。工程实施后，在各项污染治理措施（含本评价的建议措施）实施且确保全部污染物达标排放的前提下，本项目对当地及区域的环境质量影响可控。因此，从环境保护角度而言，本项目的建设是可行的。</w:t>
                      </w:r>
                    </w:p>
                    <w:p>
                      <w:pPr>
                        <w:pStyle w:val="7"/>
                        <w:rPr>
                          <w:sz w:val="24"/>
                        </w:rPr>
                      </w:pPr>
                    </w:p>
                    <w:p>
                      <w:pPr>
                        <w:keepNext w:val="0"/>
                        <w:keepLines w:val="0"/>
                        <w:pageBreakBefore w:val="0"/>
                        <w:widowControl w:val="0"/>
                        <w:tabs>
                          <w:tab w:val="left" w:pos="3255"/>
                        </w:tabs>
                        <w:kinsoku/>
                        <w:wordWrap/>
                        <w:overflowPunct/>
                        <w:topLinePunct w:val="0"/>
                        <w:autoSpaceDE/>
                        <w:autoSpaceDN/>
                        <w:bidi w:val="0"/>
                        <w:adjustRightInd/>
                        <w:snapToGrid/>
                        <w:spacing w:line="360" w:lineRule="auto"/>
                        <w:ind w:firstLine="482" w:firstLineChars="200"/>
                        <w:jc w:val="both"/>
                        <w:textAlignment w:val="auto"/>
                        <w:rPr>
                          <w:rFonts w:ascii="Times New Roman" w:hAnsi="Times New Roman" w:eastAsia="宋体" w:cs="Times New Roman"/>
                          <w:b/>
                          <w:color w:val="auto"/>
                          <w:sz w:val="24"/>
                          <w:highlight w:val="none"/>
                        </w:rPr>
                      </w:pPr>
                      <w:r>
                        <w:rPr>
                          <w:rFonts w:hint="eastAsia" w:ascii="Times New Roman" w:hAnsi="Times New Roman" w:eastAsia="宋体" w:cs="Times New Roman"/>
                          <w:b/>
                          <w:color w:val="auto"/>
                          <w:sz w:val="24"/>
                          <w:highlight w:val="none"/>
                          <w:lang w:val="en-US" w:eastAsia="zh-CN"/>
                        </w:rPr>
                        <w:t>2</w:t>
                      </w:r>
                      <w:r>
                        <w:rPr>
                          <w:rFonts w:ascii="Times New Roman" w:hAnsi="Times New Roman" w:eastAsia="宋体" w:cs="Times New Roman"/>
                          <w:b/>
                          <w:color w:val="auto"/>
                          <w:sz w:val="24"/>
                          <w:highlight w:val="none"/>
                        </w:rPr>
                        <w:t>、要求与建议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1</w:t>
                      </w:r>
                      <w:r>
                        <w:rPr>
                          <w:rFonts w:ascii="Times New Roman" w:hAnsi="Times New Roman" w:eastAsia="宋体" w:cs="Times New Roman"/>
                          <w:bCs/>
                          <w:color w:val="auto"/>
                          <w:sz w:val="24"/>
                          <w:highlight w:val="none"/>
                        </w:rPr>
                        <w:t>）制定严格的生产操作规程，加强项目日常管理工作，强化设备的维修、保养，保证环保设施正常运转，减少和避免生产系统由于环保设备故障造成的污染。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2</w:t>
                      </w:r>
                      <w:r>
                        <w:rPr>
                          <w:rFonts w:ascii="Times New Roman" w:hAnsi="Times New Roman" w:eastAsia="宋体" w:cs="Times New Roman"/>
                          <w:bCs/>
                          <w:color w:val="auto"/>
                          <w:sz w:val="24"/>
                          <w:highlight w:val="none"/>
                        </w:rPr>
                        <w:t>）所有固废及时收集，放置在指定地点，定期清运及处理，避免在</w:t>
                      </w:r>
                      <w:r>
                        <w:rPr>
                          <w:rFonts w:hint="eastAsia" w:cs="Times New Roman"/>
                          <w:bCs/>
                          <w:color w:val="auto"/>
                          <w:sz w:val="24"/>
                          <w:highlight w:val="none"/>
                          <w:lang w:eastAsia="zh-CN"/>
                        </w:rPr>
                        <w:t>建成区</w:t>
                      </w:r>
                      <w:r>
                        <w:rPr>
                          <w:rFonts w:ascii="Times New Roman" w:hAnsi="Times New Roman" w:eastAsia="宋体" w:cs="Times New Roman"/>
                          <w:bCs/>
                          <w:color w:val="auto"/>
                          <w:sz w:val="24"/>
                          <w:highlight w:val="none"/>
                        </w:rPr>
                        <w:t>长时间堆存引起二次污染。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3</w:t>
                      </w:r>
                      <w:r>
                        <w:rPr>
                          <w:rFonts w:ascii="Times New Roman" w:hAnsi="Times New Roman" w:eastAsia="宋体" w:cs="Times New Roman"/>
                          <w:bCs/>
                          <w:color w:val="auto"/>
                          <w:sz w:val="24"/>
                          <w:highlight w:val="none"/>
                        </w:rPr>
                        <w:t>）建设单位在本工程的建设及使用过程中必须严格执行国家现行的法律法规要求。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4</w:t>
                      </w:r>
                      <w:r>
                        <w:rPr>
                          <w:rFonts w:ascii="Times New Roman" w:hAnsi="Times New Roman" w:eastAsia="宋体" w:cs="Times New Roman"/>
                          <w:bCs/>
                          <w:color w:val="auto"/>
                          <w:sz w:val="24"/>
                          <w:highlight w:val="none"/>
                        </w:rPr>
                        <w:t>）项目做到文明生产。由于本项目原料运输量大，注意运输过程中的管理。运输车辆用篷布覆盖，防止物料的洒落。原料及成品运输尽量安排在昼间进行，防止夜间扰民。</w:t>
                      </w:r>
                    </w:p>
                    <w:p>
                      <w:pPr>
                        <w:pStyle w:val="7"/>
                        <w:ind w:firstLine="480" w:firstLineChars="200"/>
                        <w:rPr>
                          <w:sz w:val="24"/>
                        </w:rPr>
                      </w:pPr>
                      <w:r>
                        <w:rPr>
                          <w:rFonts w:ascii="Times New Roman" w:hAnsi="Times New Roman" w:eastAsia="宋体" w:cs="Times New Roman"/>
                          <w:bCs/>
                          <w:color w:val="auto"/>
                          <w:sz w:val="24"/>
                          <w:highlight w:val="none"/>
                        </w:rPr>
                        <w:t>（</w:t>
                      </w:r>
                      <w:r>
                        <w:rPr>
                          <w:rFonts w:hint="eastAsia" w:ascii="Times New Roman" w:hAnsi="Times New Roman" w:eastAsia="宋体" w:cs="Times New Roman"/>
                          <w:bCs/>
                          <w:color w:val="auto"/>
                          <w:sz w:val="24"/>
                          <w:highlight w:val="none"/>
                          <w:lang w:val="en-US" w:eastAsia="zh-CN"/>
                        </w:rPr>
                        <w:t>5</w:t>
                      </w:r>
                      <w:r>
                        <w:rPr>
                          <w:rFonts w:ascii="Times New Roman" w:hAnsi="Times New Roman" w:eastAsia="宋体" w:cs="Times New Roman"/>
                          <w:bCs/>
                          <w:color w:val="auto"/>
                          <w:sz w:val="24"/>
                          <w:highlight w:val="none"/>
                        </w:rPr>
                        <w:t>）加强现场管理。</w:t>
                      </w: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2"/>
                        <w:rPr>
                          <w:sz w:val="17"/>
                        </w:rPr>
                      </w:pPr>
                    </w:p>
                    <w:p>
                      <w:pPr>
                        <w:spacing w:before="0"/>
                        <w:ind w:left="98" w:right="0" w:firstLine="0"/>
                        <w:jc w:val="left"/>
                        <w:rPr>
                          <w:sz w:val="24"/>
                        </w:rPr>
                      </w:pPr>
                      <w:r>
                        <w:rPr>
                          <w:sz w:val="24"/>
                        </w:rPr>
                        <w:t xml:space="preserve"> </w:t>
                      </w:r>
                    </w:p>
                  </w:txbxContent>
                </v:textbox>
                <w10:wrap type="topAndBottom"/>
              </v:shape>
            </w:pict>
          </mc:Fallback>
        </mc:AlternateContent>
      </w:r>
    </w:p>
    <w:tbl>
      <w:tblPr>
        <w:tblStyle w:val="11"/>
        <w:tblpPr w:leftFromText="180" w:rightFromText="180" w:vertAnchor="text" w:horzAnchor="page" w:tblpX="1374" w:tblpY="669"/>
        <w:tblOverlap w:val="never"/>
        <w:tblW w:w="1395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456"/>
        <w:gridCol w:w="1309"/>
        <w:gridCol w:w="1488"/>
        <w:gridCol w:w="1384"/>
        <w:gridCol w:w="1771"/>
        <w:gridCol w:w="1458"/>
        <w:gridCol w:w="1935"/>
        <w:gridCol w:w="2183"/>
        <w:gridCol w:w="97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8" w:hRule="atLeast"/>
        </w:trPr>
        <w:tc>
          <w:tcPr>
            <w:tcW w:w="1456" w:type="dxa"/>
            <w:tcBorders>
              <w:bottom w:val="single" w:color="000000" w:sz="4" w:space="0"/>
              <w:right w:val="single" w:color="000000" w:sz="4" w:space="0"/>
            </w:tcBorders>
          </w:tcPr>
          <w:p>
            <w:pPr>
              <w:pStyle w:val="15"/>
              <w:spacing w:before="149"/>
              <w:ind w:left="1163"/>
              <w:rPr>
                <w:rFonts w:hint="default" w:ascii="Times New Roman" w:hAnsi="Times New Roman" w:eastAsia="宋体" w:cs="Times New Roman"/>
                <w:sz w:val="21"/>
              </w:rPr>
            </w:pPr>
            <w:r>
              <w:rPr>
                <w:rFonts w:hint="default" w:ascii="Times New Roman" w:hAnsi="Times New Roman" w:eastAsia="宋体" w:cs="Times New Roman"/>
                <w:spacing w:val="-15"/>
                <w:sz w:val="21"/>
              </w:rPr>
              <w:t>项目</w:t>
            </w:r>
          </w:p>
          <w:p>
            <w:pPr>
              <w:pStyle w:val="15"/>
              <w:spacing w:before="2"/>
              <w:ind w:left="28"/>
              <w:rPr>
                <w:rFonts w:hint="default" w:ascii="Times New Roman" w:hAnsi="Times New Roman" w:eastAsia="宋体" w:cs="Times New Roman"/>
                <w:sz w:val="21"/>
              </w:rPr>
            </w:pPr>
            <w:r>
              <w:rPr>
                <w:rFonts w:hint="default" w:ascii="Times New Roman" w:hAnsi="Times New Roman" w:eastAsia="宋体" w:cs="Times New Roman"/>
                <w:sz w:val="21"/>
              </w:rPr>
              <w:t>分类</w:t>
            </w:r>
          </w:p>
        </w:tc>
        <w:tc>
          <w:tcPr>
            <w:tcW w:w="1309" w:type="dxa"/>
            <w:tcBorders>
              <w:left w:val="single" w:color="000000" w:sz="4" w:space="0"/>
              <w:bottom w:val="single" w:color="000000" w:sz="4" w:space="0"/>
              <w:right w:val="single" w:color="000000" w:sz="4" w:space="0"/>
            </w:tcBorders>
          </w:tcPr>
          <w:p>
            <w:pPr>
              <w:bidi w:val="0"/>
              <w:rPr>
                <w:rFonts w:hint="default"/>
              </w:rPr>
            </w:pPr>
          </w:p>
          <w:p>
            <w:pPr>
              <w:bidi w:val="0"/>
              <w:rPr>
                <w:rFonts w:hint="default"/>
              </w:rPr>
            </w:pPr>
            <w:r>
              <w:rPr>
                <w:rFonts w:hint="default"/>
              </w:rPr>
              <w:t>污染物名称</w:t>
            </w:r>
          </w:p>
        </w:tc>
        <w:tc>
          <w:tcPr>
            <w:tcW w:w="1488" w:type="dxa"/>
            <w:tcBorders>
              <w:left w:val="single" w:color="000000" w:sz="4" w:space="0"/>
              <w:bottom w:val="single" w:color="000000" w:sz="4" w:space="0"/>
              <w:right w:val="single" w:color="000000" w:sz="4" w:space="0"/>
            </w:tcBorders>
          </w:tcPr>
          <w:p>
            <w:pPr>
              <w:bidi w:val="0"/>
              <w:rPr>
                <w:rFonts w:hint="default"/>
              </w:rPr>
            </w:pPr>
            <w:r>
              <w:rPr>
                <w:rFonts w:hint="default"/>
              </w:rPr>
              <w:t>现有工程</w:t>
            </w:r>
          </w:p>
          <w:p>
            <w:pPr>
              <w:bidi w:val="0"/>
              <w:rPr>
                <w:rFonts w:hint="default"/>
              </w:rPr>
            </w:pPr>
            <w:r>
              <w:rPr>
                <w:rFonts w:hint="default"/>
              </w:rPr>
              <w:t>排放量（固体废物产生量）①</w:t>
            </w:r>
          </w:p>
        </w:tc>
        <w:tc>
          <w:tcPr>
            <w:tcW w:w="1384" w:type="dxa"/>
            <w:tcBorders>
              <w:left w:val="single" w:color="000000" w:sz="4" w:space="0"/>
              <w:bottom w:val="single" w:color="000000" w:sz="4" w:space="0"/>
              <w:right w:val="single" w:color="000000" w:sz="4" w:space="0"/>
            </w:tcBorders>
          </w:tcPr>
          <w:p>
            <w:pPr>
              <w:bidi w:val="0"/>
              <w:rPr>
                <w:rFonts w:hint="default"/>
              </w:rPr>
            </w:pPr>
            <w:r>
              <w:rPr>
                <w:rFonts w:hint="default"/>
              </w:rPr>
              <w:t>现有工程许可排放量②</w:t>
            </w:r>
          </w:p>
        </w:tc>
        <w:tc>
          <w:tcPr>
            <w:tcW w:w="1771" w:type="dxa"/>
            <w:tcBorders>
              <w:left w:val="single" w:color="000000" w:sz="4" w:space="0"/>
              <w:bottom w:val="single" w:color="000000" w:sz="4" w:space="0"/>
              <w:right w:val="single" w:color="000000" w:sz="4" w:space="0"/>
            </w:tcBorders>
          </w:tcPr>
          <w:p>
            <w:pPr>
              <w:bidi w:val="0"/>
              <w:rPr>
                <w:rFonts w:hint="default"/>
              </w:rPr>
            </w:pPr>
            <w:r>
              <w:rPr>
                <w:rFonts w:hint="default"/>
              </w:rPr>
              <w:t>在建工程</w:t>
            </w:r>
          </w:p>
          <w:p>
            <w:pPr>
              <w:bidi w:val="0"/>
              <w:rPr>
                <w:rFonts w:hint="default"/>
              </w:rPr>
            </w:pPr>
            <w:r>
              <w:rPr>
                <w:rFonts w:hint="default"/>
              </w:rPr>
              <w:t>排放量（固体废物产生量）③</w:t>
            </w:r>
          </w:p>
        </w:tc>
        <w:tc>
          <w:tcPr>
            <w:tcW w:w="1458" w:type="dxa"/>
            <w:tcBorders>
              <w:left w:val="single" w:color="000000" w:sz="4" w:space="0"/>
              <w:bottom w:val="single" w:color="000000" w:sz="4" w:space="0"/>
              <w:right w:val="single" w:color="000000" w:sz="4" w:space="0"/>
            </w:tcBorders>
          </w:tcPr>
          <w:p>
            <w:pPr>
              <w:bidi w:val="0"/>
              <w:rPr>
                <w:rFonts w:hint="default"/>
              </w:rPr>
            </w:pPr>
            <w:r>
              <w:rPr>
                <w:rFonts w:hint="default"/>
              </w:rPr>
              <w:t>本项目</w:t>
            </w:r>
          </w:p>
          <w:p>
            <w:pPr>
              <w:bidi w:val="0"/>
              <w:rPr>
                <w:rFonts w:hint="default"/>
              </w:rPr>
            </w:pPr>
            <w:r>
              <w:rPr>
                <w:rFonts w:hint="default"/>
              </w:rPr>
              <w:t>排放量（固体废物产生量）④</w:t>
            </w:r>
          </w:p>
        </w:tc>
        <w:tc>
          <w:tcPr>
            <w:tcW w:w="1935" w:type="dxa"/>
            <w:tcBorders>
              <w:left w:val="single" w:color="000000" w:sz="4" w:space="0"/>
              <w:bottom w:val="single" w:color="000000" w:sz="4" w:space="0"/>
              <w:right w:val="single" w:color="000000" w:sz="4" w:space="0"/>
            </w:tcBorders>
          </w:tcPr>
          <w:p>
            <w:pPr>
              <w:bidi w:val="0"/>
              <w:rPr>
                <w:rFonts w:hint="default"/>
              </w:rPr>
            </w:pPr>
            <w:r>
              <w:rPr>
                <w:rFonts w:hint="default"/>
              </w:rPr>
              <w:t>以新带老削减量</w:t>
            </w:r>
          </w:p>
          <w:p>
            <w:pPr>
              <w:bidi w:val="0"/>
              <w:rPr>
                <w:rFonts w:hint="default"/>
              </w:rPr>
            </w:pPr>
            <w:r>
              <w:rPr>
                <w:rFonts w:hint="default"/>
              </w:rPr>
              <w:t>（新建项目不填）⑤</w:t>
            </w:r>
          </w:p>
        </w:tc>
        <w:tc>
          <w:tcPr>
            <w:tcW w:w="2183" w:type="dxa"/>
            <w:tcBorders>
              <w:left w:val="single" w:color="000000" w:sz="4" w:space="0"/>
              <w:bottom w:val="single" w:color="000000" w:sz="4" w:space="0"/>
              <w:right w:val="single" w:color="000000" w:sz="4" w:space="0"/>
            </w:tcBorders>
          </w:tcPr>
          <w:p>
            <w:pPr>
              <w:bidi w:val="0"/>
              <w:rPr>
                <w:rFonts w:hint="default"/>
              </w:rPr>
            </w:pPr>
            <w:r>
              <w:rPr>
                <w:rFonts w:hint="default"/>
              </w:rPr>
              <w:t>本项目建成后</w:t>
            </w:r>
          </w:p>
          <w:p>
            <w:pPr>
              <w:bidi w:val="0"/>
              <w:rPr>
                <w:rFonts w:hint="default"/>
              </w:rPr>
            </w:pPr>
            <w:r>
              <w:rPr>
                <w:rFonts w:hint="default"/>
              </w:rPr>
              <w:t>全厂排放量（固体废</w:t>
            </w:r>
          </w:p>
          <w:p>
            <w:pPr>
              <w:bidi w:val="0"/>
              <w:rPr>
                <w:rFonts w:hint="default"/>
              </w:rPr>
            </w:pPr>
            <w:r>
              <w:rPr>
                <w:rFonts w:hint="default"/>
              </w:rPr>
              <w:t>物产生量）⑥</w:t>
            </w:r>
          </w:p>
        </w:tc>
        <w:tc>
          <w:tcPr>
            <w:tcW w:w="972" w:type="dxa"/>
            <w:tcBorders>
              <w:left w:val="single" w:color="000000" w:sz="4" w:space="0"/>
              <w:bottom w:val="single" w:color="000000" w:sz="4" w:space="0"/>
            </w:tcBorders>
          </w:tcPr>
          <w:p>
            <w:pPr>
              <w:bidi w:val="0"/>
              <w:rPr>
                <w:rFonts w:hint="default"/>
              </w:rPr>
            </w:pPr>
            <w:r>
              <w:rPr>
                <w:rFonts w:hint="default"/>
              </w:rPr>
              <w:t>变化量</w:t>
            </w:r>
          </w:p>
          <w:p>
            <w:pPr>
              <w:bidi w:val="0"/>
              <w:rPr>
                <w:rFonts w:hint="default"/>
              </w:rPr>
            </w:pPr>
            <w:r>
              <w:rPr>
                <w:rFonts w:hint="default"/>
              </w:rPr>
              <w:t>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1456" w:type="dxa"/>
            <w:vMerge w:val="restart"/>
            <w:tcBorders>
              <w:top w:val="single" w:color="000000" w:sz="4" w:space="0"/>
              <w:right w:val="single" w:color="000000" w:sz="4" w:space="0"/>
            </w:tcBorders>
          </w:tcPr>
          <w:p>
            <w:pPr>
              <w:pStyle w:val="15"/>
              <w:spacing w:before="1"/>
              <w:rPr>
                <w:rFonts w:hint="default" w:ascii="Times New Roman" w:hAnsi="Times New Roman" w:eastAsia="宋体" w:cs="Times New Roman"/>
                <w:sz w:val="19"/>
              </w:rPr>
            </w:pPr>
          </w:p>
          <w:p>
            <w:pPr>
              <w:pStyle w:val="15"/>
              <w:ind w:left="583"/>
              <w:rPr>
                <w:rFonts w:hint="default" w:ascii="Times New Roman" w:hAnsi="Times New Roman" w:eastAsia="宋体" w:cs="Times New Roman"/>
                <w:sz w:val="21"/>
              </w:rPr>
            </w:pPr>
            <w:r>
              <w:rPr>
                <w:rFonts w:hint="default" w:ascii="Times New Roman" w:hAnsi="Times New Roman" w:eastAsia="宋体" w:cs="Times New Roman"/>
                <w:sz w:val="21"/>
              </w:rPr>
              <w:t xml:space="preserve">废气 </w:t>
            </w:r>
          </w:p>
        </w:tc>
        <w:tc>
          <w:tcPr>
            <w:tcW w:w="1309" w:type="dxa"/>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SO2</w:t>
            </w:r>
          </w:p>
        </w:tc>
        <w:tc>
          <w:tcPr>
            <w:tcW w:w="1488" w:type="dxa"/>
            <w:tcBorders>
              <w:top w:val="single" w:color="000000" w:sz="4" w:space="0"/>
              <w:left w:val="single" w:color="000000" w:sz="4" w:space="0"/>
              <w:bottom w:val="single" w:color="000000" w:sz="4" w:space="0"/>
              <w:right w:val="single" w:color="000000" w:sz="4" w:space="0"/>
            </w:tcBorders>
          </w:tcPr>
          <w:p>
            <w:pPr>
              <w:pStyle w:val="15"/>
              <w:spacing w:before="106"/>
              <w:ind w:right="729"/>
              <w:jc w:val="right"/>
              <w:rPr>
                <w:rFonts w:hint="default" w:ascii="Times New Roman" w:hAnsi="Times New Roman" w:eastAsia="宋体" w:cs="Times New Roman"/>
                <w:sz w:val="21"/>
                <w:szCs w:val="21"/>
              </w:rPr>
            </w:pPr>
          </w:p>
        </w:tc>
        <w:tc>
          <w:tcPr>
            <w:tcW w:w="1384" w:type="dxa"/>
            <w:tcBorders>
              <w:top w:val="single" w:color="000000" w:sz="4" w:space="0"/>
              <w:left w:val="single" w:color="000000" w:sz="4" w:space="0"/>
              <w:bottom w:val="single" w:color="000000" w:sz="4" w:space="0"/>
              <w:right w:val="single" w:color="000000" w:sz="4" w:space="0"/>
            </w:tcBorders>
          </w:tcPr>
          <w:p>
            <w:pPr>
              <w:pStyle w:val="15"/>
              <w:spacing w:before="106"/>
              <w:ind w:right="517"/>
              <w:jc w:val="right"/>
              <w:rPr>
                <w:rFonts w:hint="default" w:ascii="Times New Roman" w:hAnsi="Times New Roman" w:eastAsia="宋体" w:cs="Times New Roman"/>
                <w:sz w:val="21"/>
                <w:szCs w:val="21"/>
              </w:rPr>
            </w:pPr>
          </w:p>
        </w:tc>
        <w:tc>
          <w:tcPr>
            <w:tcW w:w="1771" w:type="dxa"/>
            <w:tcBorders>
              <w:top w:val="single" w:color="000000" w:sz="4" w:space="0"/>
              <w:left w:val="single" w:color="000000" w:sz="4" w:space="0"/>
              <w:bottom w:val="single" w:color="000000" w:sz="4" w:space="0"/>
              <w:right w:val="single" w:color="000000" w:sz="4" w:space="0"/>
            </w:tcBorders>
          </w:tcPr>
          <w:p>
            <w:pPr>
              <w:pStyle w:val="15"/>
              <w:spacing w:before="106"/>
              <w:ind w:right="731"/>
              <w:jc w:val="right"/>
              <w:rPr>
                <w:rFonts w:hint="default" w:ascii="Times New Roman" w:hAnsi="Times New Roman" w:eastAsia="宋体" w:cs="Times New Roman"/>
                <w:sz w:val="21"/>
                <w:szCs w:val="21"/>
              </w:rPr>
            </w:pPr>
          </w:p>
        </w:tc>
        <w:tc>
          <w:tcPr>
            <w:tcW w:w="1458" w:type="dxa"/>
            <w:tcBorders>
              <w:top w:val="single" w:color="000000" w:sz="4" w:space="0"/>
              <w:left w:val="single" w:color="000000" w:sz="4" w:space="0"/>
              <w:bottom w:val="single" w:color="000000" w:sz="4" w:space="0"/>
              <w:right w:val="single" w:color="000000" w:sz="4" w:space="0"/>
            </w:tcBorders>
          </w:tcPr>
          <w:p>
            <w:pPr>
              <w:pStyle w:val="15"/>
              <w:spacing w:before="106"/>
              <w:ind w:right="659"/>
              <w:jc w:val="both"/>
              <w:rPr>
                <w:rFonts w:hint="default" w:ascii="Times New Roman" w:hAnsi="Times New Roman" w:eastAsia="宋体" w:cs="Times New Roman"/>
                <w:sz w:val="21"/>
                <w:szCs w:val="21"/>
              </w:rPr>
            </w:pPr>
            <w:r>
              <w:rPr>
                <w:rFonts w:hint="eastAsia" w:ascii="Times New Roman" w:hAnsi="Times New Roman" w:cs="Times New Roman"/>
                <w:color w:val="auto"/>
                <w:kern w:val="0"/>
                <w:sz w:val="24"/>
                <w:szCs w:val="24"/>
                <w:lang w:val="en-US" w:eastAsia="zh-CN" w:bidi="ar"/>
              </w:rPr>
              <w:t>0.333</w:t>
            </w:r>
            <w:r>
              <w:rPr>
                <w:rFonts w:hint="default" w:ascii="Times New Roman" w:hAnsi="Times New Roman" w:eastAsia="宋体" w:cs="Times New Roman"/>
                <w:color w:val="auto"/>
                <w:kern w:val="0"/>
                <w:sz w:val="24"/>
                <w:szCs w:val="24"/>
                <w:lang w:val="en-US" w:eastAsia="zh-CN" w:bidi="ar"/>
              </w:rPr>
              <w:t>t</w:t>
            </w:r>
          </w:p>
        </w:tc>
        <w:tc>
          <w:tcPr>
            <w:tcW w:w="1935" w:type="dxa"/>
            <w:tcBorders>
              <w:top w:val="single" w:color="000000" w:sz="4" w:space="0"/>
              <w:left w:val="single" w:color="000000" w:sz="4" w:space="0"/>
              <w:bottom w:val="single" w:color="000000" w:sz="4" w:space="0"/>
              <w:right w:val="single" w:color="000000" w:sz="4" w:space="0"/>
            </w:tcBorders>
          </w:tcPr>
          <w:p>
            <w:pPr>
              <w:pStyle w:val="15"/>
              <w:spacing w:before="106"/>
              <w:ind w:right="760"/>
              <w:jc w:val="right"/>
              <w:rPr>
                <w:rFonts w:hint="default" w:ascii="Times New Roman" w:hAnsi="Times New Roman" w:eastAsia="宋体" w:cs="Times New Roman"/>
                <w:sz w:val="21"/>
                <w:szCs w:val="21"/>
              </w:rPr>
            </w:pPr>
          </w:p>
        </w:tc>
        <w:tc>
          <w:tcPr>
            <w:tcW w:w="2183" w:type="dxa"/>
            <w:tcBorders>
              <w:top w:val="single" w:color="000000" w:sz="4" w:space="0"/>
              <w:left w:val="single" w:color="000000" w:sz="4" w:space="0"/>
              <w:bottom w:val="single" w:color="000000" w:sz="4" w:space="0"/>
              <w:right w:val="single" w:color="000000" w:sz="4" w:space="0"/>
            </w:tcBorders>
            <w:vAlign w:val="top"/>
          </w:tcPr>
          <w:p>
            <w:pPr>
              <w:pStyle w:val="15"/>
              <w:spacing w:before="106"/>
              <w:ind w:left="0" w:leftChars="0" w:right="659" w:rightChars="0"/>
              <w:jc w:val="both"/>
              <w:rPr>
                <w:rFonts w:hint="default" w:ascii="Times New Roman" w:hAnsi="Times New Roman" w:eastAsia="宋体" w:cs="Times New Roman"/>
                <w:sz w:val="21"/>
                <w:szCs w:val="21"/>
              </w:rPr>
            </w:pPr>
            <w:r>
              <w:rPr>
                <w:rFonts w:hint="eastAsia" w:ascii="Times New Roman" w:hAnsi="Times New Roman" w:cs="Times New Roman"/>
                <w:color w:val="auto"/>
                <w:kern w:val="0"/>
                <w:sz w:val="24"/>
                <w:szCs w:val="24"/>
                <w:lang w:val="en-US" w:eastAsia="zh-CN" w:bidi="ar"/>
              </w:rPr>
              <w:t>0.333</w:t>
            </w:r>
            <w:r>
              <w:rPr>
                <w:rFonts w:hint="default" w:ascii="Times New Roman" w:hAnsi="Times New Roman" w:eastAsia="宋体" w:cs="Times New Roman"/>
                <w:color w:val="auto"/>
                <w:kern w:val="0"/>
                <w:sz w:val="24"/>
                <w:szCs w:val="24"/>
                <w:lang w:val="en-US" w:eastAsia="zh-CN" w:bidi="ar"/>
              </w:rPr>
              <w:t>t</w:t>
            </w:r>
          </w:p>
        </w:tc>
        <w:tc>
          <w:tcPr>
            <w:tcW w:w="972" w:type="dxa"/>
            <w:tcBorders>
              <w:top w:val="single" w:color="000000" w:sz="4" w:space="0"/>
              <w:left w:val="single" w:color="000000" w:sz="4" w:space="0"/>
              <w:bottom w:val="single" w:color="000000" w:sz="4" w:space="0"/>
            </w:tcBorders>
          </w:tcPr>
          <w:p>
            <w:pPr>
              <w:pStyle w:val="15"/>
              <w:spacing w:before="106"/>
              <w:ind w:right="287"/>
              <w:jc w:val="right"/>
              <w:rPr>
                <w:rFonts w:hint="default" w:ascii="Times New Roman" w:hAnsi="Times New Roman" w:eastAsia="宋体"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0" w:hRule="atLeast"/>
        </w:trPr>
        <w:tc>
          <w:tcPr>
            <w:tcW w:w="1456" w:type="dxa"/>
            <w:vMerge w:val="continue"/>
            <w:tcBorders>
              <w:right w:val="single" w:color="000000" w:sz="4" w:space="0"/>
            </w:tcBorders>
          </w:tcPr>
          <w:p>
            <w:pPr>
              <w:pStyle w:val="15"/>
              <w:ind w:left="583"/>
              <w:rPr>
                <w:rFonts w:hint="default" w:ascii="Times New Roman" w:hAnsi="Times New Roman" w:eastAsia="宋体" w:cs="Times New Roman"/>
                <w:sz w:val="21"/>
              </w:rPr>
            </w:pPr>
          </w:p>
        </w:tc>
        <w:tc>
          <w:tcPr>
            <w:tcW w:w="1309" w:type="dxa"/>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w w:val="100"/>
                <w:sz w:val="21"/>
                <w:lang w:val="en-US" w:eastAsia="zh-CN"/>
              </w:rPr>
              <w:t>NO2</w:t>
            </w:r>
          </w:p>
        </w:tc>
        <w:tc>
          <w:tcPr>
            <w:tcW w:w="1488" w:type="dxa"/>
            <w:tcBorders>
              <w:top w:val="single" w:color="000000" w:sz="4" w:space="0"/>
              <w:left w:val="single" w:color="000000" w:sz="4" w:space="0"/>
              <w:bottom w:val="single" w:color="000000" w:sz="4" w:space="0"/>
              <w:right w:val="single" w:color="000000" w:sz="4" w:space="0"/>
            </w:tcBorders>
          </w:tcPr>
          <w:p>
            <w:pPr>
              <w:pStyle w:val="15"/>
              <w:spacing w:before="106"/>
              <w:ind w:right="729"/>
              <w:jc w:val="right"/>
              <w:rPr>
                <w:rFonts w:hint="default" w:ascii="Times New Roman" w:hAnsi="Times New Roman" w:eastAsia="宋体" w:cs="Times New Roman"/>
                <w:sz w:val="21"/>
                <w:szCs w:val="21"/>
              </w:rPr>
            </w:pPr>
          </w:p>
        </w:tc>
        <w:tc>
          <w:tcPr>
            <w:tcW w:w="1384" w:type="dxa"/>
            <w:tcBorders>
              <w:top w:val="single" w:color="000000" w:sz="4" w:space="0"/>
              <w:left w:val="single" w:color="000000" w:sz="4" w:space="0"/>
              <w:bottom w:val="single" w:color="000000" w:sz="4" w:space="0"/>
              <w:right w:val="single" w:color="000000" w:sz="4" w:space="0"/>
            </w:tcBorders>
          </w:tcPr>
          <w:p>
            <w:pPr>
              <w:pStyle w:val="15"/>
              <w:spacing w:before="106"/>
              <w:ind w:right="517"/>
              <w:jc w:val="right"/>
              <w:rPr>
                <w:rFonts w:hint="default" w:ascii="Times New Roman" w:hAnsi="Times New Roman" w:eastAsia="宋体" w:cs="Times New Roman"/>
                <w:sz w:val="21"/>
                <w:szCs w:val="21"/>
              </w:rPr>
            </w:pPr>
          </w:p>
        </w:tc>
        <w:tc>
          <w:tcPr>
            <w:tcW w:w="1771" w:type="dxa"/>
            <w:tcBorders>
              <w:top w:val="single" w:color="000000" w:sz="4" w:space="0"/>
              <w:left w:val="single" w:color="000000" w:sz="4" w:space="0"/>
              <w:bottom w:val="single" w:color="000000" w:sz="4" w:space="0"/>
              <w:right w:val="single" w:color="000000" w:sz="4" w:space="0"/>
            </w:tcBorders>
          </w:tcPr>
          <w:p>
            <w:pPr>
              <w:pStyle w:val="15"/>
              <w:spacing w:before="106"/>
              <w:ind w:right="731"/>
              <w:jc w:val="right"/>
              <w:rPr>
                <w:rFonts w:hint="default" w:ascii="Times New Roman" w:hAnsi="Times New Roman" w:eastAsia="宋体" w:cs="Times New Roman"/>
                <w:sz w:val="21"/>
                <w:szCs w:val="21"/>
              </w:rPr>
            </w:pPr>
          </w:p>
        </w:tc>
        <w:tc>
          <w:tcPr>
            <w:tcW w:w="1458" w:type="dxa"/>
            <w:tcBorders>
              <w:top w:val="single" w:color="000000" w:sz="4" w:space="0"/>
              <w:left w:val="single" w:color="000000" w:sz="4" w:space="0"/>
              <w:bottom w:val="single" w:color="000000" w:sz="4" w:space="0"/>
              <w:right w:val="single" w:color="000000" w:sz="4" w:space="0"/>
            </w:tcBorders>
          </w:tcPr>
          <w:p>
            <w:pPr>
              <w:pStyle w:val="15"/>
              <w:spacing w:before="106"/>
              <w:ind w:right="659"/>
              <w:jc w:val="both"/>
              <w:rPr>
                <w:rFonts w:hint="default" w:ascii="Times New Roman" w:hAnsi="Times New Roman" w:eastAsia="宋体" w:cs="Times New Roman"/>
                <w:sz w:val="21"/>
                <w:szCs w:val="21"/>
              </w:rPr>
            </w:pPr>
            <w:r>
              <w:rPr>
                <w:rFonts w:hint="eastAsia" w:ascii="Times New Roman" w:hAnsi="Times New Roman" w:cs="Times New Roman"/>
                <w:color w:val="auto"/>
                <w:kern w:val="0"/>
                <w:sz w:val="24"/>
                <w:szCs w:val="24"/>
                <w:lang w:val="en-US" w:eastAsia="zh-CN" w:bidi="ar"/>
              </w:rPr>
              <w:t>1.137</w:t>
            </w:r>
            <w:r>
              <w:rPr>
                <w:rFonts w:hint="default" w:ascii="Times New Roman" w:hAnsi="Times New Roman" w:eastAsia="宋体" w:cs="Times New Roman"/>
                <w:color w:val="auto"/>
                <w:kern w:val="0"/>
                <w:sz w:val="24"/>
                <w:szCs w:val="24"/>
                <w:lang w:val="en-US" w:eastAsia="zh-CN" w:bidi="ar"/>
              </w:rPr>
              <w:t>t</w:t>
            </w:r>
          </w:p>
        </w:tc>
        <w:tc>
          <w:tcPr>
            <w:tcW w:w="1935" w:type="dxa"/>
            <w:tcBorders>
              <w:top w:val="single" w:color="000000" w:sz="4" w:space="0"/>
              <w:left w:val="single" w:color="000000" w:sz="4" w:space="0"/>
              <w:bottom w:val="single" w:color="000000" w:sz="4" w:space="0"/>
              <w:right w:val="single" w:color="000000" w:sz="4" w:space="0"/>
            </w:tcBorders>
          </w:tcPr>
          <w:p>
            <w:pPr>
              <w:pStyle w:val="15"/>
              <w:spacing w:before="106"/>
              <w:ind w:right="760"/>
              <w:jc w:val="right"/>
              <w:rPr>
                <w:rFonts w:hint="default" w:ascii="Times New Roman" w:hAnsi="Times New Roman" w:eastAsia="宋体" w:cs="Times New Roman"/>
                <w:sz w:val="21"/>
                <w:szCs w:val="21"/>
              </w:rPr>
            </w:pPr>
          </w:p>
        </w:tc>
        <w:tc>
          <w:tcPr>
            <w:tcW w:w="2183" w:type="dxa"/>
            <w:tcBorders>
              <w:top w:val="single" w:color="000000" w:sz="4" w:space="0"/>
              <w:left w:val="single" w:color="000000" w:sz="4" w:space="0"/>
              <w:bottom w:val="single" w:color="000000" w:sz="4" w:space="0"/>
              <w:right w:val="single" w:color="000000" w:sz="4" w:space="0"/>
            </w:tcBorders>
            <w:vAlign w:val="top"/>
          </w:tcPr>
          <w:p>
            <w:pPr>
              <w:pStyle w:val="15"/>
              <w:spacing w:before="106"/>
              <w:ind w:left="0" w:leftChars="0" w:right="659" w:rightChars="0"/>
              <w:jc w:val="both"/>
              <w:rPr>
                <w:rFonts w:hint="default" w:ascii="Times New Roman" w:hAnsi="Times New Roman" w:eastAsia="宋体" w:cs="Times New Roman"/>
                <w:sz w:val="21"/>
                <w:szCs w:val="21"/>
              </w:rPr>
            </w:pPr>
            <w:r>
              <w:rPr>
                <w:rFonts w:hint="eastAsia" w:ascii="Times New Roman" w:hAnsi="Times New Roman" w:cs="Times New Roman"/>
                <w:color w:val="auto"/>
                <w:kern w:val="0"/>
                <w:sz w:val="24"/>
                <w:szCs w:val="24"/>
                <w:lang w:val="en-US" w:eastAsia="zh-CN" w:bidi="ar"/>
              </w:rPr>
              <w:t>1.137</w:t>
            </w:r>
            <w:r>
              <w:rPr>
                <w:rFonts w:hint="default" w:ascii="Times New Roman" w:hAnsi="Times New Roman" w:eastAsia="宋体" w:cs="Times New Roman"/>
                <w:color w:val="auto"/>
                <w:kern w:val="0"/>
                <w:sz w:val="24"/>
                <w:szCs w:val="24"/>
                <w:lang w:val="en-US" w:eastAsia="zh-CN" w:bidi="ar"/>
              </w:rPr>
              <w:t>t</w:t>
            </w:r>
          </w:p>
        </w:tc>
        <w:tc>
          <w:tcPr>
            <w:tcW w:w="972" w:type="dxa"/>
            <w:tcBorders>
              <w:top w:val="single" w:color="000000" w:sz="4" w:space="0"/>
              <w:left w:val="single" w:color="000000" w:sz="4" w:space="0"/>
              <w:bottom w:val="single" w:color="000000" w:sz="4" w:space="0"/>
            </w:tcBorders>
          </w:tcPr>
          <w:p>
            <w:pPr>
              <w:pStyle w:val="15"/>
              <w:spacing w:before="106"/>
              <w:ind w:right="287"/>
              <w:jc w:val="right"/>
              <w:rPr>
                <w:rFonts w:hint="default" w:ascii="Times New Roman" w:hAnsi="Times New Roman" w:eastAsia="宋体"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4" w:hRule="atLeast"/>
        </w:trPr>
        <w:tc>
          <w:tcPr>
            <w:tcW w:w="1456" w:type="dxa"/>
            <w:vMerge w:val="continue"/>
            <w:tcBorders>
              <w:right w:val="single" w:color="000000" w:sz="4" w:space="0"/>
            </w:tcBorders>
          </w:tcPr>
          <w:p>
            <w:pPr>
              <w:pStyle w:val="15"/>
              <w:ind w:left="583"/>
              <w:rPr>
                <w:rFonts w:hint="default" w:ascii="Times New Roman" w:hAnsi="Times New Roman" w:eastAsia="宋体" w:cs="Times New Roman"/>
                <w:sz w:val="21"/>
              </w:rPr>
            </w:pPr>
          </w:p>
        </w:tc>
        <w:tc>
          <w:tcPr>
            <w:tcW w:w="1309" w:type="dxa"/>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s="Times New Roman"/>
                <w:w w:val="100"/>
                <w:sz w:val="21"/>
                <w:lang w:val="en-US" w:eastAsia="zh-CN"/>
              </w:rPr>
              <w:t>颗粒物</w:t>
            </w:r>
          </w:p>
        </w:tc>
        <w:tc>
          <w:tcPr>
            <w:tcW w:w="1488" w:type="dxa"/>
            <w:tcBorders>
              <w:top w:val="single" w:color="000000" w:sz="4" w:space="0"/>
              <w:left w:val="single" w:color="000000" w:sz="4" w:space="0"/>
              <w:bottom w:val="single" w:color="000000" w:sz="4" w:space="0"/>
              <w:right w:val="single" w:color="000000" w:sz="4" w:space="0"/>
            </w:tcBorders>
          </w:tcPr>
          <w:p>
            <w:pPr>
              <w:pStyle w:val="15"/>
              <w:spacing w:before="106"/>
              <w:ind w:right="729"/>
              <w:jc w:val="right"/>
              <w:rPr>
                <w:rFonts w:hint="default" w:ascii="Times New Roman" w:hAnsi="Times New Roman" w:eastAsia="宋体" w:cs="Times New Roman"/>
                <w:sz w:val="21"/>
                <w:szCs w:val="21"/>
              </w:rPr>
            </w:pPr>
          </w:p>
        </w:tc>
        <w:tc>
          <w:tcPr>
            <w:tcW w:w="1384" w:type="dxa"/>
            <w:tcBorders>
              <w:top w:val="single" w:color="000000" w:sz="4" w:space="0"/>
              <w:left w:val="single" w:color="000000" w:sz="4" w:space="0"/>
              <w:bottom w:val="single" w:color="000000" w:sz="4" w:space="0"/>
              <w:right w:val="single" w:color="000000" w:sz="4" w:space="0"/>
            </w:tcBorders>
          </w:tcPr>
          <w:p>
            <w:pPr>
              <w:pStyle w:val="15"/>
              <w:spacing w:before="106"/>
              <w:ind w:right="517"/>
              <w:jc w:val="right"/>
              <w:rPr>
                <w:rFonts w:hint="default" w:ascii="Times New Roman" w:hAnsi="Times New Roman" w:eastAsia="宋体" w:cs="Times New Roman"/>
                <w:sz w:val="21"/>
                <w:szCs w:val="21"/>
              </w:rPr>
            </w:pPr>
          </w:p>
        </w:tc>
        <w:tc>
          <w:tcPr>
            <w:tcW w:w="1771" w:type="dxa"/>
            <w:tcBorders>
              <w:top w:val="single" w:color="000000" w:sz="4" w:space="0"/>
              <w:left w:val="single" w:color="000000" w:sz="4" w:space="0"/>
              <w:bottom w:val="single" w:color="000000" w:sz="4" w:space="0"/>
              <w:right w:val="single" w:color="000000" w:sz="4" w:space="0"/>
            </w:tcBorders>
          </w:tcPr>
          <w:p>
            <w:pPr>
              <w:pStyle w:val="15"/>
              <w:spacing w:before="106"/>
              <w:ind w:right="731"/>
              <w:jc w:val="right"/>
              <w:rPr>
                <w:rFonts w:hint="default" w:ascii="Times New Roman" w:hAnsi="Times New Roman" w:eastAsia="宋体" w:cs="Times New Roman"/>
                <w:sz w:val="21"/>
                <w:szCs w:val="21"/>
              </w:rPr>
            </w:pPr>
          </w:p>
        </w:tc>
        <w:tc>
          <w:tcPr>
            <w:tcW w:w="1458" w:type="dxa"/>
            <w:tcBorders>
              <w:top w:val="single" w:color="000000" w:sz="4" w:space="0"/>
              <w:left w:val="single" w:color="000000" w:sz="4" w:space="0"/>
              <w:bottom w:val="single" w:color="000000" w:sz="4" w:space="0"/>
              <w:right w:val="single" w:color="000000" w:sz="4" w:space="0"/>
            </w:tcBorders>
          </w:tcPr>
          <w:p>
            <w:pPr>
              <w:keepNext w:val="0"/>
              <w:keepLines w:val="0"/>
              <w:pageBreakBefore w:val="0"/>
              <w:widowControl/>
              <w:suppressLineNumbers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sz w:val="21"/>
                <w:szCs w:val="21"/>
              </w:rPr>
            </w:pPr>
            <w:r>
              <w:rPr>
                <w:rFonts w:hint="eastAsia" w:ascii="Times New Roman" w:hAnsi="Times New Roman" w:cs="Times New Roman"/>
                <w:color w:val="auto"/>
                <w:kern w:val="0"/>
                <w:sz w:val="24"/>
                <w:szCs w:val="24"/>
                <w:lang w:val="en-US" w:eastAsia="zh-CN" w:bidi="ar"/>
              </w:rPr>
              <w:t>1.0956</w:t>
            </w:r>
            <w:r>
              <w:rPr>
                <w:rFonts w:hint="default" w:ascii="Times New Roman" w:hAnsi="Times New Roman" w:eastAsia="宋体" w:cs="Times New Roman"/>
                <w:color w:val="auto"/>
                <w:kern w:val="0"/>
                <w:sz w:val="24"/>
                <w:szCs w:val="24"/>
                <w:lang w:val="en-US" w:eastAsia="zh-CN" w:bidi="ar"/>
              </w:rPr>
              <w:t>t</w:t>
            </w:r>
          </w:p>
        </w:tc>
        <w:tc>
          <w:tcPr>
            <w:tcW w:w="1935" w:type="dxa"/>
            <w:tcBorders>
              <w:top w:val="single" w:color="000000" w:sz="4" w:space="0"/>
              <w:left w:val="single" w:color="000000" w:sz="4" w:space="0"/>
              <w:bottom w:val="single" w:color="000000" w:sz="4" w:space="0"/>
              <w:right w:val="single" w:color="000000" w:sz="4" w:space="0"/>
            </w:tcBorders>
          </w:tcPr>
          <w:p>
            <w:pPr>
              <w:pStyle w:val="15"/>
              <w:spacing w:before="106"/>
              <w:ind w:right="760"/>
              <w:jc w:val="right"/>
              <w:rPr>
                <w:rFonts w:hint="default" w:ascii="Times New Roman" w:hAnsi="Times New Roman" w:eastAsia="宋体" w:cs="Times New Roman"/>
                <w:sz w:val="21"/>
                <w:szCs w:val="21"/>
              </w:rPr>
            </w:pPr>
          </w:p>
        </w:tc>
        <w:tc>
          <w:tcPr>
            <w:tcW w:w="2183"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suppressLineNumbers w:val="0"/>
              <w:kinsoku/>
              <w:wordWrap/>
              <w:overflowPunct/>
              <w:topLinePunct w:val="0"/>
              <w:autoSpaceDE w:val="0"/>
              <w:autoSpaceDN w:val="0"/>
              <w:bidi w:val="0"/>
              <w:adjustRightInd/>
              <w:snapToGrid/>
              <w:spacing w:line="360" w:lineRule="auto"/>
              <w:ind w:left="0" w:leftChars="0" w:right="0" w:rightChars="0"/>
              <w:jc w:val="both"/>
              <w:textAlignment w:val="auto"/>
              <w:rPr>
                <w:rFonts w:hint="default" w:ascii="Times New Roman" w:hAnsi="Times New Roman" w:eastAsia="宋体" w:cs="Times New Roman"/>
                <w:sz w:val="21"/>
                <w:szCs w:val="21"/>
              </w:rPr>
            </w:pPr>
            <w:r>
              <w:rPr>
                <w:rFonts w:hint="eastAsia" w:ascii="Times New Roman" w:hAnsi="Times New Roman" w:cs="Times New Roman"/>
                <w:color w:val="auto"/>
                <w:kern w:val="0"/>
                <w:sz w:val="24"/>
                <w:szCs w:val="24"/>
                <w:lang w:val="en-US" w:eastAsia="zh-CN" w:bidi="ar"/>
              </w:rPr>
              <w:t>1.0956</w:t>
            </w:r>
            <w:r>
              <w:rPr>
                <w:rFonts w:hint="default" w:ascii="Times New Roman" w:hAnsi="Times New Roman" w:eastAsia="宋体" w:cs="Times New Roman"/>
                <w:color w:val="auto"/>
                <w:kern w:val="0"/>
                <w:sz w:val="24"/>
                <w:szCs w:val="24"/>
                <w:lang w:val="en-US" w:eastAsia="zh-CN" w:bidi="ar"/>
              </w:rPr>
              <w:t>t</w:t>
            </w:r>
          </w:p>
        </w:tc>
        <w:tc>
          <w:tcPr>
            <w:tcW w:w="972" w:type="dxa"/>
            <w:tcBorders>
              <w:top w:val="single" w:color="000000" w:sz="4" w:space="0"/>
              <w:left w:val="single" w:color="000000" w:sz="4" w:space="0"/>
              <w:bottom w:val="single" w:color="000000" w:sz="4" w:space="0"/>
            </w:tcBorders>
          </w:tcPr>
          <w:p>
            <w:pPr>
              <w:pStyle w:val="15"/>
              <w:spacing w:before="106"/>
              <w:ind w:right="287"/>
              <w:jc w:val="right"/>
              <w:rPr>
                <w:rFonts w:hint="default" w:ascii="Times New Roman" w:hAnsi="Times New Roman" w:eastAsia="宋体" w:cs="Times New Roman"/>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456" w:type="dxa"/>
            <w:vMerge w:val="continue"/>
            <w:tcBorders>
              <w:right w:val="single" w:color="000000" w:sz="4" w:space="0"/>
            </w:tcBorders>
          </w:tcPr>
          <w:p>
            <w:pPr>
              <w:rPr>
                <w:rFonts w:hint="default" w:ascii="Times New Roman" w:hAnsi="Times New Roman" w:eastAsia="宋体" w:cs="Times New Roman"/>
                <w:sz w:val="2"/>
                <w:szCs w:val="2"/>
              </w:rPr>
            </w:pPr>
          </w:p>
        </w:tc>
        <w:tc>
          <w:tcPr>
            <w:tcW w:w="1309" w:type="dxa"/>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ascii="Times New Roman" w:hAnsi="Times New Roman" w:eastAsia="宋体"/>
                <w:color w:val="auto"/>
                <w:sz w:val="21"/>
                <w:highlight w:val="none"/>
              </w:rPr>
              <w:t>苯并（a）芘</w:t>
            </w:r>
          </w:p>
        </w:tc>
        <w:tc>
          <w:tcPr>
            <w:tcW w:w="1488"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729"/>
              <w:jc w:val="right"/>
              <w:rPr>
                <w:rFonts w:hint="default" w:ascii="Times New Roman" w:hAnsi="Times New Roman" w:eastAsia="宋体" w:cs="Times New Roman"/>
                <w:sz w:val="21"/>
                <w:szCs w:val="21"/>
              </w:rPr>
            </w:pPr>
          </w:p>
        </w:tc>
        <w:tc>
          <w:tcPr>
            <w:tcW w:w="1384"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517"/>
              <w:jc w:val="right"/>
              <w:rPr>
                <w:rFonts w:hint="default" w:ascii="Times New Roman" w:hAnsi="Times New Roman" w:eastAsia="宋体" w:cs="Times New Roman"/>
                <w:sz w:val="21"/>
                <w:szCs w:val="21"/>
              </w:rPr>
            </w:pPr>
          </w:p>
        </w:tc>
        <w:tc>
          <w:tcPr>
            <w:tcW w:w="1771"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 xml:space="preserve"> </w:t>
            </w:r>
          </w:p>
        </w:tc>
        <w:tc>
          <w:tcPr>
            <w:tcW w:w="1458"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suppressLineNumbers w:val="0"/>
              <w:kinsoku/>
              <w:wordWrap/>
              <w:overflowPunct/>
              <w:topLinePunct w:val="0"/>
              <w:autoSpaceDE w:val="0"/>
              <w:autoSpaceDN w:val="0"/>
              <w:bidi w:val="0"/>
              <w:adjustRightInd/>
              <w:snapToGrid/>
              <w:spacing w:line="360" w:lineRule="auto"/>
              <w:jc w:val="both"/>
              <w:textAlignment w:val="auto"/>
              <w:rPr>
                <w:rFonts w:hint="default" w:ascii="Times New Roman" w:hAnsi="Times New Roman"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6.33</w:t>
            </w:r>
            <w:r>
              <w:rPr>
                <w:rFonts w:hint="default" w:ascii="Times New Roman" w:hAnsi="Times New Roman" w:cs="Times New Roman"/>
                <w:color w:val="auto"/>
                <w:kern w:val="0"/>
                <w:sz w:val="24"/>
                <w:szCs w:val="24"/>
                <w:lang w:val="en-US" w:eastAsia="zh-CN" w:bidi="ar"/>
              </w:rPr>
              <w:t>×10</w:t>
            </w:r>
            <w:r>
              <w:rPr>
                <w:rFonts w:hint="eastAsia" w:ascii="Times New Roman" w:hAnsi="Times New Roman" w:cs="Times New Roman"/>
                <w:color w:val="auto"/>
                <w:kern w:val="0"/>
                <w:sz w:val="24"/>
                <w:szCs w:val="24"/>
                <w:lang w:val="en-US" w:eastAsia="zh-CN" w:bidi="ar"/>
              </w:rPr>
              <w:t>-6</w:t>
            </w:r>
            <w:r>
              <w:rPr>
                <w:rFonts w:hint="default" w:ascii="Times New Roman" w:hAnsi="Times New Roman" w:cs="Times New Roman"/>
                <w:color w:val="auto"/>
                <w:kern w:val="0"/>
                <w:sz w:val="24"/>
                <w:szCs w:val="24"/>
                <w:lang w:val="en-US" w:eastAsia="zh-CN" w:bidi="ar"/>
              </w:rPr>
              <w:t>t</w:t>
            </w:r>
          </w:p>
        </w:tc>
        <w:tc>
          <w:tcPr>
            <w:tcW w:w="1935"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 xml:space="preserve"> </w:t>
            </w:r>
          </w:p>
        </w:tc>
        <w:tc>
          <w:tcPr>
            <w:tcW w:w="2183"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suppressLineNumbers w:val="0"/>
              <w:kinsoku/>
              <w:wordWrap/>
              <w:overflowPunct/>
              <w:topLinePunct w:val="0"/>
              <w:autoSpaceDE w:val="0"/>
              <w:autoSpaceDN w:val="0"/>
              <w:bidi w:val="0"/>
              <w:adjustRightInd/>
              <w:snapToGrid/>
              <w:spacing w:line="360" w:lineRule="auto"/>
              <w:ind w:left="0" w:leftChars="0" w:right="0" w:rightChars="0"/>
              <w:jc w:val="both"/>
              <w:textAlignment w:val="auto"/>
              <w:rPr>
                <w:rFonts w:hint="default" w:ascii="Times New Roman" w:hAnsi="Times New Roman" w:eastAsia="宋体" w:cs="Times New Roman"/>
                <w:sz w:val="21"/>
                <w:szCs w:val="21"/>
              </w:rPr>
            </w:pPr>
            <w:r>
              <w:rPr>
                <w:rFonts w:hint="eastAsia" w:ascii="Times New Roman" w:hAnsi="Times New Roman" w:cs="Times New Roman"/>
                <w:color w:val="auto"/>
                <w:kern w:val="0"/>
                <w:sz w:val="24"/>
                <w:szCs w:val="24"/>
                <w:lang w:val="en-US" w:eastAsia="zh-CN" w:bidi="ar"/>
              </w:rPr>
              <w:t>6.33</w:t>
            </w:r>
            <w:r>
              <w:rPr>
                <w:rFonts w:hint="default" w:ascii="Times New Roman" w:hAnsi="Times New Roman" w:cs="Times New Roman"/>
                <w:color w:val="auto"/>
                <w:kern w:val="0"/>
                <w:sz w:val="24"/>
                <w:szCs w:val="24"/>
                <w:lang w:val="en-US" w:eastAsia="zh-CN" w:bidi="ar"/>
              </w:rPr>
              <w:t>×10</w:t>
            </w:r>
            <w:r>
              <w:rPr>
                <w:rFonts w:hint="eastAsia" w:ascii="Times New Roman" w:hAnsi="Times New Roman" w:cs="Times New Roman"/>
                <w:color w:val="auto"/>
                <w:kern w:val="0"/>
                <w:sz w:val="24"/>
                <w:szCs w:val="24"/>
                <w:lang w:val="en-US" w:eastAsia="zh-CN" w:bidi="ar"/>
              </w:rPr>
              <w:t>-6</w:t>
            </w:r>
            <w:r>
              <w:rPr>
                <w:rFonts w:hint="default" w:ascii="Times New Roman" w:hAnsi="Times New Roman" w:cs="Times New Roman"/>
                <w:color w:val="auto"/>
                <w:kern w:val="0"/>
                <w:sz w:val="24"/>
                <w:szCs w:val="24"/>
                <w:lang w:val="en-US" w:eastAsia="zh-CN" w:bidi="ar"/>
              </w:rPr>
              <w:t>t</w:t>
            </w:r>
          </w:p>
        </w:tc>
        <w:tc>
          <w:tcPr>
            <w:tcW w:w="972" w:type="dxa"/>
            <w:tcBorders>
              <w:top w:val="single" w:color="000000" w:sz="4" w:space="0"/>
              <w:left w:val="single" w:color="000000" w:sz="4" w:space="0"/>
              <w:bottom w:val="single" w:color="000000" w:sz="4" w:space="0"/>
              <w:right w:val="single" w:color="000000" w:sz="8" w:space="0"/>
            </w:tcBorders>
            <w:vAlign w:val="top"/>
          </w:tcPr>
          <w:p>
            <w:pPr>
              <w:pStyle w:val="15"/>
              <w:spacing w:before="106"/>
              <w:ind w:right="287"/>
              <w:jc w:val="right"/>
              <w:rPr>
                <w:rFonts w:hint="default" w:ascii="Times New Roman" w:hAnsi="Times New Roman" w:eastAsia="宋体" w:cs="Times New Roman"/>
                <w:sz w:val="21"/>
                <w:szCs w:val="21"/>
              </w:rPr>
            </w:pPr>
            <w:r>
              <w:rPr>
                <w:rFonts w:hint="default" w:ascii="Times New Roman" w:hAnsi="Times New Roman" w:eastAsia="宋体" w:cs="Times New Roman"/>
                <w:w w:val="100"/>
                <w:sz w:val="21"/>
                <w:szCs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456" w:type="dxa"/>
            <w:vMerge w:val="continue"/>
            <w:tcBorders>
              <w:right w:val="single" w:color="000000" w:sz="4" w:space="0"/>
            </w:tcBorders>
          </w:tcPr>
          <w:p>
            <w:pPr>
              <w:rPr>
                <w:rFonts w:hint="default" w:ascii="Times New Roman" w:hAnsi="Times New Roman" w:eastAsia="宋体" w:cs="Times New Roman"/>
                <w:sz w:val="2"/>
                <w:szCs w:val="2"/>
              </w:rPr>
            </w:pPr>
          </w:p>
        </w:tc>
        <w:tc>
          <w:tcPr>
            <w:tcW w:w="1309" w:type="dxa"/>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olor w:val="auto"/>
                <w:sz w:val="21"/>
                <w:highlight w:val="none"/>
                <w:lang w:val="en-US" w:eastAsia="zh-CN"/>
              </w:rPr>
              <w:t>沥青烟</w:t>
            </w:r>
          </w:p>
        </w:tc>
        <w:tc>
          <w:tcPr>
            <w:tcW w:w="1488"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729"/>
              <w:jc w:val="right"/>
              <w:rPr>
                <w:rFonts w:hint="default" w:ascii="Times New Roman" w:hAnsi="Times New Roman" w:eastAsia="宋体" w:cs="Times New Roman"/>
                <w:sz w:val="21"/>
                <w:szCs w:val="21"/>
              </w:rPr>
            </w:pPr>
          </w:p>
        </w:tc>
        <w:tc>
          <w:tcPr>
            <w:tcW w:w="1384"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517"/>
              <w:jc w:val="right"/>
              <w:rPr>
                <w:rFonts w:hint="default" w:ascii="Times New Roman" w:hAnsi="Times New Roman" w:eastAsia="宋体" w:cs="Times New Roman"/>
                <w:sz w:val="21"/>
                <w:szCs w:val="21"/>
              </w:rPr>
            </w:pPr>
          </w:p>
        </w:tc>
        <w:tc>
          <w:tcPr>
            <w:tcW w:w="1771"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p>
        </w:tc>
        <w:tc>
          <w:tcPr>
            <w:tcW w:w="1458"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suppressLineNumbers w:val="0"/>
              <w:kinsoku/>
              <w:wordWrap/>
              <w:overflowPunct/>
              <w:topLinePunct w:val="0"/>
              <w:autoSpaceDE w:val="0"/>
              <w:autoSpaceDN w:val="0"/>
              <w:bidi w:val="0"/>
              <w:adjustRightInd/>
              <w:snapToGrid/>
              <w:spacing w:line="360" w:lineRule="auto"/>
              <w:jc w:val="both"/>
              <w:textAlignment w:val="auto"/>
              <w:rPr>
                <w:rFonts w:hint="default" w:ascii="Times New Roman" w:hAnsi="Times New Roman"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0.0168</w:t>
            </w:r>
            <w:r>
              <w:rPr>
                <w:rFonts w:hint="default" w:ascii="Times New Roman" w:hAnsi="Times New Roman" w:cs="Times New Roman"/>
                <w:color w:val="auto"/>
                <w:kern w:val="0"/>
                <w:sz w:val="24"/>
                <w:szCs w:val="24"/>
                <w:lang w:val="en-US" w:eastAsia="zh-CN" w:bidi="ar"/>
              </w:rPr>
              <w:t>t</w:t>
            </w:r>
          </w:p>
        </w:tc>
        <w:tc>
          <w:tcPr>
            <w:tcW w:w="1935"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p>
        </w:tc>
        <w:tc>
          <w:tcPr>
            <w:tcW w:w="2183"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suppressLineNumbers w:val="0"/>
              <w:kinsoku/>
              <w:wordWrap/>
              <w:overflowPunct/>
              <w:topLinePunct w:val="0"/>
              <w:autoSpaceDE w:val="0"/>
              <w:autoSpaceDN w:val="0"/>
              <w:bidi w:val="0"/>
              <w:adjustRightInd/>
              <w:snapToGrid/>
              <w:spacing w:line="360" w:lineRule="auto"/>
              <w:ind w:left="0" w:leftChars="0" w:right="0" w:rightChars="0"/>
              <w:jc w:val="both"/>
              <w:textAlignment w:val="auto"/>
              <w:rPr>
                <w:rFonts w:hint="default" w:ascii="Times New Roman" w:hAnsi="Times New Roman" w:eastAsia="宋体" w:cs="Times New Roman"/>
                <w:w w:val="100"/>
                <w:sz w:val="21"/>
                <w:szCs w:val="21"/>
              </w:rPr>
            </w:pPr>
            <w:r>
              <w:rPr>
                <w:rFonts w:hint="eastAsia" w:ascii="Times New Roman" w:hAnsi="Times New Roman" w:cs="Times New Roman"/>
                <w:color w:val="auto"/>
                <w:kern w:val="0"/>
                <w:sz w:val="24"/>
                <w:szCs w:val="24"/>
                <w:lang w:val="en-US" w:eastAsia="zh-CN" w:bidi="ar"/>
              </w:rPr>
              <w:t>0.0168</w:t>
            </w:r>
            <w:r>
              <w:rPr>
                <w:rFonts w:hint="default" w:ascii="Times New Roman" w:hAnsi="Times New Roman" w:cs="Times New Roman"/>
                <w:color w:val="auto"/>
                <w:kern w:val="0"/>
                <w:sz w:val="24"/>
                <w:szCs w:val="24"/>
                <w:lang w:val="en-US" w:eastAsia="zh-CN" w:bidi="ar"/>
              </w:rPr>
              <w:t>t</w:t>
            </w:r>
          </w:p>
        </w:tc>
        <w:tc>
          <w:tcPr>
            <w:tcW w:w="972" w:type="dxa"/>
            <w:tcBorders>
              <w:top w:val="single" w:color="000000" w:sz="4" w:space="0"/>
              <w:left w:val="single" w:color="000000" w:sz="4" w:space="0"/>
              <w:bottom w:val="single" w:color="000000" w:sz="4" w:space="0"/>
              <w:right w:val="single" w:color="000000" w:sz="8" w:space="0"/>
            </w:tcBorders>
            <w:vAlign w:val="top"/>
          </w:tcPr>
          <w:p>
            <w:pPr>
              <w:pStyle w:val="15"/>
              <w:spacing w:before="106"/>
              <w:ind w:right="287"/>
              <w:jc w:val="right"/>
              <w:rPr>
                <w:rFonts w:hint="default" w:ascii="Times New Roman" w:hAnsi="Times New Roman" w:eastAsia="宋体" w:cs="Times New Roman"/>
                <w:w w:val="10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31" w:hRule="atLeast"/>
        </w:trPr>
        <w:tc>
          <w:tcPr>
            <w:tcW w:w="1456" w:type="dxa"/>
            <w:vMerge w:val="continue"/>
            <w:tcBorders>
              <w:bottom w:val="single" w:color="000000" w:sz="4" w:space="0"/>
              <w:right w:val="single" w:color="000000" w:sz="4" w:space="0"/>
            </w:tcBorders>
          </w:tcPr>
          <w:p>
            <w:pPr>
              <w:rPr>
                <w:rFonts w:hint="default" w:ascii="Times New Roman" w:hAnsi="Times New Roman" w:eastAsia="宋体" w:cs="Times New Roman"/>
                <w:sz w:val="2"/>
                <w:szCs w:val="2"/>
              </w:rPr>
            </w:pPr>
          </w:p>
        </w:tc>
        <w:tc>
          <w:tcPr>
            <w:tcW w:w="1309" w:type="dxa"/>
            <w:tcBorders>
              <w:top w:val="single" w:color="000000" w:sz="4" w:space="0"/>
              <w:left w:val="single" w:color="000000" w:sz="4" w:space="0"/>
              <w:bottom w:val="single" w:color="000000" w:sz="4" w:space="0"/>
              <w:right w:val="single" w:color="000000" w:sz="4" w:space="0"/>
            </w:tcBorders>
            <w:vAlign w:val="center"/>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eastAsia" w:ascii="Times New Roman" w:hAnsi="Times New Roman" w:eastAsia="宋体"/>
                <w:color w:val="auto"/>
                <w:sz w:val="21"/>
                <w:highlight w:val="none"/>
                <w:lang w:val="en-US" w:eastAsia="zh-CN"/>
              </w:rPr>
              <w:t>非甲烷总烃</w:t>
            </w:r>
          </w:p>
        </w:tc>
        <w:tc>
          <w:tcPr>
            <w:tcW w:w="1488"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729"/>
              <w:jc w:val="right"/>
              <w:rPr>
                <w:rFonts w:hint="default" w:ascii="Times New Roman" w:hAnsi="Times New Roman" w:eastAsia="宋体" w:cs="Times New Roman"/>
                <w:sz w:val="21"/>
                <w:szCs w:val="21"/>
              </w:rPr>
            </w:pPr>
          </w:p>
        </w:tc>
        <w:tc>
          <w:tcPr>
            <w:tcW w:w="1384"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517"/>
              <w:jc w:val="right"/>
              <w:rPr>
                <w:rFonts w:hint="default" w:ascii="Times New Roman" w:hAnsi="Times New Roman" w:eastAsia="宋体" w:cs="Times New Roman"/>
                <w:sz w:val="21"/>
                <w:szCs w:val="21"/>
              </w:rPr>
            </w:pPr>
          </w:p>
        </w:tc>
        <w:tc>
          <w:tcPr>
            <w:tcW w:w="1771"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p>
        </w:tc>
        <w:tc>
          <w:tcPr>
            <w:tcW w:w="1458"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suppressLineNumbers w:val="0"/>
              <w:kinsoku/>
              <w:wordWrap/>
              <w:overflowPunct/>
              <w:topLinePunct w:val="0"/>
              <w:autoSpaceDE w:val="0"/>
              <w:autoSpaceDN w:val="0"/>
              <w:bidi w:val="0"/>
              <w:adjustRightInd/>
              <w:snapToGrid/>
              <w:spacing w:line="360" w:lineRule="auto"/>
              <w:jc w:val="both"/>
              <w:textAlignment w:val="auto"/>
              <w:rPr>
                <w:rFonts w:hint="default" w:ascii="Times New Roman" w:hAnsi="Times New Roman"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1.275</w:t>
            </w:r>
            <w:r>
              <w:rPr>
                <w:rFonts w:hint="default" w:ascii="Times New Roman" w:hAnsi="Times New Roman" w:eastAsia="宋体" w:cs="Times New Roman"/>
                <w:color w:val="auto"/>
                <w:kern w:val="0"/>
                <w:sz w:val="24"/>
                <w:szCs w:val="24"/>
                <w:lang w:val="en-US" w:eastAsia="zh-CN" w:bidi="ar"/>
              </w:rPr>
              <w:t>×10</w:t>
            </w:r>
            <w:r>
              <w:rPr>
                <w:rFonts w:hint="eastAsia" w:ascii="Times New Roman" w:hAnsi="Times New Roman" w:cs="Times New Roman"/>
                <w:color w:val="auto"/>
                <w:kern w:val="0"/>
                <w:sz w:val="24"/>
                <w:szCs w:val="24"/>
                <w:vertAlign w:val="superscript"/>
                <w:lang w:val="en-US" w:eastAsia="zh-CN" w:bidi="ar"/>
              </w:rPr>
              <w:t>-4</w:t>
            </w:r>
            <w:r>
              <w:rPr>
                <w:rFonts w:hint="default" w:ascii="Times New Roman" w:hAnsi="Times New Roman" w:eastAsia="宋体" w:cs="Times New Roman"/>
                <w:color w:val="auto"/>
                <w:kern w:val="0"/>
                <w:sz w:val="24"/>
                <w:szCs w:val="24"/>
                <w:lang w:val="en-US" w:eastAsia="zh-CN" w:bidi="ar"/>
              </w:rPr>
              <w:t>t</w:t>
            </w:r>
          </w:p>
        </w:tc>
        <w:tc>
          <w:tcPr>
            <w:tcW w:w="1935"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lang w:val="en-US" w:eastAsia="zh-CN" w:bidi="ar"/>
              </w:rPr>
            </w:pPr>
          </w:p>
        </w:tc>
        <w:tc>
          <w:tcPr>
            <w:tcW w:w="2183" w:type="dxa"/>
            <w:tcBorders>
              <w:top w:val="single" w:color="000000" w:sz="4" w:space="0"/>
              <w:left w:val="single" w:color="000000" w:sz="4" w:space="0"/>
              <w:bottom w:val="single" w:color="000000" w:sz="4" w:space="0"/>
              <w:right w:val="single" w:color="000000" w:sz="4" w:space="0"/>
            </w:tcBorders>
            <w:vAlign w:val="top"/>
          </w:tcPr>
          <w:p>
            <w:pPr>
              <w:keepNext w:val="0"/>
              <w:keepLines w:val="0"/>
              <w:pageBreakBefore w:val="0"/>
              <w:widowControl/>
              <w:suppressLineNumbers w:val="0"/>
              <w:kinsoku/>
              <w:wordWrap/>
              <w:overflowPunct/>
              <w:topLinePunct w:val="0"/>
              <w:autoSpaceDE w:val="0"/>
              <w:autoSpaceDN w:val="0"/>
              <w:bidi w:val="0"/>
              <w:adjustRightInd/>
              <w:snapToGrid/>
              <w:spacing w:line="360" w:lineRule="auto"/>
              <w:ind w:left="0" w:leftChars="0" w:right="0" w:rightChars="0"/>
              <w:jc w:val="both"/>
              <w:textAlignment w:val="auto"/>
              <w:rPr>
                <w:rFonts w:hint="default" w:ascii="Times New Roman" w:hAnsi="Times New Roman" w:eastAsia="宋体" w:cs="Times New Roman"/>
                <w:w w:val="100"/>
                <w:sz w:val="21"/>
                <w:szCs w:val="21"/>
              </w:rPr>
            </w:pPr>
            <w:r>
              <w:rPr>
                <w:rFonts w:hint="eastAsia" w:ascii="Times New Roman" w:hAnsi="Times New Roman" w:cs="Times New Roman"/>
                <w:color w:val="auto"/>
                <w:kern w:val="0"/>
                <w:sz w:val="24"/>
                <w:szCs w:val="24"/>
                <w:lang w:val="en-US" w:eastAsia="zh-CN" w:bidi="ar"/>
              </w:rPr>
              <w:t>1.275</w:t>
            </w:r>
            <w:r>
              <w:rPr>
                <w:rFonts w:hint="default" w:ascii="Times New Roman" w:hAnsi="Times New Roman" w:eastAsia="宋体" w:cs="Times New Roman"/>
                <w:color w:val="auto"/>
                <w:kern w:val="0"/>
                <w:sz w:val="24"/>
                <w:szCs w:val="24"/>
                <w:lang w:val="en-US" w:eastAsia="zh-CN" w:bidi="ar"/>
              </w:rPr>
              <w:t>×10</w:t>
            </w:r>
            <w:r>
              <w:rPr>
                <w:rFonts w:hint="eastAsia" w:ascii="Times New Roman" w:hAnsi="Times New Roman" w:cs="Times New Roman"/>
                <w:color w:val="auto"/>
                <w:kern w:val="0"/>
                <w:sz w:val="24"/>
                <w:szCs w:val="24"/>
                <w:vertAlign w:val="superscript"/>
                <w:lang w:val="en-US" w:eastAsia="zh-CN" w:bidi="ar"/>
              </w:rPr>
              <w:t>-4</w:t>
            </w:r>
            <w:r>
              <w:rPr>
                <w:rFonts w:hint="default" w:ascii="Times New Roman" w:hAnsi="Times New Roman" w:eastAsia="宋体" w:cs="Times New Roman"/>
                <w:color w:val="auto"/>
                <w:kern w:val="0"/>
                <w:sz w:val="24"/>
                <w:szCs w:val="24"/>
                <w:lang w:val="en-US" w:eastAsia="zh-CN" w:bidi="ar"/>
              </w:rPr>
              <w:t>t</w:t>
            </w:r>
          </w:p>
        </w:tc>
        <w:tc>
          <w:tcPr>
            <w:tcW w:w="972" w:type="dxa"/>
            <w:tcBorders>
              <w:top w:val="single" w:color="000000" w:sz="4" w:space="0"/>
              <w:left w:val="single" w:color="000000" w:sz="4" w:space="0"/>
              <w:bottom w:val="single" w:color="000000" w:sz="4" w:space="0"/>
              <w:right w:val="single" w:color="000000" w:sz="8" w:space="0"/>
            </w:tcBorders>
            <w:vAlign w:val="top"/>
          </w:tcPr>
          <w:p>
            <w:pPr>
              <w:pStyle w:val="15"/>
              <w:spacing w:before="106"/>
              <w:ind w:right="287"/>
              <w:jc w:val="right"/>
              <w:rPr>
                <w:rFonts w:hint="default" w:ascii="Times New Roman" w:hAnsi="Times New Roman" w:eastAsia="宋体" w:cs="Times New Roman"/>
                <w:w w:val="100"/>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6" w:hRule="atLeast"/>
        </w:trPr>
        <w:tc>
          <w:tcPr>
            <w:tcW w:w="1456" w:type="dxa"/>
            <w:vMerge w:val="restart"/>
            <w:tcBorders>
              <w:top w:val="single" w:color="000000" w:sz="4" w:space="0"/>
              <w:bottom w:val="single" w:color="000000" w:sz="4" w:space="0"/>
              <w:right w:val="single" w:color="000000" w:sz="4" w:space="0"/>
            </w:tcBorders>
          </w:tcPr>
          <w:p>
            <w:pPr>
              <w:pStyle w:val="15"/>
              <w:spacing w:before="1"/>
              <w:rPr>
                <w:rFonts w:hint="default" w:ascii="Times New Roman" w:hAnsi="Times New Roman" w:eastAsia="宋体" w:cs="Times New Roman"/>
                <w:sz w:val="19"/>
              </w:rPr>
            </w:pPr>
          </w:p>
          <w:p>
            <w:pPr>
              <w:pStyle w:val="15"/>
              <w:ind w:left="583"/>
              <w:rPr>
                <w:rFonts w:hint="default" w:ascii="Times New Roman" w:hAnsi="Times New Roman" w:eastAsia="宋体" w:cs="Times New Roman"/>
                <w:sz w:val="21"/>
              </w:rPr>
            </w:pPr>
            <w:r>
              <w:rPr>
                <w:rFonts w:hint="default" w:ascii="Times New Roman" w:hAnsi="Times New Roman" w:eastAsia="宋体" w:cs="Times New Roman"/>
                <w:sz w:val="21"/>
              </w:rPr>
              <w:t xml:space="preserve">废水 </w:t>
            </w:r>
          </w:p>
        </w:tc>
        <w:tc>
          <w:tcPr>
            <w:tcW w:w="1309" w:type="dxa"/>
            <w:tcBorders>
              <w:top w:val="single" w:color="000000" w:sz="4" w:space="0"/>
              <w:left w:val="single" w:color="000000" w:sz="4" w:space="0"/>
              <w:bottom w:val="single" w:color="000000" w:sz="4" w:space="0"/>
              <w:right w:val="single" w:color="000000" w:sz="4" w:space="0"/>
            </w:tcBorders>
            <w:vAlign w:val="top"/>
          </w:tcPr>
          <w:p>
            <w:pPr>
              <w:pStyle w:val="15"/>
              <w:spacing w:before="106"/>
              <w:ind w:left="125"/>
              <w:jc w:val="center"/>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c>
          <w:tcPr>
            <w:tcW w:w="1488"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729"/>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517"/>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c>
          <w:tcPr>
            <w:tcW w:w="1771"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731"/>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c>
          <w:tcPr>
            <w:tcW w:w="1458"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 xml:space="preserve"> </w:t>
            </w:r>
          </w:p>
        </w:tc>
        <w:tc>
          <w:tcPr>
            <w:tcW w:w="1935"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 xml:space="preserve"> </w:t>
            </w:r>
          </w:p>
        </w:tc>
        <w:tc>
          <w:tcPr>
            <w:tcW w:w="2183"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 xml:space="preserve"> </w:t>
            </w:r>
          </w:p>
        </w:tc>
        <w:tc>
          <w:tcPr>
            <w:tcW w:w="972" w:type="dxa"/>
            <w:tcBorders>
              <w:top w:val="single" w:color="000000" w:sz="4" w:space="0"/>
              <w:left w:val="single" w:color="000000" w:sz="4" w:space="0"/>
              <w:bottom w:val="single" w:color="000000" w:sz="4" w:space="0"/>
              <w:right w:val="single" w:color="000000" w:sz="8" w:space="0"/>
            </w:tcBorders>
            <w:vAlign w:val="top"/>
          </w:tcPr>
          <w:p>
            <w:pPr>
              <w:pStyle w:val="15"/>
              <w:spacing w:before="106"/>
              <w:ind w:right="287"/>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5" w:hRule="atLeast"/>
        </w:trPr>
        <w:tc>
          <w:tcPr>
            <w:tcW w:w="1456" w:type="dxa"/>
            <w:vMerge w:val="continue"/>
            <w:tcBorders>
              <w:top w:val="nil"/>
              <w:bottom w:val="single" w:color="000000" w:sz="4" w:space="0"/>
              <w:right w:val="single" w:color="000000" w:sz="4" w:space="0"/>
            </w:tcBorders>
          </w:tcPr>
          <w:p>
            <w:pPr>
              <w:rPr>
                <w:rFonts w:hint="default" w:ascii="Times New Roman" w:hAnsi="Times New Roman" w:eastAsia="宋体" w:cs="Times New Roman"/>
                <w:sz w:val="2"/>
                <w:szCs w:val="2"/>
              </w:rPr>
            </w:pPr>
          </w:p>
        </w:tc>
        <w:tc>
          <w:tcPr>
            <w:tcW w:w="1309" w:type="dxa"/>
            <w:tcBorders>
              <w:top w:val="single" w:color="000000" w:sz="4" w:space="0"/>
              <w:left w:val="single" w:color="000000" w:sz="4" w:space="0"/>
              <w:bottom w:val="single" w:color="000000" w:sz="4" w:space="0"/>
              <w:right w:val="single" w:color="000000" w:sz="4" w:space="0"/>
            </w:tcBorders>
            <w:vAlign w:val="top"/>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w w:val="100"/>
                <w:sz w:val="21"/>
                <w:lang w:val="en-US" w:eastAsia="zh-CN"/>
              </w:rPr>
            </w:pPr>
            <w:r>
              <w:rPr>
                <w:rFonts w:hint="default" w:ascii="Times New Roman" w:hAnsi="Times New Roman" w:eastAsia="宋体" w:cs="Times New Roman"/>
                <w:w w:val="100"/>
                <w:sz w:val="21"/>
                <w:lang w:val="en-US" w:eastAsia="zh-CN"/>
              </w:rPr>
              <w:t xml:space="preserve"> </w:t>
            </w:r>
          </w:p>
        </w:tc>
        <w:tc>
          <w:tcPr>
            <w:tcW w:w="1488" w:type="dxa"/>
            <w:tcBorders>
              <w:top w:val="single" w:color="000000" w:sz="4" w:space="0"/>
              <w:left w:val="single" w:color="000000" w:sz="4" w:space="0"/>
              <w:bottom w:val="single" w:color="000000" w:sz="4" w:space="0"/>
              <w:right w:val="single" w:color="000000" w:sz="4" w:space="0"/>
            </w:tcBorders>
            <w:vAlign w:val="top"/>
          </w:tcPr>
          <w:p>
            <w:pPr>
              <w:pStyle w:val="15"/>
              <w:spacing w:before="107"/>
              <w:ind w:right="729"/>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5"/>
              <w:spacing w:before="107"/>
              <w:ind w:right="517"/>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c>
          <w:tcPr>
            <w:tcW w:w="1771" w:type="dxa"/>
            <w:tcBorders>
              <w:top w:val="single" w:color="000000" w:sz="4" w:space="0"/>
              <w:left w:val="single" w:color="000000" w:sz="4" w:space="0"/>
              <w:bottom w:val="single" w:color="000000" w:sz="4" w:space="0"/>
              <w:right w:val="single" w:color="000000" w:sz="4" w:space="0"/>
            </w:tcBorders>
            <w:vAlign w:val="top"/>
          </w:tcPr>
          <w:p>
            <w:pPr>
              <w:pStyle w:val="15"/>
              <w:spacing w:before="107"/>
              <w:ind w:right="731"/>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c>
          <w:tcPr>
            <w:tcW w:w="1458"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 xml:space="preserve"> </w:t>
            </w:r>
          </w:p>
        </w:tc>
        <w:tc>
          <w:tcPr>
            <w:tcW w:w="1935"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 xml:space="preserve"> </w:t>
            </w:r>
          </w:p>
        </w:tc>
        <w:tc>
          <w:tcPr>
            <w:tcW w:w="2183"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 xml:space="preserve"> </w:t>
            </w:r>
          </w:p>
        </w:tc>
        <w:tc>
          <w:tcPr>
            <w:tcW w:w="972" w:type="dxa"/>
            <w:tcBorders>
              <w:top w:val="single" w:color="000000" w:sz="4" w:space="0"/>
              <w:left w:val="single" w:color="000000" w:sz="4" w:space="0"/>
              <w:bottom w:val="single" w:color="000000" w:sz="4" w:space="0"/>
              <w:right w:val="single" w:color="000000" w:sz="8" w:space="0"/>
            </w:tcBorders>
            <w:vAlign w:val="top"/>
          </w:tcPr>
          <w:p>
            <w:pPr>
              <w:pStyle w:val="15"/>
              <w:spacing w:before="107"/>
              <w:ind w:right="287"/>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71" w:hRule="atLeast"/>
        </w:trPr>
        <w:tc>
          <w:tcPr>
            <w:tcW w:w="1456" w:type="dxa"/>
            <w:vMerge w:val="restart"/>
            <w:tcBorders>
              <w:top w:val="single" w:color="000000" w:sz="4" w:space="0"/>
              <w:bottom w:val="single" w:color="000000" w:sz="4" w:space="0"/>
              <w:right w:val="single" w:color="000000" w:sz="4" w:space="0"/>
            </w:tcBorders>
          </w:tcPr>
          <w:p>
            <w:pPr>
              <w:pStyle w:val="15"/>
              <w:spacing w:before="14"/>
              <w:rPr>
                <w:rFonts w:hint="default" w:ascii="Times New Roman" w:hAnsi="Times New Roman" w:eastAsia="宋体" w:cs="Times New Roman"/>
                <w:sz w:val="11"/>
              </w:rPr>
            </w:pPr>
          </w:p>
          <w:p>
            <w:pPr>
              <w:pStyle w:val="15"/>
              <w:spacing w:line="242" w:lineRule="auto"/>
              <w:ind w:left="374" w:right="253"/>
              <w:rPr>
                <w:rFonts w:hint="default" w:ascii="Times New Roman" w:hAnsi="Times New Roman" w:eastAsia="宋体" w:cs="Times New Roman"/>
                <w:sz w:val="21"/>
              </w:rPr>
            </w:pPr>
            <w:r>
              <w:rPr>
                <w:rFonts w:hint="default" w:ascii="Times New Roman" w:hAnsi="Times New Roman" w:eastAsia="宋体" w:cs="Times New Roman"/>
                <w:sz w:val="21"/>
              </w:rPr>
              <w:t xml:space="preserve">一般工业固体废物 </w:t>
            </w:r>
          </w:p>
        </w:tc>
        <w:tc>
          <w:tcPr>
            <w:tcW w:w="1309" w:type="dxa"/>
            <w:tcBorders>
              <w:top w:val="single" w:color="000000" w:sz="4" w:space="0"/>
              <w:left w:val="single" w:color="000000" w:sz="4" w:space="0"/>
              <w:bottom w:val="single" w:color="000000" w:sz="4" w:space="0"/>
              <w:right w:val="single" w:color="000000" w:sz="4" w:space="0"/>
            </w:tcBorders>
            <w:vAlign w:val="top"/>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w w:val="100"/>
                <w:sz w:val="21"/>
                <w:lang w:val="en-US" w:eastAsia="zh-CN"/>
              </w:rPr>
            </w:pPr>
            <w:r>
              <w:rPr>
                <w:rFonts w:hint="eastAsia" w:ascii="Times New Roman" w:hAnsi="Times New Roman" w:eastAsia="宋体" w:cs="Times New Roman"/>
                <w:w w:val="100"/>
                <w:sz w:val="21"/>
                <w:lang w:val="en-US" w:eastAsia="zh-CN"/>
              </w:rPr>
              <w:t>沉淀池污泥</w:t>
            </w:r>
            <w:r>
              <w:rPr>
                <w:rFonts w:hint="default" w:ascii="Times New Roman" w:hAnsi="Times New Roman" w:eastAsia="宋体" w:cs="Times New Roman"/>
                <w:w w:val="100"/>
                <w:sz w:val="21"/>
                <w:lang w:val="en-US" w:eastAsia="zh-CN"/>
              </w:rPr>
              <w:t xml:space="preserve"> </w:t>
            </w:r>
          </w:p>
        </w:tc>
        <w:tc>
          <w:tcPr>
            <w:tcW w:w="1488"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729"/>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517"/>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c>
          <w:tcPr>
            <w:tcW w:w="1771"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731"/>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c>
          <w:tcPr>
            <w:tcW w:w="1458"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0.9t</w:t>
            </w:r>
            <w:r>
              <w:rPr>
                <w:rFonts w:hint="default" w:ascii="Times New Roman" w:hAnsi="Times New Roman" w:cs="Times New Roman"/>
                <w:color w:val="auto"/>
                <w:kern w:val="0"/>
                <w:sz w:val="24"/>
                <w:szCs w:val="24"/>
                <w:lang w:val="en-US" w:eastAsia="zh-CN" w:bidi="ar"/>
              </w:rPr>
              <w:t xml:space="preserve"> </w:t>
            </w:r>
          </w:p>
        </w:tc>
        <w:tc>
          <w:tcPr>
            <w:tcW w:w="1935"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 xml:space="preserve"> </w:t>
            </w:r>
          </w:p>
        </w:tc>
        <w:tc>
          <w:tcPr>
            <w:tcW w:w="2183"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0.9t</w:t>
            </w:r>
            <w:r>
              <w:rPr>
                <w:rFonts w:hint="default" w:ascii="Times New Roman" w:hAnsi="Times New Roman" w:cs="Times New Roman"/>
                <w:color w:val="auto"/>
                <w:kern w:val="0"/>
                <w:sz w:val="24"/>
                <w:szCs w:val="24"/>
                <w:lang w:val="en-US" w:eastAsia="zh-CN" w:bidi="ar"/>
              </w:rPr>
              <w:t xml:space="preserve"> </w:t>
            </w:r>
          </w:p>
        </w:tc>
        <w:tc>
          <w:tcPr>
            <w:tcW w:w="972" w:type="dxa"/>
            <w:tcBorders>
              <w:top w:val="single" w:color="000000" w:sz="4" w:space="0"/>
              <w:left w:val="single" w:color="000000" w:sz="4" w:space="0"/>
              <w:bottom w:val="single" w:color="000000" w:sz="4" w:space="0"/>
              <w:right w:val="single" w:color="000000" w:sz="8" w:space="0"/>
            </w:tcBorders>
            <w:vAlign w:val="top"/>
          </w:tcPr>
          <w:p>
            <w:pPr>
              <w:pStyle w:val="15"/>
              <w:spacing w:before="106"/>
              <w:ind w:right="287"/>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1456" w:type="dxa"/>
            <w:vMerge w:val="continue"/>
            <w:tcBorders>
              <w:top w:val="nil"/>
              <w:bottom w:val="single" w:color="000000" w:sz="4" w:space="0"/>
              <w:right w:val="single" w:color="000000" w:sz="4" w:space="0"/>
            </w:tcBorders>
          </w:tcPr>
          <w:p>
            <w:pPr>
              <w:rPr>
                <w:rFonts w:hint="default" w:ascii="Times New Roman" w:hAnsi="Times New Roman" w:eastAsia="宋体" w:cs="Times New Roman"/>
                <w:sz w:val="2"/>
                <w:szCs w:val="2"/>
              </w:rPr>
            </w:pPr>
          </w:p>
        </w:tc>
        <w:tc>
          <w:tcPr>
            <w:tcW w:w="1309" w:type="dxa"/>
            <w:tcBorders>
              <w:top w:val="single" w:color="000000" w:sz="4" w:space="0"/>
              <w:left w:val="single" w:color="000000" w:sz="4" w:space="0"/>
              <w:bottom w:val="single" w:color="000000" w:sz="4" w:space="0"/>
              <w:right w:val="single" w:color="000000" w:sz="4" w:space="0"/>
            </w:tcBorders>
            <w:vAlign w:val="top"/>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w w:val="100"/>
                <w:sz w:val="21"/>
                <w:lang w:val="en-US" w:eastAsia="zh-CN"/>
              </w:rPr>
            </w:pPr>
            <w:r>
              <w:rPr>
                <w:rFonts w:hint="eastAsia" w:ascii="Times New Roman" w:hAnsi="Times New Roman" w:eastAsia="宋体" w:cs="Times New Roman"/>
                <w:w w:val="100"/>
                <w:sz w:val="21"/>
                <w:lang w:val="en-US" w:eastAsia="zh-CN"/>
              </w:rPr>
              <w:t>废含油抹布、废手套</w:t>
            </w:r>
          </w:p>
        </w:tc>
        <w:tc>
          <w:tcPr>
            <w:tcW w:w="1488"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729"/>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517"/>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c>
          <w:tcPr>
            <w:tcW w:w="1771"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731"/>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c>
          <w:tcPr>
            <w:tcW w:w="1458"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0.1t</w:t>
            </w:r>
            <w:r>
              <w:rPr>
                <w:rFonts w:hint="default" w:ascii="Times New Roman" w:hAnsi="Times New Roman" w:cs="Times New Roman"/>
                <w:color w:val="auto"/>
                <w:kern w:val="0"/>
                <w:sz w:val="24"/>
                <w:szCs w:val="24"/>
                <w:lang w:val="en-US" w:eastAsia="zh-CN" w:bidi="ar"/>
              </w:rPr>
              <w:t xml:space="preserve"> </w:t>
            </w:r>
          </w:p>
        </w:tc>
        <w:tc>
          <w:tcPr>
            <w:tcW w:w="1935"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 xml:space="preserve"> </w:t>
            </w:r>
          </w:p>
        </w:tc>
        <w:tc>
          <w:tcPr>
            <w:tcW w:w="2183"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 xml:space="preserve"> </w:t>
            </w:r>
            <w:r>
              <w:rPr>
                <w:rFonts w:hint="eastAsia" w:ascii="Times New Roman" w:hAnsi="Times New Roman" w:cs="Times New Roman"/>
                <w:color w:val="auto"/>
                <w:kern w:val="0"/>
                <w:sz w:val="24"/>
                <w:szCs w:val="24"/>
                <w:lang w:val="en-US" w:eastAsia="zh-CN" w:bidi="ar"/>
              </w:rPr>
              <w:t>0.1t</w:t>
            </w:r>
          </w:p>
        </w:tc>
        <w:tc>
          <w:tcPr>
            <w:tcW w:w="972" w:type="dxa"/>
            <w:tcBorders>
              <w:top w:val="single" w:color="000000" w:sz="4" w:space="0"/>
              <w:left w:val="single" w:color="000000" w:sz="4" w:space="0"/>
              <w:bottom w:val="single" w:color="000000" w:sz="4" w:space="0"/>
              <w:right w:val="single" w:color="000000" w:sz="8" w:space="0"/>
            </w:tcBorders>
            <w:vAlign w:val="top"/>
          </w:tcPr>
          <w:p>
            <w:pPr>
              <w:pStyle w:val="15"/>
              <w:spacing w:before="106"/>
              <w:ind w:right="287"/>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0" w:hRule="atLeast"/>
        </w:trPr>
        <w:tc>
          <w:tcPr>
            <w:tcW w:w="1456" w:type="dxa"/>
            <w:vMerge w:val="restart"/>
            <w:tcBorders>
              <w:top w:val="single" w:color="000000" w:sz="4" w:space="0"/>
              <w:right w:val="single" w:color="000000" w:sz="4" w:space="0"/>
            </w:tcBorders>
          </w:tcPr>
          <w:p>
            <w:pPr>
              <w:pStyle w:val="15"/>
              <w:spacing w:before="1"/>
              <w:rPr>
                <w:rFonts w:hint="default" w:ascii="Times New Roman" w:hAnsi="Times New Roman" w:eastAsia="宋体" w:cs="Times New Roman"/>
                <w:sz w:val="19"/>
              </w:rPr>
            </w:pPr>
          </w:p>
          <w:p>
            <w:pPr>
              <w:pStyle w:val="15"/>
              <w:ind w:left="374"/>
              <w:rPr>
                <w:rFonts w:hint="default" w:ascii="Times New Roman" w:hAnsi="Times New Roman" w:eastAsia="宋体" w:cs="Times New Roman"/>
                <w:sz w:val="21"/>
              </w:rPr>
            </w:pPr>
            <w:r>
              <w:rPr>
                <w:rFonts w:hint="default" w:ascii="Times New Roman" w:hAnsi="Times New Roman" w:eastAsia="宋体" w:cs="Times New Roman"/>
                <w:sz w:val="21"/>
              </w:rPr>
              <w:t xml:space="preserve">危险废物 </w:t>
            </w:r>
          </w:p>
        </w:tc>
        <w:tc>
          <w:tcPr>
            <w:tcW w:w="1309" w:type="dxa"/>
            <w:tcBorders>
              <w:top w:val="single" w:color="000000" w:sz="4" w:space="0"/>
              <w:left w:val="single" w:color="000000" w:sz="4" w:space="0"/>
              <w:bottom w:val="single" w:color="000000" w:sz="4" w:space="0"/>
              <w:right w:val="single" w:color="000000" w:sz="4" w:space="0"/>
            </w:tcBorders>
            <w:vAlign w:val="top"/>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w w:val="100"/>
                <w:sz w:val="21"/>
                <w:lang w:val="en-US" w:eastAsia="zh-CN"/>
              </w:rPr>
            </w:pPr>
            <w:r>
              <w:rPr>
                <w:rFonts w:hint="eastAsia" w:ascii="Times New Roman" w:hAnsi="Times New Roman" w:eastAsia="宋体" w:cs="Times New Roman"/>
                <w:w w:val="100"/>
                <w:sz w:val="21"/>
                <w:lang w:val="en-US" w:eastAsia="zh-CN"/>
              </w:rPr>
              <w:t>废沥青砼</w:t>
            </w:r>
            <w:r>
              <w:rPr>
                <w:rFonts w:hint="default" w:ascii="Times New Roman" w:hAnsi="Times New Roman" w:eastAsia="宋体" w:cs="Times New Roman"/>
                <w:w w:val="100"/>
                <w:sz w:val="21"/>
                <w:lang w:val="en-US" w:eastAsia="zh-CN"/>
              </w:rPr>
              <w:t xml:space="preserve"> </w:t>
            </w:r>
          </w:p>
        </w:tc>
        <w:tc>
          <w:tcPr>
            <w:tcW w:w="1488"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729"/>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517"/>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c>
          <w:tcPr>
            <w:tcW w:w="1771"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731"/>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c>
          <w:tcPr>
            <w:tcW w:w="1458"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1.44t</w:t>
            </w:r>
            <w:r>
              <w:rPr>
                <w:rFonts w:hint="default" w:ascii="Times New Roman" w:hAnsi="Times New Roman" w:cs="Times New Roman"/>
                <w:color w:val="auto"/>
                <w:kern w:val="0"/>
                <w:sz w:val="24"/>
                <w:szCs w:val="24"/>
                <w:lang w:val="en-US" w:eastAsia="zh-CN" w:bidi="ar"/>
              </w:rPr>
              <w:t xml:space="preserve"> </w:t>
            </w:r>
          </w:p>
        </w:tc>
        <w:tc>
          <w:tcPr>
            <w:tcW w:w="1935"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 xml:space="preserve"> </w:t>
            </w:r>
          </w:p>
        </w:tc>
        <w:tc>
          <w:tcPr>
            <w:tcW w:w="2183"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1.44t</w:t>
            </w:r>
            <w:r>
              <w:rPr>
                <w:rFonts w:hint="default" w:ascii="Times New Roman" w:hAnsi="Times New Roman" w:cs="Times New Roman"/>
                <w:color w:val="auto"/>
                <w:kern w:val="0"/>
                <w:sz w:val="24"/>
                <w:szCs w:val="24"/>
                <w:lang w:val="en-US" w:eastAsia="zh-CN" w:bidi="ar"/>
              </w:rPr>
              <w:t xml:space="preserve"> </w:t>
            </w:r>
          </w:p>
        </w:tc>
        <w:tc>
          <w:tcPr>
            <w:tcW w:w="972" w:type="dxa"/>
            <w:tcBorders>
              <w:top w:val="single" w:color="000000" w:sz="4" w:space="0"/>
              <w:left w:val="single" w:color="000000" w:sz="4" w:space="0"/>
              <w:bottom w:val="single" w:color="000000" w:sz="4" w:space="0"/>
              <w:right w:val="single" w:color="000000" w:sz="8" w:space="0"/>
            </w:tcBorders>
            <w:vAlign w:val="top"/>
          </w:tcPr>
          <w:p>
            <w:pPr>
              <w:pStyle w:val="15"/>
              <w:spacing w:before="106"/>
              <w:ind w:right="287"/>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7" w:hRule="atLeast"/>
        </w:trPr>
        <w:tc>
          <w:tcPr>
            <w:tcW w:w="1456" w:type="dxa"/>
            <w:vMerge w:val="continue"/>
            <w:tcBorders>
              <w:right w:val="single" w:color="000000" w:sz="4" w:space="0"/>
            </w:tcBorders>
          </w:tcPr>
          <w:p>
            <w:pPr>
              <w:rPr>
                <w:rFonts w:hint="default" w:ascii="Times New Roman" w:hAnsi="Times New Roman" w:eastAsia="宋体" w:cs="Times New Roman"/>
                <w:sz w:val="2"/>
                <w:szCs w:val="2"/>
              </w:rPr>
            </w:pPr>
          </w:p>
        </w:tc>
        <w:tc>
          <w:tcPr>
            <w:tcW w:w="1309" w:type="dxa"/>
            <w:tcBorders>
              <w:top w:val="single" w:color="000000" w:sz="4" w:space="0"/>
              <w:left w:val="single" w:color="000000" w:sz="4" w:space="0"/>
              <w:bottom w:val="single" w:color="000000" w:sz="4" w:space="0"/>
              <w:right w:val="single" w:color="000000" w:sz="4" w:space="0"/>
            </w:tcBorders>
            <w:vAlign w:val="top"/>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w w:val="100"/>
                <w:sz w:val="21"/>
                <w:lang w:val="en-US" w:eastAsia="zh-CN"/>
              </w:rPr>
            </w:pPr>
            <w:r>
              <w:rPr>
                <w:rFonts w:hint="eastAsia" w:ascii="Times New Roman" w:hAnsi="Times New Roman" w:eastAsia="宋体" w:cs="Times New Roman"/>
                <w:w w:val="100"/>
                <w:sz w:val="21"/>
                <w:lang w:val="en-US" w:eastAsia="zh-CN"/>
              </w:rPr>
              <w:t>废活性炭</w:t>
            </w:r>
          </w:p>
        </w:tc>
        <w:tc>
          <w:tcPr>
            <w:tcW w:w="1488"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729"/>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517"/>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c>
          <w:tcPr>
            <w:tcW w:w="1771"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731"/>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c>
          <w:tcPr>
            <w:tcW w:w="1458"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2.3t</w:t>
            </w:r>
            <w:r>
              <w:rPr>
                <w:rFonts w:hint="default" w:ascii="Times New Roman" w:hAnsi="Times New Roman" w:cs="Times New Roman"/>
                <w:color w:val="auto"/>
                <w:kern w:val="0"/>
                <w:sz w:val="24"/>
                <w:szCs w:val="24"/>
                <w:lang w:val="en-US" w:eastAsia="zh-CN" w:bidi="ar"/>
              </w:rPr>
              <w:t xml:space="preserve"> </w:t>
            </w:r>
          </w:p>
        </w:tc>
        <w:tc>
          <w:tcPr>
            <w:tcW w:w="1935"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 xml:space="preserve"> </w:t>
            </w:r>
          </w:p>
        </w:tc>
        <w:tc>
          <w:tcPr>
            <w:tcW w:w="2183"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2.3t</w:t>
            </w:r>
            <w:r>
              <w:rPr>
                <w:rFonts w:hint="default" w:ascii="Times New Roman" w:hAnsi="Times New Roman" w:cs="Times New Roman"/>
                <w:color w:val="auto"/>
                <w:kern w:val="0"/>
                <w:sz w:val="24"/>
                <w:szCs w:val="24"/>
                <w:lang w:val="en-US" w:eastAsia="zh-CN" w:bidi="ar"/>
              </w:rPr>
              <w:t xml:space="preserve"> </w:t>
            </w:r>
          </w:p>
        </w:tc>
        <w:tc>
          <w:tcPr>
            <w:tcW w:w="972" w:type="dxa"/>
            <w:tcBorders>
              <w:top w:val="single" w:color="000000" w:sz="4" w:space="0"/>
              <w:left w:val="single" w:color="000000" w:sz="4" w:space="0"/>
              <w:bottom w:val="single" w:color="000000" w:sz="4" w:space="0"/>
              <w:right w:val="single" w:color="000000" w:sz="8" w:space="0"/>
            </w:tcBorders>
            <w:vAlign w:val="top"/>
          </w:tcPr>
          <w:p>
            <w:pPr>
              <w:pStyle w:val="15"/>
              <w:spacing w:before="106"/>
              <w:ind w:right="287"/>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01" w:hRule="atLeast"/>
        </w:trPr>
        <w:tc>
          <w:tcPr>
            <w:tcW w:w="1456" w:type="dxa"/>
            <w:vMerge w:val="continue"/>
            <w:tcBorders>
              <w:right w:val="single" w:color="000000" w:sz="4" w:space="0"/>
            </w:tcBorders>
          </w:tcPr>
          <w:p>
            <w:pPr>
              <w:rPr>
                <w:rFonts w:hint="default" w:ascii="Times New Roman" w:hAnsi="Times New Roman" w:eastAsia="宋体" w:cs="Times New Roman"/>
                <w:sz w:val="2"/>
                <w:szCs w:val="2"/>
              </w:rPr>
            </w:pPr>
          </w:p>
        </w:tc>
        <w:tc>
          <w:tcPr>
            <w:tcW w:w="1309" w:type="dxa"/>
            <w:tcBorders>
              <w:top w:val="single" w:color="000000" w:sz="4" w:space="0"/>
              <w:left w:val="single" w:color="000000" w:sz="4" w:space="0"/>
              <w:bottom w:val="single" w:color="000000" w:sz="4" w:space="0"/>
              <w:right w:val="single" w:color="000000" w:sz="4" w:space="0"/>
            </w:tcBorders>
            <w:vAlign w:val="top"/>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w w:val="100"/>
                <w:sz w:val="21"/>
                <w:lang w:val="en-US" w:eastAsia="zh-CN"/>
              </w:rPr>
            </w:pPr>
            <w:r>
              <w:rPr>
                <w:rFonts w:hint="eastAsia" w:ascii="Times New Roman" w:hAnsi="Times New Roman" w:eastAsia="宋体" w:cs="Times New Roman"/>
                <w:w w:val="100"/>
                <w:sz w:val="21"/>
                <w:lang w:val="en-US" w:eastAsia="zh-CN"/>
              </w:rPr>
              <w:t>废润滑油</w:t>
            </w:r>
          </w:p>
        </w:tc>
        <w:tc>
          <w:tcPr>
            <w:tcW w:w="1488" w:type="dxa"/>
            <w:tcBorders>
              <w:top w:val="single" w:color="000000" w:sz="4" w:space="0"/>
              <w:left w:val="single" w:color="000000" w:sz="4" w:space="0"/>
              <w:bottom w:val="single" w:color="000000" w:sz="4" w:space="0"/>
              <w:right w:val="single" w:color="000000" w:sz="4" w:space="0"/>
            </w:tcBorders>
            <w:vAlign w:val="top"/>
          </w:tcPr>
          <w:p>
            <w:pPr>
              <w:pStyle w:val="15"/>
              <w:spacing w:before="102"/>
              <w:ind w:right="729"/>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c>
          <w:tcPr>
            <w:tcW w:w="1384" w:type="dxa"/>
            <w:tcBorders>
              <w:top w:val="single" w:color="000000" w:sz="4" w:space="0"/>
              <w:left w:val="single" w:color="000000" w:sz="4" w:space="0"/>
              <w:bottom w:val="single" w:color="000000" w:sz="4" w:space="0"/>
              <w:right w:val="single" w:color="000000" w:sz="4" w:space="0"/>
            </w:tcBorders>
            <w:vAlign w:val="top"/>
          </w:tcPr>
          <w:p>
            <w:pPr>
              <w:pStyle w:val="15"/>
              <w:spacing w:before="102"/>
              <w:ind w:right="517"/>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c>
          <w:tcPr>
            <w:tcW w:w="1771" w:type="dxa"/>
            <w:tcBorders>
              <w:top w:val="single" w:color="000000" w:sz="4" w:space="0"/>
              <w:left w:val="single" w:color="000000" w:sz="4" w:space="0"/>
              <w:bottom w:val="single" w:color="000000" w:sz="4" w:space="0"/>
              <w:right w:val="single" w:color="000000" w:sz="4" w:space="0"/>
            </w:tcBorders>
            <w:vAlign w:val="top"/>
          </w:tcPr>
          <w:p>
            <w:pPr>
              <w:pStyle w:val="15"/>
              <w:spacing w:before="102"/>
              <w:ind w:right="731"/>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c>
          <w:tcPr>
            <w:tcW w:w="1458"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0.5t</w:t>
            </w:r>
            <w:r>
              <w:rPr>
                <w:rFonts w:hint="default" w:ascii="Times New Roman" w:hAnsi="Times New Roman" w:cs="Times New Roman"/>
                <w:color w:val="auto"/>
                <w:kern w:val="0"/>
                <w:sz w:val="24"/>
                <w:szCs w:val="24"/>
                <w:lang w:val="en-US" w:eastAsia="zh-CN" w:bidi="ar"/>
              </w:rPr>
              <w:t xml:space="preserve"> </w:t>
            </w:r>
          </w:p>
        </w:tc>
        <w:tc>
          <w:tcPr>
            <w:tcW w:w="1935"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r>
              <w:rPr>
                <w:rFonts w:hint="default" w:ascii="Times New Roman" w:hAnsi="Times New Roman" w:cs="Times New Roman"/>
                <w:color w:val="auto"/>
                <w:kern w:val="0"/>
                <w:sz w:val="24"/>
                <w:szCs w:val="24"/>
                <w:lang w:val="en-US" w:eastAsia="zh-CN" w:bidi="ar"/>
              </w:rPr>
              <w:t xml:space="preserve"> </w:t>
            </w:r>
          </w:p>
        </w:tc>
        <w:tc>
          <w:tcPr>
            <w:tcW w:w="2183"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0.5t</w:t>
            </w:r>
            <w:r>
              <w:rPr>
                <w:rFonts w:hint="default" w:ascii="Times New Roman" w:hAnsi="Times New Roman" w:cs="Times New Roman"/>
                <w:color w:val="auto"/>
                <w:kern w:val="0"/>
                <w:sz w:val="24"/>
                <w:szCs w:val="24"/>
                <w:lang w:val="en-US" w:eastAsia="zh-CN" w:bidi="ar"/>
              </w:rPr>
              <w:t xml:space="preserve"> </w:t>
            </w:r>
          </w:p>
        </w:tc>
        <w:tc>
          <w:tcPr>
            <w:tcW w:w="972" w:type="dxa"/>
            <w:tcBorders>
              <w:top w:val="single" w:color="000000" w:sz="4" w:space="0"/>
              <w:left w:val="single" w:color="000000" w:sz="4" w:space="0"/>
              <w:bottom w:val="single" w:color="000000" w:sz="4" w:space="0"/>
              <w:right w:val="single" w:color="000000" w:sz="8" w:space="0"/>
            </w:tcBorders>
            <w:vAlign w:val="top"/>
          </w:tcPr>
          <w:p>
            <w:pPr>
              <w:pStyle w:val="15"/>
              <w:spacing w:before="102"/>
              <w:ind w:right="287"/>
              <w:jc w:val="right"/>
              <w:rPr>
                <w:rFonts w:hint="default" w:ascii="Times New Roman" w:hAnsi="Times New Roman" w:eastAsia="宋体" w:cs="Times New Roman"/>
                <w:sz w:val="21"/>
              </w:rPr>
            </w:pPr>
            <w:r>
              <w:rPr>
                <w:rFonts w:hint="default" w:ascii="Times New Roman" w:hAnsi="Times New Roman" w:eastAsia="宋体" w:cs="Times New Roman"/>
                <w:w w:val="100"/>
                <w:sz w:val="21"/>
              </w:rPr>
              <w:t xml:space="preserve">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7" w:hRule="atLeast"/>
        </w:trPr>
        <w:tc>
          <w:tcPr>
            <w:tcW w:w="1456" w:type="dxa"/>
            <w:vMerge w:val="continue"/>
            <w:tcBorders>
              <w:right w:val="single" w:color="000000" w:sz="4" w:space="0"/>
            </w:tcBorders>
          </w:tcPr>
          <w:p>
            <w:pPr>
              <w:rPr>
                <w:rFonts w:hint="default" w:ascii="Times New Roman" w:hAnsi="Times New Roman" w:eastAsia="宋体" w:cs="Times New Roman"/>
                <w:sz w:val="2"/>
                <w:szCs w:val="2"/>
              </w:rPr>
            </w:pPr>
          </w:p>
        </w:tc>
        <w:tc>
          <w:tcPr>
            <w:tcW w:w="1309" w:type="dxa"/>
            <w:tcBorders>
              <w:top w:val="single" w:color="000000" w:sz="4" w:space="0"/>
              <w:left w:val="single" w:color="000000" w:sz="4" w:space="0"/>
              <w:bottom w:val="single" w:color="000000" w:sz="4" w:space="0"/>
              <w:right w:val="single" w:color="000000" w:sz="4" w:space="0"/>
            </w:tcBorders>
            <w:vAlign w:val="top"/>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w w:val="100"/>
                <w:sz w:val="21"/>
                <w:lang w:val="en-US" w:eastAsia="zh-CN"/>
              </w:rPr>
            </w:pPr>
            <w:r>
              <w:rPr>
                <w:rFonts w:hint="eastAsia" w:ascii="Times New Roman" w:hAnsi="Times New Roman" w:eastAsia="宋体" w:cs="Times New Roman"/>
                <w:w w:val="100"/>
                <w:sz w:val="21"/>
                <w:lang w:val="en-US" w:eastAsia="zh-CN"/>
              </w:rPr>
              <w:t>UV催化装置废灯管</w:t>
            </w:r>
          </w:p>
        </w:tc>
        <w:tc>
          <w:tcPr>
            <w:tcW w:w="1488" w:type="dxa"/>
            <w:tcBorders>
              <w:top w:val="single" w:color="000000" w:sz="4" w:space="0"/>
              <w:left w:val="single" w:color="000000" w:sz="4" w:space="0"/>
              <w:bottom w:val="single" w:color="000000" w:sz="4" w:space="0"/>
              <w:right w:val="single" w:color="000000" w:sz="4" w:space="0"/>
            </w:tcBorders>
            <w:vAlign w:val="top"/>
          </w:tcPr>
          <w:p>
            <w:pPr>
              <w:pStyle w:val="15"/>
              <w:spacing w:before="102"/>
              <w:ind w:right="729"/>
              <w:jc w:val="right"/>
              <w:rPr>
                <w:rFonts w:hint="default" w:ascii="Times New Roman" w:hAnsi="Times New Roman" w:eastAsia="宋体" w:cs="Times New Roman"/>
                <w:w w:val="100"/>
                <w:sz w:val="21"/>
              </w:rPr>
            </w:pPr>
          </w:p>
        </w:tc>
        <w:tc>
          <w:tcPr>
            <w:tcW w:w="1384" w:type="dxa"/>
            <w:tcBorders>
              <w:top w:val="single" w:color="000000" w:sz="4" w:space="0"/>
              <w:left w:val="single" w:color="000000" w:sz="4" w:space="0"/>
              <w:bottom w:val="single" w:color="000000" w:sz="4" w:space="0"/>
              <w:right w:val="single" w:color="000000" w:sz="4" w:space="0"/>
            </w:tcBorders>
            <w:vAlign w:val="top"/>
          </w:tcPr>
          <w:p>
            <w:pPr>
              <w:pStyle w:val="15"/>
              <w:spacing w:before="102"/>
              <w:ind w:right="517"/>
              <w:jc w:val="right"/>
              <w:rPr>
                <w:rFonts w:hint="default" w:ascii="Times New Roman" w:hAnsi="Times New Roman" w:eastAsia="宋体" w:cs="Times New Roman"/>
                <w:w w:val="100"/>
                <w:sz w:val="21"/>
              </w:rPr>
            </w:pPr>
          </w:p>
        </w:tc>
        <w:tc>
          <w:tcPr>
            <w:tcW w:w="1771" w:type="dxa"/>
            <w:tcBorders>
              <w:top w:val="single" w:color="000000" w:sz="4" w:space="0"/>
              <w:left w:val="single" w:color="000000" w:sz="4" w:space="0"/>
              <w:bottom w:val="single" w:color="000000" w:sz="4" w:space="0"/>
              <w:right w:val="single" w:color="000000" w:sz="4" w:space="0"/>
            </w:tcBorders>
            <w:vAlign w:val="top"/>
          </w:tcPr>
          <w:p>
            <w:pPr>
              <w:pStyle w:val="15"/>
              <w:spacing w:before="102"/>
              <w:ind w:right="731"/>
              <w:jc w:val="right"/>
              <w:rPr>
                <w:rFonts w:hint="default" w:ascii="Times New Roman" w:hAnsi="Times New Roman" w:eastAsia="宋体" w:cs="Times New Roman"/>
                <w:w w:val="100"/>
                <w:sz w:val="21"/>
              </w:rPr>
            </w:pPr>
          </w:p>
        </w:tc>
        <w:tc>
          <w:tcPr>
            <w:tcW w:w="1458"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eastAsia" w:ascii="Times New Roman" w:hAnsi="Times New Roman"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0.01t</w:t>
            </w:r>
          </w:p>
        </w:tc>
        <w:tc>
          <w:tcPr>
            <w:tcW w:w="1935"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p>
        </w:tc>
        <w:tc>
          <w:tcPr>
            <w:tcW w:w="2183"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eastAsia" w:ascii="Times New Roman" w:hAnsi="Times New Roman"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0.01t</w:t>
            </w:r>
          </w:p>
        </w:tc>
        <w:tc>
          <w:tcPr>
            <w:tcW w:w="972" w:type="dxa"/>
            <w:tcBorders>
              <w:top w:val="single" w:color="000000" w:sz="4" w:space="0"/>
              <w:left w:val="single" w:color="000000" w:sz="4" w:space="0"/>
              <w:bottom w:val="single" w:color="000000" w:sz="4" w:space="0"/>
              <w:right w:val="single" w:color="000000" w:sz="8" w:space="0"/>
            </w:tcBorders>
            <w:vAlign w:val="top"/>
          </w:tcPr>
          <w:p>
            <w:pPr>
              <w:pStyle w:val="15"/>
              <w:spacing w:before="102"/>
              <w:ind w:right="287"/>
              <w:jc w:val="right"/>
              <w:rPr>
                <w:rFonts w:hint="default" w:ascii="Times New Roman" w:hAnsi="Times New Roman" w:eastAsia="宋体" w:cs="Times New Roman"/>
                <w:w w:val="100"/>
                <w:sz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2" w:hRule="atLeast"/>
        </w:trPr>
        <w:tc>
          <w:tcPr>
            <w:tcW w:w="1456" w:type="dxa"/>
            <w:vMerge w:val="continue"/>
            <w:tcBorders>
              <w:right w:val="single" w:color="000000" w:sz="4" w:space="0"/>
            </w:tcBorders>
          </w:tcPr>
          <w:p>
            <w:pPr>
              <w:rPr>
                <w:rFonts w:hint="default" w:ascii="Times New Roman" w:hAnsi="Times New Roman" w:eastAsia="宋体" w:cs="Times New Roman"/>
                <w:sz w:val="2"/>
                <w:szCs w:val="2"/>
              </w:rPr>
            </w:pPr>
          </w:p>
        </w:tc>
        <w:tc>
          <w:tcPr>
            <w:tcW w:w="1309" w:type="dxa"/>
            <w:tcBorders>
              <w:top w:val="single" w:color="000000" w:sz="4" w:space="0"/>
              <w:left w:val="single" w:color="000000" w:sz="4" w:space="0"/>
              <w:bottom w:val="single" w:color="000000" w:sz="4" w:space="0"/>
              <w:right w:val="single" w:color="000000" w:sz="4" w:space="0"/>
            </w:tcBorders>
            <w:vAlign w:val="top"/>
          </w:tcPr>
          <w:p>
            <w:pPr>
              <w:pStyle w:val="15"/>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w w:val="100"/>
                <w:sz w:val="21"/>
                <w:lang w:val="en-US" w:eastAsia="zh-CN"/>
              </w:rPr>
            </w:pPr>
            <w:r>
              <w:rPr>
                <w:rFonts w:hint="default" w:ascii="Times New Roman" w:hAnsi="Times New Roman" w:eastAsia="宋体" w:cs="Times New Roman"/>
                <w:w w:val="100"/>
                <w:sz w:val="21"/>
                <w:lang w:val="en-US" w:eastAsia="zh-CN"/>
              </w:rPr>
              <w:t>润滑油桶</w:t>
            </w:r>
          </w:p>
        </w:tc>
        <w:tc>
          <w:tcPr>
            <w:tcW w:w="1488" w:type="dxa"/>
            <w:tcBorders>
              <w:top w:val="single" w:color="000000" w:sz="4" w:space="0"/>
              <w:left w:val="single" w:color="000000" w:sz="4" w:space="0"/>
              <w:bottom w:val="single" w:color="000000" w:sz="4" w:space="0"/>
              <w:right w:val="single" w:color="000000" w:sz="4" w:space="0"/>
            </w:tcBorders>
            <w:vAlign w:val="top"/>
          </w:tcPr>
          <w:p>
            <w:pPr>
              <w:pStyle w:val="15"/>
              <w:spacing w:before="102"/>
              <w:ind w:right="729"/>
              <w:jc w:val="right"/>
              <w:rPr>
                <w:rFonts w:hint="default" w:ascii="Times New Roman" w:hAnsi="Times New Roman" w:eastAsia="宋体" w:cs="Times New Roman"/>
                <w:w w:val="100"/>
                <w:sz w:val="21"/>
              </w:rPr>
            </w:pPr>
          </w:p>
        </w:tc>
        <w:tc>
          <w:tcPr>
            <w:tcW w:w="1384" w:type="dxa"/>
            <w:tcBorders>
              <w:top w:val="single" w:color="000000" w:sz="4" w:space="0"/>
              <w:left w:val="single" w:color="000000" w:sz="4" w:space="0"/>
              <w:bottom w:val="single" w:color="000000" w:sz="4" w:space="0"/>
              <w:right w:val="single" w:color="000000" w:sz="4" w:space="0"/>
            </w:tcBorders>
            <w:vAlign w:val="top"/>
          </w:tcPr>
          <w:p>
            <w:pPr>
              <w:pStyle w:val="15"/>
              <w:spacing w:before="102"/>
              <w:ind w:right="517"/>
              <w:jc w:val="right"/>
              <w:rPr>
                <w:rFonts w:hint="default" w:ascii="Times New Roman" w:hAnsi="Times New Roman" w:eastAsia="宋体" w:cs="Times New Roman"/>
                <w:w w:val="100"/>
                <w:sz w:val="21"/>
              </w:rPr>
            </w:pPr>
          </w:p>
        </w:tc>
        <w:tc>
          <w:tcPr>
            <w:tcW w:w="1771" w:type="dxa"/>
            <w:tcBorders>
              <w:top w:val="single" w:color="000000" w:sz="4" w:space="0"/>
              <w:left w:val="single" w:color="000000" w:sz="4" w:space="0"/>
              <w:bottom w:val="single" w:color="000000" w:sz="4" w:space="0"/>
              <w:right w:val="single" w:color="000000" w:sz="4" w:space="0"/>
            </w:tcBorders>
            <w:vAlign w:val="top"/>
          </w:tcPr>
          <w:p>
            <w:pPr>
              <w:pStyle w:val="15"/>
              <w:spacing w:before="102"/>
              <w:ind w:right="731"/>
              <w:jc w:val="right"/>
              <w:rPr>
                <w:rFonts w:hint="default" w:ascii="Times New Roman" w:hAnsi="Times New Roman" w:eastAsia="宋体" w:cs="Times New Roman"/>
                <w:w w:val="100"/>
                <w:sz w:val="21"/>
              </w:rPr>
            </w:pPr>
          </w:p>
        </w:tc>
        <w:tc>
          <w:tcPr>
            <w:tcW w:w="1458"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20个</w:t>
            </w:r>
          </w:p>
        </w:tc>
        <w:tc>
          <w:tcPr>
            <w:tcW w:w="1935"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p>
        </w:tc>
        <w:tc>
          <w:tcPr>
            <w:tcW w:w="2183" w:type="dxa"/>
            <w:tcBorders>
              <w:top w:val="single" w:color="000000" w:sz="4" w:space="0"/>
              <w:left w:val="single" w:color="000000" w:sz="4" w:space="0"/>
              <w:bottom w:val="single" w:color="000000" w:sz="4" w:space="0"/>
              <w:right w:val="single" w:color="000000" w:sz="4" w:space="0"/>
            </w:tcBorders>
            <w:vAlign w:val="top"/>
          </w:tcPr>
          <w:p>
            <w:pPr>
              <w:pStyle w:val="15"/>
              <w:spacing w:before="106"/>
              <w:ind w:right="659"/>
              <w:jc w:val="both"/>
              <w:rPr>
                <w:rFonts w:hint="default" w:ascii="Times New Roman" w:hAnsi="Times New Roman" w:cs="Times New Roman"/>
                <w:color w:val="auto"/>
                <w:kern w:val="0"/>
                <w:sz w:val="24"/>
                <w:szCs w:val="24"/>
                <w:lang w:val="en-US" w:eastAsia="zh-CN" w:bidi="ar"/>
              </w:rPr>
            </w:pPr>
            <w:r>
              <w:rPr>
                <w:rFonts w:hint="eastAsia" w:ascii="Times New Roman" w:hAnsi="Times New Roman" w:cs="Times New Roman"/>
                <w:color w:val="auto"/>
                <w:kern w:val="0"/>
                <w:sz w:val="24"/>
                <w:szCs w:val="24"/>
                <w:lang w:val="en-US" w:eastAsia="zh-CN" w:bidi="ar"/>
              </w:rPr>
              <w:t>20个</w:t>
            </w:r>
          </w:p>
        </w:tc>
        <w:tc>
          <w:tcPr>
            <w:tcW w:w="972" w:type="dxa"/>
            <w:tcBorders>
              <w:top w:val="single" w:color="000000" w:sz="4" w:space="0"/>
              <w:left w:val="single" w:color="000000" w:sz="4" w:space="0"/>
              <w:bottom w:val="single" w:color="000000" w:sz="4" w:space="0"/>
              <w:right w:val="single" w:color="000000" w:sz="8" w:space="0"/>
            </w:tcBorders>
            <w:vAlign w:val="top"/>
          </w:tcPr>
          <w:p>
            <w:pPr>
              <w:pStyle w:val="15"/>
              <w:spacing w:before="102"/>
              <w:ind w:right="287"/>
              <w:jc w:val="right"/>
              <w:rPr>
                <w:rFonts w:hint="default" w:ascii="Times New Roman" w:hAnsi="Times New Roman" w:eastAsia="宋体" w:cs="Times New Roman"/>
                <w:w w:val="100"/>
                <w:sz w:val="21"/>
              </w:rPr>
            </w:pPr>
          </w:p>
        </w:tc>
      </w:tr>
    </w:tbl>
    <w:p>
      <w:pPr>
        <w:pStyle w:val="4"/>
        <w:spacing w:before="173"/>
        <w:ind w:left="4550" w:right="4510"/>
      </w:pPr>
      <w:r>
        <mc:AlternateContent>
          <mc:Choice Requires="wps">
            <w:drawing>
              <wp:anchor distT="0" distB="0" distL="114300" distR="114300" simplePos="0" relativeHeight="251664384" behindDoc="1" locked="0" layoutInCell="1" allowOverlap="1">
                <wp:simplePos x="0" y="0"/>
                <wp:positionH relativeFrom="page">
                  <wp:posOffset>898525</wp:posOffset>
                </wp:positionH>
                <wp:positionV relativeFrom="paragraph">
                  <wp:posOffset>542925</wp:posOffset>
                </wp:positionV>
                <wp:extent cx="999490" cy="533400"/>
                <wp:effectExtent l="2540" t="4445" r="7620" b="14605"/>
                <wp:wrapNone/>
                <wp:docPr id="32" name="直接连接符 32"/>
                <wp:cNvGraphicFramePr/>
                <a:graphic xmlns:a="http://schemas.openxmlformats.org/drawingml/2006/main">
                  <a:graphicData uri="http://schemas.microsoft.com/office/word/2010/wordprocessingShape">
                    <wps:wsp>
                      <wps:cNvCnPr/>
                      <wps:spPr>
                        <a:xfrm>
                          <a:off x="0" y="0"/>
                          <a:ext cx="999490" cy="53340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0.75pt;margin-top:42.75pt;height:42pt;width:78.7pt;mso-position-horizontal-relative:page;z-index:-251652096;mso-width-relative:page;mso-height-relative:page;" filled="f" stroked="t" coordsize="21600,21600" o:gfxdata="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xkfl2QAAAAoBAAAPAAAAAAAAAAEAIAAAACIAAABkcnMvZG93bnJl&#10;di54bWxQSwECFAAUAAAACACHTuJAsj9JqPwBAADqAwAADgAAAAAAAAABACAAAAAoAQAAZHJzL2Uy&#10;b0RvYy54bWxQSwUGAAAAAAYABgBZAQAAlgUAAAAA&#10;">
                <v:fill on="f" focussize="0,0"/>
                <v:stroke weight="0.48pt" color="#000000" joinstyle="round"/>
                <v:imagedata o:title=""/>
                <o:lock v:ext="edit" aspectratio="f"/>
              </v:line>
            </w:pict>
          </mc:Fallback>
        </mc:AlternateContent>
      </w:r>
      <w:r>
        <w:t>建设项目污染物排放量汇总表</w:t>
      </w:r>
    </w:p>
    <w:p>
      <w:pPr>
        <w:pStyle w:val="7"/>
        <w:spacing w:before="11"/>
        <w:rPr>
          <w:rFonts w:ascii="微软雅黑"/>
          <w:sz w:val="6"/>
        </w:rPr>
      </w:pPr>
    </w:p>
    <w:p>
      <w:pPr>
        <w:spacing w:before="71"/>
        <w:ind w:left="151" w:right="0" w:firstLine="0"/>
        <w:jc w:val="left"/>
        <w:rPr>
          <w:sz w:val="21"/>
        </w:rPr>
        <w:sectPr>
          <w:footerReference r:id="rId11" w:type="default"/>
          <w:footerReference r:id="rId12" w:type="even"/>
          <w:pgSz w:w="16840" w:h="11910" w:orient="landscape"/>
          <w:pgMar w:top="1100" w:right="1420" w:bottom="1000" w:left="1380" w:header="0" w:footer="817" w:gutter="0"/>
          <w:cols w:space="720" w:num="1"/>
        </w:sectPr>
      </w:pPr>
      <w:r>
        <w:rPr>
          <w:sz w:val="21"/>
        </w:rPr>
        <w:t xml:space="preserve">注：⑥=①+③+④-⑤；⑦=⑥-① </w:t>
      </w:r>
    </w:p>
    <w:p>
      <w:bookmarkStart w:id="6" w:name="_GoBack"/>
    </w:p>
    <w:bookmarkEnd w:id="6"/>
    <w:sectPr>
      <w:footerReference r:id="rId13"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imesNewRomanPSMT">
    <w:altName w:val="Times New Roman"/>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 w:name="MS Mincho">
    <w:altName w:val="MS UI Gothic"/>
    <w:panose1 w:val="02020609040205080304"/>
    <w:charset w:val="80"/>
    <w:family w:val="modern"/>
    <w:pitch w:val="default"/>
    <w:sig w:usb0="00000000" w:usb1="00000000" w:usb2="00000012" w:usb3="00000000" w:csb0="4002009F" w:csb1="DFD70000"/>
  </w:font>
  <w:font w:name="MS UI 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4"/>
      </w:rPr>
    </w:pPr>
    <w:r>
      <w:fldChar w:fldCharType="begin"/>
    </w:r>
    <w:r>
      <w:rPr>
        <w:rStyle w:val="14"/>
      </w:rPr>
      <w:instrText xml:space="preserve">PAGE  </w:instrText>
    </w:r>
    <w:r>
      <w:fldChar w:fldCharType="end"/>
    </w:r>
  </w:p>
  <w:p>
    <w:pPr>
      <w:pStyle w:val="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4946650</wp:posOffset>
              </wp:positionH>
              <wp:positionV relativeFrom="page">
                <wp:posOffset>6901815</wp:posOffset>
              </wp:positionV>
              <wp:extent cx="801370" cy="20383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801370" cy="203835"/>
                      </a:xfrm>
                      <a:prstGeom prst="rect">
                        <a:avLst/>
                      </a:prstGeom>
                      <a:noFill/>
                      <a:ln>
                        <a:noFill/>
                      </a:ln>
                    </wps:spPr>
                    <wps:txbx>
                      <w:txbxContent>
                        <w:p>
                          <w:pPr>
                            <w:spacing w:before="0" w:line="321" w:lineRule="exact"/>
                            <w:ind w:right="0"/>
                            <w:jc w:val="left"/>
                            <w:rPr>
                              <w:sz w:val="28"/>
                            </w:rPr>
                          </w:pPr>
                        </w:p>
                      </w:txbxContent>
                    </wps:txbx>
                    <wps:bodyPr lIns="0" tIns="0" rIns="0" bIns="0" upright="1"/>
                  </wps:wsp>
                </a:graphicData>
              </a:graphic>
            </wp:anchor>
          </w:drawing>
        </mc:Choice>
        <mc:Fallback>
          <w:pict>
            <v:shape id="_x0000_s1026" o:spid="_x0000_s1026" o:spt="202" type="#_x0000_t202" style="position:absolute;left:0pt;margin-left:389.5pt;margin-top:543.45pt;height:16.05pt;width:63.1pt;mso-position-horizontal-relative:page;mso-position-vertical-relative:page;z-index:-251651072;mso-width-relative:page;mso-height-relative:page;" filled="f" stroked="f" coordsize="21600,21600" o:gfxdata="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dxpVXaAAAADQEAAA8AAAAAAAAAAQAgAAAAIgAAAGRycy9kb3ducmV2LnhtbFBL&#10;AQIUABQAAAAIAIdO4kDHScGnuwEAAHMDAAAOAAAAAAAAAAEAIAAAACkBAABkcnMvZTJvRG9jLnht&#10;bFBLBQYAAAAABgAGAFkBAABWBQAAAAA=&#10;">
              <v:fill on="f" focussize="0,0"/>
              <v:stroke on="f"/>
              <v:imagedata o:title=""/>
              <o:lock v:ext="edit" aspectratio="f"/>
              <v:textbox inset="0mm,0mm,0mm,0mm">
                <w:txbxContent>
                  <w:p>
                    <w:pPr>
                      <w:spacing w:before="0" w:line="321" w:lineRule="exact"/>
                      <w:ind w:right="0"/>
                      <w:jc w:val="left"/>
                      <w:rPr>
                        <w:sz w:val="28"/>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66432" behindDoc="1" locked="0" layoutInCell="1" allowOverlap="1">
              <wp:simplePos x="0" y="0"/>
              <wp:positionH relativeFrom="page">
                <wp:posOffset>959485</wp:posOffset>
              </wp:positionH>
              <wp:positionV relativeFrom="page">
                <wp:posOffset>6901815</wp:posOffset>
              </wp:positionV>
              <wp:extent cx="801370" cy="20383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801370" cy="203835"/>
                      </a:xfrm>
                      <a:prstGeom prst="rect">
                        <a:avLst/>
                      </a:prstGeom>
                      <a:noFill/>
                      <a:ln>
                        <a:noFill/>
                      </a:ln>
                    </wps:spPr>
                    <wps:txbx>
                      <w:txbxContent>
                        <w:p>
                          <w:pPr>
                            <w:spacing w:before="0" w:line="321" w:lineRule="exact"/>
                            <w:ind w:left="20" w:right="0" w:firstLine="0"/>
                            <w:jc w:val="left"/>
                            <w:rPr>
                              <w:sz w:val="28"/>
                            </w:rPr>
                          </w:pPr>
                          <w:r>
                            <w:rPr>
                              <w:sz w:val="28"/>
                            </w:rPr>
                            <w:t xml:space="preserve">— </w:t>
                          </w:r>
                          <w:r>
                            <w:rPr>
                              <w:sz w:val="26"/>
                            </w:rPr>
                            <w:t xml:space="preserve">12 </w:t>
                          </w:r>
                          <w:r>
                            <w:rPr>
                              <w:sz w:val="28"/>
                            </w:rPr>
                            <w:t>—</w:t>
                          </w:r>
                        </w:p>
                      </w:txbxContent>
                    </wps:txbx>
                    <wps:bodyPr lIns="0" tIns="0" rIns="0" bIns="0" upright="1"/>
                  </wps:wsp>
                </a:graphicData>
              </a:graphic>
            </wp:anchor>
          </w:drawing>
        </mc:Choice>
        <mc:Fallback>
          <w:pict>
            <v:shape id="_x0000_s1026" o:spid="_x0000_s1026" o:spt="202" type="#_x0000_t202" style="position:absolute;left:0pt;margin-left:75.55pt;margin-top:543.45pt;height:16.05pt;width:63.1pt;mso-position-horizontal-relative:page;mso-position-vertical-relative:page;z-index:-251650048;mso-width-relative:page;mso-height-relative:page;" filled="f" stroked="f" coordsize="21600,21600" o:gfxdata="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1+P0toAAAANAQAADwAAAAAAAAABACAAAAAiAAAAZHJzL2Rvd25yZXYueG1sUEsB&#10;AhQAFAAAAAgAh07iQKQztGO6AQAAcwMAAA4AAAAAAAAAAQAgAAAAKQEAAGRycy9lMm9Eb2MueG1s&#10;UEsFBgAAAAAGAAYAWQEAAFUFAAAAAA==&#10;">
              <v:fill on="f" focussize="0,0"/>
              <v:stroke on="f"/>
              <v:imagedata o:title=""/>
              <o:lock v:ext="edit" aspectratio="f"/>
              <v:textbox inset="0mm,0mm,0mm,0mm">
                <w:txbxContent>
                  <w:p>
                    <w:pPr>
                      <w:spacing w:before="0" w:line="321" w:lineRule="exact"/>
                      <w:ind w:left="20" w:right="0" w:firstLine="0"/>
                      <w:jc w:val="left"/>
                      <w:rPr>
                        <w:sz w:val="28"/>
                      </w:rPr>
                    </w:pPr>
                    <w:r>
                      <w:rPr>
                        <w:sz w:val="28"/>
                      </w:rPr>
                      <w:t xml:space="preserve">— </w:t>
                    </w:r>
                    <w:r>
                      <w:rPr>
                        <w:sz w:val="26"/>
                      </w:rPr>
                      <w:t xml:space="preserve">12 </w:t>
                    </w:r>
                    <w:r>
                      <w:rPr>
                        <w:sz w:val="28"/>
                      </w:rPr>
                      <w:t>—</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4946650</wp:posOffset>
              </wp:positionH>
              <wp:positionV relativeFrom="page">
                <wp:posOffset>6901815</wp:posOffset>
              </wp:positionV>
              <wp:extent cx="801370" cy="20383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801370" cy="203835"/>
                      </a:xfrm>
                      <a:prstGeom prst="rect">
                        <a:avLst/>
                      </a:prstGeom>
                      <a:noFill/>
                      <a:ln>
                        <a:noFill/>
                      </a:ln>
                    </wps:spPr>
                    <wps:txbx>
                      <w:txbxContent>
                        <w:p>
                          <w:pPr>
                            <w:spacing w:before="0" w:line="321" w:lineRule="exact"/>
                            <w:ind w:right="0"/>
                            <w:jc w:val="left"/>
                            <w:rPr>
                              <w:sz w:val="28"/>
                            </w:rPr>
                          </w:pPr>
                        </w:p>
                      </w:txbxContent>
                    </wps:txbx>
                    <wps:bodyPr lIns="0" tIns="0" rIns="0" bIns="0" upright="1"/>
                  </wps:wsp>
                </a:graphicData>
              </a:graphic>
            </wp:anchor>
          </w:drawing>
        </mc:Choice>
        <mc:Fallback>
          <w:pict>
            <v:shape id="_x0000_s1026" o:spid="_x0000_s1026" o:spt="202" type="#_x0000_t202" style="position:absolute;left:0pt;margin-left:389.5pt;margin-top:543.45pt;height:16.05pt;width:63.1pt;mso-position-horizontal-relative:page;mso-position-vertical-relative:page;z-index:-251656192;mso-width-relative:page;mso-height-relative:page;" filled="f" stroked="f" coordsize="21600,21600" o:gfxdata="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3GlVdoAAAANAQAADwAAAAAAAAABACAAAAAiAAAAZHJzL2Rvd25yZXYueG1sUEsB&#10;AhQAFAAAAAgAh07iQOc7Yoi6AQAAcwMAAA4AAAAAAAAAAQAgAAAAKQEAAGRycy9lMm9Eb2MueG1s&#10;UEsFBgAAAAAGAAYAWQEAAFUFAAAAAA==&#10;">
              <v:fill on="f" focussize="0,0"/>
              <v:stroke on="f"/>
              <v:imagedata o:title=""/>
              <o:lock v:ext="edit" aspectratio="f"/>
              <v:textbox inset="0mm,0mm,0mm,0mm">
                <w:txbxContent>
                  <w:p>
                    <w:pPr>
                      <w:spacing w:before="0" w:line="321" w:lineRule="exact"/>
                      <w:ind w:right="0"/>
                      <w:jc w:val="left"/>
                      <w:rPr>
                        <w:sz w:val="28"/>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F5BBF2"/>
    <w:multiLevelType w:val="singleLevel"/>
    <w:tmpl w:val="8DF5BBF2"/>
    <w:lvl w:ilvl="0" w:tentative="0">
      <w:start w:val="5"/>
      <w:numFmt w:val="decimal"/>
      <w:suff w:val="nothing"/>
      <w:lvlText w:val="%1、"/>
      <w:lvlJc w:val="left"/>
    </w:lvl>
  </w:abstractNum>
  <w:abstractNum w:abstractNumId="1">
    <w:nsid w:val="EED62A95"/>
    <w:multiLevelType w:val="singleLevel"/>
    <w:tmpl w:val="EED62A95"/>
    <w:lvl w:ilvl="0" w:tentative="0">
      <w:start w:val="4"/>
      <w:numFmt w:val="decimal"/>
      <w:suff w:val="nothing"/>
      <w:lvlText w:val="（%1）"/>
      <w:lvlJc w:val="left"/>
    </w:lvl>
  </w:abstractNum>
  <w:abstractNum w:abstractNumId="2">
    <w:nsid w:val="FABD5427"/>
    <w:multiLevelType w:val="singleLevel"/>
    <w:tmpl w:val="FABD5427"/>
    <w:lvl w:ilvl="0" w:tentative="0">
      <w:start w:val="2"/>
      <w:numFmt w:val="decimal"/>
      <w:suff w:val="nothing"/>
      <w:lvlText w:val="%1）"/>
      <w:lvlJc w:val="left"/>
    </w:lvl>
  </w:abstractNum>
  <w:abstractNum w:abstractNumId="3">
    <w:nsid w:val="60746D44"/>
    <w:multiLevelType w:val="singleLevel"/>
    <w:tmpl w:val="60746D44"/>
    <w:lvl w:ilvl="0" w:tentative="0">
      <w:start w:val="2"/>
      <w:numFmt w:val="decimal"/>
      <w:suff w:val="space"/>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6D0A55"/>
    <w:rsid w:val="00BF12B0"/>
    <w:rsid w:val="036D0A55"/>
    <w:rsid w:val="137678C0"/>
    <w:rsid w:val="2D80720E"/>
    <w:rsid w:val="459A603E"/>
    <w:rsid w:val="509B13E5"/>
    <w:rsid w:val="525838E6"/>
    <w:rsid w:val="613A3EA1"/>
    <w:rsid w:val="6A8655DD"/>
    <w:rsid w:val="6E2E3359"/>
    <w:rsid w:val="6E9A35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4">
    <w:name w:val="heading 1"/>
    <w:basedOn w:val="1"/>
    <w:next w:val="1"/>
    <w:qFormat/>
    <w:uiPriority w:val="1"/>
    <w:pPr>
      <w:ind w:left="2353" w:right="2356"/>
      <w:jc w:val="center"/>
      <w:outlineLvl w:val="1"/>
    </w:pPr>
    <w:rPr>
      <w:rFonts w:ascii="微软雅黑" w:hAnsi="微软雅黑" w:eastAsia="微软雅黑" w:cs="微软雅黑"/>
      <w:sz w:val="38"/>
      <w:szCs w:val="38"/>
      <w:lang w:val="zh-CN" w:eastAsia="zh-CN" w:bidi="zh-CN"/>
    </w:rPr>
  </w:style>
  <w:style w:type="paragraph" w:styleId="5">
    <w:name w:val="heading 4"/>
    <w:basedOn w:val="1"/>
    <w:next w:val="1"/>
    <w:qFormat/>
    <w:uiPriority w:val="0"/>
    <w:pPr>
      <w:keepNext/>
      <w:keepLines/>
      <w:spacing w:before="280" w:beforeLines="0" w:after="290" w:afterLines="0" w:line="376" w:lineRule="auto"/>
      <w:outlineLvl w:val="3"/>
    </w:pPr>
    <w:rPr>
      <w:rFonts w:ascii="Calibri Light" w:hAnsi="Calibri Light" w:eastAsia="宋体" w:cs="Times New Roman"/>
      <w:b/>
      <w:bCs/>
      <w:kern w:val="2"/>
      <w:sz w:val="28"/>
      <w:szCs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Body Text First Indent 2"/>
    <w:basedOn w:val="3"/>
    <w:next w:val="3"/>
    <w:qFormat/>
    <w:uiPriority w:val="0"/>
    <w:pPr>
      <w:jc w:val="left"/>
    </w:pPr>
    <w:rPr>
      <w:szCs w:val="24"/>
    </w:rPr>
  </w:style>
  <w:style w:type="paragraph" w:customStyle="1" w:styleId="3">
    <w:name w:val="+正文"/>
    <w:basedOn w:val="1"/>
    <w:qFormat/>
    <w:uiPriority w:val="0"/>
    <w:pPr>
      <w:spacing w:line="360" w:lineRule="auto"/>
      <w:ind w:firstLine="200" w:firstLineChars="200"/>
    </w:pPr>
    <w:rPr>
      <w:rFonts w:ascii="Times New Roman" w:hAnsi="Times New Roman" w:eastAsia="宋体"/>
      <w:sz w:val="24"/>
      <w:szCs w:val="28"/>
    </w:rPr>
  </w:style>
  <w:style w:type="paragraph" w:styleId="6">
    <w:name w:val="caption"/>
    <w:basedOn w:val="1"/>
    <w:next w:val="1"/>
    <w:qFormat/>
    <w:uiPriority w:val="0"/>
    <w:pPr>
      <w:jc w:val="right"/>
    </w:pPr>
    <w:rPr>
      <w:rFonts w:ascii="Times New Roman" w:hAnsi="Times New Roman" w:eastAsia="黑体"/>
      <w:sz w:val="20"/>
    </w:rPr>
  </w:style>
  <w:style w:type="paragraph" w:styleId="7">
    <w:name w:val="Body Text"/>
    <w:basedOn w:val="1"/>
    <w:qFormat/>
    <w:uiPriority w:val="1"/>
    <w:rPr>
      <w:rFonts w:ascii="黑体" w:hAnsi="黑体" w:eastAsia="黑体" w:cs="黑体"/>
      <w:sz w:val="30"/>
      <w:szCs w:val="30"/>
      <w:lang w:val="zh-CN" w:eastAsia="zh-CN" w:bidi="zh-CN"/>
    </w:rPr>
  </w:style>
  <w:style w:type="paragraph" w:styleId="8">
    <w:name w:val="footer"/>
    <w:basedOn w:val="1"/>
    <w:qFormat/>
    <w:uiPriority w:val="99"/>
    <w:pPr>
      <w:tabs>
        <w:tab w:val="center" w:pos="4153"/>
        <w:tab w:val="right" w:pos="8306"/>
      </w:tabs>
      <w:snapToGrid w:val="0"/>
      <w:jc w:val="left"/>
    </w:pPr>
    <w:rPr>
      <w:kern w:val="0"/>
      <w:sz w:val="18"/>
      <w:szCs w:val="20"/>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style>
  <w:style w:type="paragraph" w:customStyle="1" w:styleId="15">
    <w:name w:val="Table Paragraph"/>
    <w:basedOn w:val="1"/>
    <w:qFormat/>
    <w:uiPriority w:val="1"/>
    <w:rPr>
      <w:rFonts w:ascii="宋体" w:hAnsi="宋体" w:eastAsia="宋体" w:cs="宋体"/>
      <w:lang w:val="zh-CN" w:eastAsia="zh-CN" w:bidi="zh-CN"/>
    </w:rPr>
  </w:style>
  <w:style w:type="paragraph" w:customStyle="1" w:styleId="16">
    <w:name w:val="Normal Indent"/>
    <w:basedOn w:val="1"/>
    <w:qFormat/>
    <w:uiPriority w:val="0"/>
    <w:pPr>
      <w:adjustRightInd w:val="0"/>
      <w:spacing w:line="312" w:lineRule="atLeast"/>
      <w:ind w:firstLine="420"/>
      <w:textAlignment w:val="baseline"/>
    </w:pPr>
    <w:rPr>
      <w:kern w:val="2"/>
      <w:sz w:val="21"/>
    </w:rPr>
  </w:style>
  <w:style w:type="paragraph" w:customStyle="1" w:styleId="17">
    <w:name w:val="Body Text First Indent 21"/>
    <w:basedOn w:val="18"/>
    <w:next w:val="3"/>
    <w:qFormat/>
    <w:uiPriority w:val="0"/>
    <w:pPr>
      <w:jc w:val="left"/>
    </w:pPr>
    <w:rPr>
      <w:szCs w:val="24"/>
    </w:rPr>
  </w:style>
  <w:style w:type="paragraph" w:customStyle="1" w:styleId="18">
    <w:name w:val="Body Text Indent1"/>
    <w:basedOn w:val="1"/>
    <w:qFormat/>
    <w:uiPriority w:val="0"/>
    <w:pPr>
      <w:spacing w:line="360" w:lineRule="auto"/>
      <w:ind w:firstLine="480" w:firstLineChars="200"/>
    </w:pPr>
    <w:rPr>
      <w:bCs/>
      <w:sz w:val="24"/>
      <w:szCs w:val="20"/>
    </w:rPr>
  </w:style>
  <w:style w:type="character" w:customStyle="1" w:styleId="19">
    <w:name w:val="Body text + 15 pt"/>
    <w:qFormat/>
    <w:uiPriority w:val="0"/>
    <w:rPr>
      <w:rFonts w:hint="eastAsia"/>
      <w:spacing w:val="10"/>
      <w:sz w:val="30"/>
    </w:rPr>
  </w:style>
  <w:style w:type="paragraph" w:customStyle="1" w:styleId="20">
    <w:name w:val="表格字体"/>
    <w:qFormat/>
    <w:uiPriority w:val="0"/>
    <w:pPr>
      <w:keepNext/>
      <w:keepLines/>
      <w:jc w:val="center"/>
    </w:pPr>
    <w:rPr>
      <w:rFonts w:ascii="Times New Roman" w:hAnsi="Times New Roman" w:eastAsia="宋体" w:cs="Times New Roman"/>
      <w:kern w:val="2"/>
      <w:sz w:val="21"/>
      <w:szCs w:val="24"/>
      <w:lang w:val="en-US" w:eastAsia="zh-CN" w:bidi="ar-SA"/>
    </w:rPr>
  </w:style>
  <w:style w:type="paragraph" w:customStyle="1" w:styleId="21">
    <w:name w:val="正文缩进2"/>
    <w:basedOn w:val="1"/>
    <w:qFormat/>
    <w:uiPriority w:val="0"/>
    <w:pPr>
      <w:spacing w:line="360" w:lineRule="auto"/>
      <w:ind w:firstLine="480" w:firstLineChars="200"/>
    </w:pPr>
    <w:rPr>
      <w:color w:val="000000"/>
      <w:sz w:val="18"/>
      <w:szCs w:val="20"/>
    </w:rPr>
  </w:style>
  <w:style w:type="paragraph" w:styleId="22">
    <w:name w:val="List Paragraph"/>
    <w:basedOn w:val="1"/>
    <w:qFormat/>
    <w:uiPriority w:val="1"/>
    <w:rPr>
      <w:lang w:val="zh-CN" w:eastAsia="zh-CN" w:bidi="zh-CN"/>
    </w:rPr>
  </w:style>
  <w:style w:type="paragraph" w:customStyle="1" w:styleId="23">
    <w:name w:val="样式 样式 首行缩进:  2 字符 + 首行缩进:  2 字符"/>
    <w:basedOn w:val="1"/>
    <w:qFormat/>
    <w:uiPriority w:val="0"/>
    <w:pPr>
      <w:spacing w:line="360" w:lineRule="auto"/>
      <w:ind w:firstLine="200" w:firstLineChars="200"/>
    </w:pPr>
    <w:rPr>
      <w:rFonts w:cs="宋体"/>
      <w:szCs w:val="20"/>
    </w:rPr>
  </w:style>
  <w:style w:type="paragraph" w:customStyle="1" w:styleId="24">
    <w:name w:val="表格内容"/>
    <w:basedOn w:val="25"/>
    <w:qFormat/>
    <w:uiPriority w:val="0"/>
    <w:pPr>
      <w:spacing w:line="240" w:lineRule="auto"/>
    </w:pPr>
    <w:rPr>
      <w:rFonts w:eastAsia="楷体_GB2312"/>
      <w:b w:val="0"/>
    </w:rPr>
  </w:style>
  <w:style w:type="paragraph" w:customStyle="1" w:styleId="25">
    <w:name w:val="表格标题"/>
    <w:basedOn w:val="6"/>
    <w:qFormat/>
    <w:uiPriority w:val="0"/>
    <w:pPr>
      <w:spacing w:line="360" w:lineRule="auto"/>
      <w:jc w:val="center"/>
    </w:pPr>
    <w:rPr>
      <w:rFonts w:eastAsia="宋体" w:cs="Arial"/>
      <w:b/>
      <w:sz w:val="21"/>
    </w:rPr>
  </w:style>
  <w:style w:type="paragraph" w:customStyle="1" w:styleId="26">
    <w:name w:val="正文01"/>
    <w:basedOn w:val="1"/>
    <w:qFormat/>
    <w:uiPriority w:val="0"/>
    <w:pPr>
      <w:spacing w:line="360" w:lineRule="auto"/>
      <w:ind w:firstLine="482"/>
    </w:pPr>
    <w:rPr>
      <w:sz w:val="24"/>
      <w:szCs w:val="20"/>
    </w:rPr>
  </w:style>
  <w:style w:type="paragraph" w:customStyle="1" w:styleId="27">
    <w:name w:val="正文-欣欣"/>
    <w:basedOn w:val="1"/>
    <w:next w:val="1"/>
    <w:qFormat/>
    <w:uiPriority w:val="0"/>
    <w:pPr>
      <w:spacing w:line="360" w:lineRule="auto"/>
      <w:ind w:firstLine="480" w:firstLineChars="200"/>
    </w:pPr>
    <w:rPr>
      <w:bCs/>
      <w:sz w:val="24"/>
    </w:rPr>
  </w:style>
  <w:style w:type="paragraph" w:customStyle="1" w:styleId="28">
    <w:name w:val="样式5"/>
    <w:basedOn w:val="29"/>
    <w:qFormat/>
    <w:uiPriority w:val="0"/>
    <w:rPr>
      <w:rFonts w:eastAsia="黑体"/>
      <w:szCs w:val="24"/>
    </w:rPr>
  </w:style>
  <w:style w:type="paragraph" w:customStyle="1" w:styleId="29">
    <w:name w:val="样式4"/>
    <w:basedOn w:val="1"/>
    <w:next w:val="1"/>
    <w:qFormat/>
    <w:uiPriority w:val="0"/>
    <w:pPr>
      <w:spacing w:line="440" w:lineRule="exact"/>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4.wmf"/><Relationship Id="rId31" Type="http://schemas.openxmlformats.org/officeDocument/2006/relationships/oleObject" Target="embeddings/oleObject4.bin"/><Relationship Id="rId30" Type="http://schemas.openxmlformats.org/officeDocument/2006/relationships/image" Target="media/image13.wmf"/><Relationship Id="rId3" Type="http://schemas.openxmlformats.org/officeDocument/2006/relationships/footnotes" Target="footnotes.xml"/><Relationship Id="rId29" Type="http://schemas.openxmlformats.org/officeDocument/2006/relationships/oleObject" Target="embeddings/oleObject3.bin"/><Relationship Id="rId28" Type="http://schemas.openxmlformats.org/officeDocument/2006/relationships/image" Target="media/image12.wmf"/><Relationship Id="rId27" Type="http://schemas.openxmlformats.org/officeDocument/2006/relationships/oleObject" Target="embeddings/oleObject2.bin"/><Relationship Id="rId26" Type="http://schemas.openxmlformats.org/officeDocument/2006/relationships/image" Target="media/image11.png"/><Relationship Id="rId25" Type="http://schemas.openxmlformats.org/officeDocument/2006/relationships/image" Target="media/image10.wmf"/><Relationship Id="rId24" Type="http://schemas.openxmlformats.org/officeDocument/2006/relationships/oleObject" Target="embeddings/oleObject1.bin"/><Relationship Id="rId23" Type="http://schemas.openxmlformats.org/officeDocument/2006/relationships/image" Target="media/image9.jpeg"/><Relationship Id="rId22" Type="http://schemas.openxmlformats.org/officeDocument/2006/relationships/image" Target="media/image8.pn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2021-07-15T07:07:00Z</dcterms:created>
  <dc:creator>天涯</dc:creator>
  <cp:lastModifiedBy>天涯</cp:lastModifiedBy>
  <dcterms:modified xsi:type="dcterms:W3CDTF">2021-07-16T05:51:08Z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1E81308AE0EE46CE9AF59F31243A09AD</vt:lpwstr>
  </property>
</Properties>
</file>