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600" w:lineRule="exact"/>
        <w:jc w:val="center"/>
        <w:rPr>
          <w:rFonts w:eastAsia="方正小标宋简体"/>
          <w:sz w:val="44"/>
          <w:szCs w:val="44"/>
        </w:rPr>
      </w:pPr>
      <w:r>
        <w:rPr>
          <w:rFonts w:hint="eastAsia" w:eastAsia="方正小标宋简体"/>
          <w:sz w:val="44"/>
          <w:szCs w:val="44"/>
          <w:lang w:val="en-US" w:eastAsia="zh-CN"/>
        </w:rPr>
        <w:t>九龙</w:t>
      </w:r>
      <w:r>
        <w:rPr>
          <w:rFonts w:hint="eastAsia" w:eastAsia="方正小标宋简体"/>
          <w:sz w:val="44"/>
          <w:szCs w:val="44"/>
          <w:lang w:eastAsia="zh-CN"/>
        </w:rPr>
        <w:t>县</w:t>
      </w:r>
      <w:r>
        <w:rPr>
          <w:rFonts w:hint="eastAsia" w:eastAsia="方正小标宋简体"/>
          <w:sz w:val="44"/>
          <w:szCs w:val="44"/>
        </w:rPr>
        <w:t>中央生态环境保护督察（</w:t>
      </w:r>
      <w:r>
        <w:rPr>
          <w:rFonts w:hint="eastAsia" w:eastAsia="方正小标宋简体"/>
          <w:sz w:val="44"/>
          <w:szCs w:val="44"/>
          <w:lang w:eastAsia="zh-CN"/>
        </w:rPr>
        <w:t>省</w:t>
      </w:r>
      <w:r>
        <w:rPr>
          <w:rFonts w:hint="eastAsia" w:eastAsia="方正小标宋简体"/>
          <w:sz w:val="44"/>
          <w:szCs w:val="44"/>
        </w:rPr>
        <w:t>整改任务</w:t>
      </w:r>
      <w:r>
        <w:rPr>
          <w:rFonts w:hint="eastAsia" w:eastAsia="方正小标宋简体"/>
          <w:sz w:val="44"/>
          <w:szCs w:val="44"/>
          <w:lang w:val="en-US" w:eastAsia="zh-CN"/>
        </w:rPr>
        <w:t>26项</w:t>
      </w:r>
      <w:r>
        <w:rPr>
          <w:rFonts w:hint="eastAsia" w:eastAsia="方正小标宋简体"/>
          <w:sz w:val="44"/>
          <w:szCs w:val="44"/>
        </w:rPr>
        <w:t>）整改任务完成情况公示表</w:t>
      </w:r>
    </w:p>
    <w:p>
      <w:pPr>
        <w:overflowPunct w:val="0"/>
        <w:topLinePunct/>
        <w:rPr>
          <w:rFonts w:eastAsia="楷体_GB2312"/>
          <w:sz w:val="32"/>
          <w:szCs w:val="32"/>
        </w:rPr>
      </w:pPr>
    </w:p>
    <w:tbl>
      <w:tblPr>
        <w:tblStyle w:val="3"/>
        <w:tblW w:w="8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反馈问题</w:t>
            </w:r>
          </w:p>
          <w:p>
            <w:pPr>
              <w:overflowPunct w:val="0"/>
              <w:topLinePunct/>
              <w:jc w:val="center"/>
              <w:rPr>
                <w:rFonts w:eastAsia="仿宋_GB2312" w:cs="宋体"/>
                <w:kern w:val="0"/>
                <w:sz w:val="32"/>
                <w:szCs w:val="32"/>
              </w:rPr>
            </w:pPr>
            <w:r>
              <w:rPr>
                <w:rFonts w:hint="eastAsia" w:eastAsia="仿宋_GB2312" w:cs="宋体"/>
                <w:kern w:val="0"/>
                <w:sz w:val="32"/>
                <w:szCs w:val="32"/>
              </w:rPr>
              <w:t>（整改任务）</w:t>
            </w:r>
          </w:p>
        </w:tc>
        <w:tc>
          <w:tcPr>
            <w:tcW w:w="6015" w:type="dxa"/>
            <w:shd w:val="clear" w:color="auto" w:fill="auto"/>
          </w:tcPr>
          <w:p>
            <w:pPr>
              <w:overflowPunct w:val="0"/>
              <w:topLinePunct/>
              <w:jc w:val="left"/>
              <w:rPr>
                <w:rFonts w:hint="eastAsia" w:ascii="楷体_GB2312" w:hAnsi="楷体_GB2312" w:eastAsia="楷体_GB2312" w:cs="楷体_GB2312"/>
                <w:kern w:val="0"/>
                <w:sz w:val="36"/>
                <w:szCs w:val="36"/>
                <w:lang w:val="en-US" w:eastAsia="zh-CN"/>
              </w:rPr>
            </w:pPr>
            <w:r>
              <w:rPr>
                <w:rFonts w:hint="eastAsia" w:ascii="楷体_GB2312" w:hAnsi="楷体_GB2312" w:eastAsia="楷体_GB2312" w:cs="楷体_GB2312"/>
                <w:kern w:val="0"/>
                <w:sz w:val="36"/>
                <w:szCs w:val="36"/>
                <w:lang w:eastAsia="zh-CN"/>
              </w:rPr>
              <w:t>省整改任务</w:t>
            </w:r>
            <w:r>
              <w:rPr>
                <w:rFonts w:hint="eastAsia" w:ascii="楷体_GB2312" w:hAnsi="楷体_GB2312" w:eastAsia="楷体_GB2312" w:cs="楷体_GB2312"/>
                <w:kern w:val="0"/>
                <w:sz w:val="36"/>
                <w:szCs w:val="36"/>
                <w:lang w:val="en-US" w:eastAsia="zh-CN"/>
              </w:rPr>
              <w:t>26项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责任单位</w:t>
            </w:r>
          </w:p>
        </w:tc>
        <w:tc>
          <w:tcPr>
            <w:tcW w:w="6015" w:type="dxa"/>
            <w:shd w:val="clear" w:color="auto" w:fill="auto"/>
          </w:tcPr>
          <w:p>
            <w:pPr>
              <w:overflowPunct w:val="0"/>
              <w:topLinePunct/>
              <w:jc w:val="left"/>
              <w:rPr>
                <w:rFonts w:hint="eastAsia" w:ascii="楷体_GB2312" w:hAnsi="楷体_GB2312" w:eastAsia="楷体_GB2312" w:cs="楷体_GB2312"/>
                <w:kern w:val="0"/>
                <w:sz w:val="36"/>
                <w:szCs w:val="36"/>
                <w:lang w:eastAsia="zh-CN"/>
              </w:rPr>
            </w:pPr>
            <w:r>
              <w:rPr>
                <w:rFonts w:hint="eastAsia" w:ascii="楷体_GB2312" w:hAnsi="楷体_GB2312" w:eastAsia="楷体_GB2312" w:cs="楷体_GB2312"/>
                <w:kern w:val="0"/>
                <w:sz w:val="36"/>
                <w:szCs w:val="36"/>
                <w:lang w:eastAsia="zh-CN"/>
              </w:rPr>
              <w:t>九龙县人民政府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责任人</w:t>
            </w:r>
          </w:p>
        </w:tc>
        <w:tc>
          <w:tcPr>
            <w:tcW w:w="6015" w:type="dxa"/>
            <w:shd w:val="clear" w:color="auto" w:fill="auto"/>
          </w:tcPr>
          <w:p>
            <w:pPr>
              <w:overflowPunct w:val="0"/>
              <w:topLinePunct/>
              <w:jc w:val="left"/>
              <w:rPr>
                <w:rFonts w:hint="eastAsia" w:ascii="楷体_GB2312" w:hAnsi="楷体_GB2312" w:eastAsia="楷体_GB2312" w:cs="楷体_GB2312"/>
                <w:kern w:val="0"/>
                <w:sz w:val="36"/>
                <w:szCs w:val="36"/>
                <w:lang w:eastAsia="zh-CN"/>
              </w:rPr>
            </w:pPr>
            <w:r>
              <w:rPr>
                <w:rFonts w:hint="eastAsia" w:ascii="楷体_GB2312" w:hAnsi="楷体_GB2312" w:eastAsia="楷体_GB2312" w:cs="楷体_GB2312"/>
                <w:kern w:val="0"/>
                <w:sz w:val="36"/>
                <w:szCs w:val="36"/>
                <w:lang w:eastAsia="zh-CN"/>
              </w:rPr>
              <w:t>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联系电话</w:t>
            </w:r>
          </w:p>
        </w:tc>
        <w:tc>
          <w:tcPr>
            <w:tcW w:w="6015" w:type="dxa"/>
            <w:shd w:val="clear" w:color="auto" w:fill="auto"/>
          </w:tcPr>
          <w:p>
            <w:pPr>
              <w:overflowPunct w:val="0"/>
              <w:topLinePunct/>
              <w:jc w:val="left"/>
              <w:rPr>
                <w:rFonts w:hint="eastAsia" w:ascii="楷体_GB2312" w:hAnsi="楷体_GB2312" w:eastAsia="楷体_GB2312" w:cs="楷体_GB2312"/>
                <w:kern w:val="0"/>
                <w:sz w:val="36"/>
                <w:szCs w:val="36"/>
                <w:lang w:val="en-US" w:eastAsia="zh-CN"/>
              </w:rPr>
            </w:pPr>
            <w:r>
              <w:rPr>
                <w:rFonts w:hint="eastAsia" w:ascii="楷体_GB2312" w:hAnsi="楷体_GB2312" w:eastAsia="楷体_GB2312" w:cs="楷体_GB2312"/>
                <w:kern w:val="0"/>
                <w:sz w:val="36"/>
                <w:szCs w:val="36"/>
                <w:lang w:val="en-US" w:eastAsia="zh-CN"/>
              </w:rPr>
              <w:t>13709008896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整改目标</w:t>
            </w:r>
          </w:p>
        </w:tc>
        <w:tc>
          <w:tcPr>
            <w:tcW w:w="6015" w:type="dxa"/>
            <w:shd w:val="clear" w:color="auto" w:fill="auto"/>
          </w:tcPr>
          <w:p>
            <w:pPr>
              <w:overflowPunct w:val="0"/>
              <w:topLinePunct/>
              <w:jc w:val="left"/>
              <w:rPr>
                <w:rFonts w:hint="eastAsia" w:ascii="楷体_GB2312" w:hAnsi="楷体_GB2312" w:eastAsia="楷体_GB2312" w:cs="楷体_GB2312"/>
                <w:kern w:val="0"/>
                <w:sz w:val="36"/>
                <w:szCs w:val="36"/>
              </w:rPr>
            </w:pPr>
            <w:r>
              <w:rPr>
                <w:rFonts w:hint="eastAsia" w:ascii="楷体_GB2312" w:hAnsi="楷体_GB2312" w:eastAsia="楷体_GB2312" w:cs="楷体_GB2312"/>
                <w:kern w:val="0"/>
                <w:sz w:val="36"/>
                <w:szCs w:val="36"/>
                <w:lang w:eastAsia="zh-CN"/>
              </w:rPr>
              <w:t>全面完成整改任务，确保城乡生活污水垃圾处理设施建设的资金保障到位。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整改措施</w:t>
            </w:r>
          </w:p>
        </w:tc>
        <w:tc>
          <w:tcPr>
            <w:tcW w:w="6015" w:type="dxa"/>
            <w:shd w:val="clear" w:color="auto" w:fill="auto"/>
          </w:tcPr>
          <w:p>
            <w:pPr>
              <w:overflowPunct w:val="0"/>
              <w:topLinePunct/>
              <w:jc w:val="left"/>
              <w:rPr>
                <w:rFonts w:hint="eastAsia" w:ascii="楷体_GB2312" w:hAnsi="楷体_GB2312" w:eastAsia="楷体_GB2312" w:cs="楷体_GB2312"/>
                <w:kern w:val="0"/>
                <w:sz w:val="24"/>
                <w:szCs w:val="24"/>
              </w:rPr>
            </w:pPr>
            <w:r>
              <w:rPr>
                <w:rFonts w:hint="eastAsia" w:ascii="仿宋_GB2312" w:hAnsi="仿宋_GB2312" w:eastAsia="仿宋_GB2312" w:cs="仿宋_GB2312"/>
                <w:kern w:val="0"/>
                <w:sz w:val="21"/>
                <w:szCs w:val="21"/>
                <w:lang w:val="en-US" w:eastAsia="zh-CN"/>
              </w:rPr>
              <w:t>1.2018年-2020年国家重点生态功能区转移支付资金中的生态环境保护治理资金原则上按不低于50%的比例安排用于城镇污水和城乡垃圾处理设施建设、运营和维护。甘孜州级国家重点生态功能区转移</w:t>
            </w:r>
            <w:bookmarkStart w:id="0" w:name="_GoBack"/>
            <w:bookmarkEnd w:id="0"/>
            <w:r>
              <w:rPr>
                <w:rFonts w:hint="eastAsia" w:ascii="仿宋_GB2312" w:hAnsi="仿宋_GB2312" w:eastAsia="仿宋_GB2312" w:cs="仿宋_GB2312"/>
                <w:kern w:val="0"/>
                <w:sz w:val="21"/>
                <w:szCs w:val="21"/>
                <w:lang w:val="en-US" w:eastAsia="zh-CN"/>
              </w:rPr>
              <w:t>支付资金原则上按不低于50%的比例通过直接补助、激励奖补、营运补贴等方式支持全甘孜州城镇污水和城乡垃圾处理设施建设和运营。2.2018年12月底前完成县城生活污水处理厂建设；2019年12月底前完成县城污水收集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2671" w:type="dxa"/>
            <w:shd w:val="clear" w:color="auto" w:fill="auto"/>
            <w:vAlign w:val="center"/>
          </w:tcPr>
          <w:p>
            <w:pPr>
              <w:overflowPunct w:val="0"/>
              <w:topLinePunct/>
              <w:jc w:val="center"/>
              <w:rPr>
                <w:rFonts w:eastAsia="仿宋_GB2312" w:cs="宋体"/>
                <w:kern w:val="0"/>
                <w:sz w:val="32"/>
                <w:szCs w:val="32"/>
              </w:rPr>
            </w:pPr>
            <w:r>
              <w:rPr>
                <w:rFonts w:hint="eastAsia" w:eastAsia="仿宋_GB2312" w:cs="宋体"/>
                <w:kern w:val="0"/>
                <w:sz w:val="32"/>
                <w:szCs w:val="32"/>
              </w:rPr>
              <w:t>整改主要工作</w:t>
            </w:r>
          </w:p>
          <w:p>
            <w:pPr>
              <w:overflowPunct w:val="0"/>
              <w:topLinePunct/>
              <w:jc w:val="center"/>
              <w:rPr>
                <w:rFonts w:eastAsia="楷体_GB2312"/>
                <w:kern w:val="0"/>
                <w:sz w:val="32"/>
                <w:szCs w:val="32"/>
              </w:rPr>
            </w:pPr>
            <w:r>
              <w:rPr>
                <w:rFonts w:hint="eastAsia" w:eastAsia="仿宋_GB2312" w:cs="宋体"/>
                <w:kern w:val="0"/>
                <w:sz w:val="32"/>
                <w:szCs w:val="32"/>
              </w:rPr>
              <w:t>及成效</w:t>
            </w:r>
          </w:p>
        </w:tc>
        <w:tc>
          <w:tcPr>
            <w:tcW w:w="6015" w:type="dxa"/>
            <w:shd w:val="clear" w:color="auto" w:fill="auto"/>
          </w:tcPr>
          <w:p>
            <w:pPr>
              <w:overflowPunct w:val="0"/>
              <w:topLinePunct/>
              <w:jc w:val="left"/>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lang w:val="en-US" w:eastAsia="zh-CN"/>
              </w:rPr>
              <w:t>1.县财政已按要求安排资金用于城乡生活污水垃圾处理设施建设和运营维护。2.县城生活污水处理厂、县城污水收集管网工程已按期完成并投入运行。有力推进了全县城乡环境治理，改善了人居环境。</w:t>
            </w:r>
          </w:p>
        </w:tc>
      </w:tr>
    </w:tbl>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20163"/>
    <w:rsid w:val="17494EC5"/>
    <w:rsid w:val="50D3145D"/>
    <w:rsid w:val="68C6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开水没温度</cp:lastModifiedBy>
  <dcterms:modified xsi:type="dcterms:W3CDTF">2021-06-15T07:18:10Z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