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eastAsia="方正小标宋简体"/>
          <w:bCs/>
          <w:snapToGrid w:val="0"/>
          <w:color w:val="000000"/>
          <w:spacing w:val="-20"/>
          <w:kern w:val="0"/>
          <w:sz w:val="44"/>
          <w:szCs w:val="44"/>
        </w:rPr>
      </w:pPr>
      <w:r>
        <w:rPr>
          <w:rFonts w:hint="eastAsia" w:eastAsia="方正小标宋简体"/>
          <w:bCs/>
          <w:snapToGrid w:val="0"/>
          <w:color w:val="000000"/>
          <w:spacing w:val="-20"/>
          <w:kern w:val="0"/>
          <w:sz w:val="44"/>
          <w:szCs w:val="44"/>
        </w:rPr>
        <w:t>甘孜</w:t>
      </w:r>
      <w:r>
        <w:rPr>
          <w:rFonts w:eastAsia="方正小标宋简体"/>
          <w:bCs/>
          <w:snapToGrid w:val="0"/>
          <w:color w:val="000000"/>
          <w:spacing w:val="-20"/>
          <w:kern w:val="0"/>
          <w:sz w:val="44"/>
          <w:szCs w:val="44"/>
        </w:rPr>
        <w:t>州城乡</w:t>
      </w:r>
      <w:r>
        <w:rPr>
          <w:rFonts w:hint="eastAsia" w:eastAsia="方正小标宋简体"/>
          <w:bCs/>
          <w:snapToGrid w:val="0"/>
          <w:color w:val="000000"/>
          <w:spacing w:val="-20"/>
          <w:kern w:val="0"/>
          <w:sz w:val="44"/>
          <w:szCs w:val="44"/>
        </w:rPr>
        <w:t>居民</w:t>
      </w:r>
      <w:r>
        <w:rPr>
          <w:rFonts w:eastAsia="方正小标宋简体"/>
          <w:bCs/>
          <w:snapToGrid w:val="0"/>
          <w:color w:val="000000"/>
          <w:spacing w:val="-20"/>
          <w:kern w:val="0"/>
          <w:sz w:val="44"/>
          <w:szCs w:val="44"/>
        </w:rPr>
        <w:t>基本医疗保险实施办法</w:t>
      </w:r>
    </w:p>
    <w:p>
      <w:pPr>
        <w:pStyle w:val="5"/>
        <w:spacing w:line="579" w:lineRule="exact"/>
        <w:jc w:val="center"/>
        <w:textAlignment w:val="baseline"/>
        <w:rPr>
          <w:rFonts w:eastAsia="楷体_GB2312"/>
          <w:sz w:val="32"/>
          <w:szCs w:val="32"/>
        </w:rPr>
      </w:pPr>
      <w:r>
        <w:rPr>
          <w:rFonts w:eastAsia="楷体_GB2312"/>
          <w:sz w:val="32"/>
          <w:szCs w:val="32"/>
        </w:rPr>
        <w:t>（</w:t>
      </w:r>
      <w:r>
        <w:rPr>
          <w:rFonts w:hint="eastAsia" w:eastAsia="楷体_GB2312"/>
          <w:sz w:val="32"/>
          <w:szCs w:val="32"/>
        </w:rPr>
        <w:t>征求意见稿</w:t>
      </w:r>
      <w:r>
        <w:rPr>
          <w:rFonts w:eastAsia="楷体_GB2312"/>
          <w:sz w:val="32"/>
          <w:szCs w:val="32"/>
        </w:rPr>
        <w:t>）</w:t>
      </w:r>
    </w:p>
    <w:p>
      <w:pPr>
        <w:adjustRightInd w:val="0"/>
        <w:snapToGrid w:val="0"/>
        <w:spacing w:line="560" w:lineRule="exact"/>
        <w:jc w:val="center"/>
        <w:rPr>
          <w:rFonts w:eastAsia="楷体_GB2312"/>
          <w:snapToGrid w:val="0"/>
          <w:color w:val="000000"/>
          <w:kern w:val="0"/>
          <w:szCs w:val="32"/>
        </w:rPr>
      </w:pPr>
    </w:p>
    <w:p>
      <w:pPr>
        <w:adjustRightInd w:val="0"/>
        <w:snapToGrid w:val="0"/>
        <w:spacing w:line="540" w:lineRule="exact"/>
        <w:jc w:val="center"/>
        <w:rPr>
          <w:rFonts w:ascii="黑体" w:eastAsia="黑体"/>
          <w:bCs/>
          <w:snapToGrid w:val="0"/>
          <w:color w:val="000000"/>
          <w:kern w:val="0"/>
          <w:sz w:val="32"/>
          <w:szCs w:val="32"/>
          <w:u w:color="FFFFFF"/>
        </w:rPr>
      </w:pPr>
      <w:r>
        <w:rPr>
          <w:rFonts w:hint="eastAsia" w:ascii="黑体" w:eastAsia="黑体"/>
          <w:bCs/>
          <w:snapToGrid w:val="0"/>
          <w:color w:val="000000"/>
          <w:kern w:val="0"/>
          <w:sz w:val="32"/>
          <w:szCs w:val="32"/>
          <w:u w:color="FFFFFF"/>
        </w:rPr>
        <w:t>第一章  总则</w:t>
      </w:r>
    </w:p>
    <w:p>
      <w:pPr>
        <w:adjustRightInd w:val="0"/>
        <w:snapToGrid w:val="0"/>
        <w:spacing w:line="540" w:lineRule="exact"/>
        <w:ind w:firstLine="640" w:firstLineChars="200"/>
        <w:rPr>
          <w:rFonts w:ascii="仿宋_GB2312" w:eastAsia="仿宋_GB2312"/>
          <w:bCs/>
          <w:snapToGrid w:val="0"/>
          <w:color w:val="000000"/>
          <w:kern w:val="0"/>
          <w:sz w:val="32"/>
          <w:szCs w:val="32"/>
          <w:u w:color="FFFFFF"/>
        </w:rPr>
      </w:pPr>
    </w:p>
    <w:p>
      <w:pPr>
        <w:spacing w:line="334" w:lineRule="auto"/>
        <w:ind w:left="3" w:firstLine="635"/>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 xml:space="preserve">第一条 </w:t>
      </w:r>
      <w:r>
        <w:rPr>
          <w:rFonts w:hint="eastAsia" w:ascii="仿宋_GB2312" w:eastAsia="仿宋_GB2312"/>
          <w:bCs/>
          <w:snapToGrid w:val="0"/>
          <w:color w:val="000000"/>
          <w:kern w:val="0"/>
          <w:sz w:val="32"/>
          <w:szCs w:val="32"/>
          <w:u w:color="FFFFFF"/>
        </w:rPr>
        <w:t xml:space="preserve"> 为</w:t>
      </w:r>
      <w:r>
        <w:rPr>
          <w:rFonts w:ascii="仿宋" w:hAnsi="仿宋" w:eastAsia="仿宋" w:cs="仿宋"/>
          <w:spacing w:val="-4"/>
          <w:sz w:val="32"/>
          <w:szCs w:val="32"/>
        </w:rPr>
        <w:t>健全以基本医疗保险为主体</w:t>
      </w:r>
      <w:r>
        <w:rPr>
          <w:rFonts w:hint="eastAsia" w:ascii="仿宋" w:hAnsi="仿宋" w:eastAsia="仿宋" w:cs="仿宋"/>
          <w:spacing w:val="-4"/>
          <w:sz w:val="32"/>
          <w:szCs w:val="32"/>
        </w:rPr>
        <w:t>，大病医疗</w:t>
      </w:r>
      <w:r>
        <w:rPr>
          <w:rFonts w:ascii="仿宋" w:hAnsi="仿宋" w:eastAsia="仿宋" w:cs="仿宋"/>
          <w:spacing w:val="-4"/>
          <w:sz w:val="32"/>
          <w:szCs w:val="32"/>
        </w:rPr>
        <w:t>保</w:t>
      </w:r>
      <w:r>
        <w:rPr>
          <w:rFonts w:ascii="仿宋" w:hAnsi="仿宋" w:eastAsia="仿宋" w:cs="仿宋"/>
          <w:spacing w:val="-12"/>
          <w:sz w:val="32"/>
          <w:szCs w:val="32"/>
        </w:rPr>
        <w:t>险</w:t>
      </w:r>
      <w:r>
        <w:rPr>
          <w:rFonts w:hint="eastAsia" w:ascii="仿宋" w:hAnsi="仿宋" w:eastAsia="仿宋" w:cs="仿宋"/>
          <w:spacing w:val="-12"/>
          <w:sz w:val="32"/>
          <w:szCs w:val="32"/>
        </w:rPr>
        <w:t>为补充，医疗救助为托底的</w:t>
      </w:r>
      <w:r>
        <w:rPr>
          <w:rFonts w:ascii="仿宋" w:hAnsi="仿宋" w:eastAsia="仿宋" w:cs="仿宋"/>
          <w:spacing w:val="-12"/>
          <w:sz w:val="32"/>
          <w:szCs w:val="32"/>
        </w:rPr>
        <w:t>医疗保障体系</w:t>
      </w:r>
      <w:r>
        <w:rPr>
          <w:rFonts w:hint="eastAsia" w:ascii="仿宋" w:hAnsi="仿宋" w:eastAsia="仿宋" w:cs="仿宋"/>
          <w:spacing w:val="-12"/>
          <w:sz w:val="32"/>
          <w:szCs w:val="32"/>
        </w:rPr>
        <w:t>，</w:t>
      </w:r>
      <w:r>
        <w:rPr>
          <w:rFonts w:hint="eastAsia" w:ascii="仿宋_GB2312" w:eastAsia="仿宋_GB2312"/>
          <w:bCs/>
          <w:snapToGrid w:val="0"/>
          <w:color w:val="000000"/>
          <w:kern w:val="0"/>
          <w:sz w:val="32"/>
          <w:szCs w:val="32"/>
          <w:u w:color="FFFFFF"/>
        </w:rPr>
        <w:t>实现“人人享有基本医疗保障”的目标，进一步完善城乡居民基本医疗保险制度,提升我州城乡统筹管理水平，根据《中华人民共和国社会保险法》、《中共中央、国务院关于深化医疗保障制度改革的意见》（中发〔2020〕5号）等相关规定，结合实际，制定本办法。</w:t>
      </w:r>
    </w:p>
    <w:p>
      <w:pPr>
        <w:adjustRightInd w:val="0"/>
        <w:snapToGrid w:val="0"/>
        <w:spacing w:line="540" w:lineRule="exact"/>
        <w:ind w:firstLine="643" w:firstLineChars="200"/>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第二条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Cs/>
          <w:snapToGrid w:val="0"/>
          <w:color w:val="000000"/>
          <w:kern w:val="0"/>
          <w:sz w:val="32"/>
          <w:szCs w:val="32"/>
          <w:u w:color="FFFFFF"/>
        </w:rPr>
        <w:t>城乡居民基本医疗保险（以下简称城乡医保）遵循以下原则。</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（一）广覆盖、保基本、可持续；</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（二）筹资标准和保障水平与经济社会发展水平相适应；</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（三）以收定支，收支平衡，略有结余；</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（四）权利与义务相对应；</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（五）个人缴费和政府补助相结合。</w:t>
      </w:r>
    </w:p>
    <w:p>
      <w:pPr>
        <w:adjustRightInd w:val="0"/>
        <w:snapToGrid w:val="0"/>
        <w:spacing w:line="540" w:lineRule="exact"/>
        <w:ind w:firstLine="643" w:firstLineChars="200"/>
      </w:pPr>
      <w:r>
        <w:rPr>
          <w:rFonts w:hint="eastAsia" w:ascii="楷体_GB2312" w:eastAsia="楷体_GB2312"/>
          <w:b/>
          <w:bCs/>
          <w:snapToGrid w:val="0"/>
          <w:color w:val="000000"/>
          <w:kern w:val="0"/>
          <w:sz w:val="32"/>
          <w:szCs w:val="32"/>
          <w:u w:color="FFFFFF"/>
        </w:rPr>
        <w:t>第三条</w:t>
      </w:r>
      <w:r>
        <w:rPr>
          <w:rFonts w:hint="eastAsia" w:ascii="仿宋_GB2312" w:eastAsia="仿宋_GB2312"/>
          <w:bCs/>
          <w:snapToGrid w:val="0"/>
          <w:color w:val="000000"/>
          <w:kern w:val="0"/>
          <w:sz w:val="32"/>
          <w:szCs w:val="32"/>
          <w:u w:color="FFFFFF"/>
        </w:rPr>
        <w:t xml:space="preserve">  城乡医保实行“六统一”管理，即统一参保范围、统一筹资标准、统一保障待遇、统一医保目录、统一定点管理、统一基金管理。</w:t>
      </w:r>
    </w:p>
    <w:p>
      <w:pPr>
        <w:adjustRightInd w:val="0"/>
        <w:snapToGrid w:val="0"/>
        <w:spacing w:line="540" w:lineRule="exact"/>
        <w:ind w:firstLine="1920" w:firstLineChars="600"/>
        <w:rPr>
          <w:rFonts w:ascii="黑体" w:eastAsia="黑体"/>
          <w:bCs/>
          <w:snapToGrid w:val="0"/>
          <w:color w:val="000000"/>
          <w:kern w:val="0"/>
          <w:sz w:val="32"/>
          <w:szCs w:val="32"/>
          <w:u w:color="FFFFFF"/>
        </w:rPr>
      </w:pPr>
    </w:p>
    <w:p>
      <w:pPr>
        <w:adjustRightInd w:val="0"/>
        <w:snapToGrid w:val="0"/>
        <w:spacing w:line="540" w:lineRule="exact"/>
        <w:ind w:firstLine="1920" w:firstLineChars="600"/>
        <w:rPr>
          <w:rFonts w:ascii="黑体" w:eastAsia="黑体"/>
          <w:bCs/>
          <w:snapToGrid w:val="0"/>
          <w:color w:val="000000"/>
          <w:kern w:val="0"/>
          <w:sz w:val="32"/>
          <w:szCs w:val="32"/>
          <w:u w:color="FFFFFF"/>
        </w:rPr>
      </w:pPr>
      <w:r>
        <w:rPr>
          <w:rFonts w:hint="eastAsia" w:ascii="黑体" w:eastAsia="黑体"/>
          <w:bCs/>
          <w:snapToGrid w:val="0"/>
          <w:color w:val="000000"/>
          <w:kern w:val="0"/>
          <w:sz w:val="32"/>
          <w:szCs w:val="32"/>
          <w:u w:color="FFFFFF"/>
        </w:rPr>
        <w:t xml:space="preserve">第二章  </w:t>
      </w:r>
      <w:r>
        <w:rPr>
          <w:rFonts w:hint="eastAsia" w:ascii="黑体" w:hAnsi="宋体" w:eastAsia="黑体"/>
          <w:kern w:val="0"/>
          <w:sz w:val="32"/>
          <w:szCs w:val="20"/>
        </w:rPr>
        <w:t>参保范围及基金筹集</w:t>
      </w:r>
    </w:p>
    <w:p>
      <w:pPr>
        <w:adjustRightInd w:val="0"/>
        <w:snapToGrid w:val="0"/>
        <w:spacing w:line="540" w:lineRule="exact"/>
        <w:ind w:firstLine="643" w:firstLineChars="200"/>
        <w:rPr>
          <w:rFonts w:ascii="仿宋_GB2312" w:eastAsia="仿宋_GB2312"/>
          <w:b/>
          <w:bCs/>
          <w:snapToGrid w:val="0"/>
          <w:color w:val="000000"/>
          <w:kern w:val="0"/>
          <w:sz w:val="32"/>
          <w:szCs w:val="32"/>
          <w:u w:color="FFFFFF"/>
        </w:rPr>
      </w:pPr>
    </w:p>
    <w:p>
      <w:pPr>
        <w:spacing w:before="104" w:line="187" w:lineRule="auto"/>
        <w:ind w:firstLine="650"/>
        <w:rPr>
          <w:rFonts w:ascii="仿宋" w:hAnsi="仿宋" w:eastAsia="仿宋" w:cs="仿宋"/>
          <w:sz w:val="32"/>
          <w:szCs w:val="32"/>
        </w:rPr>
      </w:pPr>
      <w:r>
        <w:rPr>
          <w:rFonts w:hint="eastAsia" w:ascii="楷体_GB2312" w:eastAsia="楷体_GB2312"/>
          <w:b/>
          <w:bCs/>
          <w:snapToGrid w:val="0"/>
          <w:color w:val="000000"/>
          <w:kern w:val="0"/>
          <w:sz w:val="32"/>
          <w:szCs w:val="32"/>
          <w:u w:color="FFFFFF"/>
        </w:rPr>
        <w:t>第四条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Cs/>
          <w:snapToGrid w:val="0"/>
          <w:color w:val="000000"/>
          <w:kern w:val="0"/>
          <w:sz w:val="32"/>
          <w:szCs w:val="32"/>
          <w:u w:color="FFFFFF"/>
        </w:rPr>
        <w:t>城乡医保</w:t>
      </w:r>
      <w:r>
        <w:rPr>
          <w:rFonts w:hint="eastAsia" w:ascii="仿宋_GB2312" w:hAnsi="宋体" w:eastAsia="仿宋_GB2312"/>
          <w:spacing w:val="6"/>
          <w:kern w:val="0"/>
          <w:sz w:val="32"/>
          <w:szCs w:val="20"/>
        </w:rPr>
        <w:t>的参保范围。</w:t>
      </w:r>
    </w:p>
    <w:p>
      <w:pPr>
        <w:spacing w:line="560" w:lineRule="exact"/>
        <w:ind w:firstLine="640" w:firstLineChars="200"/>
        <w:textAlignment w:val="baseline"/>
        <w:rPr>
          <w:rFonts w:ascii="仿宋_GB2312" w:hAnsi="宋体" w:eastAsia="仿宋_GB2312"/>
          <w:kern w:val="0"/>
          <w:sz w:val="32"/>
          <w:szCs w:val="20"/>
        </w:rPr>
      </w:pPr>
      <w:r>
        <w:rPr>
          <w:rFonts w:hint="eastAsia" w:ascii="仿宋_GB2312" w:hAnsi="宋体" w:eastAsia="仿宋_GB2312"/>
          <w:kern w:val="0"/>
          <w:sz w:val="32"/>
          <w:szCs w:val="20"/>
        </w:rPr>
        <w:t>（一）具有甘孜州户籍，未纳入城镇职工基本医疗保险制度覆盖范围的城乡居民；</w:t>
      </w:r>
    </w:p>
    <w:p>
      <w:pPr>
        <w:spacing w:line="560" w:lineRule="exact"/>
        <w:ind w:firstLine="640" w:firstLineChars="200"/>
        <w:textAlignment w:val="baseline"/>
        <w:rPr>
          <w:rFonts w:ascii="仿宋_GB2312" w:hAnsi="宋体" w:eastAsia="仿宋_GB2312"/>
          <w:kern w:val="0"/>
          <w:sz w:val="32"/>
          <w:szCs w:val="20"/>
        </w:rPr>
      </w:pPr>
      <w:r>
        <w:rPr>
          <w:rFonts w:hint="eastAsia" w:ascii="仿宋_GB2312" w:hAnsi="宋体" w:eastAsia="仿宋_GB2312"/>
          <w:kern w:val="0"/>
          <w:sz w:val="32"/>
          <w:szCs w:val="20"/>
        </w:rPr>
        <w:t>（二）甘孜州各高校、中等职业技术学校、中小学校及幼儿园在校（园）学生和少年儿童；</w:t>
      </w:r>
    </w:p>
    <w:p>
      <w:pPr>
        <w:spacing w:line="560" w:lineRule="exact"/>
        <w:ind w:firstLine="640" w:firstLineChars="200"/>
        <w:textAlignment w:val="baseline"/>
        <w:rPr>
          <w:rFonts w:ascii="仿宋_GB2312" w:hAnsi="宋体" w:eastAsia="仿宋_GB2312"/>
          <w:kern w:val="0"/>
          <w:sz w:val="32"/>
          <w:szCs w:val="20"/>
        </w:rPr>
      </w:pPr>
      <w:r>
        <w:rPr>
          <w:rFonts w:hint="eastAsia" w:ascii="仿宋_GB2312" w:hAnsi="宋体" w:eastAsia="仿宋_GB2312"/>
          <w:kern w:val="0"/>
          <w:sz w:val="32"/>
          <w:szCs w:val="20"/>
        </w:rPr>
        <w:t>（三）未在异地参加基本医疗保险且在甘孜州长期居住的，未参加城镇职工基本医疗保险的人员。</w:t>
      </w:r>
    </w:p>
    <w:p>
      <w:pPr>
        <w:adjustRightInd w:val="0"/>
        <w:snapToGrid w:val="0"/>
        <w:spacing w:line="540" w:lineRule="exact"/>
        <w:ind w:firstLine="643" w:firstLineChars="200"/>
        <w:rPr>
          <w:rFonts w:ascii="仿宋_GB2312" w:eastAsia="仿宋_GB2312"/>
          <w:snapToGrid w:val="0"/>
          <w:color w:val="000000"/>
          <w:kern w:val="0"/>
          <w:sz w:val="32"/>
          <w:szCs w:val="32"/>
          <w:u w:color="FFFFFF"/>
        </w:rPr>
      </w:pPr>
      <w:r>
        <w:rPr>
          <w:rFonts w:hint="eastAsia" w:ascii="楷体_GB2312" w:hAnsi="宋体" w:eastAsia="楷体_GB2312"/>
          <w:b/>
          <w:bCs/>
          <w:kern w:val="0"/>
          <w:sz w:val="32"/>
          <w:szCs w:val="20"/>
        </w:rPr>
        <w:t xml:space="preserve">第五条  </w:t>
      </w:r>
      <w:r>
        <w:rPr>
          <w:rFonts w:hint="eastAsia" w:ascii="仿宋_GB2312" w:hAnsi="宋体" w:eastAsia="仿宋_GB2312"/>
          <w:kern w:val="0"/>
          <w:sz w:val="32"/>
          <w:szCs w:val="20"/>
        </w:rPr>
        <w:t>城乡医保历史参保人员无关系变更的，不再做参保登记，按续保管理；</w:t>
      </w:r>
      <w:r>
        <w:rPr>
          <w:rFonts w:hint="eastAsia" w:ascii="仿宋_GB2312" w:hAnsi="宋体" w:eastAsia="仿宋_GB2312"/>
          <w:color w:val="000000"/>
          <w:kern w:val="0"/>
          <w:sz w:val="32"/>
          <w:szCs w:val="20"/>
        </w:rPr>
        <w:t>新</w:t>
      </w:r>
      <w:r>
        <w:rPr>
          <w:rFonts w:hint="eastAsia" w:ascii="仿宋_GB2312" w:eastAsia="仿宋_GB2312"/>
          <w:snapToGrid w:val="0"/>
          <w:color w:val="000000"/>
          <w:kern w:val="0"/>
          <w:sz w:val="32"/>
          <w:szCs w:val="32"/>
          <w:u w:color="FFFFFF"/>
        </w:rPr>
        <w:t>参保人员按下列规定办理参保登记。</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（一）城乡居民原则在户籍所在地、居住地的乡镇人民政府（村委会、社区）办理参保登记。</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（二）在校学生可由学校到所在县（市）医疗保障经办机构办理登记。</w:t>
      </w:r>
    </w:p>
    <w:p>
      <w:pPr>
        <w:adjustRightInd w:val="0"/>
        <w:snapToGrid w:val="0"/>
        <w:spacing w:line="540" w:lineRule="exact"/>
        <w:ind w:firstLine="640" w:firstLineChars="200"/>
        <w:rPr>
          <w:rFonts w:ascii="仿宋_GB2312" w:eastAsia="仿宋_GB2312"/>
          <w:snapToGrid w:val="0"/>
          <w:kern w:val="0"/>
          <w:sz w:val="32"/>
          <w:szCs w:val="32"/>
          <w:u w:color="FFFFFF"/>
        </w:rPr>
      </w:pPr>
      <w:r>
        <w:rPr>
          <w:rFonts w:hint="eastAsia" w:ascii="仿宋_GB2312" w:eastAsia="仿宋_GB2312"/>
          <w:snapToGrid w:val="0"/>
          <w:color w:val="000000"/>
          <w:kern w:val="0"/>
          <w:sz w:val="32"/>
          <w:szCs w:val="32"/>
          <w:u w:color="FFFFFF"/>
        </w:rPr>
        <w:t>（三）寺庙登记僧尼可由所在寺庙管理委员会到所在县</w:t>
      </w:r>
      <w:r>
        <w:rPr>
          <w:rFonts w:hint="eastAsia" w:ascii="仿宋_GB2312" w:eastAsia="仿宋_GB2312"/>
          <w:snapToGrid w:val="0"/>
          <w:kern w:val="0"/>
          <w:sz w:val="32"/>
          <w:szCs w:val="32"/>
          <w:u w:color="FFFFFF"/>
        </w:rPr>
        <w:t>（市）医疗保障经办机构办理登记。</w:t>
      </w:r>
    </w:p>
    <w:p>
      <w:pPr>
        <w:pStyle w:val="2"/>
        <w:ind w:left="0" w:leftChars="0" w:firstLine="640"/>
      </w:pPr>
      <w:r>
        <w:rPr>
          <w:rFonts w:hint="eastAsia" w:ascii="仿宋_GB2312" w:eastAsia="仿宋_GB2312"/>
          <w:snapToGrid w:val="0"/>
          <w:kern w:val="0"/>
          <w:sz w:val="32"/>
          <w:szCs w:val="32"/>
          <w:u w:color="FFFFFF"/>
        </w:rPr>
        <w:t>（四）被征地城乡居民参加城乡医保的，由征地主体部门按照规定办理参保登记。</w:t>
      </w:r>
    </w:p>
    <w:p>
      <w:pPr>
        <w:adjustRightInd w:val="0"/>
        <w:snapToGrid w:val="0"/>
        <w:spacing w:line="540" w:lineRule="exact"/>
        <w:ind w:firstLine="643" w:firstLineChars="200"/>
      </w:pPr>
      <w:r>
        <w:rPr>
          <w:rFonts w:hint="eastAsia" w:ascii="楷体_GB2312" w:eastAsia="楷体_GB2312"/>
          <w:b/>
          <w:bCs/>
          <w:snapToGrid w:val="0"/>
          <w:kern w:val="0"/>
          <w:sz w:val="32"/>
          <w:szCs w:val="32"/>
          <w:u w:color="FFFFFF"/>
        </w:rPr>
        <w:t>第六条</w:t>
      </w:r>
      <w:r>
        <w:rPr>
          <w:rFonts w:hint="eastAsia" w:ascii="仿宋_GB2312" w:eastAsia="仿宋_GB2312"/>
          <w:snapToGrid w:val="0"/>
          <w:kern w:val="0"/>
          <w:sz w:val="32"/>
          <w:szCs w:val="32"/>
          <w:u w:color="FFFFFF"/>
        </w:rPr>
        <w:t xml:space="preserve">  城乡居民办理新参保登记手续，填报《城乡居民基本医疗保险参保登记表》，同时提供户口簿（居住证）复印件或身份证复印件1份，未及时办理户口登记的新生婴儿需提供出生医学证明书。</w:t>
      </w:r>
    </w:p>
    <w:p>
      <w:pPr>
        <w:adjustRightInd w:val="0"/>
        <w:snapToGrid w:val="0"/>
        <w:spacing w:line="540" w:lineRule="exact"/>
        <w:ind w:firstLine="643" w:firstLineChars="200"/>
        <w:rPr>
          <w:rFonts w:ascii="仿宋_GB2312" w:eastAsia="仿宋_GB2312"/>
          <w:snapToGrid w:val="0"/>
          <w:kern w:val="0"/>
          <w:sz w:val="32"/>
          <w:szCs w:val="32"/>
          <w:u w:color="FFFFFF"/>
        </w:rPr>
      </w:pPr>
      <w:r>
        <w:rPr>
          <w:rFonts w:hint="eastAsia" w:ascii="楷体_GB2312" w:eastAsia="楷体_GB2312"/>
          <w:b/>
          <w:bCs/>
          <w:snapToGrid w:val="0"/>
          <w:kern w:val="0"/>
          <w:sz w:val="32"/>
          <w:szCs w:val="32"/>
          <w:u w:color="FFFFFF"/>
        </w:rPr>
        <w:t>第七条</w:t>
      </w:r>
      <w:r>
        <w:rPr>
          <w:rFonts w:hint="eastAsia" w:ascii="仿宋_GB2312" w:eastAsia="仿宋_GB2312"/>
          <w:b/>
          <w:bCs/>
          <w:snapToGrid w:val="0"/>
          <w:kern w:val="0"/>
          <w:sz w:val="32"/>
          <w:szCs w:val="32"/>
          <w:u w:color="FFFFFF"/>
        </w:rPr>
        <w:t xml:space="preserve">  </w:t>
      </w:r>
      <w:r>
        <w:rPr>
          <w:rFonts w:hint="eastAsia" w:ascii="仿宋_GB2312" w:eastAsia="仿宋_GB2312"/>
          <w:snapToGrid w:val="0"/>
          <w:kern w:val="0"/>
          <w:sz w:val="32"/>
          <w:szCs w:val="32"/>
          <w:u w:color="FFFFFF"/>
        </w:rPr>
        <w:t>具有本州户籍的特殊困难群体，由户籍所在地乡（镇）人民政府（村委会、社区）根据当年民政、残联、退役军人和乡村振兴等部门按职能审核确认的困难补助名单进行身份确认，优先办理参保登记手续。</w:t>
      </w:r>
    </w:p>
    <w:p>
      <w:pPr>
        <w:spacing w:line="560" w:lineRule="exact"/>
        <w:ind w:firstLine="643" w:firstLineChars="200"/>
        <w:textAlignment w:val="baseline"/>
        <w:rPr>
          <w:rFonts w:ascii="仿宋_GB2312" w:hAnsi="宋体" w:eastAsia="仿宋_GB2312"/>
          <w:kern w:val="0"/>
          <w:sz w:val="32"/>
          <w:szCs w:val="20"/>
        </w:rPr>
      </w:pPr>
      <w:r>
        <w:rPr>
          <w:rFonts w:hint="eastAsia" w:ascii="楷体_GB2312" w:eastAsia="楷体_GB2312"/>
          <w:b/>
          <w:bCs/>
          <w:snapToGrid w:val="0"/>
          <w:kern w:val="0"/>
          <w:sz w:val="32"/>
          <w:szCs w:val="32"/>
          <w:u w:color="FFFFFF"/>
        </w:rPr>
        <w:t xml:space="preserve">第八条  </w:t>
      </w:r>
      <w:r>
        <w:rPr>
          <w:rFonts w:hint="eastAsia" w:ascii="仿宋_GB2312" w:hAnsi="宋体" w:eastAsia="仿宋_GB2312"/>
          <w:kern w:val="0"/>
          <w:sz w:val="32"/>
          <w:szCs w:val="20"/>
        </w:rPr>
        <w:t>城乡医保基金筹资渠道。</w:t>
      </w:r>
    </w:p>
    <w:p>
      <w:pPr>
        <w:adjustRightInd w:val="0"/>
        <w:snapToGrid w:val="0"/>
        <w:spacing w:line="540" w:lineRule="exact"/>
        <w:ind w:firstLine="640" w:firstLineChars="200"/>
        <w:rPr>
          <w:rFonts w:ascii="仿宋_GB2312" w:eastAsia="仿宋_GB2312"/>
          <w:bCs/>
          <w:snapToGrid w:val="0"/>
          <w:kern w:val="0"/>
          <w:sz w:val="32"/>
          <w:szCs w:val="32"/>
          <w:u w:color="FFFFFF"/>
        </w:rPr>
      </w:pPr>
      <w:r>
        <w:rPr>
          <w:rFonts w:hint="eastAsia" w:ascii="仿宋_GB2312" w:eastAsia="仿宋_GB2312"/>
          <w:bCs/>
          <w:snapToGrid w:val="0"/>
          <w:kern w:val="0"/>
          <w:sz w:val="32"/>
          <w:szCs w:val="32"/>
          <w:u w:color="FFFFFF"/>
        </w:rPr>
        <w:t>（一）财政补助收入；</w:t>
      </w:r>
    </w:p>
    <w:p>
      <w:pPr>
        <w:adjustRightInd w:val="0"/>
        <w:snapToGrid w:val="0"/>
        <w:spacing w:line="540" w:lineRule="exact"/>
        <w:ind w:firstLine="640" w:firstLineChars="200"/>
        <w:rPr>
          <w:rFonts w:ascii="仿宋_GB2312" w:eastAsia="仿宋_GB2312"/>
          <w:bCs/>
          <w:snapToGrid w:val="0"/>
          <w:kern w:val="0"/>
          <w:sz w:val="32"/>
          <w:szCs w:val="32"/>
          <w:u w:color="FFFFFF"/>
        </w:rPr>
      </w:pPr>
      <w:r>
        <w:rPr>
          <w:rFonts w:hint="eastAsia" w:ascii="仿宋_GB2312" w:eastAsia="仿宋_GB2312"/>
          <w:bCs/>
          <w:snapToGrid w:val="0"/>
          <w:kern w:val="0"/>
          <w:sz w:val="32"/>
          <w:szCs w:val="32"/>
          <w:u w:color="FFFFFF"/>
        </w:rPr>
        <w:t>（二）个人缴费收入；</w:t>
      </w:r>
    </w:p>
    <w:p>
      <w:pPr>
        <w:adjustRightInd w:val="0"/>
        <w:snapToGrid w:val="0"/>
        <w:spacing w:line="540" w:lineRule="exact"/>
        <w:ind w:firstLine="640" w:firstLineChars="200"/>
        <w:rPr>
          <w:rFonts w:ascii="仿宋_GB2312" w:eastAsia="仿宋_GB2312"/>
          <w:bCs/>
          <w:snapToGrid w:val="0"/>
          <w:color w:val="000000"/>
          <w:kern w:val="0"/>
          <w:sz w:val="32"/>
          <w:szCs w:val="32"/>
          <w:u w:color="FFFFFF"/>
        </w:rPr>
      </w:pPr>
      <w:r>
        <w:rPr>
          <w:rFonts w:hint="eastAsia" w:ascii="仿宋_GB2312" w:eastAsia="仿宋_GB2312"/>
          <w:bCs/>
          <w:snapToGrid w:val="0"/>
          <w:color w:val="000000"/>
          <w:kern w:val="0"/>
          <w:sz w:val="32"/>
          <w:szCs w:val="32"/>
          <w:u w:color="FFFFFF"/>
        </w:rPr>
        <w:t>（三）利息收入；</w:t>
      </w:r>
    </w:p>
    <w:p>
      <w:pPr>
        <w:spacing w:line="560" w:lineRule="exact"/>
        <w:ind w:firstLine="640" w:firstLineChars="200"/>
        <w:textAlignment w:val="baseline"/>
        <w:rPr>
          <w:rFonts w:ascii="仿宋_GB2312" w:eastAsia="仿宋_GB2312"/>
          <w:bCs/>
          <w:snapToGrid w:val="0"/>
          <w:color w:val="000000"/>
          <w:kern w:val="0"/>
          <w:sz w:val="32"/>
          <w:szCs w:val="32"/>
          <w:u w:color="FFFFFF"/>
        </w:rPr>
      </w:pPr>
      <w:r>
        <w:rPr>
          <w:rFonts w:hint="eastAsia" w:ascii="仿宋_GB2312" w:eastAsia="仿宋_GB2312"/>
          <w:bCs/>
          <w:snapToGrid w:val="0"/>
          <w:color w:val="000000"/>
          <w:kern w:val="0"/>
          <w:sz w:val="32"/>
          <w:szCs w:val="32"/>
          <w:u w:color="FFFFFF"/>
        </w:rPr>
        <w:t>（四）其他收入。</w:t>
      </w:r>
    </w:p>
    <w:p>
      <w:pPr>
        <w:spacing w:line="560" w:lineRule="exact"/>
        <w:ind w:firstLine="643" w:firstLineChars="200"/>
        <w:textAlignment w:val="baseline"/>
        <w:rPr>
          <w:rFonts w:ascii="仿宋_GB2312" w:hAnsi="宋体" w:eastAsia="仿宋_GB2312"/>
          <w:spacing w:val="2"/>
          <w:kern w:val="0"/>
          <w:sz w:val="32"/>
          <w:szCs w:val="32"/>
        </w:rPr>
      </w:pPr>
      <w:r>
        <w:rPr>
          <w:rFonts w:hint="eastAsia" w:ascii="楷体_GB2312" w:eastAsia="楷体_GB2312"/>
          <w:b/>
          <w:bCs/>
          <w:snapToGrid w:val="0"/>
          <w:color w:val="000000"/>
          <w:kern w:val="0"/>
          <w:sz w:val="32"/>
          <w:szCs w:val="32"/>
          <w:u w:color="FFFFFF"/>
        </w:rPr>
        <w:t xml:space="preserve">第九条  </w:t>
      </w:r>
      <w:r>
        <w:rPr>
          <w:rFonts w:hint="eastAsia" w:ascii="仿宋_GB2312" w:hAnsi="宋体" w:eastAsia="仿宋_GB2312"/>
          <w:kern w:val="0"/>
          <w:sz w:val="32"/>
          <w:szCs w:val="32"/>
        </w:rPr>
        <w:t>财政补助收入由中央和省、州、县（市）财政补助构成。除中央和省财政补助外，剩余部分按</w:t>
      </w:r>
      <w:r>
        <w:rPr>
          <w:rFonts w:hint="eastAsia" w:ascii="仿宋_GB2312" w:hAnsi="宋体" w:eastAsia="仿宋_GB2312"/>
          <w:spacing w:val="2"/>
          <w:kern w:val="0"/>
          <w:sz w:val="32"/>
          <w:szCs w:val="32"/>
        </w:rPr>
        <w:t>州级财政承担20%、县（市）级财政承担80</w:t>
      </w:r>
      <w:r>
        <w:rPr>
          <w:rFonts w:ascii="仿宋_GB2312" w:hAnsi="宋体" w:eastAsia="仿宋_GB2312"/>
          <w:spacing w:val="2"/>
          <w:kern w:val="0"/>
          <w:sz w:val="32"/>
          <w:szCs w:val="32"/>
        </w:rPr>
        <w:t>%</w:t>
      </w:r>
      <w:r>
        <w:rPr>
          <w:rFonts w:hint="eastAsia" w:ascii="仿宋_GB2312" w:hAnsi="宋体" w:eastAsia="仿宋_GB2312"/>
          <w:spacing w:val="6"/>
          <w:kern w:val="0"/>
          <w:sz w:val="32"/>
          <w:szCs w:val="32"/>
        </w:rPr>
        <w:t>纳入同级财政</w:t>
      </w:r>
      <w:r>
        <w:rPr>
          <w:rFonts w:hint="eastAsia" w:ascii="仿宋_GB2312" w:hAnsi="宋体" w:eastAsia="仿宋_GB2312"/>
          <w:kern w:val="0"/>
          <w:sz w:val="32"/>
          <w:szCs w:val="32"/>
        </w:rPr>
        <w:t>年度</w:t>
      </w:r>
      <w:r>
        <w:rPr>
          <w:rFonts w:hint="eastAsia" w:ascii="仿宋_GB2312" w:hAnsi="宋体" w:eastAsia="仿宋_GB2312"/>
          <w:spacing w:val="6"/>
          <w:kern w:val="0"/>
          <w:sz w:val="32"/>
          <w:szCs w:val="32"/>
        </w:rPr>
        <w:t>预算。</w:t>
      </w:r>
    </w:p>
    <w:p>
      <w:pPr>
        <w:spacing w:line="360" w:lineRule="auto"/>
        <w:ind w:firstLine="643" w:firstLineChars="200"/>
        <w:contextualSpacing/>
        <w:rPr>
          <w:rFonts w:ascii="楷体_GB2312" w:hAnsi="宋体" w:eastAsia="楷体_GB2312"/>
          <w:kern w:val="0"/>
          <w:sz w:val="32"/>
          <w:szCs w:val="32"/>
        </w:rPr>
      </w:pPr>
      <w:r>
        <w:rPr>
          <w:rFonts w:hint="eastAsia" w:ascii="楷体_GB2312" w:hAnsi="宋体" w:eastAsia="楷体_GB2312"/>
          <w:b/>
          <w:bCs/>
          <w:kern w:val="0"/>
          <w:sz w:val="32"/>
          <w:szCs w:val="32"/>
        </w:rPr>
        <w:t>第十条</w:t>
      </w:r>
      <w:r>
        <w:rPr>
          <w:rFonts w:hint="eastAsia" w:ascii="楷体_GB2312" w:hAnsi="宋体" w:eastAsia="楷体_GB2312"/>
          <w:color w:val="auto"/>
          <w:kern w:val="0"/>
          <w:sz w:val="32"/>
          <w:szCs w:val="32"/>
        </w:rPr>
        <w:t xml:space="preserve"> </w:t>
      </w:r>
      <w:r>
        <w:rPr>
          <w:rFonts w:hint="eastAsia" w:ascii="楷体_GB2312" w:hAnsi="宋体" w:eastAsia="楷体_GB2312"/>
          <w:color w:val="auto"/>
          <w:kern w:val="0"/>
          <w:sz w:val="32"/>
          <w:szCs w:val="32"/>
          <w:lang w:val="en-US" w:eastAsia="zh-CN"/>
        </w:rPr>
        <w:t xml:space="preserve"> </w:t>
      </w:r>
      <w:r>
        <w:rPr>
          <w:rFonts w:hint="eastAsia" w:ascii="仿宋_GB2312" w:eastAsia="仿宋_GB2312"/>
          <w:color w:val="auto"/>
          <w:sz w:val="32"/>
          <w:szCs w:val="32"/>
        </w:rPr>
        <w:t>城乡居民基本医疗保险筹资标准分设两个档次（含政府补助），第一档按照国家规定的最低筹资标准执行；第二档在第一档的基础上每人每年增加200元，城乡居民可根据自身经济条件和医疗保障需求任选一档。</w:t>
      </w:r>
    </w:p>
    <w:p>
      <w:pPr>
        <w:adjustRightInd w:val="0"/>
        <w:snapToGrid w:val="0"/>
        <w:spacing w:line="540" w:lineRule="exact"/>
        <w:ind w:firstLine="640" w:firstLineChars="200"/>
        <w:rPr>
          <w:rFonts w:ascii="仿宋_GB2312" w:hAnsi="宋体" w:eastAsia="仿宋_GB2312"/>
          <w:b/>
          <w:bCs/>
          <w:spacing w:val="2"/>
          <w:kern w:val="0"/>
          <w:sz w:val="32"/>
          <w:szCs w:val="32"/>
        </w:rPr>
      </w:pPr>
      <w:r>
        <w:rPr>
          <w:rFonts w:hint="eastAsia" w:ascii="仿宋_GB2312" w:eastAsia="仿宋_GB2312"/>
          <w:bCs/>
          <w:snapToGrid w:val="0"/>
          <w:color w:val="000000"/>
          <w:kern w:val="0"/>
          <w:sz w:val="32"/>
          <w:szCs w:val="32"/>
          <w:u w:color="FFFFFF"/>
        </w:rPr>
        <w:t>城乡医保个人筹资标准</w:t>
      </w:r>
      <w:r>
        <w:rPr>
          <w:rFonts w:hint="eastAsia" w:ascii="仿宋_GB2312" w:eastAsia="仿宋_GB2312"/>
          <w:snapToGrid w:val="0"/>
          <w:color w:val="000000"/>
          <w:kern w:val="0"/>
          <w:sz w:val="32"/>
          <w:szCs w:val="32"/>
          <w:u w:color="FFFFFF"/>
        </w:rPr>
        <w:t>由州医疗保障部门会同州财政部门</w:t>
      </w:r>
      <w:r>
        <w:rPr>
          <w:rFonts w:hint="eastAsia" w:ascii="仿宋_GB2312" w:eastAsia="仿宋_GB2312"/>
          <w:bCs/>
          <w:snapToGrid w:val="0"/>
          <w:color w:val="000000"/>
          <w:kern w:val="0"/>
          <w:sz w:val="32"/>
          <w:szCs w:val="32"/>
          <w:u w:color="FFFFFF"/>
        </w:rPr>
        <w:t>按照国家规定的最低筹资标准</w:t>
      </w:r>
      <w:r>
        <w:rPr>
          <w:rFonts w:hint="eastAsia" w:ascii="仿宋_GB2312" w:eastAsia="仿宋_GB2312"/>
          <w:snapToGrid w:val="0"/>
          <w:color w:val="000000"/>
          <w:kern w:val="0"/>
          <w:sz w:val="32"/>
          <w:szCs w:val="32"/>
          <w:u w:color="FFFFFF"/>
        </w:rPr>
        <w:t>向社会公布后执行。</w:t>
      </w:r>
    </w:p>
    <w:p>
      <w:pPr>
        <w:spacing w:line="560" w:lineRule="exact"/>
        <w:ind w:firstLine="620" w:firstLineChars="193"/>
        <w:textAlignment w:val="baseline"/>
        <w:rPr>
          <w:rFonts w:ascii="楷体_GB2312" w:hAnsi="宋体" w:eastAsia="楷体_GB2312"/>
          <w:kern w:val="0"/>
          <w:sz w:val="32"/>
          <w:szCs w:val="32"/>
        </w:rPr>
      </w:pPr>
      <w:r>
        <w:rPr>
          <w:rFonts w:hint="eastAsia" w:ascii="楷体_GB2312" w:hAnsi="宋体" w:eastAsia="楷体_GB2312"/>
          <w:b/>
          <w:bCs/>
          <w:kern w:val="0"/>
          <w:sz w:val="32"/>
          <w:szCs w:val="32"/>
        </w:rPr>
        <w:t>第十一条</w:t>
      </w:r>
      <w:r>
        <w:rPr>
          <w:rFonts w:ascii="楷体_GB2312" w:hAnsi="宋体" w:eastAsia="楷体_GB2312"/>
          <w:b/>
          <w:bCs/>
          <w:kern w:val="0"/>
          <w:sz w:val="32"/>
          <w:szCs w:val="32"/>
        </w:rPr>
        <w:t xml:space="preserve"> </w:t>
      </w:r>
      <w:r>
        <w:rPr>
          <w:rFonts w:hint="eastAsia" w:ascii="楷体_GB2312" w:hAnsi="宋体" w:eastAsia="楷体_GB2312"/>
          <w:b/>
          <w:bCs/>
          <w:kern w:val="0"/>
          <w:sz w:val="32"/>
          <w:szCs w:val="32"/>
        </w:rPr>
        <w:t xml:space="preserve"> </w:t>
      </w:r>
      <w:r>
        <w:rPr>
          <w:rFonts w:hint="eastAsia" w:ascii="仿宋_GB2312" w:eastAsia="仿宋_GB2312"/>
          <w:bCs/>
          <w:snapToGrid w:val="0"/>
          <w:color w:val="000000"/>
          <w:kern w:val="0"/>
          <w:sz w:val="32"/>
          <w:szCs w:val="32"/>
          <w:u w:color="FFFFFF"/>
        </w:rPr>
        <w:t>城乡医保</w:t>
      </w:r>
      <w:r>
        <w:rPr>
          <w:rFonts w:hint="eastAsia" w:ascii="仿宋_GB2312" w:eastAsia="仿宋_GB2312"/>
          <w:snapToGrid w:val="0"/>
          <w:color w:val="000000"/>
          <w:kern w:val="0"/>
          <w:sz w:val="32"/>
          <w:szCs w:val="32"/>
          <w:u w:color="FFFFFF"/>
        </w:rPr>
        <w:t>个人缴费。</w:t>
      </w:r>
    </w:p>
    <w:p>
      <w:pPr>
        <w:spacing w:line="560" w:lineRule="exact"/>
        <w:ind w:firstLine="640" w:firstLineChars="200"/>
        <w:textAlignment w:val="baseline"/>
        <w:rPr>
          <w:rFonts w:ascii="仿宋_GB2312" w:hAnsi="宋体" w:eastAsia="仿宋_GB2312"/>
          <w:kern w:val="0"/>
          <w:sz w:val="32"/>
          <w:szCs w:val="20"/>
        </w:rPr>
      </w:pPr>
      <w:r>
        <w:rPr>
          <w:rFonts w:hint="eastAsia" w:ascii="仿宋_GB2312" w:hAnsi="宋体" w:eastAsia="仿宋_GB2312"/>
          <w:kern w:val="0"/>
          <w:sz w:val="32"/>
          <w:szCs w:val="20"/>
        </w:rPr>
        <w:t>（一）</w:t>
      </w:r>
      <w:r>
        <w:rPr>
          <w:rFonts w:hint="eastAsia" w:ascii="仿宋_GB2312" w:eastAsia="仿宋_GB2312"/>
          <w:snapToGrid w:val="0"/>
          <w:color w:val="000000"/>
          <w:kern w:val="0"/>
          <w:sz w:val="32"/>
          <w:szCs w:val="32"/>
          <w:u w:color="FFFFFF"/>
        </w:rPr>
        <w:t>城乡医保实行按年度一次性参保缴费，</w:t>
      </w:r>
      <w:r>
        <w:rPr>
          <w:rFonts w:hint="eastAsia" w:ascii="仿宋_GB2312" w:hAnsi="宋体" w:eastAsia="仿宋_GB2312"/>
          <w:kern w:val="0"/>
          <w:sz w:val="32"/>
          <w:szCs w:val="20"/>
        </w:rPr>
        <w:t>参保缴费时间以税务系统记录的缴费时间为准。每年集中缴费期为上年9月1日至当年</w:t>
      </w:r>
      <w:r>
        <w:rPr>
          <w:rFonts w:ascii="仿宋_GB2312" w:hAnsi="宋体" w:eastAsia="仿宋_GB2312"/>
          <w:kern w:val="0"/>
          <w:sz w:val="32"/>
          <w:szCs w:val="20"/>
        </w:rPr>
        <w:t>3</w:t>
      </w:r>
      <w:r>
        <w:rPr>
          <w:rFonts w:hint="eastAsia" w:ascii="仿宋_GB2312" w:hAnsi="宋体" w:eastAsia="仿宋_GB2312"/>
          <w:kern w:val="0"/>
          <w:sz w:val="32"/>
          <w:szCs w:val="20"/>
        </w:rPr>
        <w:t>月</w:t>
      </w:r>
      <w:r>
        <w:rPr>
          <w:rFonts w:ascii="仿宋_GB2312" w:hAnsi="宋体" w:eastAsia="仿宋_GB2312"/>
          <w:kern w:val="0"/>
          <w:sz w:val="32"/>
          <w:szCs w:val="20"/>
        </w:rPr>
        <w:t>31</w:t>
      </w:r>
      <w:r>
        <w:rPr>
          <w:rFonts w:hint="eastAsia" w:ascii="仿宋_GB2312" w:hAnsi="宋体" w:eastAsia="仿宋_GB2312"/>
          <w:kern w:val="0"/>
          <w:sz w:val="32"/>
          <w:szCs w:val="20"/>
        </w:rPr>
        <w:t>日，参保缴费后，当年</w:t>
      </w:r>
      <w:r>
        <w:rPr>
          <w:rFonts w:ascii="仿宋_GB2312" w:hAnsi="宋体" w:eastAsia="仿宋_GB2312"/>
          <w:kern w:val="0"/>
          <w:sz w:val="32"/>
          <w:szCs w:val="20"/>
        </w:rPr>
        <w:t>1</w:t>
      </w:r>
      <w:r>
        <w:rPr>
          <w:rFonts w:hint="eastAsia" w:ascii="仿宋_GB2312" w:hAnsi="宋体" w:eastAsia="仿宋_GB2312"/>
          <w:kern w:val="0"/>
          <w:sz w:val="32"/>
          <w:szCs w:val="20"/>
        </w:rPr>
        <w:t>月</w:t>
      </w:r>
      <w:r>
        <w:rPr>
          <w:rFonts w:ascii="仿宋_GB2312" w:hAnsi="宋体" w:eastAsia="仿宋_GB2312"/>
          <w:kern w:val="0"/>
          <w:sz w:val="32"/>
          <w:szCs w:val="20"/>
        </w:rPr>
        <w:t>1</w:t>
      </w:r>
      <w:r>
        <w:rPr>
          <w:rFonts w:hint="eastAsia" w:ascii="仿宋_GB2312" w:hAnsi="宋体" w:eastAsia="仿宋_GB2312"/>
          <w:kern w:val="0"/>
          <w:sz w:val="32"/>
          <w:szCs w:val="20"/>
        </w:rPr>
        <w:t>日至</w:t>
      </w:r>
      <w:r>
        <w:rPr>
          <w:rFonts w:ascii="仿宋_GB2312" w:hAnsi="宋体" w:eastAsia="仿宋_GB2312"/>
          <w:kern w:val="0"/>
          <w:sz w:val="32"/>
          <w:szCs w:val="20"/>
        </w:rPr>
        <w:t>12</w:t>
      </w:r>
      <w:r>
        <w:rPr>
          <w:rFonts w:hint="eastAsia" w:ascii="仿宋_GB2312" w:hAnsi="宋体" w:eastAsia="仿宋_GB2312"/>
          <w:kern w:val="0"/>
          <w:sz w:val="32"/>
          <w:szCs w:val="20"/>
        </w:rPr>
        <w:t>月</w:t>
      </w:r>
      <w:r>
        <w:rPr>
          <w:rFonts w:ascii="仿宋_GB2312" w:hAnsi="宋体" w:eastAsia="仿宋_GB2312"/>
          <w:kern w:val="0"/>
          <w:sz w:val="32"/>
          <w:szCs w:val="20"/>
        </w:rPr>
        <w:t>31</w:t>
      </w:r>
      <w:r>
        <w:rPr>
          <w:rFonts w:hint="eastAsia" w:ascii="仿宋_GB2312" w:hAnsi="宋体" w:eastAsia="仿宋_GB2312"/>
          <w:kern w:val="0"/>
          <w:sz w:val="32"/>
          <w:szCs w:val="20"/>
        </w:rPr>
        <w:t>日享受基本医疗保险待遇。</w:t>
      </w:r>
    </w:p>
    <w:p>
      <w:pPr>
        <w:spacing w:line="560" w:lineRule="exact"/>
        <w:ind w:firstLine="617" w:firstLineChars="193"/>
        <w:textAlignment w:val="baseline"/>
        <w:rPr>
          <w:rFonts w:ascii="仿宋_GB2312" w:hAnsi="宋体" w:eastAsia="仿宋_GB2312"/>
          <w:kern w:val="0"/>
          <w:sz w:val="32"/>
          <w:szCs w:val="20"/>
        </w:rPr>
      </w:pPr>
      <w:r>
        <w:rPr>
          <w:rFonts w:hint="eastAsia" w:ascii="仿宋_GB2312" w:hAnsi="宋体" w:eastAsia="仿宋_GB2312"/>
          <w:kern w:val="0"/>
          <w:sz w:val="32"/>
          <w:szCs w:val="20"/>
        </w:rPr>
        <w:t>（二）对</w:t>
      </w:r>
      <w:r>
        <w:rPr>
          <w:rFonts w:hint="eastAsia" w:ascii="仿宋_GB2312" w:hAnsi="仿宋_GB2312" w:eastAsia="仿宋_GB2312" w:cs="仿宋_GB2312"/>
          <w:kern w:val="21"/>
          <w:sz w:val="32"/>
          <w:szCs w:val="32"/>
        </w:rPr>
        <w:t>特困人员、孤儿、低保对象、防止返贫监测对象</w:t>
      </w:r>
      <w:r>
        <w:rPr>
          <w:rFonts w:hint="eastAsia" w:ascii="仿宋_GB2312" w:hAnsi="宋体" w:eastAsia="仿宋_GB2312"/>
          <w:kern w:val="0"/>
          <w:sz w:val="32"/>
          <w:szCs w:val="20"/>
        </w:rPr>
        <w:t>参保个人缴费部分给予补助，补助标准按相关规定执行；对</w:t>
      </w:r>
      <w:r>
        <w:rPr>
          <w:rFonts w:hint="eastAsia" w:ascii="仿宋_GB2312" w:hAnsi="仿宋_GB2312" w:eastAsia="仿宋_GB2312" w:cs="仿宋_GB2312"/>
          <w:sz w:val="32"/>
          <w:szCs w:val="32"/>
        </w:rPr>
        <w:t>重度残疾人、优抚对象</w:t>
      </w:r>
      <w:r>
        <w:rPr>
          <w:rFonts w:hint="eastAsia" w:ascii="仿宋_GB2312" w:hAnsi="宋体" w:eastAsia="仿宋_GB2312"/>
          <w:kern w:val="0"/>
          <w:sz w:val="32"/>
          <w:szCs w:val="20"/>
        </w:rPr>
        <w:t>参保个人缴费部分</w:t>
      </w:r>
      <w:r>
        <w:rPr>
          <w:rFonts w:hint="eastAsia" w:ascii="仿宋_GB2312" w:hAnsi="仿宋_GB2312" w:eastAsia="仿宋_GB2312" w:cs="仿宋_GB2312"/>
          <w:sz w:val="32"/>
          <w:szCs w:val="32"/>
        </w:rPr>
        <w:t>按公布的</w:t>
      </w:r>
      <w:r>
        <w:rPr>
          <w:rFonts w:hint="eastAsia" w:ascii="仿宋_GB2312" w:eastAsia="仿宋_GB2312"/>
          <w:bCs/>
          <w:snapToGrid w:val="0"/>
          <w:kern w:val="0"/>
          <w:sz w:val="32"/>
          <w:szCs w:val="32"/>
          <w:u w:color="FFFFFF"/>
        </w:rPr>
        <w:t>城乡医保个人筹资标准给予补助。</w:t>
      </w:r>
      <w:r>
        <w:rPr>
          <w:rFonts w:hint="eastAsia" w:ascii="仿宋_GB2312" w:hAnsi="宋体" w:eastAsia="仿宋_GB2312"/>
          <w:kern w:val="0"/>
          <w:sz w:val="32"/>
          <w:szCs w:val="20"/>
        </w:rPr>
        <w:t>同时具备享受政府资助两种及以上身份的特殊困难群体，按就高不就低的标准享受一次政府补助。</w:t>
      </w:r>
    </w:p>
    <w:p>
      <w:pPr>
        <w:spacing w:line="560" w:lineRule="exact"/>
        <w:ind w:firstLine="617" w:firstLineChars="193"/>
        <w:textAlignment w:val="baseline"/>
        <w:rPr>
          <w:rFonts w:ascii="仿宋_GB2312" w:hAnsi="宋体" w:eastAsia="仿宋_GB2312"/>
          <w:color w:val="auto"/>
          <w:kern w:val="0"/>
          <w:sz w:val="32"/>
          <w:szCs w:val="20"/>
        </w:rPr>
      </w:pPr>
      <w:bookmarkStart w:id="0" w:name="_GoBack"/>
      <w:r>
        <w:rPr>
          <w:rFonts w:hint="eastAsia" w:ascii="仿宋_GB2312" w:hAnsi="宋体" w:eastAsia="仿宋_GB2312"/>
          <w:color w:val="auto"/>
          <w:kern w:val="0"/>
          <w:sz w:val="32"/>
          <w:szCs w:val="20"/>
        </w:rPr>
        <w:t>（三）新生儿原则上出生后90日内参加城乡医保的,从出生之日起享受对应参保年度医疗保险待遇;出生当年超过90日参加城乡医保的,自参保缴费之日起享受医保待遇。</w:t>
      </w:r>
    </w:p>
    <w:bookmarkEnd w:id="0"/>
    <w:p>
      <w:pPr>
        <w:spacing w:line="560" w:lineRule="exact"/>
        <w:ind w:firstLine="617" w:firstLineChars="193"/>
        <w:textAlignment w:val="baseline"/>
        <w:rPr>
          <w:rFonts w:ascii="楷体_GB2312" w:hAnsi="宋体" w:eastAsia="楷体_GB2312"/>
          <w:kern w:val="0"/>
          <w:sz w:val="32"/>
          <w:szCs w:val="20"/>
        </w:rPr>
      </w:pPr>
      <w:r>
        <w:rPr>
          <w:rFonts w:hint="eastAsia" w:ascii="仿宋_GB2312" w:hAnsi="宋体" w:eastAsia="仿宋_GB2312"/>
          <w:kern w:val="0"/>
          <w:sz w:val="32"/>
          <w:szCs w:val="20"/>
        </w:rPr>
        <w:t>（四）保险年度内因与单位解除劳动关系、享受失业保险待遇期满、复原退伍、刑满释放（含社区矫正</w:t>
      </w:r>
      <w:r>
        <w:rPr>
          <w:rFonts w:hint="eastAsia" w:ascii="仿宋_GB2312" w:eastAsia="仿宋_GB2312"/>
          <w:snapToGrid w:val="0"/>
          <w:color w:val="000000" w:themeColor="text1"/>
          <w:kern w:val="0"/>
          <w:sz w:val="32"/>
          <w:szCs w:val="32"/>
          <w14:textFill>
            <w14:solidFill>
              <w14:schemeClr w14:val="tx1"/>
            </w14:solidFill>
          </w14:textFill>
        </w:rPr>
        <w:t>对象）、特殊困难群体动态调整对象等特殊原因需在集中缴费期外缴费的，自参保缴费之日起享受医疗待遇</w:t>
      </w:r>
      <w:r>
        <w:rPr>
          <w:rFonts w:hint="eastAsia" w:ascii="楷体_GB2312" w:hAnsi="宋体" w:eastAsia="楷体_GB2312"/>
          <w:kern w:val="0"/>
          <w:sz w:val="32"/>
          <w:szCs w:val="20"/>
        </w:rPr>
        <w:t>。</w:t>
      </w:r>
    </w:p>
    <w:p>
      <w:pPr>
        <w:spacing w:line="560" w:lineRule="exact"/>
        <w:ind w:firstLine="643" w:firstLineChars="200"/>
        <w:rPr>
          <w:rFonts w:eastAsia="仿宋_GB2312"/>
          <w:color w:val="FF0000"/>
          <w:u w:val="single"/>
        </w:rPr>
      </w:pPr>
      <w:r>
        <w:rPr>
          <w:rFonts w:hint="eastAsia" w:ascii="楷体_GB2312" w:hAnsi="宋体" w:eastAsia="楷体_GB2312"/>
          <w:b/>
          <w:bCs/>
          <w:kern w:val="0"/>
          <w:sz w:val="32"/>
          <w:szCs w:val="20"/>
        </w:rPr>
        <w:t xml:space="preserve">第十二条  </w:t>
      </w:r>
      <w:r>
        <w:rPr>
          <w:rFonts w:hint="eastAsia" w:ascii="仿宋_GB2312" w:eastAsia="仿宋_GB2312"/>
          <w:snapToGrid w:val="0"/>
          <w:color w:val="000000"/>
          <w:kern w:val="0"/>
          <w:sz w:val="32"/>
          <w:szCs w:val="32"/>
          <w:u w:color="FFFFFF"/>
        </w:rPr>
        <w:t>续保和已办理新参保登记的城乡居民（以下简称参保人员）可根据税务部门提供的缴费渠道自主选择参保缴费方式。除社区、村（组）、学校代收外，可到参保关系所在地办税服务大厅社保窗口申报缴纳，也可通过银行代收、微信、“甘孜税务”微信公众号、支付宝、移动pos机、“四川税务”手机APP、四川省电子税务局等线上渠道缴费。</w:t>
      </w:r>
    </w:p>
    <w:p>
      <w:pPr>
        <w:adjustRightInd w:val="0"/>
        <w:snapToGrid w:val="0"/>
        <w:spacing w:line="540" w:lineRule="exact"/>
        <w:ind w:firstLine="640" w:firstLineChars="200"/>
        <w:jc w:val="center"/>
        <w:rPr>
          <w:rFonts w:ascii="黑体" w:eastAsia="黑体"/>
          <w:bCs/>
          <w:snapToGrid w:val="0"/>
          <w:color w:val="000000"/>
          <w:kern w:val="0"/>
          <w:sz w:val="32"/>
          <w:szCs w:val="32"/>
          <w:u w:color="FFFFFF"/>
        </w:rPr>
      </w:pPr>
      <w:r>
        <w:rPr>
          <w:rFonts w:hint="eastAsia" w:ascii="黑体" w:eastAsia="黑体"/>
          <w:bCs/>
          <w:snapToGrid w:val="0"/>
          <w:color w:val="000000"/>
          <w:kern w:val="0"/>
          <w:sz w:val="32"/>
          <w:szCs w:val="32"/>
          <w:u w:color="FFFFFF"/>
        </w:rPr>
        <w:t>第三章  关系转移和变更</w:t>
      </w:r>
    </w:p>
    <w:p>
      <w:pPr>
        <w:adjustRightInd w:val="0"/>
        <w:snapToGrid w:val="0"/>
        <w:spacing w:line="540" w:lineRule="exact"/>
        <w:ind w:firstLine="643" w:firstLineChars="200"/>
        <w:jc w:val="left"/>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第十三条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
          <w:bCs/>
          <w:snapToGrid w:val="0"/>
          <w:kern w:val="0"/>
          <w:sz w:val="32"/>
          <w:szCs w:val="32"/>
          <w:u w:color="FFFFFF"/>
        </w:rPr>
        <w:t xml:space="preserve"> </w:t>
      </w:r>
      <w:r>
        <w:rPr>
          <w:rFonts w:hint="eastAsia" w:ascii="仿宋_GB2312" w:eastAsia="仿宋_GB2312"/>
          <w:snapToGrid w:val="0"/>
          <w:kern w:val="0"/>
          <w:sz w:val="32"/>
          <w:szCs w:val="32"/>
          <w:u w:color="FFFFFF"/>
        </w:rPr>
        <w:t>参保人员的户籍、学籍在我州境内跨县（市）转移并连续参保缴费的，转入地连续计算缴费年限；</w:t>
      </w:r>
      <w:r>
        <w:rPr>
          <w:rFonts w:hint="eastAsia" w:ascii="仿宋_GB2312" w:eastAsia="仿宋_GB2312"/>
          <w:snapToGrid w:val="0"/>
          <w:color w:val="000000"/>
          <w:kern w:val="0"/>
          <w:sz w:val="32"/>
          <w:szCs w:val="32"/>
          <w:u w:color="FFFFFF"/>
        </w:rPr>
        <w:t>城乡医保和职工医保关系可相互转移接续，相互转接后，仍保留其原参保缴费记录。城乡医保转入职工医保的最低缴费年限按照职工医保规定执行。</w:t>
      </w:r>
    </w:p>
    <w:p>
      <w:pPr>
        <w:adjustRightInd w:val="0"/>
        <w:snapToGrid w:val="0"/>
        <w:spacing w:line="540" w:lineRule="exact"/>
        <w:ind w:firstLine="643" w:firstLineChars="200"/>
        <w:jc w:val="left"/>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第十四条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snapToGrid w:val="0"/>
          <w:kern w:val="0"/>
          <w:sz w:val="32"/>
          <w:szCs w:val="32"/>
          <w:u w:color="FFFFFF"/>
        </w:rPr>
        <w:t>参保人员因参保状态发生变更的，由本人、乡镇人民政府（村委会、社区）、学校或</w:t>
      </w:r>
      <w:r>
        <w:rPr>
          <w:rFonts w:hint="eastAsia" w:ascii="仿宋_GB2312" w:eastAsia="仿宋_GB2312"/>
          <w:snapToGrid w:val="0"/>
          <w:color w:val="000000"/>
          <w:kern w:val="0"/>
          <w:sz w:val="32"/>
          <w:szCs w:val="32"/>
          <w:u w:color="FFFFFF"/>
        </w:rPr>
        <w:t>寺庙管理委员会</w:t>
      </w:r>
      <w:r>
        <w:rPr>
          <w:rFonts w:hint="eastAsia" w:ascii="仿宋_GB2312" w:eastAsia="仿宋_GB2312"/>
          <w:snapToGrid w:val="0"/>
          <w:kern w:val="0"/>
          <w:sz w:val="32"/>
          <w:szCs w:val="32"/>
          <w:u w:color="FFFFFF"/>
        </w:rPr>
        <w:t>及时办理变更。</w:t>
      </w:r>
    </w:p>
    <w:p>
      <w:pPr>
        <w:adjustRightInd w:val="0"/>
        <w:snapToGrid w:val="0"/>
        <w:spacing w:line="540" w:lineRule="exact"/>
        <w:ind w:firstLine="640" w:firstLineChars="200"/>
        <w:jc w:val="left"/>
        <w:rPr>
          <w:rFonts w:ascii="仿宋_GB2312" w:eastAsia="仿宋_GB2312"/>
          <w:snapToGrid w:val="0"/>
          <w:color w:val="000000"/>
          <w:kern w:val="0"/>
          <w:sz w:val="32"/>
          <w:szCs w:val="32"/>
          <w:u w:color="FFFFFF"/>
        </w:rPr>
      </w:pPr>
      <w:r>
        <w:rPr>
          <w:rFonts w:hint="eastAsia" w:ascii="仿宋_GB2312" w:eastAsia="仿宋_GB2312"/>
          <w:snapToGrid w:val="0"/>
          <w:kern w:val="0"/>
          <w:sz w:val="32"/>
          <w:szCs w:val="32"/>
          <w:u w:color="FFFFFF"/>
        </w:rPr>
        <w:t>参保人员死亡后，由家属、乡镇人民政府（村委会、社区）、学校或</w:t>
      </w:r>
      <w:r>
        <w:rPr>
          <w:rFonts w:hint="eastAsia" w:ascii="仿宋_GB2312" w:eastAsia="仿宋_GB2312"/>
          <w:snapToGrid w:val="0"/>
          <w:color w:val="000000"/>
          <w:kern w:val="0"/>
          <w:sz w:val="32"/>
          <w:szCs w:val="32"/>
          <w:u w:color="FFFFFF"/>
        </w:rPr>
        <w:t>寺庙管理委员会</w:t>
      </w:r>
      <w:r>
        <w:rPr>
          <w:rFonts w:hint="eastAsia" w:ascii="仿宋_GB2312" w:eastAsia="仿宋_GB2312"/>
          <w:snapToGrid w:val="0"/>
          <w:kern w:val="0"/>
          <w:sz w:val="32"/>
          <w:szCs w:val="32"/>
          <w:u w:color="FFFFFF"/>
        </w:rPr>
        <w:t>及时办理终止医保关系。</w:t>
      </w:r>
    </w:p>
    <w:p>
      <w:pPr>
        <w:adjustRightInd w:val="0"/>
        <w:snapToGrid w:val="0"/>
        <w:spacing w:line="540" w:lineRule="exact"/>
        <w:ind w:firstLine="640" w:firstLineChars="200"/>
        <w:jc w:val="left"/>
        <w:rPr>
          <w:rFonts w:ascii="仿宋_GB2312" w:hAnsi="仿宋_GB2312" w:eastAsia="仿宋_GB2312" w:cs="仿宋_GB2312"/>
          <w:color w:val="000000"/>
          <w:sz w:val="32"/>
          <w:szCs w:val="32"/>
        </w:rPr>
      </w:pPr>
    </w:p>
    <w:p>
      <w:pPr>
        <w:adjustRightInd w:val="0"/>
        <w:snapToGrid w:val="0"/>
        <w:spacing w:line="540" w:lineRule="exact"/>
        <w:jc w:val="center"/>
        <w:rPr>
          <w:rFonts w:ascii="黑体" w:eastAsia="黑体"/>
          <w:bCs/>
          <w:snapToGrid w:val="0"/>
          <w:color w:val="000000"/>
          <w:kern w:val="0"/>
          <w:sz w:val="32"/>
          <w:szCs w:val="32"/>
          <w:u w:color="FFFFFF"/>
        </w:rPr>
      </w:pPr>
      <w:r>
        <w:rPr>
          <w:rFonts w:hint="eastAsia" w:ascii="黑体" w:eastAsia="黑体"/>
          <w:bCs/>
          <w:snapToGrid w:val="0"/>
          <w:color w:val="000000"/>
          <w:kern w:val="0"/>
          <w:sz w:val="32"/>
          <w:szCs w:val="32"/>
          <w:u w:color="FFFFFF"/>
        </w:rPr>
        <w:t>第四章  医疗保险待遇</w:t>
      </w:r>
    </w:p>
    <w:p>
      <w:pPr>
        <w:adjustRightInd w:val="0"/>
        <w:snapToGrid w:val="0"/>
        <w:spacing w:line="540" w:lineRule="exact"/>
        <w:ind w:firstLine="643" w:firstLineChars="200"/>
        <w:rPr>
          <w:rFonts w:ascii="仿宋_GB2312" w:eastAsia="仿宋_GB2312"/>
          <w:b/>
          <w:bCs/>
          <w:snapToGrid w:val="0"/>
          <w:color w:val="000000"/>
          <w:kern w:val="0"/>
          <w:sz w:val="32"/>
          <w:szCs w:val="32"/>
          <w:u w:color="FFFFFF"/>
        </w:rPr>
      </w:pPr>
    </w:p>
    <w:p>
      <w:pPr>
        <w:adjustRightInd w:val="0"/>
        <w:snapToGrid w:val="0"/>
        <w:spacing w:line="540" w:lineRule="exact"/>
        <w:ind w:firstLine="643" w:firstLineChars="200"/>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 xml:space="preserve">第十五条 </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Cs/>
          <w:snapToGrid w:val="0"/>
          <w:color w:val="000000"/>
          <w:kern w:val="0"/>
          <w:sz w:val="32"/>
          <w:szCs w:val="32"/>
          <w:u w:color="FFFFFF"/>
        </w:rPr>
        <w:t>城乡医保待遇支付标准按照</w:t>
      </w:r>
      <w:r>
        <w:rPr>
          <w:rFonts w:hint="eastAsia" w:ascii="仿宋_GB2312" w:hAnsi="仿宋_GB2312" w:eastAsia="仿宋_GB2312" w:cs="仿宋_GB2312"/>
          <w:bCs/>
          <w:kern w:val="0"/>
          <w:sz w:val="32"/>
          <w:szCs w:val="32"/>
        </w:rPr>
        <w:t>国家、省、州基</w:t>
      </w:r>
      <w:r>
        <w:rPr>
          <w:rFonts w:hint="eastAsia" w:ascii="仿宋_GB2312" w:hAnsi="仿宋_GB2312" w:eastAsia="仿宋_GB2312" w:cs="仿宋_GB2312"/>
          <w:bCs/>
          <w:color w:val="000000" w:themeColor="text1"/>
          <w:kern w:val="0"/>
          <w:sz w:val="32"/>
          <w:szCs w:val="32"/>
          <w14:textFill>
            <w14:solidFill>
              <w14:schemeClr w14:val="tx1"/>
            </w14:solidFill>
          </w14:textFill>
        </w:rPr>
        <w:t>本医疗保险药品目录、</w:t>
      </w:r>
      <w:r>
        <w:rPr>
          <w:rFonts w:hint="eastAsia" w:ascii="仿宋_GB2312" w:eastAsia="仿宋_GB2312"/>
          <w:bCs/>
          <w:snapToGrid w:val="0"/>
          <w:color w:val="000000"/>
          <w:kern w:val="0"/>
          <w:sz w:val="32"/>
          <w:szCs w:val="32"/>
          <w:u w:color="FFFFFF"/>
        </w:rPr>
        <w:t>诊疗项目、医疗服务设施标准等相关规定执行。</w:t>
      </w:r>
    </w:p>
    <w:p>
      <w:pPr>
        <w:adjustRightInd w:val="0"/>
        <w:snapToGrid w:val="0"/>
        <w:spacing w:line="540" w:lineRule="exact"/>
        <w:ind w:firstLine="643" w:firstLineChars="200"/>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第十六条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snapToGrid w:val="0"/>
          <w:color w:val="000000"/>
          <w:kern w:val="0"/>
          <w:sz w:val="32"/>
          <w:szCs w:val="32"/>
          <w:u w:color="FFFFFF"/>
        </w:rPr>
        <w:t>城乡医保基金支付范围。</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（一）住院医疗待遇；</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（二）生育医疗待遇；</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（三）门诊特殊疾病医疗待遇；</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（四）门诊统筹医疗待遇；</w:t>
      </w:r>
    </w:p>
    <w:p>
      <w:pPr>
        <w:adjustRightInd w:val="0"/>
        <w:snapToGrid w:val="0"/>
        <w:spacing w:line="540" w:lineRule="exact"/>
        <w:ind w:firstLine="640" w:firstLineChars="200"/>
        <w:rPr>
          <w:rFonts w:ascii="仿宋_GB2312" w:hAnsi="宋体" w:eastAsia="仿宋_GB2312"/>
          <w:spacing w:val="6"/>
          <w:kern w:val="0"/>
          <w:sz w:val="32"/>
          <w:szCs w:val="32"/>
          <w:u w:color="000000"/>
        </w:rPr>
      </w:pPr>
      <w:r>
        <w:rPr>
          <w:rFonts w:hint="eastAsia" w:ascii="仿宋_GB2312" w:eastAsia="仿宋_GB2312"/>
          <w:snapToGrid w:val="0"/>
          <w:color w:val="000000"/>
          <w:kern w:val="0"/>
          <w:sz w:val="32"/>
          <w:szCs w:val="32"/>
          <w:u w:color="FFFFFF"/>
        </w:rPr>
        <w:t>（五）</w:t>
      </w:r>
      <w:r>
        <w:rPr>
          <w:rFonts w:hint="eastAsia" w:ascii="仿宋_GB2312" w:hAnsi="宋体" w:eastAsia="仿宋_GB2312"/>
          <w:spacing w:val="6"/>
          <w:kern w:val="0"/>
          <w:sz w:val="32"/>
          <w:szCs w:val="32"/>
          <w:u w:color="000000"/>
        </w:rPr>
        <w:t>“两病”医疗待遇；</w:t>
      </w:r>
    </w:p>
    <w:p>
      <w:pPr>
        <w:adjustRightInd w:val="0"/>
        <w:snapToGrid w:val="0"/>
        <w:spacing w:line="540" w:lineRule="exact"/>
        <w:ind w:firstLine="664" w:firstLineChars="200"/>
        <w:rPr>
          <w:rFonts w:ascii="仿宋_GB2312" w:hAnsi="宋体" w:eastAsia="仿宋_GB2312"/>
          <w:spacing w:val="6"/>
          <w:kern w:val="0"/>
          <w:sz w:val="32"/>
          <w:szCs w:val="32"/>
          <w:u w:color="000000"/>
        </w:rPr>
      </w:pPr>
      <w:r>
        <w:rPr>
          <w:rFonts w:hint="eastAsia" w:ascii="仿宋_GB2312" w:hAnsi="宋体" w:eastAsia="仿宋_GB2312"/>
          <w:spacing w:val="6"/>
          <w:kern w:val="0"/>
          <w:sz w:val="32"/>
          <w:szCs w:val="32"/>
          <w:u w:color="000000"/>
        </w:rPr>
        <w:t>（六）实施基本药物制度的乡（镇）卫生院（村卫生室）一般诊疗项目费；</w:t>
      </w:r>
    </w:p>
    <w:p>
      <w:pPr>
        <w:adjustRightInd w:val="0"/>
        <w:snapToGrid w:val="0"/>
        <w:spacing w:line="540" w:lineRule="exact"/>
        <w:ind w:firstLine="664" w:firstLineChars="200"/>
        <w:rPr>
          <w:rFonts w:ascii="仿宋_GB2312" w:hAnsi="宋体" w:eastAsia="仿宋_GB2312"/>
          <w:spacing w:val="6"/>
          <w:kern w:val="0"/>
          <w:sz w:val="32"/>
          <w:szCs w:val="32"/>
          <w:u w:color="000000"/>
        </w:rPr>
      </w:pPr>
      <w:r>
        <w:rPr>
          <w:rFonts w:hint="eastAsia" w:ascii="仿宋_GB2312" w:hAnsi="宋体" w:eastAsia="仿宋_GB2312"/>
          <w:spacing w:val="6"/>
          <w:kern w:val="0"/>
          <w:sz w:val="32"/>
          <w:szCs w:val="32"/>
          <w:u w:color="000000"/>
        </w:rPr>
        <w:t>（七）公立医院改革上调门（急）诊诊查费；</w:t>
      </w:r>
    </w:p>
    <w:p>
      <w:pPr>
        <w:adjustRightInd w:val="0"/>
        <w:snapToGrid w:val="0"/>
        <w:spacing w:line="540" w:lineRule="exact"/>
        <w:ind w:firstLine="664" w:firstLineChars="200"/>
        <w:rPr>
          <w:rFonts w:ascii="仿宋_GB2312" w:eastAsia="仿宋_GB2312"/>
          <w:snapToGrid w:val="0"/>
          <w:color w:val="000000"/>
          <w:kern w:val="0"/>
          <w:sz w:val="32"/>
          <w:szCs w:val="32"/>
          <w:u w:color="FFFFFF"/>
        </w:rPr>
      </w:pPr>
      <w:r>
        <w:rPr>
          <w:rFonts w:hint="eastAsia" w:ascii="仿宋_GB2312" w:hAnsi="宋体" w:eastAsia="仿宋_GB2312"/>
          <w:spacing w:val="6"/>
          <w:kern w:val="0"/>
          <w:sz w:val="32"/>
          <w:szCs w:val="32"/>
          <w:u w:color="000000"/>
        </w:rPr>
        <w:t>（八）</w:t>
      </w:r>
      <w:r>
        <w:rPr>
          <w:rFonts w:hint="eastAsia" w:ascii="仿宋_GB2312" w:eastAsia="仿宋_GB2312"/>
          <w:snapToGrid w:val="0"/>
          <w:color w:val="000000"/>
          <w:sz w:val="32"/>
          <w:szCs w:val="32"/>
          <w:u w:color="FFFFFF"/>
        </w:rPr>
        <w:t>城乡居民大病医疗保险</w:t>
      </w:r>
      <w:r>
        <w:rPr>
          <w:rFonts w:hint="eastAsia" w:ascii="仿宋_GB2312" w:eastAsia="仿宋_GB2312"/>
          <w:snapToGrid w:val="0"/>
          <w:color w:val="000000"/>
          <w:kern w:val="0"/>
          <w:sz w:val="32"/>
          <w:szCs w:val="32"/>
          <w:u w:color="FFFFFF"/>
        </w:rPr>
        <w:t>保费；</w:t>
      </w:r>
    </w:p>
    <w:p>
      <w:pPr>
        <w:adjustRightInd w:val="0"/>
        <w:snapToGrid w:val="0"/>
        <w:spacing w:line="540" w:lineRule="exact"/>
        <w:ind w:firstLine="640" w:firstLineChars="200"/>
        <w:rPr>
          <w:rFonts w:ascii="仿宋_GB2312" w:eastAsia="仿宋_GB2312"/>
          <w:snapToGrid w:val="0"/>
          <w:color w:val="000000"/>
          <w:kern w:val="0"/>
          <w:sz w:val="32"/>
          <w:szCs w:val="32"/>
          <w:u w:color="FFFFFF"/>
        </w:rPr>
      </w:pPr>
      <w:r>
        <w:rPr>
          <w:rFonts w:hint="eastAsia" w:ascii="仿宋_GB2312" w:eastAsia="仿宋_GB2312"/>
          <w:snapToGrid w:val="0"/>
          <w:color w:val="000000"/>
          <w:kern w:val="0"/>
          <w:sz w:val="32"/>
          <w:szCs w:val="32"/>
          <w:u w:color="FFFFFF"/>
        </w:rPr>
        <w:t>（九）国家、省、州规定的其他支出。</w:t>
      </w:r>
    </w:p>
    <w:p>
      <w:pPr>
        <w:adjustRightInd w:val="0"/>
        <w:snapToGrid w:val="0"/>
        <w:spacing w:line="540" w:lineRule="exact"/>
        <w:ind w:firstLine="643"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楷体_GB2312" w:eastAsia="楷体_GB2312"/>
          <w:b/>
          <w:bCs/>
          <w:snapToGrid w:val="0"/>
          <w:color w:val="000000"/>
          <w:kern w:val="0"/>
          <w:sz w:val="32"/>
          <w:szCs w:val="32"/>
          <w:u w:color="FFFFFF"/>
        </w:rPr>
        <w:t>第十七条</w:t>
      </w:r>
      <w:r>
        <w:rPr>
          <w:rFonts w:hint="eastAsia" w:ascii="仿宋_GB2312" w:eastAsia="仿宋_GB2312"/>
          <w:b/>
          <w:bCs/>
          <w:snapToGrid w:val="0"/>
          <w:color w:val="000000"/>
          <w:kern w:val="0"/>
          <w:sz w:val="32"/>
          <w:szCs w:val="32"/>
          <w:u w:color="FFFFFF"/>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年度支付限额。</w:t>
      </w:r>
    </w:p>
    <w:p>
      <w:pPr>
        <w:adjustRightInd w:val="0"/>
        <w:snapToGrid w:val="0"/>
        <w:spacing w:line="540" w:lineRule="exact"/>
        <w:ind w:firstLine="640" w:firstLineChars="200"/>
        <w:rPr>
          <w:rFonts w:ascii="仿宋_GB2312" w:eastAsia="仿宋_GB2312"/>
          <w:snapToGrid w:val="0"/>
          <w:color w:val="auto"/>
          <w:kern w:val="0"/>
          <w:sz w:val="32"/>
          <w:szCs w:val="32"/>
          <w:u w:color="FFFFFF"/>
        </w:rPr>
      </w:pPr>
      <w:r>
        <w:rPr>
          <w:rFonts w:hint="eastAsia" w:ascii="仿宋_GB2312" w:hAnsi="宋体" w:eastAsia="仿宋_GB2312"/>
          <w:color w:val="auto"/>
          <w:kern w:val="0"/>
          <w:sz w:val="32"/>
          <w:szCs w:val="32"/>
          <w:u w:color="000000"/>
        </w:rPr>
        <w:t>统筹基金年度最高支付限额包含住院报销、门诊特殊疾病报销、重大疾病报销。</w:t>
      </w:r>
      <w:r>
        <w:rPr>
          <w:rFonts w:hint="eastAsia" w:ascii="仿宋_GB2312" w:eastAsia="仿宋_GB2312"/>
          <w:color w:val="auto"/>
          <w:sz w:val="32"/>
          <w:szCs w:val="32"/>
        </w:rPr>
        <w:t>在一个结算年度内，选择第一档筹资标准缴费的，统筹基金最高支付限额为17万元；选择第二档筹资标准缴费的，统筹基金最高支付限额为22万元。</w:t>
      </w:r>
    </w:p>
    <w:p>
      <w:pPr>
        <w:adjustRightInd w:val="0"/>
        <w:snapToGrid w:val="0"/>
        <w:spacing w:line="540" w:lineRule="exact"/>
        <w:ind w:firstLine="643" w:firstLineChars="200"/>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第十八条</w:t>
      </w:r>
      <w:r>
        <w:rPr>
          <w:rFonts w:hint="eastAsia" w:ascii="仿宋_GB2312" w:eastAsia="仿宋_GB2312"/>
          <w:b/>
          <w:bCs/>
          <w:snapToGrid w:val="0"/>
          <w:color w:val="000000"/>
          <w:kern w:val="0"/>
          <w:sz w:val="32"/>
          <w:szCs w:val="32"/>
          <w:u w:color="FFFFFF"/>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参保人员就医使用基本医疗保险支付范围内的乙类药品、血液制品、特殊诊疗项目及特殊医用耗材费用，</w:t>
      </w:r>
      <w:r>
        <w:rPr>
          <w:rFonts w:hint="eastAsia" w:ascii="仿宋_GB2312" w:eastAsia="仿宋_GB2312"/>
          <w:bCs/>
          <w:snapToGrid w:val="0"/>
          <w:color w:val="000000"/>
          <w:kern w:val="0"/>
          <w:sz w:val="32"/>
          <w:szCs w:val="32"/>
          <w:u w:color="FFFFFF"/>
        </w:rPr>
        <w:t>个人应先行自付一定比例，再按规定报销，具体自付比例为：</w:t>
      </w:r>
    </w:p>
    <w:p>
      <w:pPr>
        <w:adjustRightInd w:val="0"/>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eastAsia="仿宋_GB2312"/>
          <w:bCs/>
          <w:snapToGrid w:val="0"/>
          <w:color w:val="000000"/>
          <w:kern w:val="0"/>
          <w:sz w:val="32"/>
          <w:szCs w:val="32"/>
          <w:u w:color="FFFFFF"/>
        </w:rPr>
        <w:t>（一）</w:t>
      </w:r>
      <w:r>
        <w:rPr>
          <w:rFonts w:hint="eastAsia" w:ascii="仿宋_GB2312" w:hAnsi="仿宋_GB2312" w:eastAsia="仿宋_GB2312" w:cs="仿宋_GB2312"/>
          <w:bCs/>
          <w:color w:val="000000" w:themeColor="text1"/>
          <w:sz w:val="32"/>
          <w:szCs w:val="32"/>
          <w14:textFill>
            <w14:solidFill>
              <w14:schemeClr w14:val="tx1"/>
            </w14:solidFill>
          </w14:textFill>
        </w:rPr>
        <w:t>乙类药品、血液制品、特殊诊疗项目费用个人</w:t>
      </w:r>
      <w:r>
        <w:rPr>
          <w:rFonts w:hint="eastAsia" w:ascii="仿宋_GB2312" w:hAnsi="仿宋_GB2312" w:eastAsia="仿宋_GB2312" w:cs="仿宋_GB2312"/>
          <w:color w:val="000000" w:themeColor="text1"/>
          <w:sz w:val="32"/>
          <w:szCs w:val="32"/>
          <w14:textFill>
            <w14:solidFill>
              <w14:schemeClr w14:val="tx1"/>
            </w14:solidFill>
          </w14:textFill>
        </w:rPr>
        <w:t>自付10%；</w:t>
      </w:r>
    </w:p>
    <w:p>
      <w:pPr>
        <w:tabs>
          <w:tab w:val="left" w:pos="518"/>
          <w:tab w:val="center" w:pos="4422"/>
        </w:tabs>
        <w:autoSpaceDE w:val="0"/>
        <w:autoSpaceDN w:val="0"/>
        <w:adjustRightInd w:val="0"/>
        <w:snapToGrid w:val="0"/>
        <w:spacing w:line="560" w:lineRule="exact"/>
        <w:ind w:firstLine="640"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eastAsia="仿宋_GB2312"/>
          <w:snapToGrid w:val="0"/>
          <w:color w:val="000000"/>
          <w:kern w:val="0"/>
          <w:sz w:val="32"/>
          <w:szCs w:val="32"/>
          <w:u w:color="FFFFFF"/>
        </w:rPr>
        <w:t>（二）</w:t>
      </w:r>
      <w:r>
        <w:rPr>
          <w:rFonts w:hint="eastAsia" w:ascii="仿宋_GB2312" w:hAnsi="仿宋_GB2312" w:eastAsia="仿宋_GB2312" w:cs="仿宋_GB2312"/>
          <w:bCs/>
          <w:color w:val="000000" w:themeColor="text1"/>
          <w:sz w:val="32"/>
          <w:szCs w:val="32"/>
          <w14:textFill>
            <w14:solidFill>
              <w14:schemeClr w14:val="tx1"/>
            </w14:solidFill>
          </w14:textFill>
        </w:rPr>
        <w:t>特殊</w:t>
      </w:r>
      <w:r>
        <w:rPr>
          <w:rFonts w:hint="eastAsia" w:ascii="仿宋_GB2312" w:hAnsi="仿宋_GB2312" w:eastAsia="仿宋_GB2312" w:cs="仿宋_GB2312"/>
          <w:color w:val="000000" w:themeColor="text1"/>
          <w:kern w:val="0"/>
          <w:sz w:val="32"/>
          <w:szCs w:val="32"/>
          <w14:textFill>
            <w14:solidFill>
              <w14:schemeClr w14:val="tx1"/>
            </w14:solidFill>
          </w14:textFill>
        </w:rPr>
        <w:t>医用耗材</w:t>
      </w:r>
    </w:p>
    <w:p>
      <w:pPr>
        <w:tabs>
          <w:tab w:val="left" w:pos="518"/>
          <w:tab w:val="center" w:pos="4422"/>
        </w:tabs>
        <w:autoSpaceDE w:val="0"/>
        <w:autoSpaceDN w:val="0"/>
        <w:adjustRightInd w:val="0"/>
        <w:snapToGrid w:val="0"/>
        <w:spacing w:line="560" w:lineRule="exact"/>
        <w:ind w:firstLine="640" w:firstLineChars="200"/>
        <w:rPr>
          <w:rFonts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14:textFill>
            <w14:solidFill>
              <w14:schemeClr w14:val="tx1"/>
            </w14:solidFill>
          </w14:textFill>
        </w:rPr>
        <w:t>1.单价在1000元以下（含</w:t>
      </w:r>
      <w:r>
        <w:rPr>
          <w:rFonts w:hint="eastAsia" w:ascii="仿宋_GB2312" w:hAnsi="仿宋_GB2312" w:eastAsia="仿宋_GB2312" w:cs="仿宋_GB2312"/>
          <w:color w:val="000000" w:themeColor="text1"/>
          <w:sz w:val="32"/>
          <w:szCs w:val="32"/>
          <w14:textFill>
            <w14:solidFill>
              <w14:schemeClr w14:val="tx1"/>
            </w14:solidFill>
          </w14:textFill>
        </w:rPr>
        <w:t>1000元）</w:t>
      </w:r>
      <w:r>
        <w:rPr>
          <w:rFonts w:hint="eastAsia" w:ascii="仿宋_GB2312" w:hAnsi="仿宋_GB2312" w:eastAsia="仿宋_GB2312" w:cs="仿宋_GB2312"/>
          <w:bCs/>
          <w:color w:val="000000" w:themeColor="text1"/>
          <w:kern w:val="0"/>
          <w:sz w:val="32"/>
          <w:szCs w:val="32"/>
          <w14:textFill>
            <w14:solidFill>
              <w14:schemeClr w14:val="tx1"/>
            </w14:solidFill>
          </w14:textFill>
        </w:rPr>
        <w:t>的全额按规定报销；</w:t>
      </w:r>
    </w:p>
    <w:p>
      <w:pPr>
        <w:tabs>
          <w:tab w:val="left" w:pos="518"/>
          <w:tab w:val="center" w:pos="4422"/>
        </w:tabs>
        <w:autoSpaceDE w:val="0"/>
        <w:autoSpaceDN w:val="0"/>
        <w:adjustRightInd w:val="0"/>
        <w:snapToGrid w:val="0"/>
        <w:spacing w:line="560" w:lineRule="exact"/>
        <w:ind w:firstLine="640" w:firstLineChars="200"/>
        <w:rPr>
          <w:rFonts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14:textFill>
            <w14:solidFill>
              <w14:schemeClr w14:val="tx1"/>
            </w14:solidFill>
          </w14:textFill>
        </w:rPr>
        <w:t>2.单价在1000元以上至</w:t>
      </w:r>
      <w:r>
        <w:rPr>
          <w:rFonts w:hint="eastAsia" w:ascii="仿宋_GB2312" w:hAnsi="仿宋_GB2312" w:eastAsia="仿宋_GB2312" w:cs="仿宋_GB2312"/>
          <w:color w:val="000000" w:themeColor="text1"/>
          <w:sz w:val="32"/>
          <w:szCs w:val="32"/>
          <w14:textFill>
            <w14:solidFill>
              <w14:schemeClr w14:val="tx1"/>
            </w14:solidFill>
          </w14:textFill>
        </w:rPr>
        <w:t>10000元</w:t>
      </w:r>
      <w:r>
        <w:rPr>
          <w:rFonts w:hint="eastAsia" w:ascii="仿宋_GB2312" w:hAnsi="仿宋_GB2312" w:eastAsia="仿宋_GB2312" w:cs="仿宋_GB2312"/>
          <w:bCs/>
          <w:color w:val="000000" w:themeColor="text1"/>
          <w:kern w:val="0"/>
          <w:sz w:val="32"/>
          <w:szCs w:val="32"/>
          <w14:textFill>
            <w14:solidFill>
              <w14:schemeClr w14:val="tx1"/>
            </w14:solidFill>
          </w14:textFill>
        </w:rPr>
        <w:t>（含</w:t>
      </w:r>
      <w:r>
        <w:rPr>
          <w:rFonts w:hint="eastAsia" w:ascii="仿宋_GB2312" w:hAnsi="仿宋_GB2312" w:eastAsia="仿宋_GB2312" w:cs="仿宋_GB2312"/>
          <w:color w:val="000000" w:themeColor="text1"/>
          <w:sz w:val="32"/>
          <w:szCs w:val="32"/>
          <w14:textFill>
            <w14:solidFill>
              <w14:schemeClr w14:val="tx1"/>
            </w14:solidFill>
          </w14:textFill>
        </w:rPr>
        <w:t>10000元）</w:t>
      </w:r>
      <w:r>
        <w:rPr>
          <w:rFonts w:hint="eastAsia" w:ascii="仿宋_GB2312" w:hAnsi="仿宋_GB2312" w:eastAsia="仿宋_GB2312" w:cs="仿宋_GB2312"/>
          <w:bCs/>
          <w:color w:val="000000" w:themeColor="text1"/>
          <w:kern w:val="0"/>
          <w:sz w:val="32"/>
          <w:szCs w:val="32"/>
          <w14:textFill>
            <w14:solidFill>
              <w14:schemeClr w14:val="tx1"/>
            </w14:solidFill>
          </w14:textFill>
        </w:rPr>
        <w:t>的个人自付20%；</w:t>
      </w:r>
    </w:p>
    <w:p>
      <w:pPr>
        <w:tabs>
          <w:tab w:val="left" w:pos="518"/>
          <w:tab w:val="center" w:pos="4422"/>
        </w:tabs>
        <w:autoSpaceDE w:val="0"/>
        <w:autoSpaceDN w:val="0"/>
        <w:adjustRightInd w:val="0"/>
        <w:snapToGrid w:val="0"/>
        <w:spacing w:line="560" w:lineRule="exact"/>
        <w:ind w:firstLine="640" w:firstLineChars="200"/>
        <w:rPr>
          <w:rFonts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14:textFill>
            <w14:solidFill>
              <w14:schemeClr w14:val="tx1"/>
            </w14:solidFill>
          </w14:textFill>
        </w:rPr>
        <w:t>3.单价在</w:t>
      </w:r>
      <w:r>
        <w:rPr>
          <w:rFonts w:hint="eastAsia" w:ascii="仿宋_GB2312" w:hAnsi="仿宋_GB2312" w:eastAsia="仿宋_GB2312" w:cs="仿宋_GB2312"/>
          <w:color w:val="000000" w:themeColor="text1"/>
          <w:sz w:val="32"/>
          <w:szCs w:val="32"/>
          <w14:textFill>
            <w14:solidFill>
              <w14:schemeClr w14:val="tx1"/>
            </w14:solidFill>
          </w14:textFill>
        </w:rPr>
        <w:t>10000元</w:t>
      </w:r>
      <w:r>
        <w:rPr>
          <w:rFonts w:hint="eastAsia" w:ascii="仿宋_GB2312" w:hAnsi="仿宋_GB2312" w:eastAsia="仿宋_GB2312" w:cs="仿宋_GB2312"/>
          <w:bCs/>
          <w:color w:val="000000" w:themeColor="text1"/>
          <w:kern w:val="0"/>
          <w:sz w:val="32"/>
          <w:szCs w:val="32"/>
          <w14:textFill>
            <w14:solidFill>
              <w14:schemeClr w14:val="tx1"/>
            </w14:solidFill>
          </w14:textFill>
        </w:rPr>
        <w:t>以上至</w:t>
      </w:r>
      <w:r>
        <w:rPr>
          <w:rFonts w:hint="eastAsia" w:ascii="仿宋_GB2312" w:hAnsi="仿宋_GB2312" w:eastAsia="仿宋_GB2312" w:cs="仿宋_GB2312"/>
          <w:color w:val="000000" w:themeColor="text1"/>
          <w:sz w:val="32"/>
          <w:szCs w:val="32"/>
          <w14:textFill>
            <w14:solidFill>
              <w14:schemeClr w14:val="tx1"/>
            </w14:solidFill>
          </w14:textFill>
        </w:rPr>
        <w:t>50000元</w:t>
      </w:r>
      <w:r>
        <w:rPr>
          <w:rFonts w:hint="eastAsia" w:ascii="仿宋_GB2312" w:hAnsi="仿宋_GB2312" w:eastAsia="仿宋_GB2312" w:cs="仿宋_GB2312"/>
          <w:bCs/>
          <w:color w:val="000000" w:themeColor="text1"/>
          <w:kern w:val="0"/>
          <w:sz w:val="32"/>
          <w:szCs w:val="32"/>
          <w14:textFill>
            <w14:solidFill>
              <w14:schemeClr w14:val="tx1"/>
            </w14:solidFill>
          </w14:textFill>
        </w:rPr>
        <w:t>（含</w:t>
      </w:r>
      <w:r>
        <w:rPr>
          <w:rFonts w:hint="eastAsia" w:ascii="仿宋_GB2312" w:hAnsi="仿宋_GB2312" w:eastAsia="仿宋_GB2312" w:cs="仿宋_GB2312"/>
          <w:color w:val="000000" w:themeColor="text1"/>
          <w:sz w:val="32"/>
          <w:szCs w:val="32"/>
          <w14:textFill>
            <w14:solidFill>
              <w14:schemeClr w14:val="tx1"/>
            </w14:solidFill>
          </w14:textFill>
        </w:rPr>
        <w:t>50000元</w:t>
      </w:r>
      <w:r>
        <w:rPr>
          <w:rFonts w:hint="eastAsia" w:ascii="仿宋_GB2312" w:hAnsi="仿宋_GB2312" w:eastAsia="仿宋_GB2312" w:cs="仿宋_GB2312"/>
          <w:bCs/>
          <w:color w:val="000000" w:themeColor="text1"/>
          <w:kern w:val="0"/>
          <w:sz w:val="32"/>
          <w:szCs w:val="32"/>
          <w14:textFill>
            <w14:solidFill>
              <w14:schemeClr w14:val="tx1"/>
            </w14:solidFill>
          </w14:textFill>
        </w:rPr>
        <w:t>）的个人自付30%；</w:t>
      </w:r>
    </w:p>
    <w:p>
      <w:pPr>
        <w:adjustRightInd w:val="0"/>
        <w:snapToGrid w:val="0"/>
        <w:spacing w:line="540" w:lineRule="exact"/>
        <w:ind w:firstLine="640" w:firstLineChars="200"/>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14:textFill>
            <w14:solidFill>
              <w14:schemeClr w14:val="tx1"/>
            </w14:solidFill>
          </w14:textFill>
        </w:rPr>
        <w:t>4.单价在</w:t>
      </w:r>
      <w:r>
        <w:rPr>
          <w:rFonts w:hint="eastAsia" w:ascii="仿宋_GB2312" w:hAnsi="仿宋_GB2312" w:eastAsia="仿宋_GB2312" w:cs="仿宋_GB2312"/>
          <w:color w:val="000000" w:themeColor="text1"/>
          <w:sz w:val="32"/>
          <w:szCs w:val="32"/>
          <w14:textFill>
            <w14:solidFill>
              <w14:schemeClr w14:val="tx1"/>
            </w14:solidFill>
          </w14:textFill>
        </w:rPr>
        <w:t>50000元</w:t>
      </w:r>
      <w:r>
        <w:rPr>
          <w:rFonts w:hint="eastAsia" w:ascii="仿宋_GB2312" w:hAnsi="仿宋_GB2312" w:eastAsia="仿宋_GB2312" w:cs="仿宋_GB2312"/>
          <w:bCs/>
          <w:color w:val="000000" w:themeColor="text1"/>
          <w:kern w:val="0"/>
          <w:sz w:val="32"/>
          <w:szCs w:val="32"/>
          <w14:textFill>
            <w14:solidFill>
              <w14:schemeClr w14:val="tx1"/>
            </w14:solidFill>
          </w14:textFill>
        </w:rPr>
        <w:t>以上的个人自付40%。</w:t>
      </w:r>
    </w:p>
    <w:p>
      <w:pPr>
        <w:pStyle w:val="2"/>
        <w:spacing w:after="0" w:line="560" w:lineRule="exact"/>
        <w:ind w:left="0" w:leftChars="0" w:firstLine="643"/>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楷体_GB2312" w:eastAsia="楷体_GB2312"/>
          <w:b/>
          <w:bCs/>
          <w:snapToGrid w:val="0"/>
          <w:color w:val="000000"/>
          <w:kern w:val="0"/>
          <w:sz w:val="32"/>
          <w:szCs w:val="32"/>
          <w:highlight w:val="none"/>
          <w:u w:color="FFFFFF"/>
        </w:rPr>
        <w:t>第</w:t>
      </w:r>
      <w:r>
        <w:rPr>
          <w:rFonts w:hint="eastAsia" w:ascii="楷体_GB2312" w:eastAsia="楷体_GB2312"/>
          <w:b/>
          <w:bCs/>
          <w:snapToGrid w:val="0"/>
          <w:color w:val="000000"/>
          <w:kern w:val="0"/>
          <w:sz w:val="32"/>
          <w:szCs w:val="32"/>
          <w:highlight w:val="none"/>
          <w:u w:color="FFFFFF"/>
          <w:lang w:eastAsia="zh-CN"/>
        </w:rPr>
        <w:t>十九</w:t>
      </w:r>
      <w:r>
        <w:rPr>
          <w:rFonts w:hint="eastAsia" w:ascii="楷体_GB2312" w:eastAsia="楷体_GB2312"/>
          <w:b/>
          <w:bCs/>
          <w:snapToGrid w:val="0"/>
          <w:color w:val="000000"/>
          <w:kern w:val="0"/>
          <w:sz w:val="32"/>
          <w:szCs w:val="32"/>
          <w:highlight w:val="none"/>
          <w:u w:color="FFFFFF"/>
        </w:rPr>
        <w:t xml:space="preserve">条 </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参保人员就医使用国家谈判纳入药品、高值药品费用按以下规定报销。</w:t>
      </w:r>
    </w:p>
    <w:p>
      <w:pPr>
        <w:numPr>
          <w:ilvl w:val="0"/>
          <w:numId w:val="1"/>
        </w:numPr>
        <w:adjustRightInd w:val="0"/>
        <w:snapToGrid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国家谈判纳入</w:t>
      </w:r>
      <w:r>
        <w:rPr>
          <w:rFonts w:hint="eastAsia" w:ascii="仿宋_GB2312" w:hAnsi="仿宋_GB2312" w:eastAsia="仿宋_GB2312" w:cs="仿宋_GB2312"/>
          <w:color w:val="000000" w:themeColor="text1"/>
          <w:sz w:val="32"/>
          <w:szCs w:val="32"/>
          <w:highlight w:val="none"/>
          <w14:textFill>
            <w14:solidFill>
              <w14:schemeClr w14:val="tx1"/>
            </w14:solidFill>
          </w14:textFill>
        </w:rPr>
        <w:t>单行支付药品、</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高值药品。</w:t>
      </w:r>
    </w:p>
    <w:p>
      <w:pPr>
        <w:adjustRightInd w:val="0"/>
        <w:snapToGrid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1.实行“五定”管理,即定认定机构、定治疗机构、定责任医师、定供药机构、实名制管理；</w:t>
      </w:r>
    </w:p>
    <w:p>
      <w:pPr>
        <w:adjustRightInd w:val="0"/>
        <w:snapToGrid w:val="0"/>
        <w:spacing w:line="560" w:lineRule="exact"/>
        <w:ind w:firstLine="640" w:firstLineChars="200"/>
        <w:rPr>
          <w:color w:val="auto"/>
          <w:highlight w:val="none"/>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2.报销标准：不设起付线。</w:t>
      </w:r>
      <w:r>
        <w:rPr>
          <w:rFonts w:hint="eastAsia" w:ascii="仿宋_GB2312" w:hAnsi="仿宋_GB2312" w:eastAsia="仿宋_GB2312" w:cs="仿宋_GB2312"/>
          <w:color w:val="000000" w:themeColor="text1"/>
          <w:sz w:val="32"/>
          <w:szCs w:val="32"/>
          <w:highlight w:val="none"/>
          <w14:textFill>
            <w14:solidFill>
              <w14:schemeClr w14:val="tx1"/>
            </w14:solidFill>
          </w14:textFill>
        </w:rPr>
        <w:t>单行支付药品</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按6</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%报销；高值药品个人先行自付10%后，剩余费用按</w:t>
      </w:r>
      <w:r>
        <w:rPr>
          <w:rFonts w:hint="eastAsia" w:ascii="仿宋_GB2312" w:hAnsi="仿宋_GB2312" w:eastAsia="仿宋_GB2312" w:cs="仿宋_GB2312"/>
          <w:bCs/>
          <w:color w:val="auto"/>
          <w:sz w:val="32"/>
          <w:szCs w:val="32"/>
          <w:highlight w:val="none"/>
        </w:rPr>
        <w:t>80%报销。</w:t>
      </w:r>
      <w:r>
        <w:rPr>
          <w:rFonts w:hint="eastAsia" w:ascii="仿宋_GB2312" w:hAnsi="宋体" w:eastAsia="仿宋_GB2312"/>
          <w:color w:val="auto"/>
          <w:spacing w:val="6"/>
          <w:kern w:val="0"/>
          <w:sz w:val="32"/>
          <w:szCs w:val="32"/>
          <w:u w:color="000000"/>
        </w:rPr>
        <w:t>选择第</w:t>
      </w:r>
      <w:r>
        <w:rPr>
          <w:rFonts w:hint="eastAsia" w:ascii="仿宋_GB2312" w:hAnsi="宋体" w:eastAsia="仿宋_GB2312"/>
          <w:color w:val="auto"/>
          <w:kern w:val="0"/>
          <w:sz w:val="32"/>
          <w:szCs w:val="32"/>
          <w:u w:color="000000"/>
        </w:rPr>
        <w:t>二档筹资标准缴费的，在以上对应</w:t>
      </w:r>
      <w:r>
        <w:rPr>
          <w:rFonts w:hint="eastAsia" w:ascii="仿宋_GB2312" w:hAnsi="宋体" w:eastAsia="仿宋_GB2312"/>
          <w:color w:val="auto"/>
          <w:kern w:val="0"/>
          <w:sz w:val="32"/>
          <w:szCs w:val="32"/>
          <w:u w:color="000000"/>
          <w:lang w:val="en-US" w:eastAsia="zh-CN"/>
        </w:rPr>
        <w:t>报销</w:t>
      </w:r>
      <w:r>
        <w:rPr>
          <w:rFonts w:hint="eastAsia" w:ascii="仿宋_GB2312" w:hAnsi="宋体" w:eastAsia="仿宋_GB2312"/>
          <w:color w:val="auto"/>
          <w:kern w:val="0"/>
          <w:sz w:val="32"/>
          <w:szCs w:val="32"/>
          <w:u w:color="000000"/>
        </w:rPr>
        <w:t>比例上增加5%。</w:t>
      </w:r>
    </w:p>
    <w:p>
      <w:pPr>
        <w:adjustRightInd w:val="0"/>
        <w:snapToGrid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3.不单设封顶线，报销金额累计</w:t>
      </w:r>
      <w:r>
        <w:rPr>
          <w:rFonts w:ascii="仿宋_GB2312" w:hAnsi="仿宋_GB2312" w:eastAsia="仿宋_GB2312" w:cs="仿宋_GB2312"/>
          <w:bCs/>
          <w:color w:val="000000" w:themeColor="text1"/>
          <w:sz w:val="32"/>
          <w:szCs w:val="32"/>
          <w:highlight w:val="none"/>
          <w14:textFill>
            <w14:solidFill>
              <w14:schemeClr w14:val="tx1"/>
            </w14:solidFill>
          </w14:textFill>
        </w:rPr>
        <w:t>进</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入基本医疗保险统筹基金年度最高支付限额。</w:t>
      </w:r>
    </w:p>
    <w:p>
      <w:pPr>
        <w:widowControl/>
        <w:jc w:val="left"/>
        <w:rPr>
          <w:highlight w:val="none"/>
        </w:rPr>
      </w:pPr>
      <w:r>
        <w:rPr>
          <w:rFonts w:hint="eastAsia" w:ascii="仿宋_GB2312" w:hAnsi="仿宋_GB2312" w:eastAsia="仿宋_GB2312" w:cs="仿宋_GB2312"/>
          <w:bCs/>
          <w:sz w:val="32"/>
          <w:szCs w:val="32"/>
          <w:highlight w:val="none"/>
        </w:rPr>
        <w:t xml:space="preserve">    4.个人自付部分</w:t>
      </w:r>
      <w:r>
        <w:rPr>
          <w:rFonts w:ascii="仿宋_GB2312" w:hAnsi="宋体" w:eastAsia="仿宋_GB2312" w:cs="仿宋_GB2312"/>
          <w:kern w:val="0"/>
          <w:sz w:val="31"/>
          <w:szCs w:val="31"/>
          <w:highlight w:val="none"/>
          <w:lang w:bidi="ar"/>
        </w:rPr>
        <w:t>纳入</w:t>
      </w:r>
      <w:r>
        <w:rPr>
          <w:rFonts w:hint="eastAsia" w:ascii="仿宋_GB2312" w:hAnsi="宋体" w:eastAsia="仿宋_GB2312" w:cs="仿宋_GB2312"/>
          <w:kern w:val="0"/>
          <w:sz w:val="31"/>
          <w:szCs w:val="31"/>
          <w:highlight w:val="none"/>
          <w:lang w:bidi="ar"/>
        </w:rPr>
        <w:t>城乡居民大病医疗保险按相关规定报销，符合救助条件的纳入医疗救助按相关规定报销。</w:t>
      </w:r>
    </w:p>
    <w:p>
      <w:pPr>
        <w:adjustRightInd w:val="0"/>
        <w:snapToGrid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（二）国家谈判纳入乙类药品管理的药品费用，个人先行自付10%后，剩余费用按相应待遇报销。</w:t>
      </w:r>
    </w:p>
    <w:p>
      <w:pPr>
        <w:pStyle w:val="7"/>
        <w:widowControl w:val="0"/>
        <w:adjustRightInd w:val="0"/>
        <w:snapToGrid w:val="0"/>
        <w:spacing w:before="0" w:beforeAutospacing="0" w:after="0" w:afterAutospacing="0" w:line="540" w:lineRule="exact"/>
        <w:ind w:firstLine="643" w:firstLineChars="200"/>
        <w:jc w:val="both"/>
      </w:pPr>
      <w:r>
        <w:rPr>
          <w:rFonts w:hint="eastAsia" w:ascii="楷体_GB2312" w:eastAsia="楷体_GB2312" w:cs="Times New Roman"/>
          <w:b/>
          <w:bCs/>
          <w:snapToGrid w:val="0"/>
          <w:sz w:val="32"/>
          <w:szCs w:val="32"/>
          <w:u w:color="FFFFFF"/>
        </w:rPr>
        <w:t xml:space="preserve">第二十条  </w:t>
      </w:r>
      <w:r>
        <w:rPr>
          <w:rFonts w:hint="eastAsia" w:ascii="仿宋_GB2312" w:hAnsi="仿宋_GB2312" w:eastAsia="仿宋_GB2312" w:cs="仿宋_GB2312"/>
          <w:bCs/>
          <w:sz w:val="32"/>
          <w:szCs w:val="32"/>
        </w:rPr>
        <w:t>参保人员就医使用集采中选药品、医用耗材发生的费用，按照集采相关规定报销</w:t>
      </w:r>
      <w:r>
        <w:rPr>
          <w:rFonts w:hint="eastAsia" w:ascii="仿宋_GB2312" w:hAnsi="仿宋_GB2312" w:eastAsia="仿宋_GB2312" w:cs="仿宋_GB2312"/>
          <w:bCs/>
          <w:kern w:val="2"/>
          <w:sz w:val="32"/>
          <w:szCs w:val="32"/>
        </w:rPr>
        <w:t>。</w:t>
      </w:r>
    </w:p>
    <w:p>
      <w:pPr>
        <w:pStyle w:val="7"/>
        <w:widowControl w:val="0"/>
        <w:adjustRightInd w:val="0"/>
        <w:snapToGrid w:val="0"/>
        <w:spacing w:before="0" w:beforeAutospacing="0" w:after="0" w:afterAutospacing="0" w:line="540" w:lineRule="exact"/>
        <w:ind w:firstLine="643" w:firstLineChars="200"/>
        <w:jc w:val="both"/>
        <w:rPr>
          <w:rFonts w:ascii="仿宋_GB2312" w:eastAsia="仿宋_GB2312" w:cs="Times New Roman"/>
          <w:snapToGrid w:val="0"/>
          <w:sz w:val="32"/>
          <w:szCs w:val="32"/>
          <w:u w:color="FFFFFF"/>
        </w:rPr>
      </w:pPr>
      <w:r>
        <w:rPr>
          <w:rFonts w:hint="eastAsia" w:ascii="楷体_GB2312" w:eastAsia="楷体_GB2312" w:cs="Times New Roman"/>
          <w:b/>
          <w:bCs/>
          <w:snapToGrid w:val="0"/>
          <w:sz w:val="32"/>
          <w:szCs w:val="32"/>
          <w:u w:color="FFFFFF"/>
        </w:rPr>
        <w:t>第</w:t>
      </w:r>
      <w:r>
        <w:rPr>
          <w:rFonts w:hint="eastAsia" w:ascii="楷体_GB2312" w:eastAsia="楷体_GB2312" w:cs="Times New Roman"/>
          <w:b/>
          <w:bCs/>
          <w:snapToGrid w:val="0"/>
          <w:sz w:val="32"/>
          <w:szCs w:val="32"/>
          <w:u w:color="FFFFFF"/>
          <w:lang w:eastAsia="zh-CN"/>
        </w:rPr>
        <w:t>二十一</w:t>
      </w:r>
      <w:r>
        <w:rPr>
          <w:rFonts w:hint="eastAsia" w:ascii="楷体_GB2312" w:eastAsia="楷体_GB2312" w:cs="Times New Roman"/>
          <w:b/>
          <w:bCs/>
          <w:snapToGrid w:val="0"/>
          <w:sz w:val="32"/>
          <w:szCs w:val="32"/>
          <w:u w:color="FFFFFF"/>
        </w:rPr>
        <w:t xml:space="preserve">条  </w:t>
      </w:r>
      <w:r>
        <w:rPr>
          <w:rFonts w:hint="eastAsia" w:ascii="仿宋_GB2312" w:eastAsia="仿宋_GB2312" w:cs="Times New Roman"/>
          <w:snapToGrid w:val="0"/>
          <w:sz w:val="32"/>
          <w:szCs w:val="32"/>
          <w:u w:color="FFFFFF"/>
        </w:rPr>
        <w:t>住院医疗待遇</w:t>
      </w:r>
    </w:p>
    <w:p>
      <w:pPr>
        <w:pStyle w:val="7"/>
        <w:widowControl w:val="0"/>
        <w:adjustRightInd w:val="0"/>
        <w:snapToGrid w:val="0"/>
        <w:spacing w:before="0" w:beforeAutospacing="0" w:after="0" w:afterAutospacing="0" w:line="540" w:lineRule="exact"/>
        <w:ind w:firstLine="640" w:firstLineChars="200"/>
        <w:jc w:val="both"/>
        <w:rPr>
          <w:rFonts w:ascii="仿宋_GB2312" w:eastAsia="仿宋_GB2312" w:cs="Times New Roman"/>
          <w:bCs/>
          <w:snapToGrid w:val="0"/>
          <w:sz w:val="32"/>
          <w:szCs w:val="32"/>
          <w:u w:color="FFFFFF"/>
        </w:rPr>
      </w:pPr>
      <w:r>
        <w:rPr>
          <w:rFonts w:hint="eastAsia" w:ascii="仿宋_GB2312" w:eastAsia="仿宋_GB2312" w:cs="Times New Roman"/>
          <w:snapToGrid w:val="0"/>
          <w:sz w:val="32"/>
          <w:szCs w:val="32"/>
          <w:u w:color="FFFFFF"/>
        </w:rPr>
        <w:t>（一）参保人员患病在定点医疗机构住院治疗发生符合城乡医保基金支付范围的医疗费用，扣减住院报销起付线后，根据医疗机构等级按比例报销</w:t>
      </w:r>
      <w:r>
        <w:rPr>
          <w:rFonts w:hint="eastAsia" w:ascii="仿宋_GB2312" w:eastAsia="仿宋_GB2312" w:cs="Times New Roman"/>
          <w:bCs/>
          <w:snapToGrid w:val="0"/>
          <w:sz w:val="32"/>
          <w:szCs w:val="32"/>
          <w:u w:color="FFFFFF"/>
        </w:rPr>
        <w:t>。起付线、报销比例如下：</w:t>
      </w:r>
    </w:p>
    <w:tbl>
      <w:tblPr>
        <w:tblStyle w:val="8"/>
        <w:tblpPr w:leftFromText="180" w:rightFromText="180" w:vertAnchor="text" w:horzAnchor="margin" w:tblpXSpec="center" w:tblpY="227"/>
        <w:tblOverlap w:val="never"/>
        <w:tblW w:w="8682" w:type="dxa"/>
        <w:tblInd w:w="0" w:type="dxa"/>
        <w:tblLayout w:type="fixed"/>
        <w:tblCellMar>
          <w:top w:w="0" w:type="dxa"/>
          <w:left w:w="108" w:type="dxa"/>
          <w:bottom w:w="0" w:type="dxa"/>
          <w:right w:w="108" w:type="dxa"/>
        </w:tblCellMar>
      </w:tblPr>
      <w:tblGrid>
        <w:gridCol w:w="1800"/>
        <w:gridCol w:w="1147"/>
        <w:gridCol w:w="1147"/>
        <w:gridCol w:w="1147"/>
        <w:gridCol w:w="1147"/>
        <w:gridCol w:w="1147"/>
        <w:gridCol w:w="1147"/>
      </w:tblGrid>
      <w:tr>
        <w:tblPrEx>
          <w:tblLayout w:type="fixed"/>
          <w:tblCellMar>
            <w:top w:w="0" w:type="dxa"/>
            <w:left w:w="108" w:type="dxa"/>
            <w:bottom w:w="0" w:type="dxa"/>
            <w:right w:w="108" w:type="dxa"/>
          </w:tblCellMar>
        </w:tblPrEx>
        <w:trPr>
          <w:trHeight w:val="567" w:hRule="atLeast"/>
        </w:trPr>
        <w:tc>
          <w:tcPr>
            <w:tcW w:w="1800" w:type="dxa"/>
            <w:vMerge w:val="restart"/>
            <w:tcBorders>
              <w:top w:val="single" w:color="auto" w:sz="4" w:space="0"/>
              <w:left w:val="single" w:color="auto" w:sz="4" w:space="0"/>
              <w:bottom w:val="single" w:color="auto" w:sz="4" w:space="0"/>
              <w:right w:val="single" w:color="auto" w:sz="4" w:space="0"/>
              <w:tl2br w:val="single" w:color="auto" w:sz="4" w:space="0"/>
            </w:tcBorders>
            <w:noWrap/>
            <w:vAlign w:val="center"/>
          </w:tcPr>
          <w:p>
            <w:pPr>
              <w:adjustRightInd w:val="0"/>
              <w:snapToGrid w:val="0"/>
              <w:spacing w:line="540" w:lineRule="exact"/>
              <w:ind w:firstLine="480" w:firstLineChars="200"/>
              <w:rPr>
                <w:rFonts w:ascii="仿宋_GB2312" w:eastAsia="仿宋_GB2312"/>
                <w:snapToGrid w:val="0"/>
                <w:kern w:val="0"/>
                <w:sz w:val="24"/>
                <w:u w:color="FFFFFF"/>
              </w:rPr>
            </w:pPr>
            <w:r>
              <w:rPr>
                <w:rFonts w:hint="eastAsia" w:ascii="仿宋_GB2312" w:eastAsia="仿宋_GB2312"/>
                <w:snapToGrid w:val="0"/>
                <w:kern w:val="0"/>
                <w:sz w:val="24"/>
                <w:u w:color="FFFFFF"/>
              </w:rPr>
              <w:t xml:space="preserve">     类别    </w:t>
            </w:r>
          </w:p>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 xml:space="preserve">内容       </w:t>
            </w:r>
          </w:p>
        </w:tc>
        <w:tc>
          <w:tcPr>
            <w:tcW w:w="229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ind w:firstLine="480" w:firstLineChars="200"/>
              <w:rPr>
                <w:rFonts w:ascii="仿宋_GB2312" w:eastAsia="仿宋_GB2312"/>
                <w:snapToGrid w:val="0"/>
                <w:kern w:val="0"/>
                <w:sz w:val="24"/>
                <w:u w:color="FFFFFF"/>
              </w:rPr>
            </w:pPr>
            <w:r>
              <w:rPr>
                <w:rFonts w:hint="eastAsia" w:ascii="仿宋_GB2312" w:eastAsia="仿宋_GB2312"/>
                <w:snapToGrid w:val="0"/>
                <w:kern w:val="0"/>
                <w:sz w:val="24"/>
                <w:u w:color="FFFFFF"/>
              </w:rPr>
              <w:t>一级及以下</w:t>
            </w:r>
          </w:p>
        </w:tc>
        <w:tc>
          <w:tcPr>
            <w:tcW w:w="229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ind w:firstLine="480" w:firstLineChars="200"/>
              <w:rPr>
                <w:rFonts w:ascii="仿宋_GB2312" w:eastAsia="仿宋_GB2312"/>
                <w:snapToGrid w:val="0"/>
                <w:kern w:val="0"/>
                <w:sz w:val="24"/>
                <w:u w:color="FFFFFF"/>
              </w:rPr>
            </w:pPr>
            <w:r>
              <w:rPr>
                <w:rFonts w:hint="eastAsia" w:ascii="仿宋_GB2312" w:eastAsia="仿宋_GB2312"/>
                <w:snapToGrid w:val="0"/>
                <w:kern w:val="0"/>
                <w:sz w:val="24"/>
                <w:u w:color="FFFFFF"/>
              </w:rPr>
              <w:t>二级</w:t>
            </w:r>
          </w:p>
        </w:tc>
        <w:tc>
          <w:tcPr>
            <w:tcW w:w="229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ind w:firstLine="480" w:firstLineChars="200"/>
              <w:rPr>
                <w:rFonts w:ascii="仿宋_GB2312" w:eastAsia="仿宋_GB2312"/>
                <w:snapToGrid w:val="0"/>
                <w:kern w:val="0"/>
                <w:sz w:val="24"/>
                <w:u w:color="FFFFFF"/>
              </w:rPr>
            </w:pPr>
            <w:r>
              <w:rPr>
                <w:rFonts w:hint="eastAsia" w:ascii="仿宋_GB2312" w:eastAsia="仿宋_GB2312"/>
                <w:snapToGrid w:val="0"/>
                <w:kern w:val="0"/>
                <w:sz w:val="24"/>
                <w:u w:color="FFFFFF"/>
              </w:rPr>
              <w:t>三级</w:t>
            </w:r>
          </w:p>
        </w:tc>
      </w:tr>
      <w:tr>
        <w:tblPrEx>
          <w:tblLayout w:type="fixed"/>
          <w:tblCellMar>
            <w:top w:w="0" w:type="dxa"/>
            <w:left w:w="108" w:type="dxa"/>
            <w:bottom w:w="0" w:type="dxa"/>
            <w:right w:w="108" w:type="dxa"/>
          </w:tblCellMar>
        </w:tblPrEx>
        <w:trPr>
          <w:trHeight w:val="623" w:hRule="atLeast"/>
        </w:trPr>
        <w:tc>
          <w:tcPr>
            <w:tcW w:w="1800" w:type="dxa"/>
            <w:vMerge w:val="continue"/>
            <w:tcBorders>
              <w:top w:val="single" w:color="auto" w:sz="4" w:space="0"/>
              <w:left w:val="single" w:color="auto" w:sz="4" w:space="0"/>
              <w:bottom w:val="single" w:color="auto" w:sz="4" w:space="0"/>
              <w:right w:val="single" w:color="auto" w:sz="4" w:space="0"/>
            </w:tcBorders>
            <w:noWrap/>
            <w:vAlign w:val="center"/>
          </w:tcP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州内</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州外</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州内</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州外</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州内</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州外</w:t>
            </w:r>
          </w:p>
        </w:tc>
      </w:tr>
      <w:tr>
        <w:tblPrEx>
          <w:tblLayout w:type="fixed"/>
          <w:tblCellMar>
            <w:top w:w="0" w:type="dxa"/>
            <w:left w:w="108" w:type="dxa"/>
            <w:bottom w:w="0" w:type="dxa"/>
            <w:right w:w="108" w:type="dxa"/>
          </w:tblCellMar>
        </w:tblPrEx>
        <w:trPr>
          <w:trHeight w:val="567" w:hRule="atLeast"/>
        </w:trPr>
        <w:tc>
          <w:tcPr>
            <w:tcW w:w="18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u w:color="FFFFFF"/>
              </w:rPr>
            </w:pPr>
            <w:r>
              <w:rPr>
                <w:rFonts w:hint="eastAsia" w:ascii="仿宋_GB2312" w:eastAsia="仿宋_GB2312"/>
                <w:snapToGrid w:val="0"/>
                <w:kern w:val="0"/>
                <w:sz w:val="24"/>
                <w:u w:color="FFFFFF"/>
              </w:rPr>
              <w:t>起付线（元）</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50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500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100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500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500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u w:color="FFFFFF"/>
              </w:rPr>
            </w:pPr>
            <w:r>
              <w:rPr>
                <w:rFonts w:hint="eastAsia" w:ascii="仿宋_GB2312" w:eastAsia="仿宋_GB2312"/>
                <w:snapToGrid w:val="0"/>
                <w:kern w:val="0"/>
                <w:sz w:val="24"/>
                <w:u w:color="FFFFFF"/>
              </w:rPr>
              <w:t>700</w:t>
            </w:r>
          </w:p>
        </w:tc>
      </w:tr>
      <w:tr>
        <w:tblPrEx>
          <w:tblLayout w:type="fixed"/>
          <w:tblCellMar>
            <w:top w:w="0" w:type="dxa"/>
            <w:left w:w="108" w:type="dxa"/>
            <w:bottom w:w="0" w:type="dxa"/>
            <w:right w:w="108" w:type="dxa"/>
          </w:tblCellMar>
        </w:tblPrEx>
        <w:trPr>
          <w:trHeight w:val="675" w:hRule="atLeast"/>
        </w:trPr>
        <w:tc>
          <w:tcPr>
            <w:tcW w:w="180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报销比例（%）</w:t>
            </w:r>
          </w:p>
          <w:p>
            <w:pPr>
              <w:adjustRightInd w:val="0"/>
              <w:snapToGrid w:val="0"/>
              <w:spacing w:line="540" w:lineRule="exact"/>
              <w:rPr>
                <w:rFonts w:ascii="仿宋_GB2312" w:eastAsia="仿宋_GB2312"/>
                <w:snapToGrid w:val="0"/>
                <w:kern w:val="0"/>
                <w:sz w:val="24"/>
                <w:highlight w:val="none"/>
                <w:u w:color="FFFFFF"/>
              </w:rPr>
            </w:pP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90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70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75</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70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70</w:t>
            </w:r>
          </w:p>
        </w:tc>
        <w:tc>
          <w:tcPr>
            <w:tcW w:w="1147"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540" w:lineRule="exact"/>
              <w:jc w:val="center"/>
              <w:rPr>
                <w:rFonts w:ascii="仿宋_GB2312" w:eastAsia="仿宋_GB2312"/>
                <w:snapToGrid w:val="0"/>
                <w:kern w:val="0"/>
                <w:sz w:val="24"/>
                <w:highlight w:val="none"/>
                <w:u w:color="FFFFFF"/>
              </w:rPr>
            </w:pPr>
            <w:r>
              <w:rPr>
                <w:rFonts w:hint="eastAsia" w:ascii="仿宋_GB2312" w:eastAsia="仿宋_GB2312"/>
                <w:snapToGrid w:val="0"/>
                <w:kern w:val="0"/>
                <w:sz w:val="24"/>
                <w:highlight w:val="none"/>
                <w:u w:color="FFFFFF"/>
              </w:rPr>
              <w:t>60</w:t>
            </w:r>
          </w:p>
        </w:tc>
      </w:tr>
    </w:tbl>
    <w:p>
      <w:pPr>
        <w:pStyle w:val="2"/>
        <w:spacing w:after="0" w:line="560" w:lineRule="exact"/>
        <w:ind w:left="0" w:leftChars="0" w:firstLine="664"/>
        <w:rPr>
          <w:rFonts w:ascii="仿宋_GB2312" w:hAnsi="仿宋_GB2312" w:eastAsia="仿宋_GB2312" w:cs="仿宋_GB2312"/>
          <w:color w:val="auto"/>
          <w:kern w:val="0"/>
          <w:sz w:val="32"/>
          <w:szCs w:val="32"/>
        </w:rPr>
      </w:pPr>
      <w:r>
        <w:rPr>
          <w:rFonts w:hint="eastAsia" w:ascii="仿宋_GB2312" w:hAnsi="宋体" w:eastAsia="仿宋_GB2312"/>
          <w:color w:val="auto"/>
          <w:spacing w:val="6"/>
          <w:kern w:val="0"/>
          <w:sz w:val="32"/>
          <w:szCs w:val="32"/>
          <w:u w:color="000000"/>
        </w:rPr>
        <w:t>选择第</w:t>
      </w:r>
      <w:r>
        <w:rPr>
          <w:rFonts w:hint="eastAsia" w:ascii="仿宋_GB2312" w:hAnsi="宋体" w:eastAsia="仿宋_GB2312"/>
          <w:color w:val="auto"/>
          <w:kern w:val="0"/>
          <w:sz w:val="32"/>
          <w:szCs w:val="32"/>
          <w:u w:color="000000"/>
        </w:rPr>
        <w:t>二档筹资标准缴费的，在以上对应医院支付比例上增加5%。</w:t>
      </w:r>
    </w:p>
    <w:p>
      <w:pPr>
        <w:pStyle w:val="2"/>
        <w:spacing w:after="0" w:line="560" w:lineRule="exact"/>
        <w:ind w:left="0" w:leftChars="0" w:firstLine="640"/>
        <w:rPr>
          <w:rFonts w:ascii="仿宋_GB2312" w:eastAsia="仿宋_GB2312"/>
          <w:snapToGrid w:val="0"/>
          <w:color w:val="000000"/>
          <w:kern w:val="0"/>
          <w:sz w:val="32"/>
          <w:szCs w:val="32"/>
          <w:u w:color="FFFFFF"/>
        </w:rPr>
      </w:pPr>
      <w:r>
        <w:rPr>
          <w:rFonts w:hint="eastAsia" w:ascii="仿宋_GB2312" w:hAnsi="仿宋_GB2312" w:eastAsia="仿宋_GB2312" w:cs="仿宋_GB2312"/>
          <w:color w:val="000000" w:themeColor="text1"/>
          <w:kern w:val="0"/>
          <w:sz w:val="32"/>
          <w:szCs w:val="32"/>
          <w14:textFill>
            <w14:solidFill>
              <w14:schemeClr w14:val="tx1"/>
            </w14:solidFill>
          </w14:textFill>
        </w:rPr>
        <w:t>参保人员住院治疗，因跨年度结算及其他特殊情况，出院后24小时内在同一医疗机构再次入院且病情主诊断相同的，不重复计算起付线。</w:t>
      </w:r>
    </w:p>
    <w:p>
      <w:pPr>
        <w:adjustRightInd w:val="0"/>
        <w:snapToGrid w:val="0"/>
        <w:spacing w:line="560" w:lineRule="exact"/>
        <w:ind w:firstLine="640" w:firstLineChars="200"/>
        <w:rPr>
          <w:rFonts w:ascii="仿宋_GB2312" w:hAnsi="仿宋_GB2312" w:eastAsia="仿宋_GB2312" w:cs="仿宋_GB2312"/>
          <w:bCs/>
          <w:color w:val="000000" w:themeColor="text1"/>
          <w:kern w:val="0"/>
          <w:sz w:val="24"/>
          <w:u w:val="single"/>
          <w14:textFill>
            <w14:solidFill>
              <w14:schemeClr w14:val="tx1"/>
            </w14:solidFill>
          </w14:textFill>
        </w:rPr>
      </w:pPr>
      <w:r>
        <w:rPr>
          <w:rFonts w:hint="eastAsia" w:ascii="仿宋_GB2312" w:eastAsia="仿宋_GB2312"/>
          <w:snapToGrid w:val="0"/>
          <w:color w:val="000000"/>
          <w:kern w:val="0"/>
          <w:sz w:val="32"/>
          <w:szCs w:val="32"/>
          <w:u w:color="FFFFFF"/>
        </w:rPr>
        <w:t>（二）</w:t>
      </w:r>
      <w:r>
        <w:rPr>
          <w:rFonts w:hint="eastAsia" w:ascii="仿宋_GB2312" w:hAnsi="仿宋_GB2312" w:eastAsia="仿宋_GB2312" w:cs="仿宋_GB2312"/>
          <w:color w:val="000000" w:themeColor="text1"/>
          <w:kern w:val="0"/>
          <w:sz w:val="32"/>
          <w:szCs w:val="32"/>
          <w14:textFill>
            <w14:solidFill>
              <w14:schemeClr w14:val="tx1"/>
            </w14:solidFill>
          </w14:textFill>
        </w:rPr>
        <w:t>床位费</w:t>
      </w:r>
      <w:r>
        <w:rPr>
          <w:rFonts w:hint="eastAsia" w:ascii="仿宋_GB2312" w:hAnsi="仿宋_GB2312" w:eastAsia="仿宋_GB2312" w:cs="仿宋_GB2312"/>
          <w:color w:val="auto"/>
          <w:kern w:val="0"/>
          <w:sz w:val="32"/>
          <w:szCs w:val="32"/>
        </w:rPr>
        <w:t>最高支</w:t>
      </w:r>
      <w:r>
        <w:rPr>
          <w:rFonts w:hint="eastAsia" w:ascii="仿宋_GB2312" w:hAnsi="仿宋_GB2312" w:eastAsia="仿宋_GB2312" w:cs="仿宋_GB2312"/>
          <w:color w:val="000000" w:themeColor="text1"/>
          <w:kern w:val="0"/>
          <w:sz w:val="32"/>
          <w:szCs w:val="32"/>
          <w14:textFill>
            <w14:solidFill>
              <w14:schemeClr w14:val="tx1"/>
            </w14:solidFill>
          </w14:textFill>
        </w:rPr>
        <w:t>付标准：</w:t>
      </w:r>
      <w:r>
        <w:rPr>
          <w:rFonts w:hint="eastAsia" w:ascii="仿宋_GB2312" w:hAnsi="仿宋_GB2312" w:eastAsia="仿宋_GB2312" w:cs="仿宋_GB2312"/>
          <w:kern w:val="0"/>
          <w:sz w:val="32"/>
          <w:szCs w:val="32"/>
        </w:rPr>
        <w:t>一级及未定级医院20元/</w:t>
      </w:r>
      <w:r>
        <w:rPr>
          <w:rFonts w:hint="eastAsia" w:ascii="仿宋_GB2312" w:hAnsi="仿宋_GB2312" w:eastAsia="仿宋_GB2312" w:cs="仿宋_GB2312"/>
          <w:bCs/>
          <w:color w:val="000000" w:themeColor="text1"/>
          <w:kern w:val="0"/>
          <w:sz w:val="32"/>
          <w:szCs w:val="32"/>
          <w14:textFill>
            <w14:solidFill>
              <w14:schemeClr w14:val="tx1"/>
            </w14:solidFill>
          </w14:textFill>
        </w:rPr>
        <w:t>床</w:t>
      </w:r>
      <w:r>
        <w:rPr>
          <w:rFonts w:hint="eastAsia" w:ascii="仿宋_GB2312" w:hAnsi="仿宋_GB2312" w:eastAsia="仿宋_GB2312" w:cs="仿宋_GB2312"/>
          <w:bCs/>
          <w:color w:val="000000" w:themeColor="text1"/>
          <w:kern w:val="0"/>
          <w:szCs w:val="21"/>
          <w14:textFill>
            <w14:solidFill>
              <w14:schemeClr w14:val="tx1"/>
            </w14:solidFill>
          </w14:textFill>
        </w:rPr>
        <w:t>·</w:t>
      </w:r>
      <w:r>
        <w:rPr>
          <w:rFonts w:hint="eastAsia" w:ascii="仿宋_GB2312" w:hAnsi="仿宋_GB2312" w:eastAsia="仿宋_GB2312" w:cs="仿宋_GB2312"/>
          <w:bCs/>
          <w:color w:val="000000" w:themeColor="text1"/>
          <w:kern w:val="0"/>
          <w:sz w:val="32"/>
          <w:szCs w:val="32"/>
          <w14:textFill>
            <w14:solidFill>
              <w14:schemeClr w14:val="tx1"/>
            </w14:solidFill>
          </w14:textFill>
        </w:rPr>
        <w:t>日</w:t>
      </w:r>
      <w:r>
        <w:rPr>
          <w:rFonts w:hint="eastAsia" w:ascii="仿宋_GB2312" w:hAnsi="仿宋_GB2312" w:eastAsia="仿宋_GB2312" w:cs="仿宋_GB2312"/>
          <w:kern w:val="0"/>
          <w:sz w:val="32"/>
          <w:szCs w:val="32"/>
        </w:rPr>
        <w:t>，二级医院30元/</w:t>
      </w:r>
      <w:r>
        <w:rPr>
          <w:rFonts w:hint="eastAsia" w:ascii="仿宋_GB2312" w:hAnsi="仿宋_GB2312" w:eastAsia="仿宋_GB2312" w:cs="仿宋_GB2312"/>
          <w:bCs/>
          <w:color w:val="000000" w:themeColor="text1"/>
          <w:kern w:val="0"/>
          <w:sz w:val="32"/>
          <w:szCs w:val="32"/>
          <w14:textFill>
            <w14:solidFill>
              <w14:schemeClr w14:val="tx1"/>
            </w14:solidFill>
          </w14:textFill>
        </w:rPr>
        <w:t>床</w:t>
      </w:r>
      <w:r>
        <w:rPr>
          <w:rFonts w:hint="eastAsia" w:ascii="仿宋_GB2312" w:hAnsi="仿宋_GB2312" w:eastAsia="仿宋_GB2312" w:cs="仿宋_GB2312"/>
          <w:bCs/>
          <w:color w:val="000000" w:themeColor="text1"/>
          <w:kern w:val="0"/>
          <w:szCs w:val="21"/>
          <w14:textFill>
            <w14:solidFill>
              <w14:schemeClr w14:val="tx1"/>
            </w14:solidFill>
          </w14:textFill>
        </w:rPr>
        <w:t>·</w:t>
      </w:r>
      <w:r>
        <w:rPr>
          <w:rFonts w:hint="eastAsia" w:ascii="仿宋_GB2312" w:hAnsi="仿宋_GB2312" w:eastAsia="仿宋_GB2312" w:cs="仿宋_GB2312"/>
          <w:bCs/>
          <w:color w:val="000000" w:themeColor="text1"/>
          <w:kern w:val="0"/>
          <w:sz w:val="32"/>
          <w:szCs w:val="32"/>
          <w14:textFill>
            <w14:solidFill>
              <w14:schemeClr w14:val="tx1"/>
            </w14:solidFill>
          </w14:textFill>
        </w:rPr>
        <w:t>日</w:t>
      </w:r>
      <w:r>
        <w:rPr>
          <w:rFonts w:hint="eastAsia" w:ascii="仿宋_GB2312" w:hAnsi="仿宋_GB2312" w:eastAsia="仿宋_GB2312" w:cs="仿宋_GB2312"/>
          <w:kern w:val="0"/>
          <w:sz w:val="32"/>
          <w:szCs w:val="32"/>
        </w:rPr>
        <w:t>，三级医院50元/床</w:t>
      </w:r>
      <w:r>
        <w:rPr>
          <w:rFonts w:hint="eastAsia" w:ascii="仿宋_GB2312" w:hAnsi="仿宋_GB2312" w:eastAsia="仿宋_GB2312" w:cs="仿宋_GB2312"/>
          <w:bCs/>
          <w:color w:val="000000" w:themeColor="text1"/>
          <w:kern w:val="0"/>
          <w:sz w:val="24"/>
          <w14:textFill>
            <w14:solidFill>
              <w14:schemeClr w14:val="tx1"/>
            </w14:solidFill>
          </w14:textFill>
        </w:rPr>
        <w:t>·</w:t>
      </w:r>
      <w:r>
        <w:rPr>
          <w:rFonts w:hint="eastAsia" w:ascii="仿宋_GB2312" w:hAnsi="仿宋_GB2312" w:eastAsia="仿宋_GB2312" w:cs="仿宋_GB2312"/>
          <w:kern w:val="0"/>
          <w:sz w:val="32"/>
          <w:szCs w:val="32"/>
        </w:rPr>
        <w:t>日，</w:t>
      </w:r>
      <w:r>
        <w:rPr>
          <w:rFonts w:hint="eastAsia" w:ascii="仿宋_GB2312" w:hAnsi="仿宋_GB2312" w:eastAsia="仿宋_GB2312" w:cs="仿宋_GB2312"/>
          <w:bCs/>
          <w:color w:val="000000" w:themeColor="text1"/>
          <w:kern w:val="0"/>
          <w:sz w:val="32"/>
          <w:szCs w:val="32"/>
          <w14:textFill>
            <w14:solidFill>
              <w14:schemeClr w14:val="tx1"/>
            </w14:solidFill>
          </w14:textFill>
        </w:rPr>
        <w:t>危重监护病房（ICU/CCU)、层流洁净病房80元/床</w:t>
      </w:r>
      <w:r>
        <w:rPr>
          <w:rFonts w:hint="eastAsia" w:ascii="仿宋_GB2312" w:hAnsi="仿宋_GB2312" w:eastAsia="仿宋_GB2312" w:cs="仿宋_GB2312"/>
          <w:bCs/>
          <w:color w:val="000000" w:themeColor="text1"/>
          <w:kern w:val="0"/>
          <w:szCs w:val="21"/>
          <w14:textFill>
            <w14:solidFill>
              <w14:schemeClr w14:val="tx1"/>
            </w14:solidFill>
          </w14:textFill>
        </w:rPr>
        <w:t>·</w:t>
      </w:r>
      <w:r>
        <w:rPr>
          <w:rFonts w:hint="eastAsia" w:ascii="仿宋_GB2312" w:hAnsi="仿宋_GB2312" w:eastAsia="仿宋_GB2312" w:cs="仿宋_GB2312"/>
          <w:bCs/>
          <w:color w:val="000000" w:themeColor="text1"/>
          <w:kern w:val="0"/>
          <w:sz w:val="32"/>
          <w:szCs w:val="32"/>
          <w14:textFill>
            <w14:solidFill>
              <w14:schemeClr w14:val="tx1"/>
            </w14:solidFill>
          </w14:textFill>
        </w:rPr>
        <w:t>日</w:t>
      </w:r>
      <w:r>
        <w:rPr>
          <w:rFonts w:hint="eastAsia" w:ascii="仿宋_GB2312" w:hAnsi="仿宋_GB2312" w:eastAsia="仿宋_GB2312" w:cs="仿宋_GB2312"/>
          <w:bCs/>
          <w:color w:val="000000" w:themeColor="text1"/>
          <w:kern w:val="0"/>
          <w:sz w:val="24"/>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参保人员住院床位费未达</w:t>
      </w:r>
      <w:r>
        <w:rPr>
          <w:rFonts w:hint="eastAsia" w:ascii="仿宋_GB2312" w:hAnsi="仿宋_GB2312" w:eastAsia="仿宋_GB2312" w:cs="仿宋_GB2312"/>
          <w:kern w:val="0"/>
          <w:sz w:val="32"/>
          <w:szCs w:val="32"/>
        </w:rPr>
        <w:t>到支付标准的，按实际床位费纳入报销，超过支付标准的按支付标准纳入报销，超出部分按自</w:t>
      </w:r>
      <w:r>
        <w:rPr>
          <w:rFonts w:hint="eastAsia" w:ascii="仿宋_GB2312" w:hAnsi="仿宋_GB2312" w:eastAsia="仿宋_GB2312" w:cs="仿宋_GB2312"/>
          <w:color w:val="000000" w:themeColor="text1"/>
          <w:kern w:val="0"/>
          <w:sz w:val="32"/>
          <w:szCs w:val="32"/>
          <w14:textFill>
            <w14:solidFill>
              <w14:schemeClr w14:val="tx1"/>
            </w14:solidFill>
          </w14:textFill>
        </w:rPr>
        <w:t>费费用处理。</w:t>
      </w:r>
    </w:p>
    <w:p>
      <w:pPr>
        <w:adjustRightInd w:val="0"/>
        <w:snapToGrid w:val="0"/>
        <w:spacing w:line="540" w:lineRule="exact"/>
        <w:ind w:firstLine="640" w:firstLineChars="200"/>
        <w:rPr>
          <w:rFonts w:ascii="楷体_GB2312" w:eastAsia="楷体_GB2312"/>
          <w:b/>
          <w:bCs/>
          <w:snapToGrid w:val="0"/>
          <w:color w:val="000000"/>
          <w:kern w:val="0"/>
          <w:sz w:val="32"/>
          <w:szCs w:val="32"/>
          <w:u w:color="FFFFFF"/>
        </w:rPr>
      </w:pPr>
      <w:r>
        <w:rPr>
          <w:rFonts w:hint="eastAsia" w:ascii="仿宋_GB2312" w:hAnsi="仿宋_GB2312" w:eastAsia="仿宋_GB2312" w:cs="仿宋_GB2312"/>
          <w:bCs/>
          <w:color w:val="000000" w:themeColor="text1"/>
          <w:kern w:val="0"/>
          <w:sz w:val="32"/>
          <w:szCs w:val="32"/>
          <w14:textFill>
            <w14:solidFill>
              <w14:schemeClr w14:val="tx1"/>
            </w14:solidFill>
          </w14:textFill>
        </w:rPr>
        <w:t>（三）待遇享受标准以出院时间为准。</w:t>
      </w:r>
    </w:p>
    <w:p>
      <w:pPr>
        <w:adjustRightInd w:val="0"/>
        <w:snapToGrid w:val="0"/>
        <w:spacing w:line="540" w:lineRule="exact"/>
        <w:ind w:firstLine="643" w:firstLineChars="200"/>
        <w:rPr>
          <w:rFonts w:ascii="仿宋_GB2312" w:eastAsia="仿宋_GB2312"/>
          <w:bCs/>
          <w:snapToGrid w:val="0"/>
          <w:kern w:val="0"/>
          <w:sz w:val="32"/>
          <w:szCs w:val="32"/>
          <w:u w:color="FFFFFF"/>
        </w:rPr>
      </w:pPr>
      <w:r>
        <w:rPr>
          <w:rFonts w:hint="eastAsia" w:ascii="楷体_GB2312" w:eastAsia="楷体_GB2312"/>
          <w:b/>
          <w:bCs/>
          <w:snapToGrid w:val="0"/>
          <w:kern w:val="0"/>
          <w:sz w:val="32"/>
          <w:szCs w:val="32"/>
          <w:u w:color="FFFFFF"/>
        </w:rPr>
        <w:t>第二十</w:t>
      </w:r>
      <w:r>
        <w:rPr>
          <w:rFonts w:hint="eastAsia" w:ascii="楷体_GB2312" w:eastAsia="楷体_GB2312"/>
          <w:b/>
          <w:bCs/>
          <w:snapToGrid w:val="0"/>
          <w:kern w:val="0"/>
          <w:sz w:val="32"/>
          <w:szCs w:val="32"/>
          <w:u w:color="FFFFFF"/>
          <w:lang w:eastAsia="zh-CN"/>
        </w:rPr>
        <w:t>二</w:t>
      </w:r>
      <w:r>
        <w:rPr>
          <w:rFonts w:hint="eastAsia" w:ascii="楷体_GB2312" w:eastAsia="楷体_GB2312"/>
          <w:b/>
          <w:bCs/>
          <w:snapToGrid w:val="0"/>
          <w:kern w:val="0"/>
          <w:sz w:val="32"/>
          <w:szCs w:val="32"/>
          <w:u w:color="FFFFFF"/>
        </w:rPr>
        <w:t>条</w:t>
      </w:r>
      <w:r>
        <w:rPr>
          <w:rFonts w:hint="eastAsia" w:ascii="仿宋_GB2312" w:eastAsia="仿宋_GB2312"/>
          <w:b/>
          <w:bCs/>
          <w:snapToGrid w:val="0"/>
          <w:kern w:val="0"/>
          <w:sz w:val="32"/>
          <w:szCs w:val="32"/>
          <w:u w:color="FFFFFF"/>
        </w:rPr>
        <w:t xml:space="preserve">  </w:t>
      </w:r>
      <w:r>
        <w:rPr>
          <w:rFonts w:hint="eastAsia" w:ascii="仿宋_GB2312" w:eastAsia="仿宋_GB2312"/>
          <w:bCs/>
          <w:snapToGrid w:val="0"/>
          <w:kern w:val="0"/>
          <w:sz w:val="32"/>
          <w:szCs w:val="32"/>
          <w:u w:color="FFFFFF"/>
        </w:rPr>
        <w:t>生育医疗待遇。</w:t>
      </w:r>
    </w:p>
    <w:p>
      <w:pPr>
        <w:pStyle w:val="7"/>
        <w:widowControl w:val="0"/>
        <w:adjustRightInd w:val="0"/>
        <w:snapToGrid w:val="0"/>
        <w:spacing w:before="0" w:beforeAutospacing="0" w:after="0" w:afterAutospacing="0" w:line="540" w:lineRule="exact"/>
        <w:ind w:firstLine="640" w:firstLineChars="200"/>
        <w:jc w:val="both"/>
        <w:rPr>
          <w:rFonts w:ascii="仿宋_GB2312" w:eastAsia="仿宋_GB2312" w:cs="Times New Roman"/>
          <w:snapToGrid w:val="0"/>
          <w:sz w:val="32"/>
          <w:szCs w:val="32"/>
          <w:u w:color="FFFFFF"/>
        </w:rPr>
      </w:pPr>
      <w:r>
        <w:rPr>
          <w:rFonts w:hint="eastAsia" w:ascii="仿宋_GB2312" w:eastAsia="仿宋_GB2312" w:cs="Times New Roman"/>
          <w:snapToGrid w:val="0"/>
          <w:sz w:val="32"/>
          <w:szCs w:val="32"/>
          <w:u w:color="FFFFFF"/>
        </w:rPr>
        <w:t>参保人员在定点医疗机构因分娩发生的符合规定的住院医疗费用，由城乡医保基金按住院医疗待遇报销。</w:t>
      </w:r>
    </w:p>
    <w:p>
      <w:pPr>
        <w:pStyle w:val="3"/>
        <w:ind w:firstLine="643" w:firstLineChars="200"/>
        <w:rPr>
          <w:rFonts w:eastAsia="华文仿宋"/>
        </w:rPr>
      </w:pPr>
      <w:r>
        <w:rPr>
          <w:rFonts w:hint="eastAsia" w:ascii="楷体_GB2312" w:eastAsia="楷体_GB2312"/>
          <w:b/>
          <w:bCs/>
          <w:snapToGrid w:val="0"/>
          <w:color w:val="000000"/>
          <w:kern w:val="0"/>
          <w:sz w:val="32"/>
          <w:szCs w:val="32"/>
          <w:u w:color="FFFFFF"/>
        </w:rPr>
        <w:t>第二十</w:t>
      </w:r>
      <w:r>
        <w:rPr>
          <w:rFonts w:hint="eastAsia" w:ascii="楷体_GB2312" w:eastAsia="楷体_GB2312"/>
          <w:b/>
          <w:bCs/>
          <w:snapToGrid w:val="0"/>
          <w:color w:val="000000"/>
          <w:kern w:val="0"/>
          <w:sz w:val="32"/>
          <w:szCs w:val="32"/>
          <w:u w:color="FFFFFF"/>
          <w:lang w:eastAsia="zh-CN"/>
        </w:rPr>
        <w:t>三</w:t>
      </w:r>
      <w:r>
        <w:rPr>
          <w:rFonts w:hint="eastAsia" w:ascii="楷体_GB2312" w:eastAsia="楷体_GB2312"/>
          <w:b/>
          <w:bCs/>
          <w:snapToGrid w:val="0"/>
          <w:color w:val="000000"/>
          <w:kern w:val="0"/>
          <w:sz w:val="32"/>
          <w:szCs w:val="32"/>
          <w:u w:color="FFFFFF"/>
        </w:rPr>
        <w:t xml:space="preserve">条  </w:t>
      </w:r>
      <w:r>
        <w:rPr>
          <w:rFonts w:hint="eastAsia" w:ascii="仿宋_GB2312" w:eastAsia="仿宋_GB2312"/>
          <w:snapToGrid w:val="0"/>
          <w:kern w:val="0"/>
          <w:sz w:val="32"/>
          <w:szCs w:val="32"/>
          <w:u w:color="FFFFFF"/>
        </w:rPr>
        <w:t>高血压、糖尿病（以下简称“两病”）患者经申报认定后，按相关规定享受待遇。</w:t>
      </w:r>
    </w:p>
    <w:p>
      <w:pPr>
        <w:adjustRightInd w:val="0"/>
        <w:snapToGrid w:val="0"/>
        <w:spacing w:line="540" w:lineRule="exact"/>
        <w:ind w:firstLine="643" w:firstLineChars="200"/>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第二十</w:t>
      </w:r>
      <w:r>
        <w:rPr>
          <w:rFonts w:hint="eastAsia" w:ascii="楷体_GB2312" w:eastAsia="楷体_GB2312"/>
          <w:b/>
          <w:bCs/>
          <w:snapToGrid w:val="0"/>
          <w:color w:val="000000"/>
          <w:kern w:val="0"/>
          <w:sz w:val="32"/>
          <w:szCs w:val="32"/>
          <w:u w:color="FFFFFF"/>
          <w:lang w:eastAsia="zh-CN"/>
        </w:rPr>
        <w:t>四</w:t>
      </w:r>
      <w:r>
        <w:rPr>
          <w:rFonts w:hint="eastAsia" w:ascii="楷体_GB2312" w:eastAsia="楷体_GB2312"/>
          <w:b/>
          <w:bCs/>
          <w:snapToGrid w:val="0"/>
          <w:color w:val="000000"/>
          <w:kern w:val="0"/>
          <w:sz w:val="32"/>
          <w:szCs w:val="32"/>
          <w:u w:color="FFFFFF"/>
        </w:rPr>
        <w:t>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
          <w:bCs/>
          <w:snapToGrid w:val="0"/>
          <w:color w:val="FF0000"/>
          <w:kern w:val="0"/>
          <w:sz w:val="32"/>
          <w:szCs w:val="32"/>
          <w:u w:color="FFFFFF"/>
        </w:rPr>
        <w:t xml:space="preserve"> </w:t>
      </w:r>
      <w:r>
        <w:rPr>
          <w:rFonts w:hint="eastAsia" w:ascii="仿宋_GB2312" w:eastAsia="仿宋_GB2312"/>
          <w:color w:val="auto"/>
          <w:sz w:val="32"/>
          <w:szCs w:val="32"/>
        </w:rPr>
        <w:t>城乡参保居民患有下列门诊特殊疾病的，</w:t>
      </w:r>
      <w:r>
        <w:rPr>
          <w:rFonts w:hint="eastAsia" w:ascii="仿宋_GB2312" w:eastAsia="仿宋_GB2312"/>
          <w:color w:val="auto"/>
          <w:sz w:val="32"/>
          <w:szCs w:val="32"/>
          <w:lang w:val="en-US" w:eastAsia="zh-CN"/>
        </w:rPr>
        <w:t>经</w:t>
      </w:r>
      <w:r>
        <w:rPr>
          <w:rFonts w:hint="eastAsia" w:ascii="仿宋_GB2312" w:eastAsia="仿宋_GB2312"/>
          <w:color w:val="auto"/>
          <w:sz w:val="32"/>
          <w:szCs w:val="32"/>
        </w:rPr>
        <w:t>申报认定后，发生的符合基本医疗保险政策范围内的门诊医疗费用，按60%报销，不设起付线。自然年度内，单病种</w:t>
      </w:r>
      <w:r>
        <w:rPr>
          <w:rFonts w:hint="eastAsia" w:ascii="仿宋_GB2312" w:hAnsi="宋体" w:eastAsia="仿宋_GB2312"/>
          <w:color w:val="auto"/>
          <w:spacing w:val="6"/>
          <w:sz w:val="32"/>
          <w:szCs w:val="32"/>
          <w:u w:color="000000"/>
        </w:rPr>
        <w:t>选择第</w:t>
      </w:r>
      <w:r>
        <w:rPr>
          <w:rFonts w:hint="eastAsia" w:ascii="仿宋_GB2312" w:hAnsi="宋体" w:eastAsia="仿宋_GB2312"/>
          <w:color w:val="auto"/>
          <w:sz w:val="32"/>
          <w:szCs w:val="32"/>
          <w:u w:color="000000"/>
          <w:lang w:val="en-US" w:eastAsia="zh-CN"/>
        </w:rPr>
        <w:t>一</w:t>
      </w:r>
      <w:r>
        <w:rPr>
          <w:rFonts w:hint="eastAsia" w:ascii="仿宋_GB2312" w:hAnsi="宋体" w:eastAsia="仿宋_GB2312"/>
          <w:color w:val="auto"/>
          <w:sz w:val="32"/>
          <w:szCs w:val="32"/>
          <w:u w:color="000000"/>
        </w:rPr>
        <w:t>档筹资标准缴费的</w:t>
      </w:r>
      <w:r>
        <w:rPr>
          <w:rFonts w:hint="eastAsia" w:ascii="仿宋_GB2312" w:eastAsia="仿宋_GB2312"/>
          <w:color w:val="auto"/>
          <w:sz w:val="32"/>
          <w:szCs w:val="32"/>
        </w:rPr>
        <w:t>支付限额1000元，</w:t>
      </w:r>
      <w:r>
        <w:rPr>
          <w:rFonts w:hint="eastAsia" w:ascii="仿宋_GB2312" w:hAnsi="宋体" w:eastAsia="仿宋_GB2312"/>
          <w:color w:val="auto"/>
          <w:spacing w:val="6"/>
          <w:sz w:val="32"/>
          <w:szCs w:val="32"/>
          <w:u w:color="000000"/>
        </w:rPr>
        <w:t>选择第</w:t>
      </w:r>
      <w:r>
        <w:rPr>
          <w:rFonts w:hint="eastAsia" w:ascii="仿宋_GB2312" w:hAnsi="宋体" w:eastAsia="仿宋_GB2312"/>
          <w:color w:val="auto"/>
          <w:sz w:val="32"/>
          <w:szCs w:val="32"/>
          <w:u w:color="000000"/>
          <w:lang w:val="en-US" w:eastAsia="zh-CN"/>
        </w:rPr>
        <w:t>二</w:t>
      </w:r>
      <w:r>
        <w:rPr>
          <w:rFonts w:hint="eastAsia" w:ascii="仿宋_GB2312" w:hAnsi="宋体" w:eastAsia="仿宋_GB2312"/>
          <w:color w:val="auto"/>
          <w:sz w:val="32"/>
          <w:szCs w:val="32"/>
          <w:u w:color="000000"/>
        </w:rPr>
        <w:t>档筹资标准缴费的</w:t>
      </w:r>
      <w:r>
        <w:rPr>
          <w:rFonts w:hint="eastAsia" w:ascii="仿宋_GB2312" w:eastAsia="仿宋_GB2312"/>
          <w:color w:val="auto"/>
          <w:sz w:val="32"/>
          <w:szCs w:val="32"/>
        </w:rPr>
        <w:t>最高支付限额1300元；多病种支付限额可叠加计算，</w:t>
      </w:r>
      <w:r>
        <w:rPr>
          <w:rFonts w:hint="eastAsia" w:ascii="仿宋_GB2312" w:hAnsi="宋体" w:eastAsia="仿宋_GB2312"/>
          <w:color w:val="auto"/>
          <w:spacing w:val="6"/>
          <w:sz w:val="32"/>
          <w:szCs w:val="32"/>
          <w:u w:color="000000"/>
        </w:rPr>
        <w:t>选择第</w:t>
      </w:r>
      <w:r>
        <w:rPr>
          <w:rFonts w:hint="eastAsia" w:ascii="仿宋_GB2312" w:hAnsi="宋体" w:eastAsia="仿宋_GB2312"/>
          <w:color w:val="auto"/>
          <w:sz w:val="32"/>
          <w:szCs w:val="32"/>
          <w:u w:color="000000"/>
          <w:lang w:val="en-US" w:eastAsia="zh-CN"/>
        </w:rPr>
        <w:t>一</w:t>
      </w:r>
      <w:r>
        <w:rPr>
          <w:rFonts w:hint="eastAsia" w:ascii="仿宋_GB2312" w:hAnsi="宋体" w:eastAsia="仿宋_GB2312"/>
          <w:color w:val="auto"/>
          <w:sz w:val="32"/>
          <w:szCs w:val="32"/>
          <w:u w:color="000000"/>
        </w:rPr>
        <w:t>档筹资标准缴费的</w:t>
      </w:r>
      <w:r>
        <w:rPr>
          <w:rFonts w:hint="eastAsia" w:ascii="仿宋_GB2312" w:eastAsia="仿宋_GB2312"/>
          <w:color w:val="auto"/>
          <w:sz w:val="32"/>
          <w:szCs w:val="32"/>
        </w:rPr>
        <w:t>累计不超过3000元，</w:t>
      </w:r>
      <w:r>
        <w:rPr>
          <w:rFonts w:hint="eastAsia" w:ascii="仿宋_GB2312" w:hAnsi="宋体" w:eastAsia="仿宋_GB2312"/>
          <w:color w:val="auto"/>
          <w:spacing w:val="6"/>
          <w:sz w:val="32"/>
          <w:szCs w:val="32"/>
          <w:u w:color="000000"/>
        </w:rPr>
        <w:t>选择第</w:t>
      </w:r>
      <w:r>
        <w:rPr>
          <w:rFonts w:hint="eastAsia" w:ascii="仿宋_GB2312" w:hAnsi="宋体" w:eastAsia="仿宋_GB2312"/>
          <w:color w:val="auto"/>
          <w:sz w:val="32"/>
          <w:szCs w:val="32"/>
          <w:u w:color="000000"/>
          <w:lang w:val="en-US" w:eastAsia="zh-CN"/>
        </w:rPr>
        <w:t>二</w:t>
      </w:r>
      <w:r>
        <w:rPr>
          <w:rFonts w:hint="eastAsia" w:ascii="仿宋_GB2312" w:hAnsi="宋体" w:eastAsia="仿宋_GB2312"/>
          <w:color w:val="auto"/>
          <w:sz w:val="32"/>
          <w:szCs w:val="32"/>
          <w:u w:color="000000"/>
        </w:rPr>
        <w:t>档筹资标准缴费的</w:t>
      </w:r>
      <w:r>
        <w:rPr>
          <w:rFonts w:hint="eastAsia" w:ascii="仿宋_GB2312" w:eastAsia="仿宋_GB2312"/>
          <w:color w:val="auto"/>
          <w:sz w:val="32"/>
          <w:szCs w:val="32"/>
        </w:rPr>
        <w:t>累计不超过3500元。</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甲状腺机能亢进症或减退症；</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包虫病；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痛风；</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癫痫；</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高血压病；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Ⅱ型糖尿病；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精神类疾病（重度精神病除外）；</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肝硬化；</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脑血管意外及后遗症；</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慢性病毒性肝炎（乙肝、丙肝）；</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帕金森病；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心脏病（风湿性心脏病、高血压性心脏病、肺源性心脏病、高原性心脏病、冠状动脉粥样硬化性心脏病）；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冠心病心脏介入治疗术后；</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类风湿性关节炎；</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红细胞增多症；</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结核病；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慢性阻塞性肺疾病；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阿尔茨海默病；</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白癜风；</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矽肺病（非工伤）；</w:t>
      </w:r>
    </w:p>
    <w:p>
      <w:pPr>
        <w:numPr>
          <w:ilvl w:val="0"/>
          <w:numId w:val="2"/>
        </w:numPr>
        <w:adjustRightInd w:val="0"/>
        <w:snapToGrid w:val="0"/>
        <w:spacing w:line="54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顽固型银屑病</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p>
    <w:p>
      <w:pPr>
        <w:pStyle w:val="7"/>
        <w:adjustRightInd w:val="0"/>
        <w:snapToGrid w:val="0"/>
        <w:spacing w:before="0" w:beforeAutospacing="0" w:after="0" w:afterAutospacing="0" w:line="576" w:lineRule="exact"/>
        <w:ind w:firstLine="640" w:firstLineChars="200"/>
        <w:jc w:val="both"/>
      </w:pPr>
      <w:r>
        <w:rPr>
          <w:rFonts w:hint="eastAsia" w:ascii="仿宋_GB2312" w:hAnsi="仿宋_GB2312" w:eastAsia="仿宋_GB2312" w:cs="仿宋_GB2312"/>
          <w:bCs/>
          <w:sz w:val="32"/>
          <w:szCs w:val="32"/>
        </w:rPr>
        <w:t>（二十</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）重度骨质疏松。</w:t>
      </w:r>
    </w:p>
    <w:p>
      <w:pPr>
        <w:pStyle w:val="7"/>
        <w:adjustRightInd w:val="0"/>
        <w:snapToGrid w:val="0"/>
        <w:spacing w:line="560" w:lineRule="exact"/>
        <w:ind w:firstLine="643" w:firstLineChars="200"/>
        <w:rPr>
          <w:rFonts w:hint="eastAsia" w:eastAsia="仿宋_GB2312"/>
          <w:color w:val="FF0000"/>
          <w:kern w:val="2"/>
          <w:sz w:val="30"/>
          <w:lang w:eastAsia="zh-CN"/>
        </w:rPr>
      </w:pPr>
      <w:r>
        <w:rPr>
          <w:rFonts w:hint="eastAsia" w:ascii="楷体_GB2312" w:eastAsia="楷体_GB2312"/>
          <w:b/>
          <w:bCs/>
          <w:snapToGrid w:val="0"/>
          <w:color w:val="000000"/>
          <w:sz w:val="32"/>
          <w:szCs w:val="32"/>
          <w:u w:color="FFFFFF"/>
        </w:rPr>
        <w:t>第二十</w:t>
      </w:r>
      <w:r>
        <w:rPr>
          <w:rFonts w:hint="eastAsia" w:ascii="楷体_GB2312" w:eastAsia="楷体_GB2312"/>
          <w:b/>
          <w:bCs/>
          <w:snapToGrid w:val="0"/>
          <w:color w:val="000000"/>
          <w:sz w:val="32"/>
          <w:szCs w:val="32"/>
          <w:u w:color="FFFFFF"/>
          <w:lang w:eastAsia="zh-CN"/>
        </w:rPr>
        <w:t>五</w:t>
      </w:r>
      <w:r>
        <w:rPr>
          <w:rFonts w:hint="eastAsia" w:ascii="楷体_GB2312" w:eastAsia="楷体_GB2312"/>
          <w:b/>
          <w:bCs/>
          <w:snapToGrid w:val="0"/>
          <w:color w:val="000000"/>
          <w:sz w:val="32"/>
          <w:szCs w:val="32"/>
          <w:u w:color="FFFFFF"/>
        </w:rPr>
        <w:t>条</w:t>
      </w:r>
      <w:r>
        <w:rPr>
          <w:rFonts w:hint="eastAsia" w:ascii="仿宋_GB2312" w:eastAsia="仿宋_GB2312"/>
          <w:b/>
          <w:bCs/>
          <w:snapToGrid w:val="0"/>
          <w:sz w:val="32"/>
          <w:szCs w:val="32"/>
        </w:rPr>
        <w:t xml:space="preserve"> </w:t>
      </w:r>
      <w:r>
        <w:rPr>
          <w:rFonts w:hint="eastAsia" w:ascii="仿宋_GB2312" w:eastAsia="仿宋_GB2312"/>
          <w:b/>
          <w:bCs/>
          <w:snapToGrid w:val="0"/>
          <w:sz w:val="32"/>
          <w:szCs w:val="32"/>
          <w:lang w:val="en-US" w:eastAsia="zh-CN"/>
        </w:rPr>
        <w:t xml:space="preserve"> </w:t>
      </w:r>
      <w:r>
        <w:rPr>
          <w:rFonts w:hint="eastAsia" w:ascii="仿宋_GB2312" w:eastAsia="仿宋_GB2312"/>
          <w:sz w:val="32"/>
          <w:szCs w:val="32"/>
        </w:rPr>
        <w:t>参保人员患有下列重大疾病，</w:t>
      </w: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申报认定后，</w:t>
      </w:r>
      <w:r>
        <w:rPr>
          <w:rFonts w:hint="eastAsia" w:ascii="仿宋_GB2312" w:eastAsia="仿宋_GB2312"/>
          <w:sz w:val="32"/>
          <w:szCs w:val="32"/>
        </w:rPr>
        <w:t>在定点医疗机构发生</w:t>
      </w:r>
      <w:r>
        <w:rPr>
          <w:rFonts w:hint="eastAsia" w:ascii="仿宋_GB2312" w:eastAsia="仿宋_GB2312"/>
          <w:color w:val="auto"/>
          <w:sz w:val="32"/>
          <w:szCs w:val="32"/>
        </w:rPr>
        <w:t>的政策范围内门诊医疗费用，</w:t>
      </w:r>
      <w:r>
        <w:rPr>
          <w:rFonts w:hint="eastAsia" w:ascii="仿宋_GB2312" w:eastAsia="仿宋_GB2312"/>
          <w:color w:val="auto"/>
          <w:sz w:val="32"/>
          <w:szCs w:val="32"/>
          <w:lang w:val="en-US" w:eastAsia="zh-CN"/>
        </w:rPr>
        <w:t>按州内二级定点医疗机构对应比例纳入住院</w:t>
      </w:r>
      <w:r>
        <w:rPr>
          <w:rFonts w:hint="eastAsia" w:ascii="仿宋_GB2312" w:eastAsia="仿宋_GB2312"/>
          <w:color w:val="auto"/>
          <w:sz w:val="32"/>
          <w:szCs w:val="32"/>
        </w:rPr>
        <w:t>报销</w:t>
      </w:r>
      <w:r>
        <w:rPr>
          <w:rFonts w:hint="eastAsia" w:ascii="仿宋_GB2312" w:eastAsia="仿宋_GB2312"/>
          <w:color w:val="auto"/>
          <w:sz w:val="32"/>
          <w:szCs w:val="32"/>
          <w:lang w:eastAsia="zh-CN"/>
        </w:rPr>
        <w:t>，</w:t>
      </w:r>
      <w:r>
        <w:rPr>
          <w:rFonts w:hint="eastAsia" w:ascii="仿宋_GB2312" w:hAnsi="宋体" w:eastAsia="仿宋_GB2312"/>
          <w:color w:val="auto"/>
          <w:spacing w:val="6"/>
          <w:sz w:val="32"/>
          <w:szCs w:val="32"/>
          <w:u w:color="000000"/>
        </w:rPr>
        <w:t>选择第</w:t>
      </w:r>
      <w:r>
        <w:rPr>
          <w:rFonts w:hint="eastAsia" w:ascii="仿宋_GB2312" w:hAnsi="宋体" w:eastAsia="仿宋_GB2312"/>
          <w:color w:val="auto"/>
          <w:sz w:val="32"/>
          <w:szCs w:val="32"/>
          <w:u w:color="000000"/>
        </w:rPr>
        <w:t>二档筹资标准缴费的，</w:t>
      </w:r>
      <w:r>
        <w:rPr>
          <w:rFonts w:hint="eastAsia" w:ascii="仿宋_GB2312" w:eastAsia="仿宋_GB2312"/>
          <w:color w:val="auto"/>
          <w:sz w:val="32"/>
          <w:szCs w:val="32"/>
          <w:lang w:val="en-US" w:eastAsia="zh-CN"/>
        </w:rPr>
        <w:t>报销比例提高5%。</w:t>
      </w:r>
    </w:p>
    <w:p>
      <w:pPr>
        <w:numPr>
          <w:ilvl w:val="0"/>
          <w:numId w:val="3"/>
        </w:numPr>
        <w:adjustRightInd w:val="0"/>
        <w:snapToGrid w:val="0"/>
        <w:spacing w:line="54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恶性肿瘤；</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白血病；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再生障碍性贫血；</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器官移植术后的抗排斥治疗；</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系统性红斑狼疮；</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慢性肾功能不全；</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肾病综合征；</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骨髓增生性疾病；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肝豆状核变性；</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黄斑变性；</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耐多药肺结核；</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重度精神病；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急性心肌梗塞；</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脑梗死；</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Ⅰ型糖尿病；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艾滋病机会感染重大疾病；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血友病；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干燥综合征；</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地中海贫血；</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强直性脊柱炎；</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天疱疮；</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系统性硬化症；</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系统性硬皮病；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白塞氏病；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u w:val="single"/>
        </w:rPr>
      </w:pPr>
      <w:r>
        <w:rPr>
          <w:rFonts w:hint="eastAsia" w:ascii="仿宋_GB2312" w:hAnsi="仿宋_GB2312" w:eastAsia="仿宋_GB2312" w:cs="仿宋_GB2312"/>
          <w:bCs/>
          <w:sz w:val="32"/>
          <w:szCs w:val="32"/>
        </w:rPr>
        <w:t>普拉德-威利综合征；</w:t>
      </w:r>
    </w:p>
    <w:p>
      <w:pPr>
        <w:numPr>
          <w:ilvl w:val="0"/>
          <w:numId w:val="3"/>
        </w:numPr>
        <w:adjustRightInd w:val="0"/>
        <w:snapToGrid w:val="0"/>
        <w:spacing w:line="540" w:lineRule="exact"/>
        <w:ind w:firstLine="640" w:firstLineChars="200"/>
        <w:rPr>
          <w:rFonts w:ascii="仿宋_GB2312" w:hAnsi="仿宋_GB2312" w:eastAsia="仿宋_GB2312" w:cs="仿宋_GB2312"/>
          <w:bCs/>
          <w:sz w:val="24"/>
        </w:rPr>
      </w:pPr>
      <w:r>
        <w:rPr>
          <w:rFonts w:hint="eastAsia" w:ascii="仿宋_GB2312" w:hAnsi="仿宋_GB2312" w:eastAsia="仿宋_GB2312" w:cs="仿宋_GB2312"/>
          <w:bCs/>
          <w:sz w:val="32"/>
          <w:szCs w:val="32"/>
        </w:rPr>
        <w:t>儿童先心病；</w:t>
      </w:r>
    </w:p>
    <w:p>
      <w:pPr>
        <w:numPr>
          <w:ilvl w:val="0"/>
          <w:numId w:val="3"/>
        </w:numPr>
        <w:adjustRightInd w:val="0"/>
        <w:snapToGrid w:val="0"/>
        <w:spacing w:line="540" w:lineRule="exact"/>
        <w:ind w:firstLine="640" w:firstLineChars="200"/>
        <w:rPr>
          <w:rFonts w:ascii="仿宋_GB2312" w:hAnsi="仿宋_GB2312" w:eastAsia="仿宋_GB2312" w:cs="仿宋_GB2312"/>
          <w:bCs/>
          <w:sz w:val="24"/>
        </w:rPr>
      </w:pPr>
      <w:r>
        <w:rPr>
          <w:rFonts w:hint="eastAsia" w:ascii="仿宋_GB2312" w:hAnsi="仿宋_GB2312" w:eastAsia="仿宋_GB2312" w:cs="仿宋_GB2312"/>
          <w:bCs/>
          <w:sz w:val="32"/>
          <w:szCs w:val="32"/>
        </w:rPr>
        <w:t>唇腭裂；</w:t>
      </w:r>
    </w:p>
    <w:p>
      <w:pPr>
        <w:numPr>
          <w:ilvl w:val="0"/>
          <w:numId w:val="3"/>
        </w:numPr>
        <w:adjustRightInd w:val="0"/>
        <w:snapToGrid w:val="0"/>
        <w:spacing w:line="540" w:lineRule="exact"/>
        <w:ind w:firstLine="640" w:firstLineChars="200"/>
      </w:pPr>
      <w:r>
        <w:rPr>
          <w:rFonts w:hint="eastAsia" w:ascii="仿宋_GB2312" w:hAnsi="仿宋_GB2312" w:eastAsia="仿宋_GB2312" w:cs="仿宋_GB2312"/>
          <w:bCs/>
          <w:sz w:val="32"/>
          <w:szCs w:val="32"/>
        </w:rPr>
        <w:t>原发性生长激素缺乏症</w:t>
      </w:r>
      <w:r>
        <w:rPr>
          <w:rFonts w:hint="eastAsia" w:ascii="仿宋_GB2312" w:hAnsi="仿宋_GB2312" w:eastAsia="仿宋_GB2312" w:cs="仿宋_GB2312"/>
          <w:bCs/>
          <w:sz w:val="32"/>
          <w:szCs w:val="32"/>
          <w:lang w:eastAsia="zh-CN"/>
        </w:rPr>
        <w:t>。</w:t>
      </w:r>
    </w:p>
    <w:p>
      <w:pPr>
        <w:pStyle w:val="7"/>
        <w:adjustRightInd w:val="0"/>
        <w:snapToGrid w:val="0"/>
        <w:spacing w:before="0" w:beforeAutospacing="0" w:after="0" w:afterAutospacing="0" w:line="576" w:lineRule="exact"/>
        <w:ind w:firstLine="643" w:firstLineChars="200"/>
        <w:jc w:val="both"/>
        <w:rPr>
          <w:rFonts w:ascii="仿宋_GB2312" w:hAnsi="仿宋_GB2312" w:eastAsia="仿宋_GB2312" w:cs="仿宋_GB2312"/>
          <w:color w:val="000000"/>
          <w:kern w:val="2"/>
          <w:sz w:val="32"/>
          <w:szCs w:val="32"/>
        </w:rPr>
      </w:pPr>
      <w:r>
        <w:rPr>
          <w:rFonts w:hint="eastAsia" w:ascii="楷体_GB2312" w:eastAsia="楷体_GB2312" w:cs="Times New Roman"/>
          <w:b/>
          <w:bCs/>
          <w:snapToGrid w:val="0"/>
          <w:color w:val="000000"/>
          <w:sz w:val="32"/>
          <w:szCs w:val="32"/>
          <w:u w:color="FFFFFF"/>
        </w:rPr>
        <w:t>第二十</w:t>
      </w:r>
      <w:r>
        <w:rPr>
          <w:rFonts w:hint="eastAsia" w:ascii="楷体_GB2312" w:eastAsia="楷体_GB2312" w:cs="Times New Roman"/>
          <w:b/>
          <w:bCs/>
          <w:snapToGrid w:val="0"/>
          <w:color w:val="000000"/>
          <w:sz w:val="32"/>
          <w:szCs w:val="32"/>
          <w:u w:color="FFFFFF"/>
          <w:lang w:eastAsia="zh-CN"/>
        </w:rPr>
        <w:t>六</w:t>
      </w:r>
      <w:r>
        <w:rPr>
          <w:rFonts w:hint="eastAsia" w:ascii="楷体_GB2312" w:eastAsia="楷体_GB2312" w:cs="Times New Roman"/>
          <w:b/>
          <w:bCs/>
          <w:snapToGrid w:val="0"/>
          <w:color w:val="000000"/>
          <w:sz w:val="32"/>
          <w:szCs w:val="32"/>
          <w:u w:color="FFFFFF"/>
        </w:rPr>
        <w:t xml:space="preserve">条  </w:t>
      </w:r>
      <w:r>
        <w:rPr>
          <w:rFonts w:hint="eastAsia" w:ascii="仿宋_GB2312" w:hAnsi="仿宋_GB2312" w:eastAsia="仿宋_GB2312" w:cs="仿宋_GB2312"/>
          <w:color w:val="000000"/>
          <w:kern w:val="2"/>
          <w:sz w:val="32"/>
          <w:szCs w:val="32"/>
        </w:rPr>
        <w:t>参保人员门诊急诊、抢救发生的医疗费用，不计起付线，纳入住院报销。</w:t>
      </w:r>
    </w:p>
    <w:p>
      <w:pPr>
        <w:pStyle w:val="7"/>
        <w:numPr>
          <w:ilvl w:val="255"/>
          <w:numId w:val="0"/>
        </w:numPr>
        <w:adjustRightInd w:val="0"/>
        <w:snapToGrid w:val="0"/>
        <w:spacing w:before="0" w:beforeAutospacing="0" w:after="0" w:afterAutospacing="0" w:line="576"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在同一医疗机构，入院前7天内发生的</w:t>
      </w:r>
      <w:r>
        <w:rPr>
          <w:rFonts w:hint="eastAsia" w:ascii="仿宋_GB2312" w:hAnsi="仿宋_GB2312" w:eastAsia="仿宋_GB2312" w:cs="仿宋_GB2312"/>
          <w:bCs/>
          <w:kern w:val="2"/>
          <w:sz w:val="32"/>
          <w:szCs w:val="32"/>
        </w:rPr>
        <w:t>符合基本医疗保险政策范围内的</w:t>
      </w:r>
      <w:r>
        <w:rPr>
          <w:rFonts w:hint="eastAsia" w:ascii="仿宋_GB2312" w:hAnsi="仿宋_GB2312" w:eastAsia="仿宋_GB2312" w:cs="仿宋_GB2312"/>
          <w:kern w:val="2"/>
          <w:sz w:val="32"/>
          <w:szCs w:val="32"/>
        </w:rPr>
        <w:t>医疗费用，不计起付线，纳入住院报销。</w:t>
      </w:r>
    </w:p>
    <w:p>
      <w:pPr>
        <w:pStyle w:val="7"/>
        <w:numPr>
          <w:ilvl w:val="255"/>
          <w:numId w:val="0"/>
        </w:numPr>
        <w:adjustRightInd w:val="0"/>
        <w:snapToGrid w:val="0"/>
        <w:spacing w:before="0" w:beforeAutospacing="0" w:after="0" w:afterAutospacing="0" w:line="576" w:lineRule="exact"/>
        <w:ind w:firstLine="643" w:firstLineChars="200"/>
        <w:jc w:val="both"/>
      </w:pPr>
      <w:r>
        <w:rPr>
          <w:rFonts w:hint="eastAsia" w:ascii="楷体_GB2312" w:eastAsia="楷体_GB2312" w:cs="Times New Roman"/>
          <w:b/>
          <w:bCs/>
          <w:snapToGrid w:val="0"/>
          <w:sz w:val="32"/>
          <w:szCs w:val="32"/>
          <w:u w:color="FFFFFF"/>
        </w:rPr>
        <w:t>第二十</w:t>
      </w:r>
      <w:r>
        <w:rPr>
          <w:rFonts w:hint="eastAsia" w:ascii="楷体_GB2312" w:eastAsia="楷体_GB2312" w:cs="Times New Roman"/>
          <w:b/>
          <w:bCs/>
          <w:snapToGrid w:val="0"/>
          <w:sz w:val="32"/>
          <w:szCs w:val="32"/>
          <w:u w:color="FFFFFF"/>
          <w:lang w:eastAsia="zh-CN"/>
        </w:rPr>
        <w:t>七</w:t>
      </w:r>
      <w:r>
        <w:rPr>
          <w:rFonts w:hint="eastAsia" w:ascii="楷体_GB2312" w:eastAsia="楷体_GB2312" w:cs="Times New Roman"/>
          <w:b/>
          <w:bCs/>
          <w:snapToGrid w:val="0"/>
          <w:sz w:val="32"/>
          <w:szCs w:val="32"/>
          <w:u w:color="FFFFFF"/>
        </w:rPr>
        <w:t xml:space="preserve">条 </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kern w:val="2"/>
          <w:sz w:val="32"/>
          <w:szCs w:val="32"/>
        </w:rPr>
        <w:t>日间手术医疗费用纳入对应</w:t>
      </w:r>
      <w:r>
        <w:rPr>
          <w:rFonts w:hint="eastAsia" w:ascii="仿宋_GB2312" w:hAnsi="仿宋_GB2312" w:eastAsia="仿宋_GB2312" w:cs="仿宋_GB2312"/>
          <w:color w:val="000000"/>
          <w:kern w:val="2"/>
          <w:sz w:val="32"/>
          <w:szCs w:val="32"/>
        </w:rPr>
        <w:t>医疗机构级别住院待遇报销。</w:t>
      </w:r>
    </w:p>
    <w:p>
      <w:pPr>
        <w:tabs>
          <w:tab w:val="left" w:pos="518"/>
        </w:tabs>
        <w:autoSpaceDE w:val="0"/>
        <w:autoSpaceDN w:val="0"/>
        <w:adjustRightInd w:val="0"/>
        <w:snapToGrid w:val="0"/>
        <w:spacing w:line="540" w:lineRule="exact"/>
        <w:ind w:firstLine="643" w:firstLineChars="200"/>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第二十</w:t>
      </w:r>
      <w:r>
        <w:rPr>
          <w:rFonts w:hint="eastAsia" w:ascii="楷体_GB2312" w:eastAsia="楷体_GB2312"/>
          <w:b/>
          <w:bCs/>
          <w:snapToGrid w:val="0"/>
          <w:color w:val="000000"/>
          <w:kern w:val="0"/>
          <w:sz w:val="32"/>
          <w:szCs w:val="32"/>
          <w:u w:color="FFFFFF"/>
          <w:lang w:eastAsia="zh-CN"/>
        </w:rPr>
        <w:t>八</w:t>
      </w:r>
      <w:r>
        <w:rPr>
          <w:rFonts w:hint="eastAsia" w:ascii="楷体_GB2312" w:eastAsia="楷体_GB2312"/>
          <w:b/>
          <w:bCs/>
          <w:snapToGrid w:val="0"/>
          <w:color w:val="000000"/>
          <w:kern w:val="0"/>
          <w:sz w:val="32"/>
          <w:szCs w:val="32"/>
          <w:u w:color="FFFFFF"/>
        </w:rPr>
        <w:t>条</w:t>
      </w:r>
      <w:r>
        <w:rPr>
          <w:rFonts w:hint="eastAsia" w:ascii="楷体_GB2312" w:eastAsia="楷体_GB2312"/>
          <w:b/>
          <w:bCs/>
          <w:snapToGrid w:val="0"/>
          <w:color w:val="000000"/>
          <w:kern w:val="0"/>
          <w:sz w:val="32"/>
          <w:szCs w:val="32"/>
          <w:u w:color="FFFFFF"/>
          <w:lang w:val="en-US" w:eastAsia="zh-CN"/>
        </w:rPr>
        <w:t xml:space="preserve">  </w:t>
      </w:r>
      <w:r>
        <w:rPr>
          <w:rFonts w:hint="eastAsia" w:ascii="仿宋_GB2312" w:eastAsia="仿宋_GB2312"/>
          <w:snapToGrid w:val="0"/>
          <w:color w:val="000000"/>
          <w:kern w:val="0"/>
          <w:sz w:val="32"/>
          <w:szCs w:val="32"/>
          <w:u w:color="FFFFFF"/>
        </w:rPr>
        <w:t>门诊统筹医疗待遇。</w:t>
      </w:r>
    </w:p>
    <w:p>
      <w:pPr>
        <w:spacing w:line="360" w:lineRule="auto"/>
        <w:ind w:firstLine="640" w:firstLineChars="200"/>
        <w:contextualSpacing/>
        <w:rPr>
          <w:rFonts w:ascii="仿宋_GB2312" w:eastAsia="仿宋_GB2312"/>
          <w:snapToGrid w:val="0"/>
          <w:color w:val="000000"/>
          <w:kern w:val="0"/>
          <w:sz w:val="32"/>
          <w:szCs w:val="32"/>
          <w:u w:color="FFFFFF"/>
        </w:rPr>
      </w:pPr>
      <w:r>
        <w:rPr>
          <w:rFonts w:hint="eastAsia" w:ascii="仿宋_GB2312" w:hAnsi="Verdana" w:eastAsia="仿宋_GB2312"/>
          <w:kern w:val="0"/>
          <w:sz w:val="32"/>
          <w:szCs w:val="32"/>
          <w:u w:color="000000"/>
        </w:rPr>
        <w:t>参保人员在二级及以下定点医疗机构门诊就医或购药，享受门诊统筹待遇。门诊统筹待遇不设起付线</w:t>
      </w:r>
      <w:r>
        <w:rPr>
          <w:rFonts w:hint="eastAsia" w:ascii="仿宋_GB2312" w:hAnsi="Verdana" w:eastAsia="仿宋_GB2312"/>
          <w:kern w:val="0"/>
          <w:sz w:val="32"/>
          <w:szCs w:val="32"/>
        </w:rPr>
        <w:t>，</w:t>
      </w:r>
      <w:r>
        <w:rPr>
          <w:rFonts w:hint="eastAsia" w:ascii="仿宋_GB2312" w:hAnsi="宋体" w:eastAsia="仿宋_GB2312"/>
          <w:color w:val="auto"/>
          <w:spacing w:val="6"/>
          <w:kern w:val="0"/>
          <w:sz w:val="32"/>
          <w:szCs w:val="20"/>
        </w:rPr>
        <w:t>选择第</w:t>
      </w:r>
      <w:r>
        <w:rPr>
          <w:rFonts w:hint="eastAsia" w:ascii="仿宋_GB2312" w:hAnsi="宋体" w:eastAsia="仿宋_GB2312"/>
          <w:color w:val="auto"/>
          <w:kern w:val="0"/>
          <w:sz w:val="32"/>
          <w:szCs w:val="20"/>
        </w:rPr>
        <w:t>一档筹资标准缴费的</w:t>
      </w:r>
      <w:r>
        <w:rPr>
          <w:rFonts w:hint="eastAsia" w:ascii="仿宋_GB2312" w:hAnsi="Verdana" w:eastAsia="仿宋_GB2312"/>
          <w:color w:val="auto"/>
          <w:kern w:val="0"/>
          <w:sz w:val="32"/>
          <w:szCs w:val="20"/>
        </w:rPr>
        <w:t>年度最高不超过</w:t>
      </w:r>
      <w:r>
        <w:rPr>
          <w:rFonts w:ascii="仿宋_GB2312" w:hAnsi="Verdana" w:eastAsia="仿宋_GB2312"/>
          <w:color w:val="auto"/>
          <w:kern w:val="0"/>
          <w:sz w:val="32"/>
          <w:szCs w:val="20"/>
        </w:rPr>
        <w:t>1</w:t>
      </w:r>
      <w:r>
        <w:rPr>
          <w:rFonts w:hint="eastAsia" w:ascii="仿宋_GB2312" w:hAnsi="Verdana" w:eastAsia="仿宋_GB2312"/>
          <w:color w:val="auto"/>
          <w:kern w:val="0"/>
          <w:sz w:val="32"/>
          <w:szCs w:val="20"/>
        </w:rPr>
        <w:t>50元，</w:t>
      </w:r>
      <w:r>
        <w:rPr>
          <w:rFonts w:hint="eastAsia" w:ascii="仿宋_GB2312" w:hAnsi="宋体" w:eastAsia="仿宋_GB2312"/>
          <w:color w:val="auto"/>
          <w:spacing w:val="6"/>
          <w:kern w:val="0"/>
          <w:sz w:val="32"/>
          <w:szCs w:val="20"/>
        </w:rPr>
        <w:t>选择第</w:t>
      </w:r>
      <w:r>
        <w:rPr>
          <w:rFonts w:hint="eastAsia" w:ascii="仿宋_GB2312" w:hAnsi="宋体" w:eastAsia="仿宋_GB2312"/>
          <w:color w:val="auto"/>
          <w:kern w:val="0"/>
          <w:sz w:val="32"/>
          <w:szCs w:val="20"/>
        </w:rPr>
        <w:t>二档筹资标准缴费的</w:t>
      </w:r>
      <w:r>
        <w:rPr>
          <w:rFonts w:hint="eastAsia" w:ascii="仿宋_GB2312" w:hAnsi="Verdana" w:eastAsia="仿宋_GB2312"/>
          <w:color w:val="auto"/>
          <w:kern w:val="0"/>
          <w:sz w:val="32"/>
          <w:szCs w:val="20"/>
        </w:rPr>
        <w:t>年度最高不超过200元，</w:t>
      </w:r>
      <w:r>
        <w:rPr>
          <w:rFonts w:hint="eastAsia" w:ascii="仿宋_GB2312" w:hAnsi="Verdana" w:eastAsia="仿宋_GB2312"/>
          <w:kern w:val="0"/>
          <w:sz w:val="32"/>
          <w:szCs w:val="32"/>
          <w:u w:color="000000"/>
        </w:rPr>
        <w:t>由定点医疗机构按照比例直接报销。政策范围内的门诊医疗费用二级以下定点医疗机构报销比例为80％，二级定点医疗机构报销比例为50%。</w:t>
      </w:r>
    </w:p>
    <w:p>
      <w:pPr>
        <w:pStyle w:val="7"/>
        <w:widowControl w:val="0"/>
        <w:adjustRightInd w:val="0"/>
        <w:snapToGrid w:val="0"/>
        <w:spacing w:before="0" w:beforeAutospacing="0" w:after="0" w:afterAutospacing="0" w:line="540" w:lineRule="exact"/>
        <w:ind w:firstLine="643" w:firstLineChars="200"/>
        <w:jc w:val="both"/>
        <w:rPr>
          <w:rFonts w:ascii="仿宋_GB2312" w:eastAsia="仿宋_GB2312" w:cs="Times New Roman"/>
          <w:snapToGrid w:val="0"/>
          <w:color w:val="000000"/>
          <w:sz w:val="32"/>
          <w:szCs w:val="32"/>
          <w:u w:color="FFFFFF"/>
        </w:rPr>
      </w:pPr>
      <w:r>
        <w:rPr>
          <w:rFonts w:hint="eastAsia" w:ascii="楷体_GB2312" w:eastAsia="楷体_GB2312" w:cs="Times New Roman"/>
          <w:b/>
          <w:bCs/>
          <w:snapToGrid w:val="0"/>
          <w:color w:val="000000"/>
          <w:sz w:val="32"/>
          <w:szCs w:val="32"/>
          <w:u w:color="FFFFFF"/>
        </w:rPr>
        <w:t>第二十</w:t>
      </w:r>
      <w:r>
        <w:rPr>
          <w:rFonts w:hint="eastAsia" w:ascii="楷体_GB2312" w:eastAsia="楷体_GB2312" w:cs="Times New Roman"/>
          <w:b/>
          <w:bCs/>
          <w:snapToGrid w:val="0"/>
          <w:color w:val="000000"/>
          <w:sz w:val="32"/>
          <w:szCs w:val="32"/>
          <w:u w:color="FFFFFF"/>
          <w:lang w:eastAsia="zh-CN"/>
        </w:rPr>
        <w:t>九</w:t>
      </w:r>
      <w:r>
        <w:rPr>
          <w:rFonts w:hint="eastAsia" w:ascii="楷体_GB2312" w:eastAsia="楷体_GB2312" w:cs="Times New Roman"/>
          <w:b/>
          <w:bCs/>
          <w:snapToGrid w:val="0"/>
          <w:color w:val="000000"/>
          <w:sz w:val="32"/>
          <w:szCs w:val="32"/>
          <w:u w:color="FFFFFF"/>
        </w:rPr>
        <w:t>条</w:t>
      </w:r>
      <w:r>
        <w:rPr>
          <w:rFonts w:hint="eastAsia" w:ascii="仿宋_GB2312" w:eastAsia="仿宋_GB2312" w:cs="Times New Roman"/>
          <w:snapToGrid w:val="0"/>
          <w:color w:val="000000"/>
          <w:sz w:val="32"/>
          <w:szCs w:val="32"/>
          <w:u w:color="FFFFFF"/>
        </w:rPr>
        <w:t xml:space="preserve">  城乡居民大病医疗保险。</w:t>
      </w:r>
    </w:p>
    <w:p>
      <w:pPr>
        <w:pStyle w:val="7"/>
        <w:widowControl w:val="0"/>
        <w:adjustRightInd w:val="0"/>
        <w:snapToGrid w:val="0"/>
        <w:spacing w:before="0" w:beforeAutospacing="0" w:after="0" w:afterAutospacing="0" w:line="540" w:lineRule="exact"/>
        <w:ind w:firstLine="640" w:firstLineChars="200"/>
        <w:jc w:val="both"/>
        <w:rPr>
          <w:rFonts w:ascii="仿宋_GB2312" w:eastAsia="仿宋_GB2312" w:cs="Times New Roman"/>
          <w:snapToGrid w:val="0"/>
          <w:color w:val="000000" w:themeColor="text1"/>
          <w:sz w:val="32"/>
          <w:szCs w:val="32"/>
          <w:u w:color="FFFFFF"/>
          <w14:textFill>
            <w14:solidFill>
              <w14:schemeClr w14:val="tx1"/>
            </w14:solidFill>
          </w14:textFill>
        </w:rPr>
      </w:pPr>
      <w:r>
        <w:rPr>
          <w:rFonts w:hint="eastAsia" w:ascii="仿宋_GB2312" w:eastAsia="仿宋_GB2312" w:cs="Times New Roman"/>
          <w:snapToGrid w:val="0"/>
          <w:color w:val="000000" w:themeColor="text1"/>
          <w:sz w:val="32"/>
          <w:szCs w:val="32"/>
          <w:u w:color="FFFFFF"/>
          <w14:textFill>
            <w14:solidFill>
              <w14:schemeClr w14:val="tx1"/>
            </w14:solidFill>
          </w14:textFill>
        </w:rPr>
        <w:t>通过向商业保险机构投保的方式，建立大病医疗保险，所需资</w:t>
      </w:r>
      <w:r>
        <w:rPr>
          <w:rFonts w:hint="eastAsia" w:ascii="仿宋_GB2312" w:eastAsia="仿宋_GB2312" w:cs="Times New Roman"/>
          <w:snapToGrid w:val="0"/>
          <w:color w:val="000000"/>
          <w:sz w:val="32"/>
          <w:szCs w:val="32"/>
          <w:u w:color="FFFFFF"/>
        </w:rPr>
        <w:t>金在城乡医保基金</w:t>
      </w:r>
      <w:r>
        <w:rPr>
          <w:rFonts w:hint="eastAsia" w:ascii="仿宋_GB2312" w:eastAsia="仿宋_GB2312" w:cs="Times New Roman"/>
          <w:snapToGrid w:val="0"/>
          <w:color w:val="000000" w:themeColor="text1"/>
          <w:sz w:val="32"/>
          <w:szCs w:val="32"/>
          <w:u w:color="FFFFFF"/>
          <w14:textFill>
            <w14:solidFill>
              <w14:schemeClr w14:val="tx1"/>
            </w14:solidFill>
          </w14:textFill>
        </w:rPr>
        <w:t>中列支，参保人员个人不缴费。城乡居民大病医疗保险按照国家、省、州相关规定执行。</w:t>
      </w:r>
    </w:p>
    <w:p>
      <w:pPr>
        <w:spacing w:line="360" w:lineRule="auto"/>
        <w:ind w:firstLine="643" w:firstLineChars="200"/>
        <w:contextualSpacing/>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第三十条</w:t>
      </w:r>
      <w:r>
        <w:rPr>
          <w:rFonts w:hint="eastAsia" w:ascii="仿宋_GB2312" w:eastAsia="仿宋_GB2312"/>
          <w:b/>
          <w:bCs/>
          <w:snapToGrid w:val="0"/>
          <w:color w:val="000000"/>
          <w:kern w:val="0"/>
          <w:sz w:val="32"/>
          <w:szCs w:val="32"/>
          <w:u w:color="FFFFFF"/>
        </w:rPr>
        <w:t xml:space="preserve">  </w:t>
      </w:r>
      <w:r>
        <w:rPr>
          <w:rFonts w:hint="eastAsia" w:ascii="仿宋_GB2312" w:hAnsi="宋体" w:eastAsia="仿宋_GB2312"/>
          <w:spacing w:val="6"/>
          <w:kern w:val="0"/>
          <w:sz w:val="32"/>
          <w:szCs w:val="32"/>
          <w:u w:color="000000"/>
        </w:rPr>
        <w:t>参保人员发生的下列医疗费用不属于基本医疗保险基金支付范围：</w:t>
      </w:r>
    </w:p>
    <w:p>
      <w:pPr>
        <w:adjustRightInd w:val="0"/>
        <w:snapToGrid w:val="0"/>
        <w:spacing w:line="560" w:lineRule="exact"/>
        <w:ind w:firstLine="664"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（一）应当从工伤保险基金中支付的；</w:t>
      </w:r>
    </w:p>
    <w:p>
      <w:pPr>
        <w:adjustRightInd w:val="0"/>
        <w:snapToGrid w:val="0"/>
        <w:spacing w:line="560" w:lineRule="exact"/>
        <w:ind w:firstLine="667"/>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（二）应当由公共卫生负担的；</w:t>
      </w:r>
    </w:p>
    <w:p>
      <w:pPr>
        <w:adjustRightInd w:val="0"/>
        <w:snapToGrid w:val="0"/>
        <w:spacing w:line="560" w:lineRule="exact"/>
        <w:ind w:firstLine="667"/>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（三）应当由第三人负担的；</w:t>
      </w:r>
    </w:p>
    <w:p>
      <w:pPr>
        <w:adjustRightInd w:val="0"/>
        <w:snapToGrid w:val="0"/>
        <w:spacing w:line="560" w:lineRule="exact"/>
        <w:ind w:firstLine="667"/>
        <w:rPr>
          <w:rFonts w:ascii="仿宋_GB2312" w:hAnsi="仿宋_GB2312" w:eastAsia="仿宋_GB2312" w:cs="仿宋_GB2312"/>
          <w:bCs/>
          <w:color w:val="000000" w:themeColor="text1"/>
          <w:spacing w:val="6"/>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（四）在境外就医的；</w:t>
      </w:r>
    </w:p>
    <w:p>
      <w:pPr>
        <w:adjustRightInd w:val="0"/>
        <w:snapToGrid w:val="0"/>
        <w:spacing w:line="560" w:lineRule="exact"/>
        <w:ind w:firstLine="667"/>
        <w:rPr>
          <w:rFonts w:ascii="仿宋_GB2312" w:hAnsi="仿宋_GB2312" w:eastAsia="仿宋_GB2312" w:cs="仿宋_GB2312"/>
          <w:bCs/>
          <w:color w:val="000000" w:themeColor="text1"/>
          <w:spacing w:val="6"/>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（五）体育健身、养生保健消费、健康体检；</w:t>
      </w:r>
    </w:p>
    <w:p>
      <w:pPr>
        <w:pStyle w:val="2"/>
        <w:spacing w:line="560" w:lineRule="exact"/>
        <w:ind w:left="0" w:leftChars="0" w:firstLine="664"/>
        <w:rPr>
          <w:rFonts w:ascii="仿宋_GB2312" w:hAnsi="仿宋_GB2312" w:eastAsia="仿宋_GB2312" w:cs="仿宋_GB2312"/>
          <w:bCs/>
          <w:color w:val="000000" w:themeColor="text1"/>
          <w:spacing w:val="6"/>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（六）因违法犯罪、酗酒、自残、自杀、交通事故、医疗事故等原因发生的医疗费用；</w:t>
      </w:r>
    </w:p>
    <w:p>
      <w:pPr>
        <w:pStyle w:val="2"/>
        <w:spacing w:line="560" w:lineRule="exact"/>
        <w:ind w:left="0" w:leftChars="0" w:firstLine="664"/>
        <w:rPr>
          <w:rFonts w:hint="eastAsia" w:ascii="仿宋_GB2312" w:hAnsi="仿宋_GB2312" w:eastAsia="仿宋_GB2312" w:cs="仿宋_GB2312"/>
          <w:bCs/>
          <w:color w:val="000000" w:themeColor="text1"/>
          <w:spacing w:val="6"/>
          <w:kern w:val="0"/>
          <w:sz w:val="32"/>
          <w:szCs w:val="32"/>
          <w14:textFill>
            <w14:solidFill>
              <w14:schemeClr w14:val="tx1"/>
            </w14:solidFill>
          </w14:textFill>
        </w:rPr>
      </w:pPr>
      <w:r>
        <w:rPr>
          <w:rFonts w:hint="eastAsia" w:ascii="仿宋_GB2312" w:hAnsi="仿宋_GB2312" w:eastAsia="仿宋_GB2312" w:cs="仿宋_GB2312"/>
          <w:bCs/>
          <w:color w:val="000000" w:themeColor="text1"/>
          <w:spacing w:val="6"/>
          <w:kern w:val="0"/>
          <w:sz w:val="32"/>
          <w:szCs w:val="32"/>
          <w14:textFill>
            <w14:solidFill>
              <w14:schemeClr w14:val="tx1"/>
            </w14:solidFill>
          </w14:textFill>
        </w:rPr>
        <w:t>（七）国家规定的基本医疗保险基金不予支付的其他费用。遇对经济社会发展有重大影响的，经法定程序，可做临时调整。</w:t>
      </w:r>
    </w:p>
    <w:p>
      <w:pPr>
        <w:pStyle w:val="2"/>
        <w:spacing w:line="560" w:lineRule="exact"/>
        <w:ind w:left="0" w:leftChars="0" w:firstLine="664"/>
        <w:rPr>
          <w:rFonts w:hint="eastAsia" w:ascii="仿宋_GB2312" w:hAnsi="仿宋_GB2312" w:eastAsia="仿宋_GB2312" w:cs="仿宋_GB2312"/>
          <w:bCs/>
          <w:color w:val="000000" w:themeColor="text1"/>
          <w:spacing w:val="6"/>
          <w:kern w:val="0"/>
          <w:sz w:val="32"/>
          <w:szCs w:val="32"/>
          <w:u w:val="single" w:color="auto"/>
          <w14:textFill>
            <w14:solidFill>
              <w14:schemeClr w14:val="tx1"/>
            </w14:solidFill>
          </w14:textFill>
        </w:rPr>
      </w:pPr>
    </w:p>
    <w:p>
      <w:pPr>
        <w:spacing w:line="360" w:lineRule="auto"/>
        <w:contextualSpacing/>
        <w:jc w:val="center"/>
        <w:rPr>
          <w:rFonts w:ascii="仿宋_GB2312" w:eastAsia="仿宋_GB2312"/>
          <w:b/>
          <w:sz w:val="32"/>
          <w:szCs w:val="32"/>
        </w:rPr>
      </w:pPr>
      <w:r>
        <w:rPr>
          <w:rFonts w:hint="eastAsia" w:ascii="仿宋_GB2312" w:eastAsia="仿宋_GB2312"/>
          <w:b/>
          <w:sz w:val="32"/>
          <w:szCs w:val="32"/>
        </w:rPr>
        <w:t>第五章 医疗服务及费用结算管理</w:t>
      </w:r>
    </w:p>
    <w:p>
      <w:pPr>
        <w:spacing w:line="360" w:lineRule="auto"/>
        <w:contextualSpacing/>
        <w:jc w:val="center"/>
        <w:rPr>
          <w:rFonts w:ascii="仿宋_GB2312" w:eastAsia="仿宋_GB2312"/>
          <w:b/>
          <w:sz w:val="32"/>
          <w:szCs w:val="32"/>
        </w:rPr>
      </w:pPr>
    </w:p>
    <w:p>
      <w:pPr>
        <w:spacing w:line="360" w:lineRule="auto"/>
        <w:ind w:firstLine="643" w:firstLineChars="200"/>
        <w:contextualSpacing/>
        <w:jc w:val="left"/>
        <w:rPr>
          <w:rFonts w:ascii="仿宋_GB2312" w:eastAsia="仿宋_GB2312"/>
          <w:b/>
          <w:sz w:val="32"/>
          <w:szCs w:val="32"/>
        </w:rPr>
      </w:pPr>
      <w:r>
        <w:rPr>
          <w:rFonts w:hint="eastAsia" w:ascii="楷体_GB2312" w:eastAsia="楷体_GB2312"/>
          <w:b/>
          <w:bCs/>
          <w:snapToGrid w:val="0"/>
          <w:color w:val="000000"/>
          <w:kern w:val="0"/>
          <w:sz w:val="32"/>
          <w:szCs w:val="32"/>
          <w:u w:color="FFFFFF"/>
        </w:rPr>
        <w:t xml:space="preserve">第三十一条  </w:t>
      </w:r>
      <w:r>
        <w:rPr>
          <w:rFonts w:hint="eastAsia" w:ascii="仿宋_GB2312" w:eastAsia="仿宋_GB2312"/>
          <w:sz w:val="32"/>
          <w:szCs w:val="32"/>
        </w:rPr>
        <w:t>对医药机构的医疗保险服务实行协议定点管理，严格考核、依法评估，在准入条件下实行动态退出机制。</w:t>
      </w:r>
    </w:p>
    <w:p>
      <w:pPr>
        <w:pStyle w:val="2"/>
        <w:ind w:left="0" w:leftChars="0" w:firstLine="643"/>
        <w:rPr>
          <w:rFonts w:ascii="仿宋_GB2312" w:eastAsia="仿宋_GB2312"/>
          <w:sz w:val="32"/>
          <w:szCs w:val="32"/>
        </w:rPr>
      </w:pPr>
      <w:r>
        <w:rPr>
          <w:rFonts w:hint="eastAsia" w:ascii="楷体_GB2312" w:eastAsia="楷体_GB2312"/>
          <w:b/>
          <w:bCs/>
          <w:snapToGrid w:val="0"/>
          <w:kern w:val="0"/>
          <w:sz w:val="32"/>
          <w:szCs w:val="32"/>
          <w:u w:color="FFFFFF"/>
        </w:rPr>
        <w:t>第三十二条</w:t>
      </w:r>
      <w:r>
        <w:rPr>
          <w:rFonts w:hint="eastAsia" w:ascii="楷体_GB2312" w:eastAsia="楷体_GB2312"/>
          <w:snapToGrid w:val="0"/>
          <w:kern w:val="0"/>
          <w:sz w:val="32"/>
          <w:szCs w:val="32"/>
          <w:u w:color="FFFFFF"/>
        </w:rPr>
        <w:t xml:space="preserve">  </w:t>
      </w:r>
      <w:r>
        <w:rPr>
          <w:rFonts w:hint="eastAsia" w:ascii="仿宋_GB2312" w:eastAsia="仿宋_GB2312"/>
          <w:sz w:val="32"/>
          <w:szCs w:val="32"/>
        </w:rPr>
        <w:t>参保人员在定点医药机构发生的医药费用按规定纳入报销，在非定点医药机构发生的医药费用不予支付（急诊、急救除外）。</w:t>
      </w:r>
    </w:p>
    <w:p>
      <w:pPr>
        <w:pStyle w:val="2"/>
        <w:ind w:left="0" w:leftChars="0" w:firstLine="643"/>
        <w:rPr>
          <w:rFonts w:ascii="仿宋_GB2312" w:eastAsia="仿宋_GB2312"/>
          <w:sz w:val="32"/>
          <w:szCs w:val="32"/>
        </w:rPr>
      </w:pPr>
      <w:r>
        <w:rPr>
          <w:rFonts w:hint="eastAsia" w:ascii="楷体_GB2312" w:eastAsia="楷体_GB2312"/>
          <w:b/>
          <w:bCs/>
          <w:snapToGrid w:val="0"/>
          <w:kern w:val="0"/>
          <w:sz w:val="32"/>
          <w:szCs w:val="32"/>
          <w:u w:color="FFFFFF"/>
        </w:rPr>
        <w:t>第三十三条</w:t>
      </w:r>
      <w:r>
        <w:rPr>
          <w:rFonts w:hint="eastAsia" w:ascii="楷体_GB2312" w:eastAsia="楷体_GB2312"/>
          <w:snapToGrid w:val="0"/>
          <w:kern w:val="0"/>
          <w:sz w:val="32"/>
          <w:szCs w:val="32"/>
          <w:u w:color="FFFFFF"/>
        </w:rPr>
        <w:t xml:space="preserve">  </w:t>
      </w:r>
      <w:r>
        <w:rPr>
          <w:rFonts w:hint="eastAsia" w:ascii="仿宋_GB2312" w:eastAsia="仿宋_GB2312"/>
          <w:sz w:val="32"/>
          <w:szCs w:val="32"/>
        </w:rPr>
        <w:t>参保人员就医时应主动出示身份证和社会保障卡（电子医保凭证）。在四川省内异地定点医疗机构就医，无需办理异地就医备案手续(外伤住院就医除外);在四川省外异地就医，应向参保地医保经办机构办理异地就医备案。在联网结算医疗机构发生的医疗费用，个人负担部分由参保人员自行支付，应由基本医疗保险支付的费用，由定点医药机构向医保经办机构申报结算。</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外伤异地就医，应在入院24 小时内提供医疗机构首次入院记录，并如实填写《外伤入院登记表》、《外伤费用报销承诺书》,属于交通事故的提供公安部门的《交通事故责任鉴定书》,向参保地医保经办机构申请办理外伤异地就医备案，按规定办理联网结算。</w:t>
      </w:r>
    </w:p>
    <w:p>
      <w:pPr>
        <w:spacing w:line="360" w:lineRule="auto"/>
        <w:ind w:firstLine="643" w:firstLineChars="200"/>
        <w:contextualSpacing/>
        <w:rPr>
          <w:rFonts w:hint="eastAsia" w:ascii="仿宋_GB2312" w:hAnsi="仿宋_GB2312" w:eastAsia="仿宋_GB2312" w:cs="仿宋_GB2312"/>
          <w:snapToGrid w:val="0"/>
          <w:kern w:val="0"/>
          <w:sz w:val="32"/>
          <w:szCs w:val="32"/>
        </w:rPr>
      </w:pPr>
      <w:r>
        <w:rPr>
          <w:rFonts w:hint="eastAsia" w:ascii="楷体_GB2312" w:eastAsia="楷体_GB2312"/>
          <w:b/>
          <w:bCs/>
          <w:snapToGrid w:val="0"/>
          <w:kern w:val="0"/>
          <w:sz w:val="32"/>
          <w:szCs w:val="32"/>
          <w:u w:color="FFFFFF"/>
        </w:rPr>
        <w:t xml:space="preserve">第三十四条  </w:t>
      </w:r>
      <w:r>
        <w:rPr>
          <w:rFonts w:hint="eastAsia" w:ascii="仿宋_GB2312" w:hAnsi="仿宋_GB2312" w:eastAsia="仿宋_GB2312" w:cs="仿宋_GB2312"/>
          <w:snapToGrid w:val="0"/>
          <w:kern w:val="0"/>
          <w:sz w:val="32"/>
          <w:szCs w:val="32"/>
        </w:rPr>
        <w:t>参保人员就医不能及时结算的，</w:t>
      </w:r>
      <w:r>
        <w:rPr>
          <w:rFonts w:hint="eastAsia" w:ascii="仿宋_GB2312" w:hAnsi="仿宋_GB2312" w:eastAsia="仿宋_GB2312" w:cs="仿宋_GB2312"/>
          <w:sz w:val="32"/>
          <w:szCs w:val="32"/>
        </w:rPr>
        <w:t>应及时</w:t>
      </w:r>
      <w:r>
        <w:rPr>
          <w:rFonts w:hint="eastAsia" w:ascii="仿宋_GB2312" w:hAnsi="仿宋_GB2312" w:eastAsia="仿宋_GB2312" w:cs="仿宋_GB2312"/>
          <w:snapToGrid w:val="0"/>
          <w:kern w:val="0"/>
          <w:sz w:val="32"/>
          <w:szCs w:val="32"/>
        </w:rPr>
        <w:t>向参保地医保经办机构</w:t>
      </w:r>
      <w:r>
        <w:rPr>
          <w:rFonts w:hint="eastAsia" w:ascii="仿宋_GB2312" w:hAnsi="仿宋_GB2312" w:eastAsia="仿宋_GB2312" w:cs="仿宋_GB2312"/>
          <w:sz w:val="32"/>
          <w:szCs w:val="32"/>
        </w:rPr>
        <w:t>申请办理报销，跨年度费用报销应</w:t>
      </w:r>
      <w:r>
        <w:rPr>
          <w:rFonts w:hint="eastAsia" w:ascii="仿宋_GB2312" w:hAnsi="仿宋_GB2312" w:eastAsia="仿宋_GB2312" w:cs="仿宋_GB2312"/>
          <w:snapToGrid w:val="0"/>
          <w:kern w:val="0"/>
          <w:sz w:val="32"/>
          <w:szCs w:val="32"/>
        </w:rPr>
        <w:t>在次年4月1日前</w:t>
      </w:r>
      <w:r>
        <w:rPr>
          <w:rFonts w:hint="eastAsia" w:ascii="仿宋_GB2312" w:hAnsi="仿宋_GB2312" w:eastAsia="仿宋_GB2312" w:cs="仿宋_GB2312"/>
          <w:sz w:val="32"/>
          <w:szCs w:val="32"/>
        </w:rPr>
        <w:t>申请。</w:t>
      </w:r>
      <w:r>
        <w:rPr>
          <w:rFonts w:hint="eastAsia" w:ascii="仿宋_GB2312" w:hAnsi="仿宋_GB2312" w:eastAsia="仿宋_GB2312" w:cs="仿宋_GB2312"/>
          <w:snapToGrid w:val="0"/>
          <w:kern w:val="0"/>
          <w:sz w:val="32"/>
          <w:szCs w:val="32"/>
        </w:rPr>
        <w:t xml:space="preserve">按规定提供以下报销资料：加盖公章的原始医疗费用发票、门诊或住院医疗费用明细清单、出院病情诊断证明原件；社会保障卡或银行卡、身份证复印件等资料，外伤病人还需提供病历复印资料及其他证明材料。 </w:t>
      </w:r>
    </w:p>
    <w:p>
      <w:pPr>
        <w:spacing w:line="360" w:lineRule="auto"/>
        <w:ind w:firstLine="643" w:firstLineChars="200"/>
        <w:rPr>
          <w:rFonts w:ascii="仿宋_GB2312" w:eastAsia="仿宋_GB2312"/>
          <w:bCs/>
          <w:snapToGrid w:val="0"/>
          <w:kern w:val="0"/>
          <w:sz w:val="32"/>
          <w:szCs w:val="32"/>
          <w:u w:color="FFFFFF"/>
        </w:rPr>
      </w:pPr>
      <w:r>
        <w:rPr>
          <w:rFonts w:hint="eastAsia" w:ascii="楷体_GB2312" w:eastAsia="楷体_GB2312"/>
          <w:b/>
          <w:bCs/>
          <w:snapToGrid w:val="0"/>
          <w:color w:val="000000"/>
          <w:kern w:val="0"/>
          <w:sz w:val="32"/>
          <w:szCs w:val="32"/>
          <w:u w:color="FFFFFF"/>
        </w:rPr>
        <w:t xml:space="preserve">第三十五条  </w:t>
      </w:r>
      <w:r>
        <w:rPr>
          <w:rFonts w:hint="eastAsia" w:ascii="仿宋_GB2312" w:eastAsia="仿宋_GB2312"/>
          <w:bCs/>
          <w:snapToGrid w:val="0"/>
          <w:kern w:val="0"/>
          <w:sz w:val="32"/>
          <w:szCs w:val="32"/>
          <w:u w:color="FFFFFF"/>
        </w:rPr>
        <w:t>一般诊疗费及门急诊诊查费。</w:t>
      </w:r>
    </w:p>
    <w:p>
      <w:pPr>
        <w:spacing w:line="360" w:lineRule="auto"/>
        <w:ind w:firstLine="640" w:firstLineChars="200"/>
        <w:rPr>
          <w:rFonts w:ascii="仿宋_GB2312" w:eastAsia="仿宋_GB2312"/>
          <w:snapToGrid w:val="0"/>
          <w:kern w:val="0"/>
          <w:sz w:val="24"/>
          <w:u w:val="single"/>
        </w:rPr>
      </w:pPr>
      <w:r>
        <w:rPr>
          <w:rFonts w:hint="eastAsia" w:ascii="仿宋_GB2312" w:eastAsia="仿宋_GB2312"/>
          <w:bCs/>
          <w:snapToGrid w:val="0"/>
          <w:kern w:val="0"/>
          <w:sz w:val="32"/>
          <w:szCs w:val="32"/>
          <w:u w:color="FFFFFF"/>
        </w:rPr>
        <w:t>（一）</w:t>
      </w:r>
      <w:r>
        <w:rPr>
          <w:rFonts w:hint="eastAsia" w:ascii="仿宋_GB2312" w:eastAsia="仿宋_GB2312"/>
          <w:sz w:val="32"/>
          <w:szCs w:val="32"/>
        </w:rPr>
        <w:t>参保人员在实施国家基本药物制度的乡镇卫生院（含社区卫生服务中心）和村卫生室（含社区卫生服务站）以普通门诊方式就医，发生的一般诊疗费由城乡医保基金按10元每门诊人次(在一体化管理的行政村卫生室按5元每门诊人次)支付。</w:t>
      </w:r>
    </w:p>
    <w:p>
      <w:pPr>
        <w:spacing w:line="360" w:lineRule="auto"/>
        <w:ind w:firstLine="640" w:firstLineChars="200"/>
        <w:rPr>
          <w:rFonts w:ascii="仿宋_GB2312" w:eastAsia="仿宋_GB2312"/>
          <w:sz w:val="32"/>
          <w:szCs w:val="32"/>
        </w:rPr>
      </w:pPr>
      <w:r>
        <w:rPr>
          <w:rFonts w:hint="eastAsia" w:ascii="仿宋_GB2312" w:eastAsia="仿宋_GB2312"/>
          <w:snapToGrid w:val="0"/>
          <w:kern w:val="0"/>
          <w:sz w:val="32"/>
          <w:szCs w:val="32"/>
          <w:u w:color="FFFFFF"/>
        </w:rPr>
        <w:t>（二）</w:t>
      </w:r>
      <w:r>
        <w:rPr>
          <w:rFonts w:hint="eastAsia" w:ascii="仿宋_GB2312" w:eastAsia="仿宋_GB2312"/>
          <w:sz w:val="32"/>
          <w:szCs w:val="32"/>
        </w:rPr>
        <w:t>参保人员在取消药品加成的州、县（市）级公立医院以普通门诊方式就医时，上调的6元门（急）诊诊查费由医保基金支付。</w:t>
      </w:r>
    </w:p>
    <w:p>
      <w:pPr>
        <w:spacing w:line="360" w:lineRule="auto"/>
        <w:contextualSpacing/>
        <w:jc w:val="center"/>
        <w:rPr>
          <w:rFonts w:ascii="仿宋_GB2312" w:eastAsia="仿宋_GB2312"/>
          <w:b/>
          <w:sz w:val="32"/>
          <w:szCs w:val="32"/>
        </w:rPr>
      </w:pPr>
      <w:r>
        <w:rPr>
          <w:rFonts w:hint="eastAsia" w:ascii="仿宋_GB2312" w:eastAsia="仿宋_GB2312"/>
          <w:b/>
          <w:sz w:val="32"/>
          <w:szCs w:val="32"/>
        </w:rPr>
        <w:t>第六章 基金管理与风险控制</w:t>
      </w:r>
    </w:p>
    <w:p>
      <w:pPr>
        <w:spacing w:line="360" w:lineRule="auto"/>
        <w:ind w:firstLine="643" w:firstLineChars="200"/>
        <w:contextualSpacing/>
        <w:textAlignment w:val="baseline"/>
        <w:rPr>
          <w:rFonts w:eastAsia="仿宋_GB2312"/>
        </w:rPr>
      </w:pPr>
      <w:r>
        <w:rPr>
          <w:rFonts w:hint="eastAsia" w:ascii="楷体_GB2312" w:eastAsia="楷体_GB2312"/>
          <w:b/>
          <w:bCs/>
          <w:snapToGrid w:val="0"/>
          <w:color w:val="000000"/>
          <w:kern w:val="0"/>
          <w:sz w:val="32"/>
          <w:szCs w:val="32"/>
          <w:u w:color="FFFFFF"/>
        </w:rPr>
        <w:t xml:space="preserve">第三十六条 </w:t>
      </w:r>
      <w:r>
        <w:rPr>
          <w:rFonts w:hint="eastAsia" w:ascii="仿宋_GB2312" w:hAnsi="宋体" w:eastAsia="仿宋_GB2312"/>
          <w:spacing w:val="6"/>
          <w:kern w:val="0"/>
          <w:sz w:val="32"/>
          <w:szCs w:val="32"/>
          <w:u w:color="000000"/>
        </w:rPr>
        <w:t xml:space="preserve"> </w:t>
      </w:r>
      <w:r>
        <w:rPr>
          <w:rFonts w:hint="eastAsia" w:ascii="仿宋_GB2312" w:hAnsi="宋体" w:eastAsia="仿宋_GB2312"/>
          <w:kern w:val="0"/>
          <w:sz w:val="32"/>
          <w:szCs w:val="32"/>
          <w:u w:color="000000"/>
        </w:rPr>
        <w:t>城乡医保基金实行统收统支的州级管理模式，由州级统一调节使用和管理。</w:t>
      </w:r>
      <w:r>
        <w:rPr>
          <w:rFonts w:hint="eastAsia" w:ascii="仿宋_GB2312" w:hAnsi="宋体" w:eastAsia="仿宋_GB2312"/>
          <w:kern w:val="0"/>
          <w:sz w:val="32"/>
          <w:szCs w:val="20"/>
        </w:rPr>
        <w:t>统筹基金纳入社会保障基金财政专户管理，单独列账，不得挤占挪用。</w:t>
      </w:r>
      <w:r>
        <w:rPr>
          <w:rFonts w:hint="eastAsia" w:ascii="仿宋_GB2312" w:hAnsi="宋体" w:eastAsia="仿宋_GB2312"/>
          <w:kern w:val="0"/>
          <w:sz w:val="32"/>
          <w:szCs w:val="32"/>
          <w:u w:color="000000"/>
        </w:rPr>
        <w:t>基本医疗保险基金州级统筹办法由州医疗保障部门会同财政部门另行制定。</w:t>
      </w:r>
    </w:p>
    <w:p>
      <w:pPr>
        <w:spacing w:line="360" w:lineRule="auto"/>
        <w:ind w:firstLine="643" w:firstLineChars="200"/>
        <w:contextualSpacing/>
        <w:rPr>
          <w:rFonts w:ascii="仿宋_GB2312" w:eastAsia="仿宋_GB2312"/>
          <w:kern w:val="0"/>
          <w:sz w:val="32"/>
          <w:szCs w:val="32"/>
          <w:u w:color="000000"/>
        </w:rPr>
      </w:pPr>
      <w:r>
        <w:rPr>
          <w:rFonts w:hint="eastAsia" w:ascii="楷体_GB2312" w:eastAsia="楷体_GB2312"/>
          <w:b/>
          <w:bCs/>
          <w:snapToGrid w:val="0"/>
          <w:color w:val="000000"/>
          <w:kern w:val="0"/>
          <w:sz w:val="32"/>
          <w:szCs w:val="32"/>
          <w:u w:color="FFFFFF"/>
        </w:rPr>
        <w:t xml:space="preserve">第三十七条 </w:t>
      </w:r>
      <w:r>
        <w:rPr>
          <w:rFonts w:hint="eastAsia" w:ascii="仿宋_GB2312" w:eastAsia="仿宋_GB2312"/>
          <w:sz w:val="32"/>
          <w:szCs w:val="32"/>
        </w:rPr>
        <w:t xml:space="preserve"> 各级医保经办机构按年度对上年城乡居民医疗保险基金收支进行预算、清算。</w:t>
      </w:r>
      <w:r>
        <w:rPr>
          <w:rFonts w:hint="eastAsia" w:ascii="仿宋_GB2312" w:eastAsia="仿宋_GB2312"/>
          <w:kern w:val="0"/>
          <w:sz w:val="32"/>
          <w:szCs w:val="32"/>
          <w:u w:color="000000"/>
        </w:rPr>
        <w:t>各级医疗保障局、州财政局应建立和完善城乡居民医疗保险基金内控制度和预警机制，各县（市）完成基金征收任务后当期出现的正常支出缺口，由州级统筹基金调剂解决</w:t>
      </w:r>
      <w:r>
        <w:rPr>
          <w:rFonts w:ascii="仿宋_GB2312" w:hAnsi="宋体" w:eastAsia="仿宋_GB2312"/>
          <w:kern w:val="0"/>
          <w:sz w:val="32"/>
          <w:szCs w:val="20"/>
        </w:rPr>
        <w:t>40%</w:t>
      </w:r>
      <w:r>
        <w:rPr>
          <w:rFonts w:hint="eastAsia" w:ascii="仿宋_GB2312" w:hAnsi="宋体" w:eastAsia="仿宋_GB2312"/>
          <w:kern w:val="0"/>
          <w:sz w:val="32"/>
          <w:szCs w:val="20"/>
        </w:rPr>
        <w:t>，县（市）级财政承担</w:t>
      </w:r>
      <w:r>
        <w:rPr>
          <w:rFonts w:ascii="仿宋_GB2312" w:hAnsi="宋体" w:eastAsia="仿宋_GB2312"/>
          <w:kern w:val="0"/>
          <w:sz w:val="32"/>
          <w:szCs w:val="20"/>
        </w:rPr>
        <w:t>60%</w:t>
      </w:r>
      <w:r>
        <w:rPr>
          <w:rFonts w:hint="eastAsia" w:ascii="仿宋_GB2312" w:hAnsi="宋体" w:eastAsia="仿宋_GB2312"/>
          <w:kern w:val="0"/>
          <w:sz w:val="32"/>
          <w:szCs w:val="20"/>
        </w:rPr>
        <w:t>。县（市）级财政未按时上解应承担支出缺口资金的，州级统筹预算基金暂停下拨，</w:t>
      </w:r>
      <w:r>
        <w:rPr>
          <w:rFonts w:hint="eastAsia" w:ascii="仿宋_GB2312" w:eastAsia="仿宋_GB2312"/>
          <w:kern w:val="0"/>
          <w:sz w:val="32"/>
          <w:szCs w:val="32"/>
          <w:u w:color="000000"/>
        </w:rPr>
        <w:t>由此造成的基金损失由县（市）级财政承担。</w:t>
      </w:r>
      <w:r>
        <w:rPr>
          <w:rFonts w:hint="eastAsia" w:ascii="仿宋_GB2312" w:hAnsi="宋体" w:eastAsia="仿宋_GB2312"/>
          <w:kern w:val="0"/>
          <w:sz w:val="32"/>
          <w:szCs w:val="32"/>
        </w:rPr>
        <w:t>如</w:t>
      </w:r>
      <w:r>
        <w:rPr>
          <w:rFonts w:hint="eastAsia" w:ascii="仿宋_GB2312" w:eastAsia="仿宋_GB2312"/>
          <w:kern w:val="0"/>
          <w:sz w:val="32"/>
          <w:szCs w:val="32"/>
        </w:rPr>
        <w:t>州级统筹基金出现超支时，应及时向州人民政府报告，</w:t>
      </w:r>
      <w:r>
        <w:rPr>
          <w:rFonts w:hint="eastAsia" w:ascii="仿宋_GB2312" w:eastAsia="仿宋_GB2312"/>
          <w:kern w:val="0"/>
          <w:sz w:val="32"/>
          <w:szCs w:val="32"/>
          <w:u w:color="000000"/>
        </w:rPr>
        <w:t>并采取措施予以解决。</w:t>
      </w:r>
    </w:p>
    <w:p>
      <w:pPr>
        <w:spacing w:line="360" w:lineRule="auto"/>
        <w:ind w:firstLine="2891" w:firstLineChars="900"/>
        <w:contextualSpacing/>
        <w:rPr>
          <w:rFonts w:ascii="仿宋_GB2312" w:eastAsia="仿宋_GB2312"/>
          <w:b/>
          <w:sz w:val="32"/>
          <w:szCs w:val="32"/>
        </w:rPr>
      </w:pPr>
      <w:r>
        <w:rPr>
          <w:rFonts w:hint="eastAsia" w:ascii="仿宋_GB2312" w:eastAsia="仿宋_GB2312"/>
          <w:b/>
          <w:sz w:val="32"/>
          <w:szCs w:val="32"/>
        </w:rPr>
        <w:t>第七章 监督管理</w:t>
      </w:r>
    </w:p>
    <w:p>
      <w:pPr>
        <w:spacing w:line="560" w:lineRule="exact"/>
        <w:ind w:firstLine="643" w:firstLineChars="200"/>
        <w:textAlignment w:val="baseline"/>
        <w:rPr>
          <w:rFonts w:ascii="仿宋_GB2312" w:hAnsi="宋体" w:eastAsia="仿宋_GB2312"/>
          <w:spacing w:val="6"/>
          <w:kern w:val="0"/>
          <w:sz w:val="32"/>
          <w:szCs w:val="20"/>
          <w14:textFill>
            <w14:gradFill>
              <w14:gsLst>
                <w14:gs w14:pos="0">
                  <w14:srgbClr w14:val="FE4444"/>
                </w14:gs>
                <w14:gs w14:pos="100000">
                  <w14:srgbClr w14:val="832B2B"/>
                </w14:gs>
              </w14:gsLst>
              <w14:lin w14:ang="0" w14:scaled="0"/>
            </w14:gradFill>
          </w14:textFill>
        </w:rPr>
      </w:pPr>
      <w:r>
        <w:rPr>
          <w:rFonts w:hint="eastAsia" w:ascii="楷体_GB2312" w:hAnsi="楷体_GB2312" w:eastAsia="楷体_GB2312" w:cs="楷体_GB2312"/>
          <w:b/>
          <w:bCs/>
          <w:kern w:val="0"/>
          <w:sz w:val="32"/>
          <w:szCs w:val="20"/>
        </w:rPr>
        <w:t>第三十</w:t>
      </w:r>
      <w:r>
        <w:rPr>
          <w:rFonts w:hint="eastAsia" w:ascii="楷体_GB2312" w:hAnsi="楷体_GB2312" w:eastAsia="楷体_GB2312" w:cs="楷体_GB2312"/>
          <w:b/>
          <w:bCs/>
          <w:kern w:val="0"/>
          <w:sz w:val="32"/>
          <w:szCs w:val="20"/>
          <w:lang w:eastAsia="zh-CN"/>
        </w:rPr>
        <w:t>八</w:t>
      </w:r>
      <w:r>
        <w:rPr>
          <w:rFonts w:hint="eastAsia" w:ascii="楷体_GB2312" w:hAnsi="楷体_GB2312" w:eastAsia="楷体_GB2312" w:cs="楷体_GB2312"/>
          <w:b/>
          <w:bCs/>
          <w:kern w:val="0"/>
          <w:sz w:val="32"/>
          <w:szCs w:val="20"/>
        </w:rPr>
        <w:t>条</w:t>
      </w:r>
      <w:r>
        <w:rPr>
          <w:rFonts w:ascii="楷体_GB2312" w:eastAsia="楷体_GB2312"/>
          <w:kern w:val="0"/>
          <w:sz w:val="32"/>
          <w:szCs w:val="20"/>
        </w:rPr>
        <w:t xml:space="preserve"> </w:t>
      </w:r>
      <w:r>
        <w:rPr>
          <w:rFonts w:hint="eastAsia" w:ascii="楷体_GB2312" w:eastAsia="楷体_GB2312"/>
          <w:kern w:val="0"/>
          <w:sz w:val="32"/>
          <w:szCs w:val="20"/>
        </w:rPr>
        <w:t xml:space="preserve"> </w:t>
      </w:r>
      <w:r>
        <w:rPr>
          <w:rFonts w:hint="eastAsia" w:ascii="仿宋_GB2312" w:hAnsi="宋体" w:eastAsia="仿宋_GB2312"/>
          <w:spacing w:val="6"/>
          <w:kern w:val="0"/>
          <w:sz w:val="32"/>
          <w:szCs w:val="20"/>
        </w:rPr>
        <w:t>州医疗保障局是全州城乡医保的主管部门；各县（市）医疗保障局和州级医疗保障经办机构负责全州城乡医保经办业务的综合管理和指导；各县（市）医疗保险经办机构负责组织城乡医保的参保登记、待遇支付、基金管理、会计核算和政策宣传。</w:t>
      </w:r>
    </w:p>
    <w:p>
      <w:pPr>
        <w:widowControl/>
        <w:adjustRightInd w:val="0"/>
        <w:snapToGrid w:val="0"/>
        <w:spacing w:line="576" w:lineRule="exact"/>
        <w:ind w:firstLine="643" w:firstLineChars="200"/>
        <w:jc w:val="left"/>
        <w:rPr>
          <w:rFonts w:ascii="仿宋_GB2312" w:hAnsi="仿宋_GB2312" w:eastAsia="仿宋_GB2312" w:cs="仿宋_GB2312"/>
          <w:sz w:val="32"/>
          <w:szCs w:val="32"/>
        </w:rPr>
      </w:pPr>
      <w:r>
        <w:rPr>
          <w:rFonts w:hint="eastAsia" w:ascii="楷体_GB2312" w:hAnsi="楷体_GB2312" w:eastAsia="楷体_GB2312" w:cs="楷体_GB2312"/>
          <w:b/>
          <w:bCs/>
          <w:kern w:val="0"/>
          <w:sz w:val="32"/>
          <w:szCs w:val="20"/>
        </w:rPr>
        <w:t>第</w:t>
      </w:r>
      <w:r>
        <w:rPr>
          <w:rFonts w:hint="eastAsia" w:ascii="楷体_GB2312" w:hAnsi="楷体_GB2312" w:eastAsia="楷体_GB2312" w:cs="楷体_GB2312"/>
          <w:b/>
          <w:bCs/>
          <w:kern w:val="0"/>
          <w:sz w:val="32"/>
          <w:szCs w:val="20"/>
          <w:lang w:eastAsia="zh-CN"/>
        </w:rPr>
        <w:t>三十九</w:t>
      </w:r>
      <w:r>
        <w:rPr>
          <w:rFonts w:hint="eastAsia" w:ascii="楷体_GB2312" w:hAnsi="楷体_GB2312" w:eastAsia="楷体_GB2312" w:cs="楷体_GB2312"/>
          <w:b/>
          <w:bCs/>
          <w:kern w:val="0"/>
          <w:sz w:val="32"/>
          <w:szCs w:val="20"/>
        </w:rPr>
        <w:t xml:space="preserve">条  </w:t>
      </w:r>
      <w:r>
        <w:rPr>
          <w:rFonts w:hint="eastAsia" w:ascii="仿宋_GB2312" w:eastAsia="仿宋_GB2312"/>
          <w:bCs/>
          <w:snapToGrid w:val="0"/>
          <w:color w:val="000000"/>
          <w:kern w:val="0"/>
          <w:sz w:val="32"/>
          <w:szCs w:val="32"/>
          <w:u w:color="FFFFFF"/>
        </w:rPr>
        <w:t>各县（市）人民政府是城乡医保管理工作的责任主体，负责行政区域内城乡医保统筹协调工作，实行重点目标管理。乡（镇）人民政府、学校、寺庙管理委员会负责辖区内城乡医保宣传动员和参保登记，</w:t>
      </w:r>
      <w:r>
        <w:rPr>
          <w:rFonts w:hint="eastAsia" w:ascii="仿宋_GB2312" w:eastAsia="仿宋_GB2312"/>
          <w:bCs/>
          <w:snapToGrid w:val="0"/>
          <w:kern w:val="0"/>
          <w:sz w:val="32"/>
          <w:szCs w:val="32"/>
          <w:u w:color="FFFFFF"/>
        </w:rPr>
        <w:t>乡（镇）</w:t>
      </w:r>
      <w:r>
        <w:rPr>
          <w:rFonts w:ascii="仿宋_GB2312" w:hAnsi="仿宋_GB2312" w:eastAsia="仿宋_GB2312" w:cs="仿宋_GB2312"/>
          <w:sz w:val="32"/>
          <w:szCs w:val="32"/>
        </w:rPr>
        <w:t>配备</w:t>
      </w:r>
      <w:r>
        <w:rPr>
          <w:rFonts w:hint="eastAsia" w:ascii="仿宋_GB2312" w:hAnsi="仿宋_GB2312" w:eastAsia="仿宋_GB2312" w:cs="仿宋_GB2312"/>
          <w:sz w:val="32"/>
          <w:szCs w:val="32"/>
        </w:rPr>
        <w:t>专职</w:t>
      </w:r>
      <w:r>
        <w:rPr>
          <w:rFonts w:ascii="仿宋_GB2312" w:hAnsi="仿宋_GB2312" w:eastAsia="仿宋_GB2312" w:cs="仿宋_GB2312"/>
          <w:sz w:val="32"/>
          <w:szCs w:val="32"/>
        </w:rPr>
        <w:t>医保员，</w:t>
      </w:r>
      <w:r>
        <w:rPr>
          <w:rFonts w:hint="eastAsia" w:ascii="仿宋_GB2312" w:hAnsi="仿宋_GB2312" w:eastAsia="仿宋_GB2312" w:cs="仿宋_GB2312"/>
          <w:sz w:val="32"/>
          <w:szCs w:val="32"/>
        </w:rPr>
        <w:t>落实医保员管理职责，</w:t>
      </w:r>
      <w:r>
        <w:rPr>
          <w:rFonts w:ascii="仿宋_GB2312" w:hAnsi="仿宋_GB2312" w:eastAsia="仿宋_GB2312" w:cs="仿宋_GB2312"/>
          <w:sz w:val="32"/>
          <w:szCs w:val="32"/>
        </w:rPr>
        <w:t>村</w:t>
      </w:r>
      <w:r>
        <w:rPr>
          <w:rFonts w:hint="eastAsia" w:ascii="仿宋_GB2312" w:hAnsi="仿宋_GB2312" w:eastAsia="仿宋_GB2312" w:cs="仿宋_GB2312"/>
          <w:sz w:val="32"/>
          <w:szCs w:val="32"/>
        </w:rPr>
        <w:t>级</w:t>
      </w:r>
      <w:r>
        <w:rPr>
          <w:rFonts w:ascii="仿宋_GB2312" w:hAnsi="仿宋_GB2312" w:eastAsia="仿宋_GB2312" w:cs="仿宋_GB2312"/>
          <w:sz w:val="32"/>
          <w:szCs w:val="32"/>
        </w:rPr>
        <w:t>设立医保办理员</w:t>
      </w:r>
      <w:r>
        <w:rPr>
          <w:rFonts w:hint="eastAsia" w:ascii="仿宋_GB2312" w:hAnsi="仿宋_GB2312" w:eastAsia="仿宋_GB2312" w:cs="仿宋_GB2312"/>
          <w:sz w:val="32"/>
          <w:szCs w:val="32"/>
        </w:rPr>
        <w:t>，切实加强“三位一体”医保经办体系建设</w:t>
      </w:r>
      <w:r>
        <w:rPr>
          <w:rFonts w:ascii="仿宋_GB2312" w:hAnsi="仿宋_GB2312" w:eastAsia="仿宋_GB2312" w:cs="仿宋_GB2312"/>
          <w:sz w:val="32"/>
          <w:szCs w:val="32"/>
        </w:rPr>
        <w:t>。</w:t>
      </w:r>
    </w:p>
    <w:p>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kern w:val="0"/>
          <w:sz w:val="32"/>
          <w:szCs w:val="20"/>
        </w:rPr>
        <w:t>第四十条</w:t>
      </w:r>
      <w:r>
        <w:rPr>
          <w:rFonts w:ascii="楷体_GB2312" w:eastAsia="楷体_GB2312"/>
          <w:kern w:val="0"/>
          <w:sz w:val="32"/>
          <w:szCs w:val="20"/>
        </w:rPr>
        <w:t xml:space="preserve"> </w:t>
      </w:r>
      <w:r>
        <w:rPr>
          <w:rFonts w:hint="eastAsia" w:ascii="楷体_GB2312" w:eastAsia="楷体_GB2312"/>
          <w:kern w:val="0"/>
          <w:sz w:val="32"/>
          <w:szCs w:val="20"/>
        </w:rPr>
        <w:t xml:space="preserve"> </w:t>
      </w:r>
      <w:r>
        <w:rPr>
          <w:rFonts w:hint="eastAsia" w:ascii="仿宋_GB2312" w:hAnsi="仿宋_GB2312" w:eastAsia="仿宋_GB2312" w:cs="仿宋_GB2312"/>
          <w:sz w:val="32"/>
          <w:szCs w:val="32"/>
        </w:rPr>
        <w:t>税务部门负责城乡医保费的征收</w:t>
      </w:r>
      <w:r>
        <w:rPr>
          <w:rFonts w:hint="eastAsia" w:ascii="仿宋_GB2312" w:hAnsi="仿宋_GB2312" w:eastAsia="仿宋_GB2312" w:cs="仿宋_GB2312"/>
          <w:color w:val="000000"/>
          <w:sz w:val="32"/>
          <w:szCs w:val="32"/>
        </w:rPr>
        <w:t>；财政部门负责政府补助资金的拨付、基金运行和预决算的监督管理；卫生健康部门负责医疗机构的医疗质量、安全、服务和评价管理、孕产妇生育政策合法性确认等；市场监管部门负责医药服务价格、医药机构药品、医疗器械</w:t>
      </w:r>
      <w:r>
        <w:rPr>
          <w:rFonts w:hint="eastAsia" w:ascii="仿宋_GB2312" w:hAnsi="仿宋_GB2312" w:eastAsia="仿宋_GB2312" w:cs="仿宋_GB2312"/>
          <w:sz w:val="32"/>
          <w:szCs w:val="32"/>
        </w:rPr>
        <w:t>质量监督管理；</w:t>
      </w:r>
      <w:r>
        <w:rPr>
          <w:rFonts w:hint="eastAsia" w:ascii="仿宋_GB2312" w:hAnsi="仿宋_GB2312" w:eastAsia="仿宋_GB2312" w:cs="仿宋_GB2312"/>
          <w:color w:val="000000"/>
          <w:sz w:val="32"/>
          <w:szCs w:val="32"/>
        </w:rPr>
        <w:t>政法部门负责医保服务网格化管理</w:t>
      </w:r>
      <w:r>
        <w:rPr>
          <w:rFonts w:hint="eastAsia" w:ascii="仿宋_GB2312" w:hAnsi="仿宋_GB2312" w:eastAsia="仿宋_GB2312" w:cs="仿宋_GB2312"/>
          <w:sz w:val="32"/>
          <w:szCs w:val="32"/>
        </w:rPr>
        <w:t>，落实网格员管理职责</w:t>
      </w:r>
      <w:r>
        <w:rPr>
          <w:rFonts w:hint="eastAsia" w:ascii="仿宋_GB2312" w:hAnsi="仿宋_GB2312" w:eastAsia="仿宋_GB2312" w:cs="仿宋_GB2312"/>
          <w:color w:val="000000"/>
          <w:sz w:val="32"/>
          <w:szCs w:val="32"/>
        </w:rPr>
        <w:t>；教育部门负责督促学校组织学生参加城乡医保，并指定专人负责具体经办城乡医保相关业务;民族宗教部门负责组织寺庙登记僧尼参加城乡医保，并指定专人负责具体经办城乡医保相关业务。</w:t>
      </w:r>
    </w:p>
    <w:p>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残联部门负责重度残疾人身份认定、信息交换、数据推送和参保资助；退役军人事务部门负责优抚对象身份认定、信息交换、数据推送和参保资助；民政部门负责</w:t>
      </w:r>
      <w:r>
        <w:rPr>
          <w:rFonts w:hint="eastAsia" w:ascii="仿宋_GB2312" w:hAnsi="仿宋_GB2312" w:eastAsia="仿宋_GB2312" w:cs="仿宋_GB2312"/>
          <w:kern w:val="21"/>
          <w:sz w:val="32"/>
          <w:szCs w:val="32"/>
        </w:rPr>
        <w:t>特困人员、孤儿、低保对象</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color w:val="000000"/>
          <w:kern w:val="21"/>
          <w:sz w:val="32"/>
          <w:szCs w:val="32"/>
          <w:highlight w:val="none"/>
          <w:u w:val="none"/>
          <w:lang w:eastAsia="zh-CN"/>
        </w:rPr>
        <w:t>低保边缘家庭成员和因病致贫重病患者</w:t>
      </w:r>
      <w:r>
        <w:rPr>
          <w:rFonts w:hint="eastAsia" w:ascii="仿宋_GB2312" w:hAnsi="仿宋_GB2312" w:eastAsia="仿宋_GB2312" w:cs="仿宋_GB2312"/>
          <w:sz w:val="32"/>
          <w:szCs w:val="32"/>
        </w:rPr>
        <w:t>身份认定、信息交换和数据推送</w:t>
      </w:r>
      <w:r>
        <w:rPr>
          <w:rFonts w:hint="eastAsia" w:ascii="仿宋_GB2312" w:hAnsi="仿宋_GB2312" w:eastAsia="仿宋_GB2312" w:cs="仿宋_GB2312"/>
          <w:kern w:val="21"/>
          <w:sz w:val="32"/>
          <w:szCs w:val="32"/>
        </w:rPr>
        <w:t>；</w:t>
      </w:r>
      <w:r>
        <w:rPr>
          <w:rFonts w:hint="eastAsia" w:ascii="仿宋_GB2312" w:hAnsi="仿宋_GB2312" w:eastAsia="仿宋_GB2312" w:cs="仿宋_GB2312"/>
          <w:sz w:val="32"/>
          <w:szCs w:val="32"/>
        </w:rPr>
        <w:t>乡村振兴部门负责</w:t>
      </w:r>
      <w:r>
        <w:rPr>
          <w:rFonts w:hint="eastAsia" w:ascii="仿宋_GB2312" w:hAnsi="仿宋_GB2312" w:eastAsia="仿宋_GB2312" w:cs="仿宋_GB2312"/>
          <w:kern w:val="21"/>
          <w:sz w:val="32"/>
          <w:szCs w:val="32"/>
        </w:rPr>
        <w:t>防止返贫监测对象</w:t>
      </w:r>
      <w:r>
        <w:rPr>
          <w:rFonts w:hint="eastAsia" w:ascii="仿宋_GB2312" w:hAnsi="仿宋_GB2312" w:eastAsia="仿宋_GB2312" w:cs="仿宋_GB2312"/>
          <w:sz w:val="32"/>
          <w:szCs w:val="32"/>
        </w:rPr>
        <w:t>身份认定、信息交换和数据推送。</w:t>
      </w:r>
    </w:p>
    <w:p>
      <w:pPr>
        <w:adjustRightInd w:val="0"/>
        <w:snapToGrid w:val="0"/>
        <w:spacing w:line="576" w:lineRule="exact"/>
        <w:ind w:firstLine="643" w:firstLineChars="200"/>
        <w:rPr>
          <w:rFonts w:ascii="仿宋_GB2312" w:hAnsi="仿宋_GB2312" w:eastAsia="仿宋_GB2312" w:cs="仿宋_GB2312"/>
          <w:color w:val="000000"/>
          <w:sz w:val="32"/>
          <w:szCs w:val="32"/>
        </w:rPr>
      </w:pPr>
      <w:r>
        <w:rPr>
          <w:rFonts w:hint="eastAsia" w:ascii="楷体_GB2312" w:hAnsi="楷体_GB2312" w:eastAsia="楷体_GB2312" w:cs="楷体_GB2312"/>
          <w:b/>
          <w:bCs/>
          <w:kern w:val="0"/>
          <w:sz w:val="32"/>
          <w:szCs w:val="20"/>
        </w:rPr>
        <w:t>第四十</w:t>
      </w:r>
      <w:r>
        <w:rPr>
          <w:rFonts w:hint="eastAsia" w:ascii="楷体_GB2312" w:hAnsi="楷体_GB2312" w:eastAsia="楷体_GB2312" w:cs="楷体_GB2312"/>
          <w:b/>
          <w:bCs/>
          <w:kern w:val="0"/>
          <w:sz w:val="32"/>
          <w:szCs w:val="20"/>
          <w:lang w:eastAsia="zh-CN"/>
        </w:rPr>
        <w:t>一</w:t>
      </w:r>
      <w:r>
        <w:rPr>
          <w:rFonts w:hint="eastAsia" w:ascii="楷体_GB2312" w:hAnsi="楷体_GB2312" w:eastAsia="楷体_GB2312" w:cs="楷体_GB2312"/>
          <w:b/>
          <w:bCs/>
          <w:kern w:val="0"/>
          <w:sz w:val="32"/>
          <w:szCs w:val="20"/>
        </w:rPr>
        <w:t xml:space="preserve">条  </w:t>
      </w:r>
      <w:r>
        <w:rPr>
          <w:rFonts w:hint="eastAsia" w:ascii="仿宋_GB2312" w:hAnsi="仿宋_GB2312" w:eastAsia="仿宋_GB2312" w:cs="仿宋_GB2312"/>
          <w:sz w:val="32"/>
          <w:szCs w:val="32"/>
        </w:rPr>
        <w:t>审计部门负责城乡医保基金收支的审计</w:t>
      </w:r>
      <w:r>
        <w:rPr>
          <w:rFonts w:hint="eastAsia" w:ascii="仿宋_GB2312" w:hAnsi="仿宋_GB2312" w:eastAsia="仿宋_GB2312" w:cs="仿宋_GB2312"/>
          <w:color w:val="000000"/>
          <w:sz w:val="32"/>
          <w:szCs w:val="32"/>
        </w:rPr>
        <w:t>监督；公安部门负责依法查处打击各类欺诈骗保等犯罪行为，对移送的涉嫌犯罪案件及时开展侦查，强化医保、公安行刑衔接机制；纪委监委部门负责对相关部门及其公职人员履职情况进行监督检查，对相关违纪违规行为进行查处等。</w:t>
      </w:r>
    </w:p>
    <w:p>
      <w:pPr>
        <w:adjustRightInd w:val="0"/>
        <w:snapToGrid w:val="0"/>
        <w:spacing w:line="576" w:lineRule="exact"/>
        <w:ind w:firstLine="640" w:firstLineChars="200"/>
        <w:rPr>
          <w:rFonts w:ascii="仿宋_GB2312" w:eastAsia="仿宋_GB2312"/>
          <w:bCs/>
          <w:snapToGrid w:val="0"/>
          <w:color w:val="000000"/>
          <w:kern w:val="0"/>
          <w:sz w:val="32"/>
          <w:szCs w:val="32"/>
          <w:u w:color="FFFFFF"/>
        </w:rPr>
      </w:pPr>
      <w:r>
        <w:rPr>
          <w:rFonts w:hint="eastAsia" w:ascii="仿宋_GB2312" w:hAnsi="仿宋_GB2312" w:eastAsia="仿宋_GB2312" w:cs="仿宋_GB2312"/>
          <w:color w:val="000000"/>
          <w:sz w:val="32"/>
          <w:szCs w:val="32"/>
        </w:rPr>
        <w:t>其他有</w:t>
      </w:r>
      <w:r>
        <w:rPr>
          <w:rFonts w:hint="eastAsia" w:ascii="仿宋_GB2312" w:hAnsi="仿宋_GB2312" w:eastAsia="仿宋_GB2312" w:cs="仿宋_GB2312"/>
          <w:bCs/>
          <w:color w:val="000000"/>
          <w:spacing w:val="6"/>
          <w:kern w:val="0"/>
          <w:sz w:val="32"/>
          <w:szCs w:val="32"/>
        </w:rPr>
        <w:t>关部门应按照各自职能，协助做好城乡医保相关工作。</w:t>
      </w:r>
    </w:p>
    <w:p>
      <w:pPr>
        <w:adjustRightInd w:val="0"/>
        <w:snapToGrid w:val="0"/>
        <w:spacing w:line="576" w:lineRule="exact"/>
        <w:ind w:firstLine="643" w:firstLineChars="200"/>
        <w:rPr>
          <w:rFonts w:ascii="仿宋_GB2312" w:eastAsia="仿宋_GB2312"/>
          <w:bCs/>
          <w:snapToGrid w:val="0"/>
          <w:color w:val="000000"/>
          <w:kern w:val="0"/>
          <w:sz w:val="32"/>
          <w:szCs w:val="32"/>
          <w:u w:color="FFFFFF"/>
        </w:rPr>
      </w:pPr>
      <w:r>
        <w:rPr>
          <w:rFonts w:hint="eastAsia" w:ascii="楷体_GB2312" w:hAnsi="楷体_GB2312" w:eastAsia="楷体_GB2312" w:cs="楷体_GB2312"/>
          <w:b/>
          <w:bCs/>
          <w:kern w:val="0"/>
          <w:sz w:val="32"/>
          <w:szCs w:val="20"/>
        </w:rPr>
        <w:t>第四十</w:t>
      </w:r>
      <w:r>
        <w:rPr>
          <w:rFonts w:hint="eastAsia" w:ascii="楷体_GB2312" w:hAnsi="楷体_GB2312" w:eastAsia="楷体_GB2312" w:cs="楷体_GB2312"/>
          <w:b/>
          <w:bCs/>
          <w:kern w:val="0"/>
          <w:sz w:val="32"/>
          <w:szCs w:val="20"/>
          <w:lang w:eastAsia="zh-CN"/>
        </w:rPr>
        <w:t>二</w:t>
      </w:r>
      <w:r>
        <w:rPr>
          <w:rFonts w:hint="eastAsia" w:ascii="楷体_GB2312" w:hAnsi="楷体_GB2312" w:eastAsia="楷体_GB2312" w:cs="楷体_GB2312"/>
          <w:b/>
          <w:bCs/>
          <w:kern w:val="0"/>
          <w:sz w:val="32"/>
          <w:szCs w:val="20"/>
        </w:rPr>
        <w:t xml:space="preserve">条  </w:t>
      </w:r>
      <w:r>
        <w:rPr>
          <w:rFonts w:hint="eastAsia" w:ascii="仿宋_GB2312" w:eastAsia="仿宋_GB2312"/>
          <w:bCs/>
          <w:snapToGrid w:val="0"/>
          <w:kern w:val="0"/>
          <w:sz w:val="32"/>
          <w:szCs w:val="32"/>
          <w:u w:color="FFFFFF"/>
        </w:rPr>
        <w:t>为确保城乡医保业务下延、网格化管理、参保宣传动员、基金监</w:t>
      </w:r>
      <w:r>
        <w:rPr>
          <w:rFonts w:hint="eastAsia" w:ascii="仿宋_GB2312" w:eastAsia="仿宋_GB2312"/>
          <w:bCs/>
          <w:snapToGrid w:val="0"/>
          <w:color w:val="000000"/>
          <w:kern w:val="0"/>
          <w:sz w:val="32"/>
          <w:szCs w:val="32"/>
          <w:u w:color="FFFFFF"/>
        </w:rPr>
        <w:t>管工作顺利开展，确保县、乡、村网络信息畅通，各县（市）人民政府以当年实际参保人数，按照</w:t>
      </w:r>
      <w:r>
        <w:rPr>
          <w:rFonts w:hint="eastAsia" w:ascii="仿宋_GB2312" w:eastAsia="仿宋_GB2312"/>
          <w:bCs/>
          <w:snapToGrid w:val="0"/>
          <w:color w:val="000000"/>
          <w:kern w:val="0"/>
          <w:sz w:val="32"/>
          <w:szCs w:val="32"/>
          <w:u w:color="FFFFFF"/>
          <w:lang w:val="en-US" w:eastAsia="zh-CN"/>
        </w:rPr>
        <w:t>3-</w:t>
      </w:r>
      <w:r>
        <w:rPr>
          <w:rFonts w:hint="eastAsia" w:ascii="仿宋_GB2312" w:eastAsia="仿宋_GB2312"/>
          <w:bCs/>
          <w:snapToGrid w:val="0"/>
          <w:color w:val="000000"/>
          <w:kern w:val="0"/>
          <w:sz w:val="32"/>
          <w:szCs w:val="32"/>
          <w:u w:color="FFFFFF"/>
        </w:rPr>
        <w:t>5元/人·年的标准配套城乡医保专项业务经费，足额纳入同级财政预算。</w:t>
      </w:r>
    </w:p>
    <w:p>
      <w:pPr>
        <w:pStyle w:val="5"/>
      </w:pPr>
    </w:p>
    <w:p>
      <w:pPr>
        <w:adjustRightInd w:val="0"/>
        <w:snapToGrid w:val="0"/>
        <w:spacing w:line="540" w:lineRule="exact"/>
        <w:ind w:firstLine="640" w:firstLineChars="200"/>
        <w:jc w:val="center"/>
        <w:rPr>
          <w:rFonts w:ascii="黑体" w:eastAsia="黑体"/>
          <w:bCs/>
          <w:snapToGrid w:val="0"/>
          <w:color w:val="000000"/>
          <w:kern w:val="0"/>
          <w:sz w:val="32"/>
          <w:szCs w:val="32"/>
          <w:u w:color="FFFFFF"/>
        </w:rPr>
      </w:pPr>
      <w:r>
        <w:rPr>
          <w:rFonts w:hint="eastAsia" w:ascii="黑体" w:eastAsia="黑体"/>
          <w:bCs/>
          <w:snapToGrid w:val="0"/>
          <w:color w:val="000000"/>
          <w:kern w:val="0"/>
          <w:sz w:val="32"/>
          <w:szCs w:val="32"/>
          <w:u w:color="FFFFFF"/>
        </w:rPr>
        <w:t xml:space="preserve">第八章  </w:t>
      </w:r>
      <w:r>
        <w:rPr>
          <w:rFonts w:eastAsia="黑体"/>
          <w:bCs/>
          <w:snapToGrid w:val="0"/>
          <w:color w:val="000000"/>
          <w:kern w:val="0"/>
          <w:sz w:val="32"/>
          <w:szCs w:val="32"/>
          <w:u w:color="FFFFFF"/>
        </w:rPr>
        <w:t> </w:t>
      </w:r>
      <w:r>
        <w:rPr>
          <w:rFonts w:hint="eastAsia" w:ascii="黑体" w:eastAsia="黑体"/>
          <w:bCs/>
          <w:snapToGrid w:val="0"/>
          <w:color w:val="000000"/>
          <w:kern w:val="0"/>
          <w:sz w:val="32"/>
          <w:szCs w:val="32"/>
          <w:u w:color="FFFFFF"/>
        </w:rPr>
        <w:t>附  则</w:t>
      </w:r>
    </w:p>
    <w:p>
      <w:pPr>
        <w:adjustRightInd w:val="0"/>
        <w:snapToGrid w:val="0"/>
        <w:spacing w:line="540" w:lineRule="exact"/>
        <w:ind w:firstLine="643" w:firstLineChars="200"/>
        <w:rPr>
          <w:rFonts w:ascii="仿宋_GB2312" w:eastAsia="仿宋_GB2312"/>
          <w:b/>
          <w:bCs/>
          <w:snapToGrid w:val="0"/>
          <w:color w:val="000000"/>
          <w:kern w:val="0"/>
          <w:sz w:val="32"/>
          <w:szCs w:val="32"/>
          <w:u w:color="FFFFFF"/>
        </w:rPr>
      </w:pPr>
    </w:p>
    <w:p>
      <w:pPr>
        <w:adjustRightInd w:val="0"/>
        <w:snapToGrid w:val="0"/>
        <w:spacing w:line="540" w:lineRule="exact"/>
        <w:ind w:firstLine="643" w:firstLineChars="200"/>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第四十三条</w:t>
      </w:r>
      <w:r>
        <w:rPr>
          <w:rFonts w:hint="eastAsia" w:ascii="仿宋_GB2312" w:eastAsia="仿宋_GB2312"/>
          <w:bCs/>
          <w:snapToGrid w:val="0"/>
          <w:color w:val="000000"/>
          <w:kern w:val="0"/>
          <w:sz w:val="32"/>
          <w:szCs w:val="32"/>
          <w:u w:color="FFFFFF"/>
        </w:rPr>
        <w:t xml:space="preserve">  城乡医保待遇水平根据经济社会发展水平、基金收支结余情况、医疗费用增长幅度等因素，由州医疗保障部门会同州财政部门适时调整并执行。</w:t>
      </w:r>
    </w:p>
    <w:p>
      <w:pPr>
        <w:adjustRightInd w:val="0"/>
        <w:snapToGrid w:val="0"/>
        <w:spacing w:line="540" w:lineRule="exact"/>
        <w:ind w:firstLine="643" w:firstLineChars="200"/>
        <w:textAlignment w:val="baseline"/>
        <w:rPr>
          <w:rFonts w:ascii="仿宋_GB2312" w:eastAsia="仿宋_GB2312"/>
          <w:snapToGrid w:val="0"/>
          <w:color w:val="000000"/>
          <w:kern w:val="0"/>
          <w:sz w:val="32"/>
          <w:szCs w:val="32"/>
          <w:u w:color="FFFFFF"/>
        </w:rPr>
      </w:pPr>
      <w:r>
        <w:rPr>
          <w:rFonts w:hint="eastAsia" w:ascii="楷体_GB2312" w:eastAsia="楷体_GB2312"/>
          <w:b/>
          <w:bCs/>
          <w:snapToGrid w:val="0"/>
          <w:color w:val="000000"/>
          <w:kern w:val="0"/>
          <w:sz w:val="32"/>
          <w:szCs w:val="32"/>
          <w:u w:color="FFFFFF"/>
        </w:rPr>
        <w:t xml:space="preserve">第四十四条  </w:t>
      </w:r>
      <w:r>
        <w:rPr>
          <w:rFonts w:hint="eastAsia" w:ascii="仿宋_GB2312" w:eastAsia="仿宋_GB2312"/>
          <w:bCs/>
          <w:snapToGrid w:val="0"/>
          <w:color w:val="000000"/>
          <w:kern w:val="0"/>
          <w:sz w:val="32"/>
          <w:szCs w:val="32"/>
          <w:u w:color="FFFFFF"/>
        </w:rPr>
        <w:t>本办法由甘孜州医疗保障部门负责解释。</w:t>
      </w:r>
    </w:p>
    <w:p>
      <w:pPr>
        <w:adjustRightInd w:val="0"/>
        <w:snapToGrid w:val="0"/>
        <w:spacing w:line="540" w:lineRule="exact"/>
        <w:ind w:firstLine="643" w:firstLineChars="200"/>
        <w:textAlignment w:val="baseline"/>
        <w:rPr>
          <w:rFonts w:ascii="仿宋_GB2312" w:eastAsia="仿宋_GB2312"/>
          <w:bCs/>
          <w:snapToGrid w:val="0"/>
          <w:color w:val="000000"/>
          <w:kern w:val="0"/>
          <w:sz w:val="32"/>
          <w:szCs w:val="32"/>
          <w:u w:color="FFFFFF"/>
        </w:rPr>
      </w:pPr>
      <w:r>
        <w:rPr>
          <w:rFonts w:hint="eastAsia" w:ascii="楷体_GB2312" w:eastAsia="楷体_GB2312"/>
          <w:b/>
          <w:bCs/>
          <w:snapToGrid w:val="0"/>
          <w:color w:val="000000"/>
          <w:kern w:val="0"/>
          <w:sz w:val="32"/>
          <w:szCs w:val="32"/>
          <w:u w:color="FFFFFF"/>
        </w:rPr>
        <w:t>第四十五条</w:t>
      </w:r>
      <w:r>
        <w:rPr>
          <w:rFonts w:hint="eastAsia" w:ascii="仿宋_GB2312" w:eastAsia="仿宋_GB2312"/>
          <w:b/>
          <w:bCs/>
          <w:snapToGrid w:val="0"/>
          <w:color w:val="000000"/>
          <w:kern w:val="0"/>
          <w:sz w:val="32"/>
          <w:szCs w:val="32"/>
          <w:u w:color="FFFFFF"/>
        </w:rPr>
        <w:t xml:space="preserve">  </w:t>
      </w:r>
      <w:r>
        <w:rPr>
          <w:rFonts w:hint="eastAsia" w:ascii="仿宋_GB2312" w:eastAsia="仿宋_GB2312"/>
          <w:bCs/>
          <w:snapToGrid w:val="0"/>
          <w:color w:val="000000"/>
          <w:kern w:val="0"/>
          <w:sz w:val="32"/>
          <w:szCs w:val="32"/>
          <w:u w:color="FFFFFF"/>
        </w:rPr>
        <w:t>本办法自2023年1月1日起施行，有效期5年。原城乡医保政策同时废止。国家、省、州有新规定的按新规定执行。</w:t>
      </w:r>
    </w:p>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338"/>
      <w:rPr>
        <w:rFonts w:ascii="仿宋" w:hAnsi="仿宋" w:eastAsia="仿宋" w:cs="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61BB14"/>
    <w:multiLevelType w:val="singleLevel"/>
    <w:tmpl w:val="CD61BB14"/>
    <w:lvl w:ilvl="0" w:tentative="0">
      <w:start w:val="1"/>
      <w:numFmt w:val="chineseCounting"/>
      <w:suff w:val="nothing"/>
      <w:lvlText w:val="（%1）"/>
      <w:lvlJc w:val="left"/>
      <w:rPr>
        <w:rFonts w:hint="eastAsia"/>
        <w:sz w:val="32"/>
        <w:szCs w:val="32"/>
      </w:rPr>
    </w:lvl>
  </w:abstractNum>
  <w:abstractNum w:abstractNumId="1">
    <w:nsid w:val="19A376FF"/>
    <w:multiLevelType w:val="singleLevel"/>
    <w:tmpl w:val="19A376FF"/>
    <w:lvl w:ilvl="0" w:tentative="0">
      <w:start w:val="1"/>
      <w:numFmt w:val="chineseCounting"/>
      <w:suff w:val="nothing"/>
      <w:lvlText w:val="（%1）"/>
      <w:lvlJc w:val="left"/>
      <w:rPr>
        <w:rFonts w:hint="eastAsia"/>
      </w:rPr>
    </w:lvl>
  </w:abstractNum>
  <w:abstractNum w:abstractNumId="2">
    <w:nsid w:val="44DA7D11"/>
    <w:multiLevelType w:val="singleLevel"/>
    <w:tmpl w:val="44DA7D11"/>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14ED1"/>
    <w:rsid w:val="001E2FA6"/>
    <w:rsid w:val="0033638E"/>
    <w:rsid w:val="004F3987"/>
    <w:rsid w:val="007A301A"/>
    <w:rsid w:val="008D2A24"/>
    <w:rsid w:val="00BB763B"/>
    <w:rsid w:val="02951543"/>
    <w:rsid w:val="0FD438B5"/>
    <w:rsid w:val="14F44FD1"/>
    <w:rsid w:val="15DD7F97"/>
    <w:rsid w:val="2B732963"/>
    <w:rsid w:val="2F4364BA"/>
    <w:rsid w:val="2F6C6F2E"/>
    <w:rsid w:val="36681F10"/>
    <w:rsid w:val="3EA45CF8"/>
    <w:rsid w:val="42F07F65"/>
    <w:rsid w:val="459F1621"/>
    <w:rsid w:val="4C770D7E"/>
    <w:rsid w:val="4D2F6257"/>
    <w:rsid w:val="53774F2E"/>
    <w:rsid w:val="5AE87988"/>
    <w:rsid w:val="5CDA0241"/>
    <w:rsid w:val="5F3252A1"/>
    <w:rsid w:val="71C541B7"/>
    <w:rsid w:val="74657CD7"/>
    <w:rsid w:val="78614ED1"/>
    <w:rsid w:val="7ABC5D85"/>
    <w:rsid w:val="7C641AEC"/>
    <w:rsid w:val="7C90299E"/>
    <w:rsid w:val="7F025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firstLineChars="200"/>
    </w:pPr>
    <w:rPr>
      <w:rFonts w:ascii="Times New Roman"/>
      <w:sz w:val="21"/>
    </w:rPr>
  </w:style>
  <w:style w:type="paragraph" w:styleId="3">
    <w:name w:val="Body Text Indent"/>
    <w:basedOn w:val="1"/>
    <w:qFormat/>
    <w:uiPriority w:val="0"/>
    <w:pPr>
      <w:ind w:firstLine="300" w:firstLineChars="300"/>
    </w:pPr>
    <w:rPr>
      <w:rFonts w:ascii="宋体"/>
      <w:sz w:val="30"/>
    </w:rPr>
  </w:style>
  <w:style w:type="paragraph" w:styleId="4">
    <w:name w:val="index 5"/>
    <w:basedOn w:val="1"/>
    <w:next w:val="1"/>
    <w:qFormat/>
    <w:uiPriority w:val="0"/>
    <w:pPr>
      <w:ind w:left="1680"/>
    </w:pPr>
  </w:style>
  <w:style w:type="paragraph" w:styleId="5">
    <w:name w:val="footer"/>
    <w:basedOn w:val="1"/>
    <w:next w:val="4"/>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next w:val="3"/>
    <w:qFormat/>
    <w:uiPriority w:val="0"/>
    <w:pPr>
      <w:spacing w:before="100" w:beforeAutospacing="1" w:after="100" w:afterAutospacing="1"/>
    </w:pPr>
    <w:rPr>
      <w:rFonts w:ascii="宋体" w:hAnsi="Times New Roman" w:eastAsia="宋体" w:cs="宋体"/>
      <w:sz w:val="24"/>
      <w:szCs w:val="24"/>
      <w:lang w:val="en-US" w:eastAsia="zh-CN" w:bidi="ar-SA"/>
    </w:rPr>
  </w:style>
  <w:style w:type="character" w:customStyle="1" w:styleId="10">
    <w:name w:val="页眉 字符"/>
    <w:basedOn w:val="9"/>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E97566-76EF-4AED-807B-08C17325E422}">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1060</Words>
  <Characters>6045</Characters>
  <Lines>50</Lines>
  <Paragraphs>14</Paragraphs>
  <TotalTime>17</TotalTime>
  <ScaleCrop>false</ScaleCrop>
  <LinksUpToDate>false</LinksUpToDate>
  <CharactersWithSpaces>7091</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2022-08-09T07:53:00Z</dcterms:created>
  <dc:creator>admin</dc:creator>
  <cp:lastModifiedBy>admin</cp:lastModifiedBy>
  <dcterms:modified xsi:type="dcterms:W3CDTF">2022-09-08T07:55:11Z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