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方正小标宋简体" w:cs="Times New Roman"/>
          <w:i w:val="0"/>
          <w:caps w:val="0"/>
          <w:color w:val="auto"/>
          <w:spacing w:val="0"/>
          <w:sz w:val="44"/>
          <w:szCs w:val="44"/>
          <w:shd w:val="clear" w:color="auto" w:fill="FFFFFF"/>
        </w:rPr>
      </w:pPr>
      <w:r>
        <w:rPr>
          <w:rFonts w:hint="eastAsia" w:ascii="Times New Roman" w:hAnsi="Times New Roman" w:eastAsia="方正小标宋简体" w:cs="Times New Roman"/>
          <w:i w:val="0"/>
          <w:caps w:val="0"/>
          <w:color w:val="auto"/>
          <w:spacing w:val="0"/>
          <w:sz w:val="44"/>
          <w:szCs w:val="44"/>
          <w:highlight w:val="none"/>
          <w:shd w:val="clear" w:color="auto" w:fill="FFFFFF"/>
          <w:lang w:val="en-US" w:eastAsia="zh-CN"/>
        </w:rPr>
        <w:t>甘孜州</w:t>
      </w:r>
      <w:r>
        <w:rPr>
          <w:rFonts w:hint="default" w:ascii="Times New Roman" w:hAnsi="Times New Roman" w:eastAsia="方正小标宋简体" w:cs="Times New Roman"/>
          <w:i w:val="0"/>
          <w:caps w:val="0"/>
          <w:color w:val="auto"/>
          <w:spacing w:val="0"/>
          <w:sz w:val="44"/>
          <w:szCs w:val="44"/>
          <w:highlight w:val="none"/>
          <w:shd w:val="clear" w:color="auto" w:fill="FFFFFF"/>
        </w:rPr>
        <w:t>职工</w:t>
      </w:r>
      <w:r>
        <w:rPr>
          <w:rFonts w:hint="default" w:ascii="Times New Roman" w:hAnsi="Times New Roman" w:eastAsia="方正小标宋简体" w:cs="Times New Roman"/>
          <w:i w:val="0"/>
          <w:caps w:val="0"/>
          <w:color w:val="auto"/>
          <w:spacing w:val="0"/>
          <w:sz w:val="44"/>
          <w:szCs w:val="44"/>
          <w:shd w:val="clear" w:color="auto" w:fill="FFFFFF"/>
        </w:rPr>
        <w:t>基本医疗保险门诊共济</w:t>
      </w: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方正小标宋简体" w:cs="Times New Roman"/>
          <w:i w:val="0"/>
          <w:caps w:val="0"/>
          <w:color w:val="auto"/>
          <w:spacing w:val="0"/>
          <w:sz w:val="44"/>
          <w:szCs w:val="44"/>
          <w:shd w:val="clear" w:color="auto" w:fill="FFFFFF"/>
        </w:rPr>
      </w:pPr>
      <w:r>
        <w:rPr>
          <w:rFonts w:hint="default" w:ascii="Times New Roman" w:hAnsi="Times New Roman" w:eastAsia="方正小标宋简体" w:cs="Times New Roman"/>
          <w:i w:val="0"/>
          <w:caps w:val="0"/>
          <w:color w:val="auto"/>
          <w:spacing w:val="0"/>
          <w:sz w:val="44"/>
          <w:szCs w:val="44"/>
          <w:shd w:val="clear" w:color="auto" w:fill="FFFFFF"/>
        </w:rPr>
        <w:t>保障机制实施细则</w:t>
      </w:r>
    </w:p>
    <w:p>
      <w:pPr>
        <w:pStyle w:val="8"/>
        <w:snapToGrid w:val="0"/>
        <w:spacing w:before="0" w:beforeAutospacing="0" w:after="0" w:afterAutospacing="0" w:line="579" w:lineRule="exact"/>
        <w:jc w:val="center"/>
        <w:textAlignment w:val="baseline"/>
        <w:rPr>
          <w:rFonts w:ascii="Times New Roman" w:hAnsi="Times New Roman" w:eastAsia="楷体_GB2312" w:cs="Times New Roman"/>
          <w:b w:val="0"/>
          <w:i w:val="0"/>
          <w:caps w:val="0"/>
          <w:color w:val="auto"/>
          <w:spacing w:val="0"/>
          <w:w w:val="100"/>
          <w:sz w:val="32"/>
          <w:szCs w:val="32"/>
          <w:u w:val="none" w:color="auto"/>
        </w:rPr>
      </w:pPr>
      <w:r>
        <w:rPr>
          <w:rFonts w:ascii="Times New Roman" w:hAnsi="Times New Roman" w:eastAsia="楷体_GB2312" w:cs="Times New Roman"/>
          <w:b w:val="0"/>
          <w:i w:val="0"/>
          <w:caps w:val="0"/>
          <w:color w:val="auto"/>
          <w:spacing w:val="0"/>
          <w:w w:val="100"/>
          <w:sz w:val="32"/>
          <w:szCs w:val="32"/>
          <w:u w:val="none" w:color="auto"/>
        </w:rPr>
        <w:t>（</w:t>
      </w:r>
      <w:r>
        <w:rPr>
          <w:rFonts w:hint="eastAsia" w:ascii="Times New Roman" w:hAnsi="Times New Roman" w:eastAsia="楷体_GB2312" w:cs="Times New Roman"/>
          <w:b w:val="0"/>
          <w:i w:val="0"/>
          <w:caps w:val="0"/>
          <w:color w:val="auto"/>
          <w:spacing w:val="0"/>
          <w:w w:val="100"/>
          <w:sz w:val="32"/>
          <w:szCs w:val="32"/>
          <w:u w:val="none" w:color="auto"/>
          <w:lang w:eastAsia="zh-CN"/>
        </w:rPr>
        <w:t>征求意见</w:t>
      </w:r>
      <w:r>
        <w:rPr>
          <w:rFonts w:hint="eastAsia" w:ascii="Times New Roman" w:hAnsi="Times New Roman" w:eastAsia="楷体_GB2312" w:cs="Times New Roman"/>
          <w:b w:val="0"/>
          <w:i w:val="0"/>
          <w:caps w:val="0"/>
          <w:color w:val="auto"/>
          <w:spacing w:val="0"/>
          <w:w w:val="100"/>
          <w:sz w:val="32"/>
          <w:szCs w:val="32"/>
          <w:u w:val="none" w:color="auto"/>
        </w:rPr>
        <w:t>稿</w:t>
      </w:r>
      <w:r>
        <w:rPr>
          <w:rFonts w:ascii="Times New Roman" w:hAnsi="Times New Roman" w:eastAsia="楷体_GB2312" w:cs="Times New Roman"/>
          <w:b w:val="0"/>
          <w:i w:val="0"/>
          <w:caps w:val="0"/>
          <w:color w:val="auto"/>
          <w:spacing w:val="0"/>
          <w:w w:val="100"/>
          <w:sz w:val="32"/>
          <w:szCs w:val="32"/>
          <w:u w:val="none" w:color="auto"/>
        </w:rPr>
        <w:t>）</w:t>
      </w: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黑体" w:cs="Times New Roman"/>
          <w:i w:val="0"/>
          <w:caps w:val="0"/>
          <w:color w:val="auto"/>
          <w:spacing w:val="0"/>
          <w:sz w:val="31"/>
          <w:szCs w:val="31"/>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黑体" w:cs="Times New Roman"/>
          <w:i w:val="0"/>
          <w:caps w:val="0"/>
          <w:color w:val="auto"/>
          <w:spacing w:val="0"/>
          <w:sz w:val="32"/>
          <w:szCs w:val="32"/>
          <w:shd w:val="clear" w:color="auto" w:fill="FFFFFF"/>
        </w:rPr>
      </w:pPr>
      <w:r>
        <w:rPr>
          <w:rFonts w:hint="default" w:ascii="Times New Roman" w:hAnsi="Times New Roman" w:eastAsia="黑体" w:cs="Times New Roman"/>
          <w:i w:val="0"/>
          <w:caps w:val="0"/>
          <w:color w:val="auto"/>
          <w:spacing w:val="0"/>
          <w:sz w:val="32"/>
          <w:szCs w:val="32"/>
          <w:shd w:val="clear" w:color="auto" w:fill="FFFFFF"/>
        </w:rPr>
        <w:t>第一章</w:t>
      </w:r>
      <w:r>
        <w:rPr>
          <w:rFonts w:hint="default" w:ascii="Times New Roman" w:hAnsi="Times New Roman" w:eastAsia="黑体" w:cs="Times New Roman"/>
          <w:i w:val="0"/>
          <w:caps w:val="0"/>
          <w:color w:val="auto"/>
          <w:spacing w:val="0"/>
          <w:sz w:val="32"/>
          <w:szCs w:val="32"/>
          <w:shd w:val="clear" w:color="auto" w:fill="FFFFFF"/>
          <w:lang w:val="en-US" w:eastAsia="zh-CN"/>
        </w:rPr>
        <w:t xml:space="preserve">  </w:t>
      </w:r>
      <w:r>
        <w:rPr>
          <w:rFonts w:hint="default" w:ascii="Times New Roman" w:hAnsi="Times New Roman" w:eastAsia="黑体" w:cs="Times New Roman"/>
          <w:i w:val="0"/>
          <w:caps w:val="0"/>
          <w:color w:val="auto"/>
          <w:spacing w:val="0"/>
          <w:sz w:val="32"/>
          <w:szCs w:val="32"/>
          <w:shd w:val="clear" w:color="auto" w:fill="FFFFFF"/>
        </w:rPr>
        <w:t>总</w:t>
      </w:r>
      <w:r>
        <w:rPr>
          <w:rFonts w:hint="default" w:ascii="Times New Roman" w:hAnsi="Times New Roman" w:eastAsia="黑体" w:cs="Times New Roman"/>
          <w:i w:val="0"/>
          <w:caps w:val="0"/>
          <w:color w:val="auto"/>
          <w:spacing w:val="0"/>
          <w:sz w:val="32"/>
          <w:szCs w:val="32"/>
          <w:shd w:val="clear" w:color="auto" w:fill="FFFFFF"/>
          <w:lang w:val="en-US" w:eastAsia="zh-CN"/>
        </w:rPr>
        <w:t xml:space="preserve">  </w:t>
      </w:r>
      <w:r>
        <w:rPr>
          <w:rFonts w:hint="default" w:ascii="Times New Roman" w:hAnsi="Times New Roman" w:eastAsia="黑体" w:cs="Times New Roman"/>
          <w:i w:val="0"/>
          <w:caps w:val="0"/>
          <w:color w:val="auto"/>
          <w:spacing w:val="0"/>
          <w:sz w:val="32"/>
          <w:szCs w:val="32"/>
          <w:shd w:val="clear" w:color="auto" w:fill="FFFFFF"/>
        </w:rPr>
        <w:t>则</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仿宋_GB2312" w:cs="Times New Roman"/>
          <w:b w:val="0"/>
          <w:bCs w:val="0"/>
          <w:i w:val="0"/>
          <w:caps w:val="0"/>
          <w:color w:val="auto"/>
          <w:spacing w:val="0"/>
          <w:sz w:val="32"/>
          <w:szCs w:val="32"/>
        </w:rPr>
      </w:pPr>
      <w:r>
        <w:rPr>
          <w:rFonts w:hint="default" w:ascii="Times New Roman" w:hAnsi="Times New Roman" w:eastAsia="黑体" w:cs="Times New Roman"/>
          <w:b w:val="0"/>
          <w:bCs w:val="0"/>
          <w:i w:val="0"/>
          <w:caps w:val="0"/>
          <w:color w:val="auto"/>
          <w:spacing w:val="0"/>
          <w:sz w:val="32"/>
          <w:szCs w:val="32"/>
          <w:shd w:val="clear" w:color="auto" w:fill="FFFFFF"/>
        </w:rPr>
        <w:t>第一条</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b w:val="0"/>
          <w:bCs w:val="0"/>
          <w:i w:val="0"/>
          <w:caps w:val="0"/>
          <w:color w:val="auto"/>
          <w:spacing w:val="0"/>
          <w:sz w:val="32"/>
          <w:szCs w:val="32"/>
          <w:shd w:val="clear" w:color="auto" w:fill="FFFFFF"/>
        </w:rPr>
        <w:t>为进一步健全互助共济、责任共担的职工基本医疗保险</w:t>
      </w:r>
      <w:r>
        <w:rPr>
          <w:rFonts w:hint="default" w:ascii="Times New Roman" w:hAnsi="Times New Roman" w:eastAsia="仿宋_GB2312" w:cs="Times New Roman"/>
          <w:b w:val="0"/>
          <w:bCs w:val="0"/>
          <w:i w:val="0"/>
          <w:caps w:val="0"/>
          <w:color w:val="auto"/>
          <w:spacing w:val="0"/>
          <w:sz w:val="32"/>
          <w:szCs w:val="32"/>
          <w:shd w:val="clear" w:color="auto" w:fill="FFFFFF"/>
          <w:lang w:eastAsia="zh-CN"/>
        </w:rPr>
        <w:t>（以下简称职工医保）</w:t>
      </w:r>
      <w:r>
        <w:rPr>
          <w:rFonts w:hint="default" w:ascii="Times New Roman" w:hAnsi="Times New Roman" w:eastAsia="仿宋_GB2312" w:cs="Times New Roman"/>
          <w:b w:val="0"/>
          <w:bCs w:val="0"/>
          <w:i w:val="0"/>
          <w:caps w:val="0"/>
          <w:color w:val="auto"/>
          <w:spacing w:val="0"/>
          <w:sz w:val="32"/>
          <w:szCs w:val="32"/>
          <w:shd w:val="clear" w:color="auto" w:fill="FFFFFF"/>
        </w:rPr>
        <w:t>制度</w:t>
      </w:r>
      <w:r>
        <w:rPr>
          <w:rFonts w:hint="eastAsia" w:ascii="Times New Roman" w:hAnsi="Times New Roman" w:eastAsia="仿宋_GB2312" w:cs="Times New Roman"/>
          <w:b w:val="0"/>
          <w:bCs w:val="0"/>
          <w:i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caps w:val="0"/>
          <w:color w:val="auto"/>
          <w:spacing w:val="0"/>
          <w:sz w:val="32"/>
          <w:szCs w:val="32"/>
          <w:shd w:val="clear" w:color="auto" w:fill="FFFFFF"/>
        </w:rPr>
        <w:t>更好解决</w:t>
      </w:r>
      <w:r>
        <w:rPr>
          <w:rFonts w:hint="eastAsia" w:ascii="Times New Roman" w:hAnsi="Times New Roman" w:eastAsia="仿宋_GB2312" w:cs="Times New Roman"/>
          <w:b w:val="0"/>
          <w:bCs w:val="0"/>
          <w:i w:val="0"/>
          <w:caps w:val="0"/>
          <w:color w:val="auto"/>
          <w:spacing w:val="0"/>
          <w:sz w:val="32"/>
          <w:szCs w:val="32"/>
          <w:shd w:val="clear" w:color="auto" w:fill="FFFFFF"/>
          <w:lang w:val="en-US" w:eastAsia="zh-CN"/>
        </w:rPr>
        <w:t>全州</w:t>
      </w:r>
      <w:r>
        <w:rPr>
          <w:rFonts w:hint="default" w:ascii="Times New Roman" w:hAnsi="Times New Roman" w:eastAsia="仿宋_GB2312" w:cs="Times New Roman"/>
          <w:b w:val="0"/>
          <w:bCs w:val="0"/>
          <w:i w:val="0"/>
          <w:caps w:val="0"/>
          <w:color w:val="auto"/>
          <w:spacing w:val="0"/>
          <w:sz w:val="32"/>
          <w:szCs w:val="32"/>
          <w:shd w:val="clear" w:color="auto" w:fill="FFFFFF"/>
        </w:rPr>
        <w:t>职工医保参保人员</w:t>
      </w:r>
      <w:r>
        <w:rPr>
          <w:rFonts w:hint="default" w:ascii="Times New Roman" w:hAnsi="Times New Roman" w:eastAsia="仿宋_GB2312" w:cs="Times New Roman"/>
          <w:b w:val="0"/>
          <w:bCs w:val="0"/>
          <w:i w:val="0"/>
          <w:caps w:val="0"/>
          <w:color w:val="auto"/>
          <w:spacing w:val="0"/>
          <w:sz w:val="32"/>
          <w:szCs w:val="32"/>
          <w:shd w:val="clear" w:color="auto" w:fill="FFFFFF"/>
          <w:lang w:eastAsia="zh-CN"/>
        </w:rPr>
        <w:t>（以下简称参保人员）</w:t>
      </w:r>
      <w:r>
        <w:rPr>
          <w:rFonts w:hint="default" w:ascii="Times New Roman" w:hAnsi="Times New Roman" w:eastAsia="仿宋_GB2312" w:cs="Times New Roman"/>
          <w:b w:val="0"/>
          <w:bCs w:val="0"/>
          <w:i w:val="0"/>
          <w:caps w:val="0"/>
          <w:color w:val="auto"/>
          <w:spacing w:val="0"/>
          <w:sz w:val="32"/>
          <w:szCs w:val="32"/>
          <w:shd w:val="clear" w:color="auto" w:fill="FFFFFF"/>
        </w:rPr>
        <w:t>门诊保障问题，切实减轻医疗费用负担，根据《国务院办公厅关于建立健全职工基本医疗保险门诊共济保障机制的指导意见》（国办发〔2021〕14号）和《</w:t>
      </w:r>
      <w:r>
        <w:rPr>
          <w:rFonts w:hint="default" w:ascii="Times New Roman" w:hAnsi="Times New Roman" w:eastAsia="仿宋_GB2312" w:cs="Times New Roman"/>
          <w:b w:val="0"/>
          <w:bCs w:val="0"/>
          <w:i w:val="0"/>
          <w:caps w:val="0"/>
          <w:color w:val="auto"/>
          <w:spacing w:val="0"/>
          <w:sz w:val="32"/>
          <w:szCs w:val="32"/>
          <w:shd w:val="clear" w:color="auto" w:fill="FFFFFF"/>
          <w:lang w:eastAsia="zh-CN"/>
        </w:rPr>
        <w:t>四川省</w:t>
      </w:r>
      <w:r>
        <w:rPr>
          <w:rFonts w:hint="default" w:ascii="Times New Roman" w:hAnsi="Times New Roman" w:eastAsia="仿宋_GB2312" w:cs="Times New Roman"/>
          <w:b w:val="0"/>
          <w:bCs w:val="0"/>
          <w:i w:val="0"/>
          <w:caps w:val="0"/>
          <w:color w:val="auto"/>
          <w:spacing w:val="0"/>
          <w:sz w:val="32"/>
          <w:szCs w:val="32"/>
          <w:shd w:val="clear" w:color="auto" w:fill="FFFFFF"/>
        </w:rPr>
        <w:t>人民政府办公厅印发关于建立健全职工基本医疗保险门诊共济保障机制实施办法的通知》（川办发〔2021〕85号）</w:t>
      </w:r>
      <w:r>
        <w:rPr>
          <w:rFonts w:hint="default" w:ascii="Times New Roman" w:hAnsi="Times New Roman" w:eastAsia="仿宋_GB2312" w:cs="Times New Roman"/>
          <w:b w:val="0"/>
          <w:bCs w:val="0"/>
          <w:i w:val="0"/>
          <w:caps w:val="0"/>
          <w:color w:val="auto"/>
          <w:spacing w:val="0"/>
          <w:sz w:val="32"/>
          <w:szCs w:val="32"/>
          <w:shd w:val="clear" w:color="auto" w:fill="FFFFFF"/>
          <w:lang w:eastAsia="zh-CN"/>
        </w:rPr>
        <w:t>要求</w:t>
      </w:r>
      <w:r>
        <w:rPr>
          <w:rFonts w:hint="default" w:ascii="Times New Roman" w:hAnsi="Times New Roman" w:eastAsia="仿宋_GB2312" w:cs="Times New Roman"/>
          <w:b w:val="0"/>
          <w:bCs w:val="0"/>
          <w:i w:val="0"/>
          <w:caps w:val="0"/>
          <w:color w:val="auto"/>
          <w:spacing w:val="0"/>
          <w:sz w:val="32"/>
          <w:szCs w:val="32"/>
          <w:shd w:val="clear" w:color="auto" w:fill="FFFFFF"/>
        </w:rPr>
        <w:t>，制定本</w:t>
      </w:r>
      <w:r>
        <w:rPr>
          <w:rFonts w:hint="default" w:ascii="Times New Roman" w:hAnsi="Times New Roman" w:eastAsia="仿宋_GB2312" w:cs="Times New Roman"/>
          <w:b w:val="0"/>
          <w:bCs w:val="0"/>
          <w:i w:val="0"/>
          <w:caps w:val="0"/>
          <w:color w:val="auto"/>
          <w:spacing w:val="0"/>
          <w:sz w:val="32"/>
          <w:szCs w:val="32"/>
          <w:shd w:val="clear" w:color="auto" w:fill="FFFFFF"/>
          <w:lang w:eastAsia="zh-CN"/>
        </w:rPr>
        <w:t>实施</w:t>
      </w:r>
      <w:r>
        <w:rPr>
          <w:rFonts w:hint="default" w:ascii="Times New Roman" w:hAnsi="Times New Roman" w:eastAsia="仿宋_GB2312" w:cs="Times New Roman"/>
          <w:b w:val="0"/>
          <w:bCs w:val="0"/>
          <w:i w:val="0"/>
          <w:caps w:val="0"/>
          <w:color w:val="auto"/>
          <w:spacing w:val="0"/>
          <w:sz w:val="32"/>
          <w:szCs w:val="32"/>
          <w:shd w:val="clear" w:color="auto" w:fill="FFFFFF"/>
        </w:rPr>
        <w:t>细则。</w:t>
      </w:r>
    </w:p>
    <w:p>
      <w:pPr>
        <w:keepNext w:val="0"/>
        <w:keepLines w:val="0"/>
        <w:pageBreakBefore w:val="0"/>
        <w:widowControl w:val="0"/>
        <w:kinsoku/>
        <w:wordWrap/>
        <w:overflowPunct/>
        <w:topLinePunct w:val="0"/>
        <w:autoSpaceDE/>
        <w:autoSpaceDN/>
        <w:bidi w:val="0"/>
        <w:snapToGrid w:val="0"/>
        <w:spacing w:before="0" w:beforeAutospacing="0" w:after="0" w:afterAutospacing="0" w:line="579" w:lineRule="exact"/>
        <w:ind w:firstLine="640" w:firstLineChars="200"/>
        <w:jc w:val="both"/>
        <w:textAlignment w:val="baseline"/>
        <w:rPr>
          <w:rFonts w:hint="default" w:ascii="Times New Roman" w:hAnsi="Times New Roman" w:eastAsia="黑体" w:cs="Times New Roman"/>
          <w:b w:val="0"/>
          <w:bCs w:val="0"/>
          <w:i w:val="0"/>
          <w:caps w:val="0"/>
          <w:color w:val="auto"/>
          <w:spacing w:val="0"/>
          <w:sz w:val="32"/>
          <w:szCs w:val="32"/>
          <w:shd w:val="clear" w:color="auto" w:fill="FFFFFF"/>
        </w:rPr>
      </w:pPr>
      <w:r>
        <w:rPr>
          <w:rFonts w:hint="default" w:ascii="Times New Roman" w:hAnsi="Times New Roman" w:eastAsia="黑体" w:cs="Times New Roman"/>
          <w:b w:val="0"/>
          <w:bCs w:val="0"/>
          <w:i w:val="0"/>
          <w:caps w:val="0"/>
          <w:color w:val="auto"/>
          <w:spacing w:val="0"/>
          <w:sz w:val="32"/>
          <w:szCs w:val="32"/>
          <w:shd w:val="clear" w:color="auto" w:fill="FFFFFF"/>
        </w:rPr>
        <w:t>第二条</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b w:val="0"/>
          <w:bCs w:val="0"/>
          <w:i w:val="0"/>
          <w:caps w:val="0"/>
          <w:color w:val="auto"/>
          <w:spacing w:val="0"/>
          <w:sz w:val="32"/>
          <w:szCs w:val="32"/>
          <w:shd w:val="clear" w:color="auto" w:fill="FFFFFF"/>
        </w:rPr>
        <w:t>按照尽力而为、量力而行</w:t>
      </w:r>
      <w:r>
        <w:rPr>
          <w:rFonts w:hint="default" w:ascii="Times New Roman" w:hAnsi="Times New Roman" w:eastAsia="仿宋_GB2312" w:cs="Times New Roman"/>
          <w:b w:val="0"/>
          <w:bCs w:val="0"/>
          <w:i w:val="0"/>
          <w:caps w:val="0"/>
          <w:color w:val="auto"/>
          <w:spacing w:val="0"/>
          <w:sz w:val="32"/>
          <w:szCs w:val="32"/>
          <w:shd w:val="clear" w:color="auto" w:fill="FFFFFF"/>
          <w:lang w:eastAsia="zh-CN"/>
        </w:rPr>
        <w:t>原则</w:t>
      </w:r>
      <w:r>
        <w:rPr>
          <w:rFonts w:hint="default" w:ascii="Times New Roman" w:hAnsi="Times New Roman" w:eastAsia="仿宋_GB2312" w:cs="Times New Roman"/>
          <w:b w:val="0"/>
          <w:bCs w:val="0"/>
          <w:i w:val="0"/>
          <w:caps w:val="0"/>
          <w:color w:val="auto"/>
          <w:spacing w:val="0"/>
          <w:sz w:val="32"/>
          <w:szCs w:val="32"/>
          <w:shd w:val="clear" w:color="auto" w:fill="FFFFFF"/>
        </w:rPr>
        <w:t>，坚持人人尽责、人人享有，完善制度、引导预期，加快医疗保障重点领域和关键环节改革，将门诊费用纳入职工医保统筹基金支付范围，改革职工医保个人账户，建立健全门诊共济保障机制，提高医保基金使用效率，逐步减轻参保人员医疗费用负担，实现制度更加公平</w:t>
      </w:r>
      <w:r>
        <w:rPr>
          <w:rFonts w:hint="eastAsia" w:ascii="Times New Roman" w:hAnsi="Times New Roman" w:eastAsia="仿宋_GB2312" w:cs="Times New Roman"/>
          <w:b w:val="0"/>
          <w:bCs w:val="0"/>
          <w:i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caps w:val="0"/>
          <w:color w:val="auto"/>
          <w:spacing w:val="0"/>
          <w:sz w:val="32"/>
          <w:szCs w:val="32"/>
          <w:shd w:val="clear" w:color="auto" w:fill="FFFFFF"/>
        </w:rPr>
        <w:t>可持续。</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仿宋_GB2312" w:cs="Times New Roman"/>
          <w:b w:val="0"/>
          <w:bCs w:val="0"/>
          <w:i w:val="0"/>
          <w:caps w:val="0"/>
          <w:color w:val="auto"/>
          <w:spacing w:val="0"/>
          <w:sz w:val="32"/>
          <w:szCs w:val="32"/>
          <w:shd w:val="clear" w:color="auto" w:fill="FFFFFF"/>
        </w:rPr>
      </w:pPr>
      <w:r>
        <w:rPr>
          <w:rFonts w:hint="default" w:ascii="Times New Roman" w:hAnsi="Times New Roman" w:eastAsia="黑体" w:cs="Times New Roman"/>
          <w:b w:val="0"/>
          <w:bCs w:val="0"/>
          <w:i w:val="0"/>
          <w:caps w:val="0"/>
          <w:color w:val="auto"/>
          <w:spacing w:val="0"/>
          <w:sz w:val="32"/>
          <w:szCs w:val="32"/>
          <w:shd w:val="clear" w:color="auto" w:fill="FFFFFF"/>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三</w:t>
      </w:r>
      <w:r>
        <w:rPr>
          <w:rFonts w:hint="default" w:ascii="Times New Roman" w:hAnsi="Times New Roman" w:eastAsia="黑体" w:cs="Times New Roman"/>
          <w:b w:val="0"/>
          <w:bCs w:val="0"/>
          <w:i w:val="0"/>
          <w:caps w:val="0"/>
          <w:color w:val="auto"/>
          <w:spacing w:val="0"/>
          <w:sz w:val="32"/>
          <w:szCs w:val="32"/>
          <w:shd w:val="clear" w:color="auto" w:fill="FFFFFF"/>
        </w:rPr>
        <w:t>条</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b w:val="0"/>
          <w:bCs w:val="0"/>
          <w:i w:val="0"/>
          <w:caps w:val="0"/>
          <w:color w:val="auto"/>
          <w:spacing w:val="0"/>
          <w:sz w:val="32"/>
          <w:szCs w:val="32"/>
          <w:shd w:val="clear" w:color="auto" w:fill="FFFFFF"/>
        </w:rPr>
        <w:t>本</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实施</w:t>
      </w:r>
      <w:r>
        <w:rPr>
          <w:rFonts w:hint="default" w:ascii="Times New Roman" w:hAnsi="Times New Roman" w:eastAsia="仿宋_GB2312" w:cs="Times New Roman"/>
          <w:b w:val="0"/>
          <w:bCs w:val="0"/>
          <w:i w:val="0"/>
          <w:caps w:val="0"/>
          <w:color w:val="auto"/>
          <w:spacing w:val="0"/>
          <w:sz w:val="32"/>
          <w:szCs w:val="32"/>
          <w:shd w:val="clear" w:color="auto" w:fill="FFFFFF"/>
        </w:rPr>
        <w:t>细则适用</w:t>
      </w:r>
      <w:r>
        <w:rPr>
          <w:rFonts w:hint="default" w:ascii="Times New Roman" w:hAnsi="Times New Roman" w:eastAsia="仿宋_GB2312" w:cs="Times New Roman"/>
          <w:b w:val="0"/>
          <w:bCs w:val="0"/>
          <w:i w:val="0"/>
          <w:caps w:val="0"/>
          <w:color w:val="auto"/>
          <w:spacing w:val="0"/>
          <w:sz w:val="32"/>
          <w:szCs w:val="32"/>
          <w:highlight w:val="none"/>
          <w:shd w:val="clear" w:color="auto" w:fill="FFFFFF"/>
        </w:rPr>
        <w:t>于</w:t>
      </w:r>
      <w:r>
        <w:rPr>
          <w:rFonts w:hint="eastAsia" w:ascii="Times New Roman" w:hAnsi="Times New Roman" w:eastAsia="仿宋_GB2312" w:cs="Times New Roman"/>
          <w:b w:val="0"/>
          <w:bCs w:val="0"/>
          <w:i w:val="0"/>
          <w:caps w:val="0"/>
          <w:color w:val="auto"/>
          <w:spacing w:val="0"/>
          <w:sz w:val="32"/>
          <w:szCs w:val="32"/>
          <w:highlight w:val="none"/>
          <w:shd w:val="clear" w:color="auto" w:fill="FFFFFF"/>
          <w:lang w:val="en-US" w:eastAsia="zh-CN"/>
        </w:rPr>
        <w:t>甘孜州</w:t>
      </w:r>
      <w:r>
        <w:rPr>
          <w:rFonts w:hint="default" w:ascii="Times New Roman" w:hAnsi="Times New Roman" w:eastAsia="仿宋_GB2312" w:cs="Times New Roman"/>
          <w:b w:val="0"/>
          <w:bCs w:val="0"/>
          <w:i w:val="0"/>
          <w:caps w:val="0"/>
          <w:color w:val="auto"/>
          <w:spacing w:val="0"/>
          <w:sz w:val="32"/>
          <w:szCs w:val="32"/>
          <w:highlight w:val="none"/>
          <w:shd w:val="clear" w:color="auto" w:fill="FFFFFF"/>
        </w:rPr>
        <w:t>职</w:t>
      </w:r>
      <w:r>
        <w:rPr>
          <w:rFonts w:hint="default" w:ascii="Times New Roman" w:hAnsi="Times New Roman" w:eastAsia="仿宋_GB2312" w:cs="Times New Roman"/>
          <w:b w:val="0"/>
          <w:bCs w:val="0"/>
          <w:i w:val="0"/>
          <w:caps w:val="0"/>
          <w:color w:val="auto"/>
          <w:spacing w:val="0"/>
          <w:sz w:val="32"/>
          <w:szCs w:val="32"/>
          <w:shd w:val="clear" w:color="auto" w:fill="FFFFFF"/>
        </w:rPr>
        <w:t>工基本医疗保险参保人员</w:t>
      </w:r>
      <w:r>
        <w:rPr>
          <w:rFonts w:hint="default" w:ascii="Times New Roman" w:hAnsi="Times New Roman" w:eastAsia="仿宋_GB2312" w:cs="Times New Roman"/>
          <w:b w:val="0"/>
          <w:bCs w:val="0"/>
          <w:i w:val="0"/>
          <w:caps w:val="0"/>
          <w:strike w:val="0"/>
          <w:color w:val="auto"/>
          <w:spacing w:val="0"/>
          <w:sz w:val="32"/>
          <w:szCs w:val="32"/>
          <w:shd w:val="clear" w:color="auto" w:fill="FFFFFF"/>
        </w:rPr>
        <w:t>。</w:t>
      </w:r>
    </w:p>
    <w:p>
      <w:pPr>
        <w:pStyle w:val="4"/>
        <w:spacing w:before="0" w:after="0" w:line="240" w:lineRule="auto"/>
        <w:rPr>
          <w:rFonts w:hint="default"/>
          <w:color w:val="auto"/>
        </w:rPr>
      </w:pP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黑体" w:cs="Times New Roman"/>
          <w:b w:val="0"/>
          <w:bCs w:val="0"/>
          <w:i w:val="0"/>
          <w:caps w:val="0"/>
          <w:color w:val="auto"/>
          <w:spacing w:val="0"/>
          <w:sz w:val="32"/>
          <w:szCs w:val="32"/>
          <w:shd w:val="clear" w:color="auto" w:fill="FFFFFF"/>
        </w:rPr>
      </w:pPr>
      <w:r>
        <w:rPr>
          <w:rFonts w:hint="default" w:ascii="Times New Roman" w:hAnsi="Times New Roman" w:eastAsia="黑体" w:cs="Times New Roman"/>
          <w:b w:val="0"/>
          <w:bCs w:val="0"/>
          <w:i w:val="0"/>
          <w:caps w:val="0"/>
          <w:color w:val="auto"/>
          <w:spacing w:val="0"/>
          <w:sz w:val="32"/>
          <w:szCs w:val="32"/>
          <w:shd w:val="clear" w:color="auto" w:fill="FFFFFF"/>
        </w:rPr>
        <w:t>第二章</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 xml:space="preserve">  </w:t>
      </w:r>
      <w:r>
        <w:rPr>
          <w:rFonts w:hint="default" w:ascii="Times New Roman" w:hAnsi="Times New Roman" w:eastAsia="黑体" w:cs="Times New Roman"/>
          <w:b w:val="0"/>
          <w:bCs w:val="0"/>
          <w:i w:val="0"/>
          <w:caps w:val="0"/>
          <w:color w:val="auto"/>
          <w:spacing w:val="0"/>
          <w:sz w:val="32"/>
          <w:szCs w:val="32"/>
          <w:shd w:val="clear" w:color="auto" w:fill="FFFFFF"/>
          <w:lang w:eastAsia="zh-CN"/>
        </w:rPr>
        <w:t>完善</w:t>
      </w:r>
      <w:r>
        <w:rPr>
          <w:rFonts w:hint="default" w:ascii="Times New Roman" w:hAnsi="Times New Roman" w:eastAsia="黑体" w:cs="Times New Roman"/>
          <w:b w:val="0"/>
          <w:bCs w:val="0"/>
          <w:i w:val="0"/>
          <w:caps w:val="0"/>
          <w:color w:val="auto"/>
          <w:spacing w:val="0"/>
          <w:sz w:val="32"/>
          <w:szCs w:val="32"/>
          <w:shd w:val="clear" w:color="auto" w:fill="FFFFFF"/>
        </w:rPr>
        <w:t>个人账户管理</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黑体" w:cs="Times New Roman"/>
          <w:b w:val="0"/>
          <w:bCs w:val="0"/>
          <w:i w:val="0"/>
          <w:caps w:val="0"/>
          <w:color w:val="auto"/>
          <w:spacing w:val="0"/>
          <w:sz w:val="32"/>
          <w:szCs w:val="32"/>
          <w:shd w:val="clear" w:color="auto" w:fill="FFFFFF"/>
          <w:lang w:eastAsia="zh-CN"/>
        </w:rPr>
      </w:pPr>
      <w:r>
        <w:rPr>
          <w:rFonts w:hint="default" w:ascii="Times New Roman" w:hAnsi="Times New Roman" w:eastAsia="黑体" w:cs="Times New Roman"/>
          <w:b w:val="0"/>
          <w:bCs w:val="0"/>
          <w:i w:val="0"/>
          <w:caps w:val="0"/>
          <w:color w:val="auto"/>
          <w:spacing w:val="0"/>
          <w:sz w:val="32"/>
          <w:szCs w:val="32"/>
          <w:shd w:val="clear" w:color="auto" w:fill="FFFFFF"/>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四</w:t>
      </w:r>
      <w:r>
        <w:rPr>
          <w:rFonts w:hint="default" w:ascii="Times New Roman" w:hAnsi="Times New Roman" w:eastAsia="黑体" w:cs="Times New Roman"/>
          <w:b w:val="0"/>
          <w:bCs w:val="0"/>
          <w:i w:val="0"/>
          <w:caps w:val="0"/>
          <w:color w:val="auto"/>
          <w:spacing w:val="0"/>
          <w:sz w:val="32"/>
          <w:szCs w:val="32"/>
          <w:shd w:val="clear" w:color="auto" w:fill="FFFFFF"/>
        </w:rPr>
        <w:t>条</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改进职工医保个人账户计入办法，单位缴纳的基本医疗保险费全部计入统筹基金。</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pP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（一）在职职工个人账户由个人缴纳的基本医疗保险费计入，计入标准为本人参保缴费基数的2%。</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i w:val="0"/>
          <w:caps w:val="0"/>
          <w:color w:val="auto"/>
          <w:spacing w:val="0"/>
          <w:sz w:val="32"/>
          <w:szCs w:val="32"/>
          <w:shd w:val="clear" w:color="auto" w:fill="FFFFFF"/>
        </w:rPr>
      </w:pPr>
      <w:r>
        <w:rPr>
          <w:rFonts w:hint="eastAsia" w:ascii="Times New Roman" w:hAnsi="Times New Roman" w:eastAsia="仿宋_GB2312" w:cs="Times New Roman"/>
          <w:b w:val="0"/>
          <w:bCs w:val="0"/>
          <w:i w:val="0"/>
          <w:caps w:val="0"/>
          <w:color w:val="auto"/>
          <w:spacing w:val="0"/>
          <w:sz w:val="32"/>
          <w:szCs w:val="32"/>
          <w:shd w:val="clear" w:color="auto" w:fill="FFFFFF"/>
          <w:lang w:val="en-US" w:eastAsia="zh-CN"/>
        </w:rPr>
        <w:t>（二）</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退休人员个人账户由统筹基金按定额划入，个人账户划入基数为2022</w:t>
      </w:r>
      <w:r>
        <w:rPr>
          <w:rFonts w:hint="default" w:ascii="Times New Roman" w:hAnsi="Times New Roman" w:eastAsia="仿宋_GB2312" w:cs="Times New Roman"/>
          <w:b w:val="0"/>
          <w:bCs w:val="0"/>
          <w:i w:val="0"/>
          <w:caps w:val="0"/>
          <w:color w:val="auto"/>
          <w:spacing w:val="0"/>
          <w:sz w:val="32"/>
          <w:szCs w:val="32"/>
          <w:u w:val="none"/>
          <w:shd w:val="clear" w:color="auto" w:fill="FFFFFF"/>
          <w:lang w:val="en-US" w:eastAsia="zh-CN"/>
        </w:rPr>
        <w:t>年</w:t>
      </w:r>
      <w:r>
        <w:rPr>
          <w:rFonts w:hint="eastAsia" w:ascii="Times New Roman" w:hAnsi="Times New Roman" w:eastAsia="仿宋_GB2312" w:cs="Times New Roman"/>
          <w:b w:val="0"/>
          <w:bCs w:val="0"/>
          <w:i w:val="0"/>
          <w:caps w:val="0"/>
          <w:color w:val="auto"/>
          <w:spacing w:val="0"/>
          <w:sz w:val="32"/>
          <w:szCs w:val="32"/>
          <w:u w:val="none"/>
          <w:shd w:val="clear" w:color="auto" w:fill="FFFFFF"/>
          <w:lang w:val="en-US" w:eastAsia="zh-CN"/>
        </w:rPr>
        <w:t>全州企业、机关事业</w:t>
      </w:r>
      <w:r>
        <w:rPr>
          <w:rFonts w:hint="default" w:ascii="Times New Roman" w:hAnsi="Times New Roman" w:eastAsia="仿宋_GB2312" w:cs="Times New Roman"/>
          <w:b w:val="0"/>
          <w:bCs w:val="0"/>
          <w:i w:val="0"/>
          <w:caps w:val="0"/>
          <w:color w:val="auto"/>
          <w:spacing w:val="0"/>
          <w:sz w:val="32"/>
          <w:szCs w:val="32"/>
          <w:u w:val="none"/>
          <w:shd w:val="clear" w:color="auto" w:fill="FFFFFF"/>
          <w:lang w:val="en-US" w:eastAsia="zh-CN"/>
        </w:rPr>
        <w:t>基本</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养老金平均水平，划入比例</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为</w:t>
      </w:r>
      <w:r>
        <w:rPr>
          <w:rFonts w:hint="eastAsia" w:ascii="Times New Roman" w:hAnsi="Times New Roman" w:eastAsia="仿宋_GB2312" w:cs="Times New Roman"/>
          <w:b w:val="0"/>
          <w:bCs w:val="0"/>
          <w:i w:val="0"/>
          <w:caps w:val="0"/>
          <w:color w:val="auto"/>
          <w:spacing w:val="0"/>
          <w:sz w:val="32"/>
          <w:szCs w:val="32"/>
          <w:highlight w:val="none"/>
          <w:shd w:val="clear" w:color="auto" w:fill="FFFFFF"/>
          <w:lang w:val="en-US" w:eastAsia="zh-CN"/>
        </w:rPr>
        <w:t>2.8</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b w:val="0"/>
          <w:bCs w:val="0"/>
          <w:i w:val="0"/>
          <w:caps w:val="0"/>
          <w:color w:val="auto"/>
          <w:spacing w:val="0"/>
          <w:sz w:val="32"/>
          <w:szCs w:val="32"/>
          <w:highlight w:val="none"/>
          <w:shd w:val="clear" w:color="auto" w:fill="FFFFFF"/>
        </w:rPr>
        <w:t>。</w:t>
      </w:r>
      <w:r>
        <w:rPr>
          <w:rFonts w:hint="eastAsia" w:ascii="仿宋" w:hAnsi="仿宋" w:eastAsia="仿宋" w:cs="仿宋"/>
          <w:i w:val="0"/>
          <w:caps w:val="0"/>
          <w:color w:val="auto"/>
          <w:spacing w:val="0"/>
          <w:sz w:val="32"/>
          <w:szCs w:val="32"/>
          <w:shd w:val="clear" w:color="auto" w:fill="FFFFFF"/>
        </w:rPr>
        <w:t>首次划入基数暂按</w:t>
      </w:r>
      <w:r>
        <w:rPr>
          <w:rFonts w:hint="default" w:ascii="Times New Roman" w:hAnsi="Times New Roman" w:eastAsia="宋体" w:cs="Times New Roman"/>
          <w:i w:val="0"/>
          <w:caps w:val="0"/>
          <w:color w:val="auto"/>
          <w:spacing w:val="0"/>
          <w:sz w:val="32"/>
          <w:szCs w:val="32"/>
          <w:shd w:val="clear" w:color="auto" w:fill="FFFFFF"/>
        </w:rPr>
        <w:t>2021</w:t>
      </w:r>
      <w:r>
        <w:rPr>
          <w:rFonts w:hint="eastAsia" w:ascii="仿宋" w:hAnsi="仿宋" w:eastAsia="仿宋" w:cs="仿宋"/>
          <w:i w:val="0"/>
          <w:caps w:val="0"/>
          <w:color w:val="auto"/>
          <w:spacing w:val="0"/>
          <w:sz w:val="32"/>
          <w:szCs w:val="32"/>
          <w:shd w:val="clear" w:color="auto" w:fill="FFFFFF"/>
        </w:rPr>
        <w:t>年水平执行，待</w:t>
      </w:r>
      <w:r>
        <w:rPr>
          <w:rFonts w:hint="default" w:ascii="Times New Roman" w:hAnsi="Times New Roman" w:eastAsia="宋体" w:cs="Times New Roman"/>
          <w:i w:val="0"/>
          <w:caps w:val="0"/>
          <w:color w:val="auto"/>
          <w:spacing w:val="0"/>
          <w:sz w:val="32"/>
          <w:szCs w:val="32"/>
          <w:shd w:val="clear" w:color="auto" w:fill="FFFFFF"/>
        </w:rPr>
        <w:t>2022</w:t>
      </w:r>
      <w:r>
        <w:rPr>
          <w:rFonts w:hint="eastAsia" w:ascii="仿宋" w:hAnsi="仿宋" w:eastAsia="仿宋" w:cs="仿宋"/>
          <w:i w:val="0"/>
          <w:caps w:val="0"/>
          <w:color w:val="auto"/>
          <w:spacing w:val="0"/>
          <w:sz w:val="32"/>
          <w:szCs w:val="32"/>
          <w:shd w:val="clear" w:color="auto" w:fill="FFFFFF"/>
        </w:rPr>
        <w:t>年基数水平确定后再补划差额。</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pPr>
      <w:r>
        <w:rPr>
          <w:rFonts w:hint="eastAsia" w:ascii="Times New Roman" w:hAnsi="Times New Roman" w:eastAsia="仿宋_GB2312" w:cs="Times New Roman"/>
          <w:b w:val="0"/>
          <w:bCs w:val="0"/>
          <w:i w:val="0"/>
          <w:caps w:val="0"/>
          <w:color w:val="auto"/>
          <w:spacing w:val="0"/>
          <w:sz w:val="32"/>
          <w:szCs w:val="32"/>
          <w:shd w:val="clear" w:color="auto" w:fill="FFFFFF"/>
          <w:lang w:val="en-US" w:eastAsia="zh-CN"/>
        </w:rPr>
        <w:t>（三）</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参加单建统筹的参保人员，不建立个人账户。</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rPr>
      </w:pPr>
      <w:r>
        <w:rPr>
          <w:rFonts w:hint="default" w:ascii="Times New Roman" w:hAnsi="Times New Roman" w:eastAsia="黑体" w:cs="Times New Roman"/>
          <w:b w:val="0"/>
          <w:bCs w:val="0"/>
          <w:i w:val="0"/>
          <w:caps w:val="0"/>
          <w:color w:val="auto"/>
          <w:spacing w:val="0"/>
          <w:sz w:val="32"/>
          <w:szCs w:val="32"/>
          <w:shd w:val="clear" w:color="auto" w:fill="FFFFFF"/>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五</w:t>
      </w:r>
      <w:r>
        <w:rPr>
          <w:rFonts w:hint="default" w:ascii="Times New Roman" w:hAnsi="Times New Roman" w:eastAsia="黑体" w:cs="Times New Roman"/>
          <w:b w:val="0"/>
          <w:bCs w:val="0"/>
          <w:i w:val="0"/>
          <w:caps w:val="0"/>
          <w:color w:val="auto"/>
          <w:spacing w:val="0"/>
          <w:sz w:val="32"/>
          <w:szCs w:val="32"/>
          <w:shd w:val="clear" w:color="auto" w:fill="FFFFFF"/>
        </w:rPr>
        <w:t>条</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 xml:space="preserve"> </w:t>
      </w:r>
      <w:r>
        <w:rPr>
          <w:rFonts w:hint="eastAsia" w:ascii="仿宋" w:hAnsi="仿宋" w:eastAsia="仿宋" w:cs="仿宋"/>
          <w:b w:val="0"/>
          <w:bCs w:val="0"/>
          <w:i w:val="0"/>
          <w:caps w:val="0"/>
          <w:color w:val="auto"/>
          <w:spacing w:val="0"/>
          <w:sz w:val="32"/>
          <w:szCs w:val="32"/>
          <w:shd w:val="clear" w:color="auto" w:fill="FFFFFF"/>
          <w:lang w:val="en-US" w:eastAsia="zh-CN"/>
        </w:rPr>
        <w:t xml:space="preserve"> </w:t>
      </w:r>
      <w:r>
        <w:rPr>
          <w:rFonts w:hint="eastAsia" w:ascii="仿宋" w:hAnsi="仿宋" w:eastAsia="仿宋" w:cs="仿宋"/>
          <w:b w:val="0"/>
          <w:bCs w:val="0"/>
          <w:i w:val="0"/>
          <w:caps w:val="0"/>
          <w:color w:val="auto"/>
          <w:spacing w:val="0"/>
          <w:sz w:val="32"/>
          <w:szCs w:val="32"/>
          <w:shd w:val="clear" w:color="auto" w:fill="FFFFFF"/>
        </w:rPr>
        <w:t>个人账户的使用范围：</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（一）主要用于支付参保人员在定点医疗机构和定点零售药店发生的</w:t>
      </w:r>
      <w:r>
        <w:rPr>
          <w:rFonts w:hint="eastAsia" w:ascii="仿宋" w:hAnsi="仿宋" w:eastAsia="仿宋" w:cs="仿宋"/>
          <w:b w:val="0"/>
          <w:bCs w:val="0"/>
          <w:i w:val="0"/>
          <w:caps w:val="0"/>
          <w:strike w:val="0"/>
          <w:dstrike w:val="0"/>
          <w:color w:val="auto"/>
          <w:spacing w:val="0"/>
          <w:sz w:val="32"/>
          <w:szCs w:val="32"/>
          <w:shd w:val="clear" w:color="auto" w:fill="FFFFFF"/>
          <w:lang w:val="en-US" w:eastAsia="zh-CN"/>
        </w:rPr>
        <w:t>政策范围内自付</w:t>
      </w:r>
      <w:r>
        <w:rPr>
          <w:rFonts w:hint="eastAsia" w:ascii="仿宋" w:hAnsi="仿宋" w:eastAsia="仿宋" w:cs="仿宋"/>
          <w:b w:val="0"/>
          <w:bCs w:val="0"/>
          <w:i w:val="0"/>
          <w:caps w:val="0"/>
          <w:strike w:val="0"/>
          <w:color w:val="auto"/>
          <w:spacing w:val="0"/>
          <w:sz w:val="32"/>
          <w:szCs w:val="32"/>
          <w:shd w:val="clear" w:color="auto" w:fill="FFFFFF"/>
          <w:lang w:val="en-US" w:eastAsia="zh-CN"/>
        </w:rPr>
        <w:t>费</w:t>
      </w:r>
      <w:r>
        <w:rPr>
          <w:rFonts w:hint="eastAsia" w:ascii="仿宋" w:hAnsi="仿宋" w:eastAsia="仿宋" w:cs="仿宋"/>
          <w:b w:val="0"/>
          <w:bCs w:val="0"/>
          <w:i w:val="0"/>
          <w:caps w:val="0"/>
          <w:color w:val="auto"/>
          <w:spacing w:val="0"/>
          <w:sz w:val="32"/>
          <w:szCs w:val="32"/>
          <w:shd w:val="clear" w:color="auto" w:fill="FFFFFF"/>
          <w:lang w:val="en-US" w:eastAsia="zh-CN"/>
        </w:rPr>
        <w:t>用。</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（二）可以用于支付参保人员本人及其配偶、父母、子女在定点医疗机构就医发生的由个人负担的医疗费用，在定点零售药店购买药品、医疗器械、医用耗材发生的由个人负担的费用。</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（三）可以用于支付参保人员本人及其配偶、父母、子女参加城乡居民基本医疗保险、补充医疗保险、重特大疾病保险、长期护理保险等由政府开展的与医疗保障相关的社会保险的个人缴费。</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黑体" w:cs="Times New Roman"/>
          <w:b w:val="0"/>
          <w:bCs w:val="0"/>
          <w:i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六</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 xml:space="preserve">条  </w:t>
      </w:r>
      <w:r>
        <w:rPr>
          <w:rFonts w:hint="eastAsia" w:ascii="仿宋" w:hAnsi="仿宋" w:eastAsia="仿宋" w:cs="仿宋"/>
          <w:b w:val="0"/>
          <w:bCs w:val="0"/>
          <w:i w:val="0"/>
          <w:caps w:val="0"/>
          <w:color w:val="auto"/>
          <w:spacing w:val="0"/>
          <w:sz w:val="32"/>
          <w:szCs w:val="32"/>
          <w:shd w:val="clear" w:color="auto" w:fill="FFFFFF"/>
          <w:lang w:val="en-US" w:eastAsia="zh-CN"/>
        </w:rPr>
        <w:t>个人账户不得用于公共卫生费用、体育健身或养生保健消费等不属于基本医疗保障范围的支出。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七</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 xml:space="preserve">条  </w:t>
      </w:r>
      <w:r>
        <w:rPr>
          <w:rFonts w:hint="default" w:ascii="Times New Roman" w:hAnsi="Times New Roman" w:eastAsia="仿宋_GB2312" w:cs="Times New Roman"/>
          <w:b w:val="0"/>
          <w:bCs w:val="0"/>
          <w:i w:val="0"/>
          <w:caps w:val="0"/>
          <w:color w:val="auto"/>
          <w:spacing w:val="0"/>
          <w:sz w:val="32"/>
          <w:szCs w:val="32"/>
          <w:u w:val="none"/>
          <w:shd w:val="clear" w:color="auto" w:fill="FFFFFF"/>
          <w:lang w:val="en-US" w:eastAsia="zh-CN"/>
        </w:rPr>
        <w:t>参保人员办理职工医保关系在职转退休的，从享受医保退休待遇起调整个人账户计入办法。</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八</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 xml:space="preserve">条  </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个人账户资金可以结转使用和依法继承。参保职工跨统筹地区医保关系转移接续时其个人账户资金随之转移。</w:t>
      </w: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黑体" w:cs="Times New Roman"/>
          <w:b w:val="0"/>
          <w:bCs w:val="0"/>
          <w:i w:val="0"/>
          <w:caps w:val="0"/>
          <w:color w:val="auto"/>
          <w:spacing w:val="0"/>
          <w:sz w:val="32"/>
          <w:szCs w:val="32"/>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黑体" w:cs="Times New Roman"/>
          <w:b w:val="0"/>
          <w:bCs w:val="0"/>
          <w:i w:val="0"/>
          <w:caps w:val="0"/>
          <w:color w:val="auto"/>
          <w:spacing w:val="0"/>
          <w:sz w:val="32"/>
          <w:szCs w:val="32"/>
          <w:shd w:val="clear" w:color="auto" w:fill="FFFFFF"/>
        </w:rPr>
      </w:pPr>
      <w:r>
        <w:rPr>
          <w:rFonts w:hint="default" w:ascii="Times New Roman" w:hAnsi="Times New Roman" w:eastAsia="黑体" w:cs="Times New Roman"/>
          <w:b w:val="0"/>
          <w:bCs w:val="0"/>
          <w:i w:val="0"/>
          <w:caps w:val="0"/>
          <w:color w:val="auto"/>
          <w:spacing w:val="0"/>
          <w:sz w:val="32"/>
          <w:szCs w:val="32"/>
          <w:shd w:val="clear" w:color="auto" w:fill="FFFFFF"/>
        </w:rPr>
        <w:t>第三章</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 xml:space="preserve">  </w:t>
      </w:r>
      <w:r>
        <w:rPr>
          <w:rFonts w:hint="default" w:ascii="Times New Roman" w:hAnsi="Times New Roman" w:eastAsia="黑体" w:cs="Times New Roman"/>
          <w:b w:val="0"/>
          <w:bCs w:val="0"/>
          <w:i w:val="0"/>
          <w:caps w:val="0"/>
          <w:color w:val="auto"/>
          <w:spacing w:val="0"/>
          <w:sz w:val="32"/>
          <w:szCs w:val="32"/>
          <w:shd w:val="clear" w:color="auto" w:fill="FFFFFF"/>
        </w:rPr>
        <w:t>门诊共济保障待遇</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第</w:t>
      </w:r>
      <w:r>
        <w:rPr>
          <w:rFonts w:hint="eastAsia" w:ascii="Times New Roman" w:hAnsi="Times New Roman" w:eastAsia="黑体" w:cs="Times New Roman"/>
          <w:b w:val="0"/>
          <w:bCs w:val="0"/>
          <w:i w:val="0"/>
          <w:caps w:val="0"/>
          <w:color w:val="auto"/>
          <w:spacing w:val="0"/>
          <w:sz w:val="32"/>
          <w:szCs w:val="32"/>
          <w:shd w:val="clear" w:color="auto" w:fill="FFFFFF"/>
          <w:lang w:val="en-US" w:eastAsia="zh-CN"/>
        </w:rPr>
        <w:t>九</w:t>
      </w:r>
      <w:r>
        <w:rPr>
          <w:rFonts w:hint="default" w:ascii="Times New Roman" w:hAnsi="Times New Roman" w:eastAsia="黑体" w:cs="Times New Roman"/>
          <w:b w:val="0"/>
          <w:bCs w:val="0"/>
          <w:i w:val="0"/>
          <w:caps w:val="0"/>
          <w:color w:val="auto"/>
          <w:spacing w:val="0"/>
          <w:sz w:val="32"/>
          <w:szCs w:val="32"/>
          <w:shd w:val="clear" w:color="auto" w:fill="FFFFFF"/>
          <w:lang w:val="en-US" w:eastAsia="zh-CN"/>
        </w:rPr>
        <w:t>条</w:t>
      </w:r>
      <w:r>
        <w:rPr>
          <w:rFonts w:hint="default" w:ascii="Times New Roman" w:hAnsi="Times New Roman" w:eastAsia="仿宋_GB2312" w:cs="Times New Roman"/>
          <w:b w:val="0"/>
          <w:bCs w:val="0"/>
          <w:i w:val="0"/>
          <w:caps w:val="0"/>
          <w:color w:val="auto"/>
          <w:spacing w:val="0"/>
          <w:sz w:val="32"/>
          <w:szCs w:val="32"/>
          <w:shd w:val="clear" w:color="auto" w:fill="FFFFFF"/>
          <w:lang w:val="en-US" w:eastAsia="zh-CN"/>
        </w:rPr>
        <w:t xml:space="preserve">  </w:t>
      </w:r>
      <w:r>
        <w:rPr>
          <w:rFonts w:hint="eastAsia" w:ascii="仿宋" w:hAnsi="仿宋" w:eastAsia="仿宋" w:cs="仿宋"/>
          <w:b w:val="0"/>
          <w:bCs w:val="0"/>
          <w:i w:val="0"/>
          <w:caps w:val="0"/>
          <w:color w:val="auto"/>
          <w:spacing w:val="0"/>
          <w:sz w:val="32"/>
          <w:szCs w:val="32"/>
          <w:shd w:val="clear" w:color="auto" w:fill="FFFFFF"/>
          <w:lang w:val="en-US" w:eastAsia="zh-CN"/>
        </w:rPr>
        <w:t>普通门诊费用统筹保障。调整统筹基金和个人账户结构后，增加的统筹基金主要用于增强门诊共济保障，提高参保人员门诊费用统筹保障水平。符合职工医保待遇享受条件的参保人员，在符合条件的定点医疗机构、定点零售药店发生的政策范围内普通门诊费用、购药费用（以下简称医药费）纳入门诊统筹保障，探索将符合条件的“互联网+”医疗服务纳入保障范围。门诊统筹保障待遇政策如下：</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（一）起付线。</w:t>
      </w:r>
      <w:r>
        <w:rPr>
          <w:rFonts w:ascii="仿宋" w:hAnsi="仿宋" w:eastAsia="仿宋" w:cs="仿宋"/>
          <w:color w:val="auto"/>
          <w:spacing w:val="-1"/>
          <w:sz w:val="32"/>
          <w:szCs w:val="32"/>
        </w:rPr>
        <w:t>按年度设起付线,一个自然年度内,在职职工起付线</w:t>
      </w:r>
      <w:r>
        <w:rPr>
          <w:rFonts w:ascii="仿宋" w:hAnsi="仿宋" w:eastAsia="仿宋" w:cs="仿宋"/>
          <w:color w:val="auto"/>
          <w:spacing w:val="22"/>
          <w:sz w:val="32"/>
          <w:szCs w:val="32"/>
        </w:rPr>
        <w:t xml:space="preserve"> </w:t>
      </w:r>
      <w:r>
        <w:rPr>
          <w:rFonts w:ascii="仿宋" w:hAnsi="仿宋" w:eastAsia="仿宋" w:cs="仿宋"/>
          <w:color w:val="auto"/>
          <w:spacing w:val="-1"/>
          <w:sz w:val="32"/>
          <w:szCs w:val="32"/>
        </w:rPr>
        <w:t>200元</w:t>
      </w:r>
      <w:r>
        <w:rPr>
          <w:rFonts w:hint="eastAsia" w:ascii="仿宋" w:hAnsi="仿宋" w:eastAsia="仿宋" w:cs="仿宋"/>
          <w:color w:val="auto"/>
          <w:spacing w:val="-1"/>
          <w:sz w:val="32"/>
          <w:szCs w:val="32"/>
          <w:lang w:eastAsia="zh-CN"/>
        </w:rPr>
        <w:t>，</w:t>
      </w:r>
      <w:r>
        <w:rPr>
          <w:rFonts w:ascii="仿宋" w:hAnsi="仿宋" w:eastAsia="仿宋" w:cs="仿宋"/>
          <w:color w:val="auto"/>
          <w:spacing w:val="-1"/>
          <w:sz w:val="32"/>
          <w:szCs w:val="32"/>
        </w:rPr>
        <w:t>退休人员150元</w:t>
      </w:r>
      <w:r>
        <w:rPr>
          <w:rFonts w:hint="eastAsia" w:ascii="仿宋" w:hAnsi="仿宋" w:eastAsia="仿宋" w:cs="仿宋"/>
          <w:color w:val="auto"/>
          <w:spacing w:val="-1"/>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highlight w:val="none"/>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（二）支付比例。参保人员在三级定点医疗机构和定点零售药店发生的医药费，支付比例为50%，二级及以下定点医疗机构支付比例为60%，退休人员在上述相应支付比例基础上提</w:t>
      </w:r>
      <w:r>
        <w:rPr>
          <w:rFonts w:hint="eastAsia" w:ascii="仿宋" w:hAnsi="仿宋" w:eastAsia="仿宋" w:cs="仿宋"/>
          <w:b w:val="0"/>
          <w:bCs w:val="0"/>
          <w:i w:val="0"/>
          <w:caps w:val="0"/>
          <w:color w:val="auto"/>
          <w:spacing w:val="0"/>
          <w:sz w:val="32"/>
          <w:szCs w:val="32"/>
          <w:highlight w:val="none"/>
          <w:shd w:val="clear" w:color="auto" w:fill="FFFFFF"/>
          <w:lang w:val="en-US" w:eastAsia="zh-CN"/>
        </w:rPr>
        <w:t>高10</w:t>
      </w:r>
      <w:r>
        <w:rPr>
          <w:rFonts w:hint="eastAsia" w:ascii="仿宋" w:hAnsi="仿宋" w:eastAsia="仿宋" w:cs="仿宋"/>
          <w:b w:val="0"/>
          <w:bCs w:val="0"/>
          <w:i w:val="0"/>
          <w:caps w:val="0"/>
          <w:color w:val="auto"/>
          <w:spacing w:val="0"/>
          <w:sz w:val="32"/>
          <w:szCs w:val="32"/>
          <w:highlight w:val="none"/>
          <w:u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highlight w:val="none"/>
          <w:shd w:val="clear" w:color="auto" w:fill="FFFFFF"/>
          <w:lang w:val="en-US" w:eastAsia="zh-CN"/>
        </w:rPr>
      </w:pPr>
      <w:r>
        <w:rPr>
          <w:rFonts w:hint="eastAsia" w:ascii="仿宋" w:hAnsi="仿宋" w:eastAsia="仿宋" w:cs="仿宋"/>
          <w:b w:val="0"/>
          <w:bCs w:val="0"/>
          <w:i w:val="0"/>
          <w:caps w:val="0"/>
          <w:color w:val="auto"/>
          <w:spacing w:val="0"/>
          <w:sz w:val="32"/>
          <w:szCs w:val="32"/>
          <w:highlight w:val="none"/>
          <w:shd w:val="clear" w:color="auto" w:fill="FFFFFF"/>
          <w:lang w:val="en-US" w:eastAsia="zh-CN"/>
        </w:rPr>
        <w:t>（三）年度支付限额。参加统账结合的在职职工医药费，年度支付限额2000元，退休人员2500元；参加单建统筹的在职职工医药费统筹基金年度支付限额为700元，退休人员为1000元。</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参保人员办理基本医保关系在职转退休，从享受医保退休待遇起，为其调整普通门诊统筹保障待遇。</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rPr>
          <w:rFonts w:hint="eastAsia" w:ascii="仿宋" w:hAnsi="仿宋" w:eastAsia="仿宋" w:cs="仿宋"/>
          <w:b w:val="0"/>
          <w:bCs w:val="0"/>
          <w:i w:val="0"/>
          <w:caps w:val="0"/>
          <w:color w:val="auto"/>
          <w:spacing w:val="0"/>
          <w:sz w:val="32"/>
          <w:szCs w:val="32"/>
          <w:shd w:val="clear" w:color="auto" w:fill="FFFFFF"/>
          <w:lang w:val="en-US" w:eastAsia="zh-CN"/>
        </w:rPr>
      </w:pPr>
      <w:r>
        <w:rPr>
          <w:rFonts w:hint="eastAsia" w:ascii="仿宋" w:hAnsi="仿宋" w:eastAsia="仿宋" w:cs="仿宋"/>
          <w:b w:val="0"/>
          <w:bCs w:val="0"/>
          <w:i w:val="0"/>
          <w:caps w:val="0"/>
          <w:color w:val="auto"/>
          <w:spacing w:val="0"/>
          <w:sz w:val="32"/>
          <w:szCs w:val="32"/>
          <w:shd w:val="clear" w:color="auto" w:fill="FFFFFF"/>
          <w:lang w:val="en-US" w:eastAsia="zh-CN"/>
        </w:rPr>
        <w:t>随着统筹基金收入的增加和支撑能力的增强，可逐步提高普通门诊统筹保障水平。</w:t>
      </w:r>
    </w:p>
    <w:p>
      <w:pPr>
        <w:keepNext w:val="0"/>
        <w:keepLines w:val="0"/>
        <w:pageBreakBefore w:val="0"/>
        <w:widowControl w:val="0"/>
        <w:kinsoku/>
        <w:wordWrap/>
        <w:overflowPunct/>
        <w:topLinePunct w:val="0"/>
        <w:autoSpaceDE/>
        <w:autoSpaceDN/>
        <w:bidi w:val="0"/>
        <w:snapToGrid w:val="0"/>
        <w:spacing w:before="0" w:beforeAutospacing="0" w:after="0" w:afterAutospacing="0" w:line="579" w:lineRule="exact"/>
        <w:ind w:firstLine="640" w:firstLineChars="200"/>
        <w:jc w:val="both"/>
        <w:textAlignment w:val="baseline"/>
        <w:rPr>
          <w:rFonts w:hint="default" w:ascii="Times New Roman" w:hAnsi="Times New Roman" w:eastAsia="仿宋_GB2312" w:cs="Times New Roman"/>
          <w:b w:val="0"/>
          <w:bCs w:val="0"/>
          <w:i w:val="0"/>
          <w:caps w:val="0"/>
          <w:color w:val="auto"/>
          <w:spacing w:val="0"/>
          <w:w w:val="100"/>
          <w:sz w:val="32"/>
          <w:szCs w:val="32"/>
          <w:highlight w:val="none"/>
          <w:u w:val="none" w:color="auto"/>
        </w:rPr>
      </w:pPr>
      <w:r>
        <w:rPr>
          <w:rFonts w:hint="default" w:ascii="Times New Roman" w:hAnsi="Times New Roman" w:eastAsia="黑体" w:cs="Times New Roman"/>
          <w:b w:val="0"/>
          <w:bCs w:val="0"/>
          <w:i w:val="0"/>
          <w:caps w:val="0"/>
          <w:color w:val="auto"/>
          <w:spacing w:val="0"/>
          <w:kern w:val="0"/>
          <w:sz w:val="32"/>
          <w:szCs w:val="32"/>
          <w:highlight w:val="none"/>
          <w:shd w:val="clear" w:color="auto" w:fill="FFFFFF"/>
          <w:lang w:val="en-US" w:eastAsia="zh-CN" w:bidi="ar-SA"/>
        </w:rPr>
        <w:t xml:space="preserve">第十条  </w:t>
      </w:r>
      <w:r>
        <w:rPr>
          <w:rFonts w:hint="default" w:ascii="Times New Roman" w:hAnsi="Times New Roman" w:eastAsia="仿宋_GB2312" w:cs="Times New Roman"/>
          <w:b w:val="0"/>
          <w:bCs w:val="0"/>
          <w:i w:val="0"/>
          <w:caps w:val="0"/>
          <w:color w:val="auto"/>
          <w:spacing w:val="0"/>
          <w:kern w:val="2"/>
          <w:sz w:val="32"/>
          <w:szCs w:val="32"/>
          <w:highlight w:val="none"/>
          <w:shd w:val="clear" w:color="auto" w:fill="auto"/>
          <w:lang w:val="en-US" w:eastAsia="zh-CN" w:bidi="ar-SA"/>
        </w:rPr>
        <w:t>建立</w:t>
      </w:r>
      <w:r>
        <w:rPr>
          <w:rFonts w:hint="default" w:ascii="Times New Roman" w:hAnsi="Times New Roman" w:eastAsia="仿宋_GB2312" w:cs="Times New Roman"/>
          <w:b w:val="0"/>
          <w:bCs w:val="0"/>
          <w:i w:val="0"/>
          <w:caps w:val="0"/>
          <w:color w:val="auto"/>
          <w:spacing w:val="0"/>
          <w:w w:val="100"/>
          <w:sz w:val="32"/>
          <w:szCs w:val="32"/>
          <w:highlight w:val="none"/>
          <w:u w:val="none" w:color="auto"/>
        </w:rPr>
        <w:t>高血压、糖尿病</w:t>
      </w:r>
      <w:r>
        <w:rPr>
          <w:rFonts w:hint="default" w:ascii="Times New Roman" w:hAnsi="Times New Roman" w:eastAsia="仿宋_GB2312" w:cs="Times New Roman"/>
          <w:b w:val="0"/>
          <w:bCs w:val="0"/>
          <w:i w:val="0"/>
          <w:caps w:val="0"/>
          <w:color w:val="auto"/>
          <w:spacing w:val="0"/>
          <w:w w:val="100"/>
          <w:sz w:val="32"/>
          <w:szCs w:val="32"/>
          <w:highlight w:val="none"/>
          <w:u w:val="none" w:color="auto"/>
          <w:lang w:eastAsia="zh-CN"/>
        </w:rPr>
        <w:t>（以下简称两病）门诊用药保障。参保人员经定点医疗机构按诊疗规范确诊为“两病”患者，未达到门诊慢特病标准需采取药物治疗的，备案后</w:t>
      </w:r>
      <w:r>
        <w:rPr>
          <w:rFonts w:hint="eastAsia" w:ascii="Times New Roman" w:hAnsi="Times New Roman" w:eastAsia="仿宋_GB2312" w:cs="Times New Roman"/>
          <w:b w:val="0"/>
          <w:bCs w:val="0"/>
          <w:i w:val="0"/>
          <w:caps w:val="0"/>
          <w:color w:val="auto"/>
          <w:spacing w:val="0"/>
          <w:w w:val="100"/>
          <w:sz w:val="32"/>
          <w:szCs w:val="32"/>
          <w:highlight w:val="none"/>
          <w:u w:val="none" w:color="auto"/>
          <w:lang w:val="en-US" w:eastAsia="zh-CN"/>
        </w:rPr>
        <w:t>按照城乡居民“两病”待遇政策享受</w:t>
      </w:r>
      <w:r>
        <w:rPr>
          <w:rFonts w:hint="default" w:ascii="Times New Roman" w:hAnsi="Times New Roman" w:eastAsia="仿宋_GB2312" w:cs="Times New Roman"/>
          <w:b w:val="0"/>
          <w:bCs w:val="0"/>
          <w:i w:val="0"/>
          <w:caps w:val="0"/>
          <w:color w:val="auto"/>
          <w:spacing w:val="0"/>
          <w:w w:val="100"/>
          <w:sz w:val="32"/>
          <w:szCs w:val="32"/>
          <w:highlight w:val="none"/>
          <w:u w:val="none" w:color="auto"/>
          <w:lang w:eastAsia="zh-CN"/>
        </w:rPr>
        <w:t>门诊用药保障。</w:t>
      </w:r>
    </w:p>
    <w:p>
      <w:pPr>
        <w:keepNext w:val="0"/>
        <w:keepLines w:val="0"/>
        <w:pageBreakBefore w:val="0"/>
        <w:widowControl w:val="0"/>
        <w:kinsoku/>
        <w:wordWrap/>
        <w:overflowPunct/>
        <w:topLinePunct w:val="0"/>
        <w:autoSpaceDE/>
        <w:autoSpaceDN/>
        <w:bidi w:val="0"/>
        <w:snapToGrid w:val="0"/>
        <w:spacing w:before="0" w:beforeAutospacing="0" w:after="0" w:afterAutospacing="0" w:line="579" w:lineRule="exact"/>
        <w:ind w:firstLine="640" w:firstLineChars="200"/>
        <w:jc w:val="both"/>
        <w:textAlignment w:val="baseline"/>
        <w:rPr>
          <w:rFonts w:hint="default" w:ascii="Times New Roman" w:hAnsi="Times New Roman" w:eastAsia="仿宋_GB2312" w:cs="Times New Roman"/>
          <w:b w:val="0"/>
          <w:bCs w:val="0"/>
          <w:i w:val="0"/>
          <w:caps w:val="0"/>
          <w:color w:val="auto"/>
          <w:spacing w:val="0"/>
          <w:w w:val="100"/>
          <w:sz w:val="32"/>
          <w:szCs w:val="32"/>
          <w:highlight w:val="none"/>
          <w:u w:val="none" w:color="auto"/>
          <w:lang w:val="en-US" w:eastAsia="zh-CN"/>
        </w:rPr>
      </w:pPr>
      <w:r>
        <w:rPr>
          <w:rFonts w:hint="default" w:ascii="Times New Roman" w:hAnsi="Times New Roman" w:eastAsia="仿宋_GB2312" w:cs="Times New Roman"/>
          <w:b w:val="0"/>
          <w:bCs w:val="0"/>
          <w:i w:val="0"/>
          <w:caps w:val="0"/>
          <w:color w:val="auto"/>
          <w:spacing w:val="0"/>
          <w:w w:val="100"/>
          <w:sz w:val="32"/>
          <w:szCs w:val="32"/>
          <w:highlight w:val="none"/>
          <w:u w:val="none" w:color="auto"/>
          <w:lang w:val="en-US" w:eastAsia="zh-CN"/>
        </w:rPr>
        <w:t>“两病”患者符合门诊慢特病标准的，纳入门诊慢特病管理范围，执行门诊慢特病政策，不得重复享受待遇。</w:t>
      </w:r>
    </w:p>
    <w:p>
      <w:pPr>
        <w:keepNext w:val="0"/>
        <w:keepLines w:val="0"/>
        <w:pageBreakBefore w:val="0"/>
        <w:widowControl w:val="0"/>
        <w:kinsoku/>
        <w:wordWrap/>
        <w:overflowPunct/>
        <w:topLinePunct w:val="0"/>
        <w:autoSpaceDE/>
        <w:autoSpaceDN/>
        <w:bidi w:val="0"/>
        <w:snapToGrid w:val="0"/>
        <w:spacing w:before="0" w:beforeAutospacing="0" w:after="0" w:afterAutospacing="0" w:line="579" w:lineRule="exact"/>
        <w:ind w:firstLine="640" w:firstLineChars="200"/>
        <w:jc w:val="both"/>
        <w:textAlignment w:val="baseline"/>
        <w:rPr>
          <w:rFonts w:hint="default" w:ascii="Times New Roman" w:hAnsi="Times New Roman" w:eastAsia="仿宋_GB2312" w:cs="Times New Roman"/>
          <w:b w:val="0"/>
          <w:bCs w:val="0"/>
          <w:i w:val="0"/>
          <w:caps w:val="0"/>
          <w:color w:val="auto"/>
          <w:spacing w:val="0"/>
          <w:w w:val="100"/>
          <w:sz w:val="32"/>
          <w:szCs w:val="32"/>
          <w:u w:val="none" w:color="auto"/>
          <w:lang w:eastAsia="zh-CN"/>
        </w:rPr>
      </w:pPr>
      <w:r>
        <w:rPr>
          <w:rFonts w:hint="default" w:ascii="Times New Roman" w:hAnsi="Times New Roman" w:eastAsia="黑体" w:cs="Times New Roman"/>
          <w:b w:val="0"/>
          <w:bCs w:val="0"/>
          <w:i w:val="0"/>
          <w:caps w:val="0"/>
          <w:color w:val="auto"/>
          <w:spacing w:val="0"/>
          <w:kern w:val="0"/>
          <w:sz w:val="32"/>
          <w:szCs w:val="32"/>
          <w:shd w:val="clear" w:color="auto" w:fill="FFFFFF"/>
          <w:lang w:val="en-US" w:eastAsia="zh-CN" w:bidi="ar-SA"/>
        </w:rPr>
        <w:t>第十</w:t>
      </w:r>
      <w:r>
        <w:rPr>
          <w:rFonts w:hint="eastAsia" w:ascii="Times New Roman" w:hAnsi="Times New Roman" w:eastAsia="黑体" w:cs="Times New Roman"/>
          <w:b w:val="0"/>
          <w:bCs w:val="0"/>
          <w:i w:val="0"/>
          <w:caps w:val="0"/>
          <w:color w:val="auto"/>
          <w:spacing w:val="0"/>
          <w:kern w:val="0"/>
          <w:sz w:val="32"/>
          <w:szCs w:val="32"/>
          <w:shd w:val="clear" w:color="auto" w:fill="FFFFFF"/>
          <w:lang w:val="en-US" w:eastAsia="zh-CN" w:bidi="ar-SA"/>
        </w:rPr>
        <w:t>一</w:t>
      </w:r>
      <w:r>
        <w:rPr>
          <w:rFonts w:hint="default" w:ascii="Times New Roman" w:hAnsi="Times New Roman" w:eastAsia="黑体" w:cs="Times New Roman"/>
          <w:b w:val="0"/>
          <w:bCs w:val="0"/>
          <w:i w:val="0"/>
          <w:caps w:val="0"/>
          <w:color w:val="auto"/>
          <w:spacing w:val="0"/>
          <w:kern w:val="0"/>
          <w:sz w:val="32"/>
          <w:szCs w:val="32"/>
          <w:shd w:val="clear" w:color="auto" w:fill="FFFFFF"/>
          <w:lang w:val="en-US" w:eastAsia="zh-CN" w:bidi="ar-SA"/>
        </w:rPr>
        <w:t>条</w:t>
      </w:r>
      <w:r>
        <w:rPr>
          <w:rFonts w:hint="default" w:ascii="Times New Roman" w:hAnsi="Times New Roman" w:eastAsia="仿宋_GB2312" w:cs="Times New Roman"/>
          <w:b w:val="0"/>
          <w:bCs w:val="0"/>
          <w:i w:val="0"/>
          <w:caps w:val="0"/>
          <w:color w:val="auto"/>
          <w:spacing w:val="0"/>
          <w:w w:val="100"/>
          <w:sz w:val="32"/>
          <w:szCs w:val="32"/>
          <w:u w:val="none" w:color="auto"/>
          <w:lang w:val="en-US" w:eastAsia="zh-CN"/>
        </w:rPr>
        <w:t xml:space="preserve">  </w:t>
      </w:r>
      <w:r>
        <w:rPr>
          <w:rFonts w:hint="default" w:ascii="Times New Roman" w:hAnsi="Times New Roman" w:eastAsia="仿宋_GB2312" w:cs="Times New Roman"/>
          <w:b w:val="0"/>
          <w:bCs w:val="0"/>
          <w:i w:val="0"/>
          <w:caps w:val="0"/>
          <w:color w:val="auto"/>
          <w:spacing w:val="0"/>
          <w:w w:val="100"/>
          <w:sz w:val="32"/>
          <w:szCs w:val="32"/>
          <w:u w:val="none" w:color="auto"/>
          <w:lang w:eastAsia="zh-CN"/>
        </w:rPr>
        <w:t>逐步扩大由统筹基金支付的门诊慢特病病种范围，将部分治疗周期长、对健康损害大、费用负担重的疾病门诊费用纳入门诊慢特病保障范围。</w:t>
      </w:r>
    </w:p>
    <w:p>
      <w:pPr>
        <w:keepNext w:val="0"/>
        <w:keepLines w:val="0"/>
        <w:pageBreakBefore w:val="0"/>
        <w:wordWrap/>
        <w:overflowPunct/>
        <w:topLinePunct w:val="0"/>
        <w:bidi w:val="0"/>
        <w:adjustRightInd w:val="0"/>
        <w:snapToGrid w:val="0"/>
        <w:spacing w:line="576" w:lineRule="exact"/>
        <w:ind w:firstLine="640" w:firstLineChars="200"/>
        <w:textAlignment w:val="baseline"/>
        <w:rPr>
          <w:rFonts w:hint="default" w:ascii="Times New Roman" w:hAnsi="Times New Roman" w:eastAsia="仿宋_GB2312" w:cs="Times New Roman"/>
          <w:b w:val="0"/>
          <w:bCs w:val="0"/>
          <w:i w:val="0"/>
          <w:caps w:val="0"/>
          <w:color w:val="FF0000"/>
          <w:spacing w:val="0"/>
          <w:w w:val="100"/>
          <w:sz w:val="32"/>
          <w:szCs w:val="32"/>
          <w:u w:val="none" w:color="auto"/>
          <w:lang w:eastAsia="zh-CN"/>
        </w:rPr>
      </w:pPr>
      <w:r>
        <w:rPr>
          <w:rFonts w:hint="default" w:ascii="Times New Roman" w:hAnsi="Times New Roman" w:eastAsia="黑体" w:cs="Times New Roman"/>
          <w:b w:val="0"/>
          <w:bCs w:val="0"/>
          <w:i w:val="0"/>
          <w:caps w:val="0"/>
          <w:color w:val="auto"/>
          <w:spacing w:val="0"/>
          <w:kern w:val="0"/>
          <w:sz w:val="32"/>
          <w:szCs w:val="32"/>
          <w:shd w:val="clear" w:color="auto" w:fill="FFFFFF"/>
          <w:lang w:val="en-US" w:eastAsia="zh-CN" w:bidi="ar-SA"/>
        </w:rPr>
        <w:t>第十</w:t>
      </w:r>
      <w:r>
        <w:rPr>
          <w:rFonts w:hint="eastAsia" w:ascii="Times New Roman" w:hAnsi="Times New Roman" w:eastAsia="黑体" w:cs="Times New Roman"/>
          <w:b w:val="0"/>
          <w:bCs w:val="0"/>
          <w:i w:val="0"/>
          <w:caps w:val="0"/>
          <w:color w:val="auto"/>
          <w:spacing w:val="0"/>
          <w:kern w:val="0"/>
          <w:sz w:val="32"/>
          <w:szCs w:val="32"/>
          <w:shd w:val="clear" w:color="auto" w:fill="FFFFFF"/>
          <w:lang w:val="en-US" w:eastAsia="zh-CN" w:bidi="ar-SA"/>
        </w:rPr>
        <w:t>二</w:t>
      </w:r>
      <w:r>
        <w:rPr>
          <w:rFonts w:hint="default" w:ascii="Times New Roman" w:hAnsi="Times New Roman" w:eastAsia="黑体" w:cs="Times New Roman"/>
          <w:b w:val="0"/>
          <w:bCs w:val="0"/>
          <w:i w:val="0"/>
          <w:caps w:val="0"/>
          <w:color w:val="auto"/>
          <w:spacing w:val="0"/>
          <w:kern w:val="0"/>
          <w:sz w:val="32"/>
          <w:szCs w:val="32"/>
          <w:shd w:val="clear" w:color="auto" w:fill="FFFFFF"/>
          <w:lang w:val="en-US" w:eastAsia="zh-CN" w:bidi="ar-SA"/>
        </w:rPr>
        <w:t>条</w:t>
      </w:r>
      <w:r>
        <w:rPr>
          <w:rFonts w:hint="default" w:ascii="Times New Roman" w:hAnsi="Times New Roman" w:eastAsia="仿宋_GB2312" w:cs="Times New Roman"/>
          <w:b w:val="0"/>
          <w:bCs w:val="0"/>
          <w:i w:val="0"/>
          <w:caps w:val="0"/>
          <w:color w:val="auto"/>
          <w:spacing w:val="0"/>
          <w:w w:val="100"/>
          <w:sz w:val="32"/>
          <w:szCs w:val="32"/>
          <w:u w:val="none" w:color="auto"/>
          <w:lang w:val="en-US" w:eastAsia="zh-CN"/>
        </w:rPr>
        <w:t xml:space="preserve"> </w:t>
      </w:r>
      <w:r>
        <w:rPr>
          <w:rFonts w:hint="eastAsia" w:ascii="仿宋" w:hAnsi="仿宋" w:eastAsia="仿宋" w:cs="仿宋"/>
          <w:b w:val="0"/>
          <w:bCs w:val="0"/>
          <w:i w:val="0"/>
          <w:caps w:val="0"/>
          <w:color w:val="auto"/>
          <w:spacing w:val="0"/>
          <w:w w:val="100"/>
          <w:sz w:val="32"/>
          <w:szCs w:val="32"/>
          <w:u w:val="none" w:color="auto"/>
          <w:lang w:val="en-US" w:eastAsia="zh-CN"/>
        </w:rPr>
        <w:t xml:space="preserve"> </w:t>
      </w:r>
      <w:r>
        <w:rPr>
          <w:rFonts w:hint="eastAsia" w:ascii="仿宋" w:hAnsi="仿宋" w:eastAsia="仿宋" w:cs="仿宋"/>
          <w:b w:val="0"/>
          <w:bCs w:val="0"/>
          <w:i w:val="0"/>
          <w:caps w:val="0"/>
          <w:color w:val="auto"/>
          <w:spacing w:val="0"/>
          <w:w w:val="100"/>
          <w:sz w:val="32"/>
          <w:szCs w:val="32"/>
          <w:u w:val="none" w:color="auto"/>
          <w:lang w:eastAsia="zh-CN"/>
        </w:rPr>
        <w:t>门诊共济保障方式包括普通门诊费用统筹保障、</w:t>
      </w:r>
      <w:r>
        <w:rPr>
          <w:rFonts w:hint="eastAsia" w:ascii="仿宋" w:hAnsi="仿宋" w:eastAsia="仿宋" w:cs="仿宋"/>
          <w:b w:val="0"/>
          <w:bCs w:val="0"/>
          <w:i w:val="0"/>
          <w:caps w:val="0"/>
          <w:color w:val="auto"/>
          <w:spacing w:val="0"/>
          <w:w w:val="100"/>
          <w:sz w:val="32"/>
          <w:szCs w:val="32"/>
          <w:u w:val="none" w:color="auto"/>
        </w:rPr>
        <w:t>“两病”门诊用药保障</w:t>
      </w:r>
      <w:r>
        <w:rPr>
          <w:rFonts w:hint="eastAsia" w:ascii="仿宋" w:hAnsi="仿宋" w:eastAsia="仿宋" w:cs="仿宋"/>
          <w:b w:val="0"/>
          <w:bCs w:val="0"/>
          <w:i w:val="0"/>
          <w:caps w:val="0"/>
          <w:color w:val="auto"/>
          <w:spacing w:val="0"/>
          <w:w w:val="100"/>
          <w:sz w:val="32"/>
          <w:szCs w:val="32"/>
          <w:u w:val="none" w:color="auto"/>
          <w:lang w:eastAsia="zh-CN"/>
        </w:rPr>
        <w:t>、门诊慢特病保障等。</w:t>
      </w:r>
      <w:r>
        <w:rPr>
          <w:rFonts w:hint="default" w:ascii="Times New Roman" w:hAnsi="Times New Roman" w:eastAsia="仿宋_GB2312" w:cs="Times New Roman"/>
          <w:b w:val="0"/>
          <w:bCs w:val="0"/>
          <w:i w:val="0"/>
          <w:caps w:val="0"/>
          <w:color w:val="auto"/>
          <w:spacing w:val="0"/>
          <w:w w:val="100"/>
          <w:sz w:val="32"/>
          <w:szCs w:val="32"/>
          <w:u w:val="none" w:color="auto"/>
          <w:lang w:eastAsia="zh-CN"/>
        </w:rPr>
        <w:t>各类门诊共济保障的金额统一计入年度</w:t>
      </w:r>
      <w:r>
        <w:rPr>
          <w:rFonts w:hint="eastAsia" w:ascii="仿宋" w:hAnsi="仿宋" w:eastAsia="仿宋" w:cs="仿宋"/>
          <w:b w:val="0"/>
          <w:bCs w:val="0"/>
          <w:i w:val="0"/>
          <w:caps w:val="0"/>
          <w:color w:val="auto"/>
          <w:spacing w:val="0"/>
          <w:w w:val="100"/>
          <w:sz w:val="32"/>
          <w:szCs w:val="32"/>
          <w:u w:val="none" w:color="auto"/>
          <w:lang w:eastAsia="zh-CN"/>
        </w:rPr>
        <w:t>统</w:t>
      </w:r>
      <w:r>
        <w:rPr>
          <w:rFonts w:hint="default" w:ascii="Times New Roman" w:hAnsi="Times New Roman" w:eastAsia="仿宋_GB2312" w:cs="Times New Roman"/>
          <w:b w:val="0"/>
          <w:bCs w:val="0"/>
          <w:i w:val="0"/>
          <w:caps w:val="0"/>
          <w:color w:val="auto"/>
          <w:spacing w:val="0"/>
          <w:w w:val="100"/>
          <w:sz w:val="32"/>
          <w:szCs w:val="32"/>
          <w:u w:val="none" w:color="auto"/>
          <w:lang w:eastAsia="zh-CN"/>
        </w:rPr>
        <w:t>筹基金支付限额。</w:t>
      </w:r>
      <w:r>
        <w:rPr>
          <w:rFonts w:hint="eastAsia" w:ascii="Times New Roman" w:hAnsi="Times New Roman" w:eastAsia="仿宋_GB2312" w:cs="Times New Roman"/>
          <w:b w:val="0"/>
          <w:bCs w:val="0"/>
          <w:i w:val="0"/>
          <w:caps w:val="0"/>
          <w:strike w:val="0"/>
          <w:dstrike w:val="0"/>
          <w:color w:val="auto"/>
          <w:spacing w:val="0"/>
          <w:w w:val="100"/>
          <w:sz w:val="32"/>
          <w:szCs w:val="32"/>
          <w:u w:val="none" w:color="auto"/>
          <w:lang w:val="en-US" w:eastAsia="zh-CN"/>
        </w:rPr>
        <w:t>享受</w:t>
      </w:r>
      <w:r>
        <w:rPr>
          <w:rFonts w:hint="default" w:ascii="Times New Roman" w:hAnsi="Times New Roman" w:eastAsia="仿宋_GB2312" w:cs="Times New Roman"/>
          <w:b w:val="0"/>
          <w:bCs w:val="0"/>
          <w:i w:val="0"/>
          <w:caps w:val="0"/>
          <w:strike w:val="0"/>
          <w:dstrike w:val="0"/>
          <w:color w:val="auto"/>
          <w:spacing w:val="0"/>
          <w:w w:val="100"/>
          <w:sz w:val="32"/>
          <w:szCs w:val="32"/>
          <w:u w:val="none" w:color="auto"/>
        </w:rPr>
        <w:t>“两病”门诊用药保障</w:t>
      </w:r>
      <w:r>
        <w:rPr>
          <w:rFonts w:hint="default" w:ascii="Times New Roman" w:hAnsi="Times New Roman" w:eastAsia="仿宋_GB2312" w:cs="Times New Roman"/>
          <w:b w:val="0"/>
          <w:bCs w:val="0"/>
          <w:i w:val="0"/>
          <w:caps w:val="0"/>
          <w:strike w:val="0"/>
          <w:dstrike w:val="0"/>
          <w:color w:val="auto"/>
          <w:spacing w:val="0"/>
          <w:w w:val="100"/>
          <w:sz w:val="32"/>
          <w:szCs w:val="32"/>
          <w:u w:val="none" w:color="auto"/>
          <w:lang w:eastAsia="zh-CN"/>
        </w:rPr>
        <w:t>、门诊慢特病保障，应由参保人员个人自付的医疗费用</w:t>
      </w:r>
      <w:r>
        <w:rPr>
          <w:rFonts w:hint="eastAsia" w:ascii="Times New Roman" w:hAnsi="Times New Roman" w:eastAsia="仿宋_GB2312" w:cs="Times New Roman"/>
          <w:b w:val="0"/>
          <w:bCs w:val="0"/>
          <w:i w:val="0"/>
          <w:caps w:val="0"/>
          <w:strike w:val="0"/>
          <w:dstrike w:val="0"/>
          <w:color w:val="auto"/>
          <w:spacing w:val="0"/>
          <w:w w:val="100"/>
          <w:sz w:val="32"/>
          <w:szCs w:val="32"/>
          <w:u w:val="none" w:color="auto"/>
          <w:lang w:eastAsia="zh-CN"/>
        </w:rPr>
        <w:t>，</w:t>
      </w:r>
      <w:r>
        <w:rPr>
          <w:rFonts w:hint="default" w:ascii="Times New Roman" w:hAnsi="Times New Roman" w:eastAsia="仿宋_GB2312" w:cs="Times New Roman"/>
          <w:b w:val="0"/>
          <w:bCs w:val="0"/>
          <w:i w:val="0"/>
          <w:caps w:val="0"/>
          <w:strike w:val="0"/>
          <w:dstrike w:val="0"/>
          <w:color w:val="auto"/>
          <w:spacing w:val="0"/>
          <w:w w:val="100"/>
          <w:sz w:val="32"/>
          <w:szCs w:val="32"/>
          <w:u w:val="none" w:color="auto"/>
          <w:lang w:eastAsia="zh-CN"/>
        </w:rPr>
        <w:t>不再纳入普通门诊费用统筹保障支付范围。</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eastAsia" w:ascii="宋体" w:hAnsi="宋体" w:eastAsia="宋体" w:cs="宋体"/>
          <w:i w:val="0"/>
          <w:caps w:val="0"/>
          <w:color w:val="auto"/>
          <w:spacing w:val="0"/>
          <w:sz w:val="24"/>
          <w:szCs w:val="24"/>
        </w:rPr>
      </w:pPr>
      <w:r>
        <w:rPr>
          <w:rFonts w:hint="eastAsia" w:ascii="黑体" w:hAnsi="宋体" w:eastAsia="黑体" w:cs="黑体"/>
          <w:i w:val="0"/>
          <w:caps w:val="0"/>
          <w:color w:val="auto"/>
          <w:spacing w:val="0"/>
          <w:sz w:val="32"/>
          <w:szCs w:val="32"/>
          <w:shd w:val="clear" w:color="auto" w:fill="FFFFFF"/>
        </w:rPr>
        <w:t>第十三条</w:t>
      </w:r>
      <w:r>
        <w:rPr>
          <w:rFonts w:hint="default" w:ascii="Times New Roman" w:hAnsi="Times New Roman" w:eastAsia="宋体" w:cs="Times New Roman"/>
          <w:i w:val="0"/>
          <w:caps w:val="0"/>
          <w:color w:val="auto"/>
          <w:spacing w:val="0"/>
          <w:sz w:val="32"/>
          <w:szCs w:val="32"/>
          <w:shd w:val="clear" w:color="auto" w:fill="FFFFFF"/>
        </w:rPr>
        <w:t>  </w:t>
      </w:r>
      <w:r>
        <w:rPr>
          <w:rFonts w:hint="eastAsia" w:ascii="仿宋" w:hAnsi="仿宋" w:eastAsia="仿宋" w:cs="仿宋"/>
          <w:i w:val="0"/>
          <w:caps w:val="0"/>
          <w:color w:val="auto"/>
          <w:spacing w:val="0"/>
          <w:sz w:val="32"/>
          <w:szCs w:val="32"/>
          <w:shd w:val="clear" w:color="auto" w:fill="FFFFFF"/>
        </w:rPr>
        <w:t>完善全省统一的医疗保障信息平台功能，持续推进普通门诊、“两病”门诊、门诊慢特病等异地就医直接结算管理服务工作，切实保障参保人员异地就医权益。</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eastAsia" w:ascii="宋体" w:hAnsi="宋体" w:eastAsia="宋体" w:cs="宋体"/>
          <w:i w:val="0"/>
          <w:caps w:val="0"/>
          <w:color w:val="auto"/>
          <w:spacing w:val="0"/>
          <w:sz w:val="24"/>
          <w:szCs w:val="24"/>
        </w:rPr>
      </w:pPr>
      <w:r>
        <w:rPr>
          <w:rFonts w:hint="eastAsia" w:ascii="黑体" w:hAnsi="宋体" w:eastAsia="黑体" w:cs="黑体"/>
          <w:i w:val="0"/>
          <w:caps w:val="0"/>
          <w:color w:val="auto"/>
          <w:spacing w:val="0"/>
          <w:sz w:val="32"/>
          <w:szCs w:val="32"/>
          <w:shd w:val="clear" w:color="auto" w:fill="FFFFFF"/>
        </w:rPr>
        <w:t>第十四条</w:t>
      </w:r>
      <w:r>
        <w:rPr>
          <w:rFonts w:hint="default" w:ascii="Times New Roman" w:hAnsi="Times New Roman" w:eastAsia="宋体" w:cs="Times New Roman"/>
          <w:i w:val="0"/>
          <w:caps w:val="0"/>
          <w:color w:val="auto"/>
          <w:spacing w:val="0"/>
          <w:sz w:val="32"/>
          <w:szCs w:val="32"/>
          <w:shd w:val="clear" w:color="auto" w:fill="FFFFFF"/>
        </w:rPr>
        <w:t>  </w:t>
      </w:r>
      <w:r>
        <w:rPr>
          <w:rFonts w:hint="eastAsia" w:ascii="仿宋" w:hAnsi="仿宋" w:eastAsia="仿宋" w:cs="仿宋"/>
          <w:i w:val="0"/>
          <w:caps w:val="0"/>
          <w:color w:val="auto"/>
          <w:spacing w:val="0"/>
          <w:sz w:val="32"/>
          <w:szCs w:val="32"/>
          <w:shd w:val="clear" w:color="auto" w:fill="FFFFFF"/>
        </w:rPr>
        <w:t>参保人在具备直接结算条件的定点医药机构就医购药的，应持社会保障卡或医保电子凭证直接结算，按规定应由个人负担的医疗费用由参保人员支付，应由医保基金支付的医疗费用由医疗保障经办机构与定点医药机构定期结算；非定点医药机构发生的门诊医疗费用（急诊、抢救除外）医保基金不予支付。</w:t>
      </w:r>
    </w:p>
    <w:p>
      <w:pPr>
        <w:keepNext w:val="0"/>
        <w:keepLines w:val="0"/>
        <w:pageBreakBefore w:val="0"/>
        <w:widowControl w:val="0"/>
        <w:kinsoku/>
        <w:wordWrap/>
        <w:overflowPunct/>
        <w:topLinePunct w:val="0"/>
        <w:autoSpaceDE/>
        <w:autoSpaceDN/>
        <w:bidi w:val="0"/>
        <w:snapToGrid w:val="0"/>
        <w:spacing w:before="0" w:beforeAutospacing="0" w:after="0" w:afterAutospacing="0" w:line="579" w:lineRule="exact"/>
        <w:ind w:firstLine="640" w:firstLineChars="200"/>
        <w:jc w:val="both"/>
        <w:textAlignment w:val="baseline"/>
        <w:rPr>
          <w:rFonts w:hint="default" w:ascii="Times New Roman" w:hAnsi="Times New Roman" w:eastAsia="仿宋_GB2312" w:cs="Times New Roman"/>
          <w:b w:val="0"/>
          <w:bCs w:val="0"/>
          <w:i w:val="0"/>
          <w:caps w:val="0"/>
          <w:color w:val="auto"/>
          <w:spacing w:val="0"/>
          <w:w w:val="100"/>
          <w:sz w:val="32"/>
          <w:szCs w:val="32"/>
          <w:u w:val="none" w:color="auto"/>
          <w:lang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0"/>
        <w:jc w:val="center"/>
        <w:rPr>
          <w:rFonts w:hint="eastAsia" w:ascii="宋体" w:hAnsi="宋体" w:eastAsia="宋体" w:cs="宋体"/>
          <w:i w:val="0"/>
          <w:caps w:val="0"/>
          <w:color w:val="auto"/>
          <w:spacing w:val="0"/>
          <w:sz w:val="24"/>
          <w:szCs w:val="24"/>
        </w:rPr>
      </w:pPr>
      <w:r>
        <w:rPr>
          <w:rFonts w:hint="eastAsia" w:ascii="黑体" w:hAnsi="宋体" w:eastAsia="黑体" w:cs="黑体"/>
          <w:i w:val="0"/>
          <w:caps w:val="0"/>
          <w:color w:val="auto"/>
          <w:spacing w:val="0"/>
          <w:sz w:val="32"/>
          <w:szCs w:val="32"/>
          <w:shd w:val="clear" w:color="auto" w:fill="FFFFFF"/>
        </w:rPr>
        <w:t>第四章</w:t>
      </w:r>
      <w:r>
        <w:rPr>
          <w:rFonts w:hint="default" w:ascii="Times New Roman" w:hAnsi="Times New Roman" w:eastAsia="宋体" w:cs="Times New Roman"/>
          <w:i w:val="0"/>
          <w:caps w:val="0"/>
          <w:color w:val="auto"/>
          <w:spacing w:val="0"/>
          <w:sz w:val="32"/>
          <w:szCs w:val="32"/>
          <w:shd w:val="clear" w:color="auto" w:fill="FFFFFF"/>
        </w:rPr>
        <w:t>  </w:t>
      </w:r>
      <w:r>
        <w:rPr>
          <w:rFonts w:hint="eastAsia" w:ascii="黑体" w:hAnsi="宋体" w:eastAsia="黑体" w:cs="黑体"/>
          <w:i w:val="0"/>
          <w:caps w:val="0"/>
          <w:color w:val="auto"/>
          <w:spacing w:val="0"/>
          <w:sz w:val="32"/>
          <w:szCs w:val="32"/>
          <w:shd w:val="clear" w:color="auto" w:fill="FFFFFF"/>
        </w:rPr>
        <w:t>管理与监督</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vertAlign w:val="baseline"/>
        </w:rPr>
        <w:t>第十五条</w:t>
      </w:r>
      <w:r>
        <w:rPr>
          <w:rFonts w:hint="default" w:ascii="Times New Roman" w:hAnsi="Times New Roman" w:cs="Times New Roman"/>
          <w:i w:val="0"/>
          <w:caps w:val="0"/>
          <w:color w:val="auto"/>
          <w:spacing w:val="0"/>
          <w:sz w:val="32"/>
          <w:szCs w:val="32"/>
          <w:shd w:val="clear" w:color="auto" w:fill="FFFFFF"/>
          <w:vertAlign w:val="baseline"/>
        </w:rPr>
        <w:t>  </w:t>
      </w:r>
      <w:r>
        <w:rPr>
          <w:rFonts w:hint="eastAsia" w:ascii="仿宋" w:hAnsi="仿宋" w:eastAsia="仿宋" w:cs="仿宋"/>
          <w:i w:val="0"/>
          <w:caps w:val="0"/>
          <w:color w:val="auto"/>
          <w:spacing w:val="0"/>
          <w:sz w:val="32"/>
          <w:szCs w:val="32"/>
          <w:shd w:val="clear" w:color="auto" w:fill="FFFFFF"/>
          <w:vertAlign w:val="baseline"/>
        </w:rPr>
        <w:t>定点零售药店提供的用药保障服务纳入普通门诊统筹保障服务范围，应符合以下条件。</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（一）资质合规、管理规范、信誉良好、布局合理、进销存管理系统与医保系统对接、且满足对所售药品实现电子追溯等条件的定点零售药店。</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（二）支持外配处方在定点零售药店结算和配药，充分发挥定点零售药店便民、可及的作用。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vertAlign w:val="baseline"/>
        </w:rPr>
        <w:t>第十六条</w:t>
      </w:r>
      <w:r>
        <w:rPr>
          <w:rFonts w:hint="default" w:ascii="Times New Roman" w:hAnsi="Times New Roman" w:cs="Times New Roman"/>
          <w:i w:val="0"/>
          <w:caps w:val="0"/>
          <w:color w:val="auto"/>
          <w:spacing w:val="0"/>
          <w:sz w:val="32"/>
          <w:szCs w:val="32"/>
          <w:shd w:val="clear" w:color="auto" w:fill="FFFFFF"/>
          <w:vertAlign w:val="baseline"/>
        </w:rPr>
        <w:t>  </w:t>
      </w:r>
      <w:r>
        <w:rPr>
          <w:rFonts w:hint="eastAsia" w:ascii="仿宋" w:hAnsi="仿宋" w:eastAsia="仿宋" w:cs="仿宋"/>
          <w:i w:val="0"/>
          <w:caps w:val="0"/>
          <w:color w:val="auto"/>
          <w:spacing w:val="0"/>
          <w:sz w:val="32"/>
          <w:szCs w:val="32"/>
          <w:shd w:val="clear" w:color="auto" w:fill="FFFFFF"/>
          <w:vertAlign w:val="baseline"/>
        </w:rPr>
        <w:t>建立个人账户全流程动态管理机制。</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（一）进一步完善个人账户管理办法，严格执行基金收支预算管理，加强对个人账户使用、结算、支付等环节的审核，实现个人账户全流程动态管理，确保基金平稳运行。</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（二）建立健全基金管理内部控制制度，完善经办和稽核、会计和出纳、业务和财务等不相容岗位相互制约机制，防范化解内部监管风险。</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vertAlign w:val="baseline"/>
        </w:rPr>
        <w:t>第十七条</w:t>
      </w:r>
      <w:r>
        <w:rPr>
          <w:rFonts w:hint="default" w:ascii="Times New Roman" w:hAnsi="Times New Roman" w:cs="Times New Roman"/>
          <w:i w:val="0"/>
          <w:caps w:val="0"/>
          <w:color w:val="auto"/>
          <w:spacing w:val="0"/>
          <w:sz w:val="32"/>
          <w:szCs w:val="32"/>
          <w:shd w:val="clear" w:color="auto" w:fill="FFFFFF"/>
          <w:vertAlign w:val="baseline"/>
        </w:rPr>
        <w:t>  </w:t>
      </w:r>
      <w:r>
        <w:rPr>
          <w:rFonts w:hint="eastAsia" w:ascii="仿宋" w:hAnsi="仿宋" w:eastAsia="仿宋" w:cs="仿宋"/>
          <w:i w:val="0"/>
          <w:caps w:val="0"/>
          <w:color w:val="auto"/>
          <w:spacing w:val="0"/>
          <w:sz w:val="32"/>
          <w:szCs w:val="32"/>
          <w:shd w:val="clear" w:color="auto" w:fill="FFFFFF"/>
          <w:vertAlign w:val="baseline"/>
        </w:rPr>
        <w:t>建立完善与门诊共济保障相适应的监督管理机制，完善管理服务措施，创新制度运行机制，引导参保人员合理利用医疗资源，确保医保基金平稳运行，充分发挥保障功能。严格执行医保基金预算管理制度，加强基金稽核制度和内控制度建设。</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一）建立健全医保基金安全防控机制，严格贯彻落实《医疗保障基金使用监督管理条例》，全面加强对定点医药机构医疗服务行为、药品及医用耗材进销存等的监督和管理，实现医保基金全领域、全流程、全方位监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eastAsia" w:ascii="宋体" w:hAnsi="宋体" w:eastAsia="宋体" w:cs="宋体"/>
          <w:i w:val="0"/>
          <w:caps w:val="0"/>
          <w:color w:val="auto"/>
          <w:spacing w:val="0"/>
          <w:sz w:val="24"/>
          <w:szCs w:val="24"/>
        </w:rPr>
      </w:pPr>
      <w:r>
        <w:rPr>
          <w:rFonts w:hint="eastAsia" w:ascii="仿宋" w:hAnsi="仿宋" w:eastAsia="仿宋" w:cs="仿宋"/>
          <w:i w:val="0"/>
          <w:caps w:val="0"/>
          <w:color w:val="auto"/>
          <w:spacing w:val="0"/>
          <w:sz w:val="32"/>
          <w:szCs w:val="32"/>
          <w:shd w:val="clear" w:color="auto" w:fill="FFFFFF"/>
        </w:rPr>
        <w:t>（二）压实医药机构主体责任、行业主管部门管理责任、医保部门监管责任，落实卫生健康、公安、市场监管、药品监管、审计等有关部门协同监管责任，严肃查处定点医药机构、参保人员、医保经办机构违法违规行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三）加强门诊医疗费用医保大数据智能监控，严厉打击过度诊疗、不合理用药、个人账户套现等欺诈骗保违法违规行为。纳入门诊共济保障服务范围的定点零售药店应当定期向医保经办机构报告流转处方、药品进销存台账和财务核算账目，确保基金安全高效、合理使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vertAlign w:val="baseline"/>
        </w:rPr>
        <w:t>第十八条</w:t>
      </w:r>
      <w:r>
        <w:rPr>
          <w:rFonts w:hint="default" w:ascii="Times New Roman" w:hAnsi="Times New Roman" w:cs="Times New Roman"/>
          <w:i w:val="0"/>
          <w:caps w:val="0"/>
          <w:color w:val="auto"/>
          <w:spacing w:val="0"/>
          <w:sz w:val="32"/>
          <w:szCs w:val="32"/>
          <w:shd w:val="clear" w:color="auto" w:fill="FFFFFF"/>
          <w:vertAlign w:val="baseline"/>
        </w:rPr>
        <w:t>  </w:t>
      </w:r>
      <w:r>
        <w:rPr>
          <w:rFonts w:hint="eastAsia" w:ascii="仿宋" w:hAnsi="仿宋" w:eastAsia="仿宋" w:cs="仿宋"/>
          <w:i w:val="0"/>
          <w:caps w:val="0"/>
          <w:color w:val="auto"/>
          <w:spacing w:val="0"/>
          <w:sz w:val="32"/>
          <w:szCs w:val="32"/>
          <w:shd w:val="clear" w:color="auto" w:fill="FFFFFF"/>
          <w:vertAlign w:val="baseline"/>
        </w:rPr>
        <w:t>健全医疗服务监控、分析和考核体系。推动基层医疗服务体系建设，完善分级诊疗和家庭医生签约服务，规范长期处方管理，引导参保人员在基层就医首诊。结合完善门诊慢特病管理措施，规范基层医疗机构诊疗及转诊等行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一）强化医保定点医药机构服务协议管理，贯彻落实协商谈判机制，按照“技术好、服务优、价格低、布局合理”的原则，严格评审评估标准，将优先使用医保目录药品（诊疗项目）、控制自费比例、严禁诱导院外购药、严禁开具大处方、定点零售药店药品售价不高于在四川省药械集中采购及医药价格监管平台上同产品的挂网价格等要求纳入协议管理，强化协议条款及指标约束作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（二）建立医疗服务监控预警提醒和分析考核机制，常态化监测医药费用增长快、次均费用高、目录外项目使用多等异常指标，引导定点医药机构规范提供诊疗和用药保障服务。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仿宋" w:hAnsi="仿宋" w:eastAsia="仿宋" w:cs="仿宋"/>
          <w:i w:val="0"/>
          <w:caps w:val="0"/>
          <w:color w:val="auto"/>
          <w:spacing w:val="0"/>
          <w:sz w:val="32"/>
          <w:szCs w:val="32"/>
          <w:shd w:val="clear" w:color="auto" w:fill="FFFFFF"/>
          <w:vertAlign w:val="baseline"/>
        </w:rPr>
        <w:t>（三）将定点医药机构使用医保基金情况纳入医保信用管理，加强对医药机构日常管理和考核，将考核结果与医保费用年终清算、协议续签和终止等挂钩，激励医药机构加强自我管理，规范诊疗行为，发挥基金监管激励和约束作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textAlignment w:val="baseline"/>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vertAlign w:val="baseline"/>
        </w:rPr>
        <w:t>第十九条</w:t>
      </w:r>
      <w:r>
        <w:rPr>
          <w:rFonts w:hint="default" w:ascii="Times New Roman" w:hAnsi="Times New Roman" w:cs="Times New Roman"/>
          <w:i w:val="0"/>
          <w:caps w:val="0"/>
          <w:color w:val="auto"/>
          <w:spacing w:val="0"/>
          <w:sz w:val="32"/>
          <w:szCs w:val="32"/>
          <w:shd w:val="clear" w:color="auto" w:fill="FFFFFF"/>
          <w:vertAlign w:val="baseline"/>
        </w:rPr>
        <w:t>  </w:t>
      </w:r>
      <w:r>
        <w:rPr>
          <w:rFonts w:hint="eastAsia" w:ascii="仿宋" w:hAnsi="仿宋" w:eastAsia="仿宋" w:cs="仿宋"/>
          <w:i w:val="0"/>
          <w:caps w:val="0"/>
          <w:color w:val="auto"/>
          <w:spacing w:val="0"/>
          <w:sz w:val="32"/>
          <w:szCs w:val="32"/>
          <w:shd w:val="clear" w:color="auto" w:fill="FFFFFF"/>
          <w:vertAlign w:val="baseline"/>
        </w:rPr>
        <w:t>完善与门诊共济保障相适应的付费机制，加强门诊医药费用数据采集和分析应用。对基层医疗服务可按人头付费，积极探索将按人头付费与慢性病管理相结合；对日间手术及符合条件的门诊特殊病种，推行按病种付费。探索门诊统筹支付方式改革；对不宜打包付费的门诊费用，可按项目付费。科学合理确定医保药品支付标准，引导医疗机构和患者主动使用疗效确切、价格合理的药品。</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default" w:ascii="Times New Roman" w:hAnsi="Times New Roman" w:cs="Times New Roman"/>
          <w:i w:val="0"/>
          <w:caps w:val="0"/>
          <w:color w:val="auto"/>
          <w:spacing w:val="0"/>
          <w:sz w:val="32"/>
          <w:szCs w:val="32"/>
        </w:rPr>
      </w:pPr>
      <w:r>
        <w:rPr>
          <w:rFonts w:hint="default" w:ascii="Times New Roman" w:hAnsi="Times New Roman" w:cs="Times New Roman"/>
          <w:i w:val="0"/>
          <w:caps w:val="0"/>
          <w:color w:val="auto"/>
          <w:spacing w:val="0"/>
          <w:sz w:val="32"/>
          <w:szCs w:val="32"/>
          <w:shd w:val="clear" w:color="auto" w:fill="FFFFFF"/>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0"/>
        <w:jc w:val="center"/>
        <w:rPr>
          <w:rFonts w:hint="eastAsia" w:ascii="宋体" w:hAnsi="宋体" w:eastAsia="宋体" w:cs="宋体"/>
          <w:i w:val="0"/>
          <w:caps w:val="0"/>
          <w:color w:val="auto"/>
          <w:spacing w:val="0"/>
          <w:sz w:val="24"/>
          <w:szCs w:val="24"/>
        </w:rPr>
      </w:pPr>
      <w:r>
        <w:rPr>
          <w:rFonts w:hint="eastAsia" w:ascii="黑体" w:hAnsi="宋体" w:eastAsia="黑体" w:cs="黑体"/>
          <w:i w:val="0"/>
          <w:caps w:val="0"/>
          <w:color w:val="auto"/>
          <w:spacing w:val="0"/>
          <w:sz w:val="32"/>
          <w:szCs w:val="32"/>
          <w:shd w:val="clear" w:color="auto" w:fill="FFFFFF"/>
        </w:rPr>
        <w:t>第五章</w:t>
      </w:r>
      <w:r>
        <w:rPr>
          <w:rFonts w:hint="default" w:ascii="Times New Roman" w:hAnsi="Times New Roman" w:eastAsia="宋体" w:cs="Times New Roman"/>
          <w:i w:val="0"/>
          <w:caps w:val="0"/>
          <w:color w:val="auto"/>
          <w:spacing w:val="0"/>
          <w:sz w:val="32"/>
          <w:szCs w:val="32"/>
          <w:shd w:val="clear" w:color="auto" w:fill="FFFFFF"/>
        </w:rPr>
        <w:t>  </w:t>
      </w:r>
      <w:r>
        <w:rPr>
          <w:rFonts w:hint="eastAsia" w:ascii="黑体" w:hAnsi="宋体" w:eastAsia="黑体" w:cs="黑体"/>
          <w:i w:val="0"/>
          <w:caps w:val="0"/>
          <w:color w:val="auto"/>
          <w:spacing w:val="0"/>
          <w:sz w:val="32"/>
          <w:szCs w:val="32"/>
          <w:shd w:val="clear" w:color="auto" w:fill="FFFFFF"/>
        </w:rPr>
        <w:t>组织实施</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rPr>
        <w:t>第二十条</w:t>
      </w:r>
      <w:r>
        <w:rPr>
          <w:rFonts w:hint="default" w:ascii="Times New Roman" w:hAnsi="Times New Roman" w:cs="Times New Roman"/>
          <w:i w:val="0"/>
          <w:caps w:val="0"/>
          <w:color w:val="auto"/>
          <w:spacing w:val="0"/>
          <w:sz w:val="32"/>
          <w:szCs w:val="32"/>
          <w:shd w:val="clear" w:color="auto" w:fill="FFFFFF"/>
        </w:rPr>
        <w:t>  </w:t>
      </w:r>
      <w:r>
        <w:rPr>
          <w:rFonts w:hint="eastAsia" w:ascii="仿宋" w:hAnsi="仿宋" w:eastAsia="仿宋" w:cs="仿宋"/>
          <w:i w:val="0"/>
          <w:caps w:val="0"/>
          <w:color w:val="auto"/>
          <w:spacing w:val="0"/>
          <w:sz w:val="32"/>
          <w:szCs w:val="32"/>
          <w:shd w:val="clear" w:color="auto" w:fill="FFFFFF"/>
        </w:rPr>
        <w:t>加强组织领导。</w:t>
      </w:r>
      <w:r>
        <w:rPr>
          <w:rFonts w:hint="eastAsia" w:ascii="仿宋" w:hAnsi="仿宋" w:eastAsia="仿宋" w:cs="仿宋"/>
          <w:i w:val="0"/>
          <w:caps w:val="0"/>
          <w:color w:val="auto"/>
          <w:spacing w:val="0"/>
          <w:sz w:val="32"/>
          <w:szCs w:val="32"/>
          <w:shd w:val="clear" w:color="auto" w:fill="FFFFFF"/>
          <w:lang w:val="en-US" w:eastAsia="zh-CN"/>
        </w:rPr>
        <w:t>州</w:t>
      </w:r>
      <w:r>
        <w:rPr>
          <w:rFonts w:hint="eastAsia" w:ascii="仿宋" w:hAnsi="仿宋" w:eastAsia="仿宋" w:cs="仿宋"/>
          <w:i w:val="0"/>
          <w:caps w:val="0"/>
          <w:color w:val="auto"/>
          <w:spacing w:val="0"/>
          <w:sz w:val="32"/>
          <w:szCs w:val="32"/>
          <w:shd w:val="clear" w:color="auto" w:fill="FFFFFF"/>
        </w:rPr>
        <w:t>级各有关部门要高度重视，切实加强领导，建立协调机制，统筹安排，科学决策，抓好工作落实。妥善处理好改革前后的政策衔接，确保参保人员待遇平稳过渡。</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rPr>
          <w:rFonts w:hint="eastAsia" w:ascii="仿宋" w:hAnsi="仿宋" w:eastAsia="仿宋" w:cs="仿宋"/>
          <w:b w:val="0"/>
          <w:bCs w:val="0"/>
          <w:strike w:val="0"/>
          <w:dstrike w:val="0"/>
          <w:snapToGrid/>
          <w:color w:val="auto"/>
          <w:kern w:val="0"/>
          <w:sz w:val="32"/>
          <w:szCs w:val="32"/>
          <w:shd w:val="clear" w:color="auto" w:fill="FFFFFF"/>
        </w:rPr>
      </w:pPr>
      <w:r>
        <w:rPr>
          <w:rFonts w:hint="default" w:ascii="Times New Roman" w:hAnsi="Times New Roman" w:eastAsia="黑体" w:cs="Times New Roman"/>
          <w:b w:val="0"/>
          <w:bCs w:val="0"/>
          <w:snapToGrid w:val="0"/>
          <w:color w:val="auto"/>
          <w:sz w:val="32"/>
          <w:szCs w:val="32"/>
        </w:rPr>
        <w:t>第</w:t>
      </w:r>
      <w:r>
        <w:rPr>
          <w:rFonts w:hint="default" w:ascii="Times New Roman" w:hAnsi="Times New Roman" w:eastAsia="黑体" w:cs="Times New Roman"/>
          <w:b w:val="0"/>
          <w:bCs w:val="0"/>
          <w:snapToGrid w:val="0"/>
          <w:color w:val="auto"/>
          <w:sz w:val="32"/>
          <w:szCs w:val="32"/>
          <w:lang w:eastAsia="zh-CN"/>
        </w:rPr>
        <w:t>二</w:t>
      </w:r>
      <w:r>
        <w:rPr>
          <w:rFonts w:hint="default" w:ascii="Times New Roman" w:hAnsi="Times New Roman" w:eastAsia="黑体" w:cs="Times New Roman"/>
          <w:b w:val="0"/>
          <w:bCs w:val="0"/>
          <w:snapToGrid w:val="0"/>
          <w:color w:val="auto"/>
          <w:sz w:val="32"/>
          <w:szCs w:val="32"/>
        </w:rPr>
        <w:t>十</w:t>
      </w:r>
      <w:r>
        <w:rPr>
          <w:rFonts w:hint="default" w:ascii="Times New Roman" w:hAnsi="Times New Roman" w:eastAsia="黑体" w:cs="Times New Roman"/>
          <w:b w:val="0"/>
          <w:bCs w:val="0"/>
          <w:snapToGrid w:val="0"/>
          <w:color w:val="auto"/>
          <w:sz w:val="32"/>
          <w:szCs w:val="32"/>
          <w:lang w:eastAsia="zh-CN"/>
        </w:rPr>
        <w:t>一</w:t>
      </w:r>
      <w:r>
        <w:rPr>
          <w:rFonts w:hint="default" w:ascii="Times New Roman" w:hAnsi="Times New Roman" w:eastAsia="黑体" w:cs="Times New Roman"/>
          <w:b w:val="0"/>
          <w:bCs w:val="0"/>
          <w:snapToGrid w:val="0"/>
          <w:color w:val="auto"/>
          <w:sz w:val="32"/>
          <w:szCs w:val="32"/>
        </w:rPr>
        <w:t>条</w:t>
      </w:r>
      <w:r>
        <w:rPr>
          <w:rFonts w:hint="default" w:ascii="Times New Roman" w:hAnsi="Times New Roman" w:eastAsia="仿宋_GB2312" w:cs="Times New Roman"/>
          <w:b w:val="0"/>
          <w:bCs w:val="0"/>
          <w:snapToGrid w:val="0"/>
          <w:color w:val="auto"/>
          <w:sz w:val="32"/>
          <w:szCs w:val="32"/>
          <w:lang w:val="en-US" w:eastAsia="zh-CN"/>
        </w:rPr>
        <w:t xml:space="preserve"> </w:t>
      </w:r>
      <w:r>
        <w:rPr>
          <w:rFonts w:hint="eastAsia" w:ascii="仿宋" w:hAnsi="仿宋" w:eastAsia="仿宋" w:cs="仿宋"/>
          <w:b w:val="0"/>
          <w:bCs w:val="0"/>
          <w:snapToGrid w:val="0"/>
          <w:color w:val="auto"/>
          <w:sz w:val="32"/>
          <w:szCs w:val="32"/>
          <w:lang w:val="en-US" w:eastAsia="zh-CN"/>
        </w:rPr>
        <w:t xml:space="preserve"> </w:t>
      </w:r>
      <w:r>
        <w:rPr>
          <w:rFonts w:hint="eastAsia" w:ascii="仿宋" w:hAnsi="仿宋" w:eastAsia="仿宋" w:cs="仿宋"/>
          <w:b w:val="0"/>
          <w:bCs w:val="0"/>
          <w:snapToGrid/>
          <w:color w:val="auto"/>
          <w:kern w:val="0"/>
          <w:sz w:val="32"/>
          <w:szCs w:val="32"/>
          <w:shd w:val="clear" w:color="auto" w:fill="FFFFFF"/>
        </w:rPr>
        <w:t>强化部门协同。</w:t>
      </w:r>
      <w:r>
        <w:rPr>
          <w:rFonts w:hint="eastAsia" w:ascii="仿宋" w:hAnsi="仿宋" w:eastAsia="仿宋" w:cs="仿宋"/>
          <w:b w:val="0"/>
          <w:bCs w:val="0"/>
          <w:i w:val="0"/>
          <w:caps w:val="0"/>
          <w:color w:val="auto"/>
          <w:spacing w:val="0"/>
          <w:kern w:val="0"/>
          <w:sz w:val="32"/>
          <w:szCs w:val="32"/>
          <w:shd w:val="clear" w:color="auto" w:fill="FFFFFF"/>
          <w:lang w:val="en-US" w:eastAsia="zh-CN" w:bidi="ar-SA"/>
        </w:rPr>
        <w:t>医疗保障、卫生健康、财政、人力资源社会保障和市场监管等部门要加强工作协同，确保改革有序推进。</w:t>
      </w:r>
      <w:r>
        <w:rPr>
          <w:rFonts w:hint="eastAsia" w:ascii="仿宋" w:hAnsi="仿宋" w:eastAsia="仿宋" w:cs="仿宋"/>
          <w:b w:val="0"/>
          <w:bCs w:val="0"/>
          <w:strike w:val="0"/>
          <w:dstrike w:val="0"/>
          <w:snapToGrid/>
          <w:color w:val="auto"/>
          <w:kern w:val="0"/>
          <w:sz w:val="32"/>
          <w:szCs w:val="32"/>
          <w:shd w:val="clear" w:color="auto" w:fill="FFFFFF"/>
        </w:rPr>
        <w:t>要做好门诊费用与住院费用支付政策的衔接，稳步提高门诊保障待遇水平。</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rPr>
          <w:rFonts w:hint="eastAsia" w:ascii="仿宋_GB2312" w:eastAsia="仿宋_GB2312" w:cs="仿宋_GB2312"/>
          <w:color w:val="auto"/>
          <w:spacing w:val="0"/>
          <w:sz w:val="32"/>
          <w:szCs w:val="32"/>
          <w:shd w:val="clear" w:color="auto" w:fill="FFFFFF"/>
          <w:lang w:bidi="ar-SA"/>
        </w:rPr>
      </w:pPr>
      <w:r>
        <w:rPr>
          <w:rFonts w:hint="eastAsia" w:ascii="仿宋_GB2312" w:eastAsia="仿宋_GB2312" w:cs="仿宋_GB2312"/>
          <w:color w:val="auto"/>
          <w:spacing w:val="0"/>
          <w:sz w:val="32"/>
          <w:szCs w:val="32"/>
          <w:shd w:val="clear" w:color="auto" w:fill="FFFFFF"/>
          <w:lang w:bidi="ar-SA"/>
        </w:rPr>
        <w:t>医疗保障行政部门负责门诊共济保障相关政策的制定</w:t>
      </w:r>
      <w:r>
        <w:rPr>
          <w:rFonts w:hint="eastAsia" w:ascii="仿宋_GB2312" w:eastAsia="仿宋_GB2312" w:cs="仿宋_GB2312"/>
          <w:color w:val="auto"/>
          <w:spacing w:val="0"/>
          <w:sz w:val="32"/>
          <w:szCs w:val="32"/>
          <w:shd w:val="clear" w:color="auto" w:fill="FFFFFF"/>
          <w:lang w:eastAsia="zh-CN" w:bidi="ar-SA"/>
        </w:rPr>
        <w:t>、</w:t>
      </w:r>
      <w:r>
        <w:rPr>
          <w:rFonts w:hint="eastAsia" w:ascii="仿宋_GB2312" w:eastAsia="仿宋_GB2312" w:cs="仿宋_GB2312"/>
          <w:color w:val="auto"/>
          <w:spacing w:val="0"/>
          <w:sz w:val="32"/>
          <w:szCs w:val="32"/>
          <w:shd w:val="clear" w:color="auto" w:fill="FFFFFF"/>
          <w:lang w:bidi="ar-SA"/>
        </w:rPr>
        <w:t>组织实施和监督管理工作</w:t>
      </w:r>
      <w:r>
        <w:rPr>
          <w:rFonts w:hint="eastAsia" w:ascii="仿宋_GB2312" w:eastAsia="仿宋_GB2312" w:cs="仿宋_GB2312"/>
          <w:color w:val="auto"/>
          <w:spacing w:val="0"/>
          <w:sz w:val="32"/>
          <w:szCs w:val="32"/>
          <w:shd w:val="clear" w:color="auto" w:fill="FFFFFF"/>
          <w:lang w:eastAsia="zh-CN" w:bidi="ar-SA"/>
        </w:rPr>
        <w:t>，</w:t>
      </w:r>
      <w:r>
        <w:rPr>
          <w:rFonts w:hint="default" w:ascii="仿宋_GB2312" w:eastAsia="仿宋_GB2312" w:cs="仿宋_GB2312"/>
          <w:color w:val="auto"/>
          <w:spacing w:val="0"/>
          <w:sz w:val="32"/>
          <w:szCs w:val="32"/>
          <w:shd w:val="clear" w:color="auto" w:fill="FFFFFF"/>
          <w:lang w:bidi="ar-SA"/>
        </w:rPr>
        <w:t>要做好医保基金的监督管理工作，严厉打击欺诈骗保行为。</w:t>
      </w:r>
      <w:r>
        <w:rPr>
          <w:rFonts w:hint="eastAsia" w:ascii="仿宋_GB2312" w:eastAsia="仿宋_GB2312" w:cs="仿宋_GB2312"/>
          <w:color w:val="auto"/>
          <w:spacing w:val="0"/>
          <w:sz w:val="32"/>
          <w:szCs w:val="32"/>
          <w:shd w:val="clear" w:color="auto" w:fill="FFFFFF"/>
          <w:lang w:bidi="ar-SA"/>
        </w:rPr>
        <w:t>医保经办机构负责建立统一规范的普通门诊统筹经办业务流程和费用结算办法，强化基础管理和经办机构内控制度，提高经办服务水平。</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_GB2312" w:eastAsia="仿宋_GB2312" w:cs="仿宋_GB2312"/>
          <w:color w:val="auto"/>
          <w:spacing w:val="0"/>
          <w:sz w:val="32"/>
          <w:szCs w:val="32"/>
          <w:lang w:bidi="ar-SA"/>
        </w:rPr>
      </w:pPr>
      <w:r>
        <w:rPr>
          <w:rFonts w:hint="eastAsia" w:ascii="仿宋_GB2312" w:eastAsia="仿宋_GB2312" w:cs="仿宋_GB2312"/>
          <w:color w:val="auto"/>
          <w:spacing w:val="0"/>
          <w:sz w:val="32"/>
          <w:szCs w:val="32"/>
          <w:shd w:val="clear" w:color="auto" w:fill="FFFFFF"/>
          <w:lang w:bidi="ar-SA"/>
        </w:rPr>
        <w:t>财政部门依照社会保险基金财务制度做好基金的财政专户管理、财务监督等相关工作。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_GB2312" w:eastAsia="仿宋_GB2312" w:cs="仿宋_GB2312"/>
          <w:color w:val="auto"/>
          <w:spacing w:val="0"/>
          <w:sz w:val="32"/>
          <w:szCs w:val="32"/>
          <w:lang w:bidi="ar-SA"/>
        </w:rPr>
      </w:pPr>
      <w:r>
        <w:rPr>
          <w:rFonts w:hint="eastAsia" w:ascii="仿宋_GB2312" w:eastAsia="仿宋_GB2312" w:cs="仿宋_GB2312"/>
          <w:color w:val="auto"/>
          <w:spacing w:val="0"/>
          <w:sz w:val="32"/>
          <w:szCs w:val="32"/>
          <w:shd w:val="clear" w:color="auto" w:fill="FFFFFF"/>
          <w:lang w:bidi="ar-SA"/>
        </w:rPr>
        <w:t>卫生健康部门</w:t>
      </w:r>
      <w:r>
        <w:rPr>
          <w:rFonts w:hint="eastAsia" w:ascii="仿宋_GB2312" w:eastAsia="仿宋_GB2312" w:cs="仿宋_GB2312"/>
          <w:color w:val="auto"/>
          <w:spacing w:val="0"/>
          <w:sz w:val="32"/>
          <w:szCs w:val="32"/>
          <w:shd w:val="clear" w:color="auto" w:fill="FFFFFF"/>
          <w:lang w:eastAsia="zh-CN" w:bidi="ar-SA"/>
        </w:rPr>
        <w:t>负责</w:t>
      </w:r>
      <w:r>
        <w:rPr>
          <w:rFonts w:hint="eastAsia" w:ascii="仿宋_GB2312" w:eastAsia="仿宋_GB2312" w:cs="仿宋_GB2312"/>
          <w:color w:val="auto"/>
          <w:spacing w:val="0"/>
          <w:sz w:val="32"/>
          <w:szCs w:val="32"/>
          <w:shd w:val="clear" w:color="auto" w:fill="FFFFFF"/>
          <w:lang w:bidi="ar-SA"/>
        </w:rPr>
        <w:t>基层医疗服务体系建设</w:t>
      </w:r>
      <w:r>
        <w:rPr>
          <w:rFonts w:hint="eastAsia" w:ascii="仿宋_GB2312" w:eastAsia="仿宋_GB2312" w:cs="仿宋_GB2312"/>
          <w:color w:val="auto"/>
          <w:spacing w:val="0"/>
          <w:sz w:val="32"/>
          <w:szCs w:val="32"/>
          <w:shd w:val="clear" w:color="auto" w:fill="FFFFFF"/>
          <w:lang w:eastAsia="zh-CN" w:bidi="ar-SA"/>
        </w:rPr>
        <w:t>，</w:t>
      </w:r>
      <w:r>
        <w:rPr>
          <w:rFonts w:hint="eastAsia" w:ascii="仿宋_GB2312" w:eastAsia="仿宋_GB2312" w:cs="仿宋_GB2312"/>
          <w:color w:val="auto"/>
          <w:spacing w:val="0"/>
          <w:sz w:val="32"/>
          <w:szCs w:val="32"/>
          <w:shd w:val="clear" w:color="auto" w:fill="FFFFFF"/>
          <w:lang w:bidi="ar-SA"/>
        </w:rPr>
        <w:t>调整完善门诊就医管理机制，加强处方监管，规范诊疗行为，完善家庭医生签约服务，提高基层医疗机构服务能力和水平</w:t>
      </w:r>
      <w:r>
        <w:rPr>
          <w:rFonts w:hint="eastAsia" w:ascii="仿宋_GB2312" w:eastAsia="仿宋_GB2312" w:cs="仿宋_GB2312"/>
          <w:color w:val="auto"/>
          <w:spacing w:val="0"/>
          <w:sz w:val="32"/>
          <w:szCs w:val="32"/>
          <w:shd w:val="clear" w:color="auto" w:fill="FFFFFF"/>
          <w:lang w:eastAsia="zh-CN" w:bidi="ar-SA"/>
        </w:rPr>
        <w:t>，</w:t>
      </w:r>
      <w:r>
        <w:rPr>
          <w:rFonts w:hint="eastAsia" w:ascii="仿宋_GB2312" w:eastAsia="仿宋_GB2312" w:cs="仿宋_GB2312"/>
          <w:color w:val="auto"/>
          <w:spacing w:val="0"/>
          <w:sz w:val="32"/>
          <w:szCs w:val="32"/>
          <w:shd w:val="clear" w:color="auto" w:fill="FFFFFF"/>
          <w:lang w:bidi="ar-SA"/>
        </w:rPr>
        <w:t>推广多学科诊疗服务模式，优化预约诊疗，</w:t>
      </w:r>
      <w:r>
        <w:rPr>
          <w:rFonts w:hint="eastAsia" w:ascii="仿宋_GB2312" w:eastAsia="仿宋_GB2312" w:cs="仿宋_GB2312"/>
          <w:color w:val="auto"/>
          <w:spacing w:val="0"/>
          <w:sz w:val="32"/>
          <w:szCs w:val="32"/>
          <w:shd w:val="clear" w:color="auto" w:fill="FFFFFF"/>
          <w:lang w:val="en-US" w:eastAsia="zh-CN" w:bidi="ar-SA"/>
        </w:rPr>
        <w:t>推动</w:t>
      </w:r>
      <w:r>
        <w:rPr>
          <w:rFonts w:hint="eastAsia" w:ascii="仿宋_GB2312" w:eastAsia="仿宋_GB2312" w:cs="仿宋_GB2312"/>
          <w:color w:val="auto"/>
          <w:spacing w:val="0"/>
          <w:sz w:val="32"/>
          <w:szCs w:val="32"/>
          <w:shd w:val="clear" w:color="auto" w:fill="FFFFFF"/>
          <w:lang w:bidi="ar-SA"/>
        </w:rPr>
        <w:t>开展门诊处方流转工作，为参保人员提供优质高效的门诊</w:t>
      </w:r>
      <w:r>
        <w:rPr>
          <w:rFonts w:hint="eastAsia" w:ascii="仿宋_GB2312" w:eastAsia="仿宋_GB2312" w:cs="仿宋_GB2312"/>
          <w:color w:val="auto"/>
          <w:spacing w:val="0"/>
          <w:sz w:val="32"/>
          <w:szCs w:val="32"/>
          <w:shd w:val="clear" w:color="auto" w:fill="FFFFFF"/>
          <w:lang w:val="en-US" w:eastAsia="zh-CN" w:bidi="ar-SA"/>
        </w:rPr>
        <w:t>医疗</w:t>
      </w:r>
      <w:r>
        <w:rPr>
          <w:rFonts w:hint="eastAsia" w:ascii="仿宋_GB2312" w:eastAsia="仿宋_GB2312" w:cs="仿宋_GB2312"/>
          <w:color w:val="auto"/>
          <w:spacing w:val="0"/>
          <w:sz w:val="32"/>
          <w:szCs w:val="32"/>
          <w:shd w:val="clear" w:color="auto" w:fill="FFFFFF"/>
          <w:lang w:bidi="ar-SA"/>
        </w:rPr>
        <w:t>服务。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_GB2312" w:eastAsia="仿宋_GB2312" w:cs="仿宋_GB2312"/>
          <w:color w:val="auto"/>
          <w:spacing w:val="0"/>
          <w:sz w:val="32"/>
          <w:szCs w:val="32"/>
          <w:shd w:val="clear" w:color="auto" w:fill="FFFFFF"/>
          <w:lang w:bidi="ar-SA"/>
        </w:rPr>
      </w:pPr>
      <w:r>
        <w:rPr>
          <w:rFonts w:hint="eastAsia" w:ascii="仿宋_GB2312" w:eastAsia="仿宋_GB2312" w:cs="仿宋_GB2312"/>
          <w:color w:val="auto"/>
          <w:spacing w:val="0"/>
          <w:sz w:val="32"/>
          <w:szCs w:val="32"/>
          <w:shd w:val="clear" w:color="auto" w:fill="FFFFFF"/>
          <w:lang w:bidi="ar-SA"/>
        </w:rPr>
        <w:t>市场监管部门</w:t>
      </w:r>
      <w:r>
        <w:rPr>
          <w:rFonts w:hint="eastAsia" w:ascii="仿宋_GB2312" w:eastAsia="仿宋_GB2312" w:cs="仿宋_GB2312"/>
          <w:color w:val="auto"/>
          <w:spacing w:val="0"/>
          <w:sz w:val="32"/>
          <w:szCs w:val="32"/>
          <w:shd w:val="clear" w:color="auto" w:fill="FFFFFF"/>
          <w:lang w:eastAsia="zh-CN" w:bidi="ar-SA"/>
        </w:rPr>
        <w:t>负责</w:t>
      </w:r>
      <w:r>
        <w:rPr>
          <w:rFonts w:hint="eastAsia" w:ascii="仿宋_GB2312" w:eastAsia="仿宋_GB2312" w:cs="仿宋_GB2312"/>
          <w:color w:val="auto"/>
          <w:spacing w:val="0"/>
          <w:sz w:val="32"/>
          <w:szCs w:val="32"/>
          <w:shd w:val="clear" w:color="auto" w:fill="FFFFFF"/>
          <w:lang w:bidi="ar-SA"/>
        </w:rPr>
        <w:t>零售药店管理，规范零售药店药品经营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eastAsia="仿宋_GB2312" w:cs="仿宋_GB2312"/>
          <w:color w:val="auto"/>
          <w:spacing w:val="0"/>
          <w:sz w:val="32"/>
          <w:szCs w:val="32"/>
          <w:shd w:val="clear" w:color="auto" w:fill="FFFFFF"/>
          <w:lang w:bidi="ar-SA"/>
        </w:rPr>
      </w:pPr>
      <w:r>
        <w:rPr>
          <w:rFonts w:hint="eastAsia" w:ascii="仿宋_GB2312" w:eastAsia="仿宋_GB2312" w:cs="仿宋_GB2312"/>
          <w:color w:val="auto"/>
          <w:spacing w:val="0"/>
          <w:sz w:val="32"/>
          <w:szCs w:val="32"/>
          <w:shd w:val="clear" w:color="auto" w:fill="FFFFFF"/>
          <w:lang w:bidi="ar-SA"/>
        </w:rPr>
        <w:t>行为，配合开展门诊处方流转工作，维护参保人员购药合法权益。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default"/>
          <w:color w:val="auto"/>
        </w:rPr>
      </w:pPr>
      <w:r>
        <w:rPr>
          <w:rFonts w:hint="eastAsia" w:ascii="仿宋_GB2312" w:eastAsia="仿宋_GB2312" w:cs="仿宋_GB2312"/>
          <w:color w:val="auto"/>
          <w:spacing w:val="0"/>
          <w:sz w:val="32"/>
          <w:szCs w:val="32"/>
          <w:shd w:val="clear" w:color="auto" w:fill="FFFFFF"/>
          <w:lang w:val="en-US" w:eastAsia="zh-CN" w:bidi="ar-SA"/>
        </w:rPr>
        <w:t>人社部门负责提供全州</w:t>
      </w:r>
      <w:r>
        <w:rPr>
          <w:rFonts w:hint="default" w:ascii="仿宋_GB2312" w:eastAsia="仿宋_GB2312" w:cs="仿宋_GB2312"/>
          <w:color w:val="auto"/>
          <w:spacing w:val="0"/>
          <w:sz w:val="32"/>
          <w:szCs w:val="32"/>
          <w:shd w:val="clear" w:color="auto" w:fill="FFFFFF"/>
          <w:lang w:val="en-US" w:eastAsia="zh-CN" w:bidi="ar-SA"/>
        </w:rPr>
        <w:t>退休人员基本养老金平均水平等相关数据。</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default" w:ascii="Times New Roman" w:hAnsi="Times New Roman" w:cs="Times New Roman"/>
          <w:i w:val="0"/>
          <w:caps w:val="0"/>
          <w:color w:val="auto"/>
          <w:spacing w:val="0"/>
          <w:sz w:val="32"/>
          <w:szCs w:val="32"/>
        </w:rPr>
      </w:pPr>
      <w:r>
        <w:rPr>
          <w:rFonts w:hint="eastAsia" w:ascii="黑体" w:hAnsi="宋体" w:eastAsia="黑体" w:cs="黑体"/>
          <w:i w:val="0"/>
          <w:caps w:val="0"/>
          <w:color w:val="auto"/>
          <w:spacing w:val="0"/>
          <w:sz w:val="32"/>
          <w:szCs w:val="32"/>
          <w:shd w:val="clear" w:color="auto" w:fill="FFFFFF"/>
        </w:rPr>
        <w:t>第二十二条</w:t>
      </w:r>
      <w:r>
        <w:rPr>
          <w:rFonts w:hint="default" w:ascii="Times New Roman" w:hAnsi="Times New Roman" w:cs="Times New Roman"/>
          <w:i w:val="0"/>
          <w:caps w:val="0"/>
          <w:color w:val="auto"/>
          <w:spacing w:val="0"/>
          <w:sz w:val="32"/>
          <w:szCs w:val="32"/>
          <w:shd w:val="clear" w:color="auto" w:fill="FFFFFF"/>
        </w:rPr>
        <w:t>  </w:t>
      </w:r>
      <w:r>
        <w:rPr>
          <w:rFonts w:hint="eastAsia" w:ascii="仿宋" w:hAnsi="仿宋" w:eastAsia="仿宋" w:cs="仿宋"/>
          <w:i w:val="0"/>
          <w:caps w:val="0"/>
          <w:color w:val="auto"/>
          <w:spacing w:val="0"/>
          <w:sz w:val="32"/>
          <w:szCs w:val="32"/>
          <w:shd w:val="clear" w:color="auto" w:fill="FFFFFF"/>
        </w:rPr>
        <w:t>注重宣传引导。创新宣传方式，丰富宣传手段，广泛开展宣传，准确解读政策。把握正确的舆论导向，充分宣传建立健全职工医保门诊共济保障机制对减轻参保人员医疗费用负担、促进制度更加公平</w:t>
      </w:r>
      <w:r>
        <w:rPr>
          <w:rFonts w:hint="eastAsia" w:ascii="仿宋" w:hAnsi="仿宋" w:eastAsia="仿宋" w:cs="仿宋"/>
          <w:i w:val="0"/>
          <w:caps w:val="0"/>
          <w:color w:val="auto"/>
          <w:spacing w:val="0"/>
          <w:sz w:val="32"/>
          <w:szCs w:val="32"/>
          <w:shd w:val="clear" w:color="auto" w:fill="FFFFFF"/>
          <w:lang w:eastAsia="zh-CN"/>
        </w:rPr>
        <w:t>、</w:t>
      </w:r>
      <w:r>
        <w:rPr>
          <w:rFonts w:hint="eastAsia" w:ascii="仿宋" w:hAnsi="仿宋" w:eastAsia="仿宋" w:cs="仿宋"/>
          <w:i w:val="0"/>
          <w:caps w:val="0"/>
          <w:color w:val="auto"/>
          <w:spacing w:val="0"/>
          <w:sz w:val="32"/>
          <w:szCs w:val="32"/>
          <w:shd w:val="clear" w:color="auto" w:fill="FFFFFF"/>
        </w:rPr>
        <w:t>可持续的重要作用，大力宣传医疗保险共建共享、互助共济的重要意义。要建立舆情监测和处置机制，积极主动回应社会关切，营造良好舆论氛围。</w:t>
      </w:r>
    </w:p>
    <w:p>
      <w:pPr>
        <w:keepNext w:val="0"/>
        <w:keepLines w:val="0"/>
        <w:pageBreakBefore w:val="0"/>
        <w:widowControl w:val="0"/>
        <w:kinsoku/>
        <w:wordWrap/>
        <w:overflowPunct/>
        <w:topLinePunct w:val="0"/>
        <w:autoSpaceDE/>
        <w:autoSpaceDN/>
        <w:bidi w:val="0"/>
        <w:adjustRightInd w:val="0"/>
        <w:spacing w:line="579" w:lineRule="exact"/>
        <w:ind w:firstLine="640" w:firstLineChars="200"/>
        <w:rPr>
          <w:rFonts w:hint="default" w:ascii="Times New Roman" w:hAnsi="Times New Roman" w:eastAsia="黑体" w:cs="Times New Roman"/>
          <w:b w:val="0"/>
          <w:bCs w:val="0"/>
          <w:color w:val="auto"/>
          <w:kern w:val="0"/>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val="0"/>
        <w:snapToGrid w:val="0"/>
        <w:spacing w:line="579" w:lineRule="exact"/>
        <w:jc w:val="center"/>
        <w:rPr>
          <w:rFonts w:hint="default" w:ascii="Times New Roman" w:hAnsi="Times New Roman" w:eastAsia="黑体" w:cs="Times New Roman"/>
          <w:b w:val="0"/>
          <w:bCs w:val="0"/>
          <w:snapToGrid w:val="0"/>
          <w:color w:val="auto"/>
          <w:sz w:val="32"/>
          <w:szCs w:val="32"/>
          <w:highlight w:val="none"/>
        </w:rPr>
      </w:pPr>
      <w:r>
        <w:rPr>
          <w:rFonts w:hint="default" w:ascii="Times New Roman" w:hAnsi="Times New Roman" w:eastAsia="黑体" w:cs="Times New Roman"/>
          <w:b w:val="0"/>
          <w:bCs w:val="0"/>
          <w:snapToGrid w:val="0"/>
          <w:color w:val="auto"/>
          <w:sz w:val="32"/>
          <w:szCs w:val="32"/>
          <w:highlight w:val="none"/>
        </w:rPr>
        <w:t>第</w:t>
      </w:r>
      <w:r>
        <w:rPr>
          <w:rFonts w:hint="default" w:ascii="Times New Roman" w:hAnsi="Times New Roman" w:eastAsia="黑体" w:cs="Times New Roman"/>
          <w:b w:val="0"/>
          <w:bCs w:val="0"/>
          <w:snapToGrid w:val="0"/>
          <w:color w:val="auto"/>
          <w:sz w:val="32"/>
          <w:szCs w:val="32"/>
          <w:highlight w:val="none"/>
          <w:lang w:eastAsia="zh-CN"/>
        </w:rPr>
        <w:t>六</w:t>
      </w:r>
      <w:r>
        <w:rPr>
          <w:rFonts w:hint="default" w:ascii="Times New Roman" w:hAnsi="Times New Roman" w:eastAsia="黑体" w:cs="Times New Roman"/>
          <w:b w:val="0"/>
          <w:bCs w:val="0"/>
          <w:snapToGrid w:val="0"/>
          <w:color w:val="auto"/>
          <w:sz w:val="32"/>
          <w:szCs w:val="32"/>
          <w:highlight w:val="none"/>
        </w:rPr>
        <w:t>章</w:t>
      </w:r>
      <w:r>
        <w:rPr>
          <w:rFonts w:hint="default" w:ascii="Times New Roman" w:hAnsi="Times New Roman" w:eastAsia="黑体" w:cs="Times New Roman"/>
          <w:b w:val="0"/>
          <w:bCs w:val="0"/>
          <w:snapToGrid w:val="0"/>
          <w:color w:val="auto"/>
          <w:sz w:val="32"/>
          <w:szCs w:val="32"/>
          <w:highlight w:val="none"/>
          <w:lang w:val="en-US" w:eastAsia="zh-CN"/>
        </w:rPr>
        <w:t xml:space="preserve">  </w:t>
      </w:r>
      <w:r>
        <w:rPr>
          <w:rFonts w:hint="default" w:ascii="Times New Roman" w:hAnsi="Times New Roman" w:eastAsia="黑体" w:cs="Times New Roman"/>
          <w:b w:val="0"/>
          <w:bCs w:val="0"/>
          <w:snapToGrid w:val="0"/>
          <w:color w:val="auto"/>
          <w:sz w:val="32"/>
          <w:szCs w:val="32"/>
          <w:highlight w:val="none"/>
        </w:rPr>
        <w:t>附</w:t>
      </w:r>
      <w:r>
        <w:rPr>
          <w:rFonts w:hint="default" w:ascii="Times New Roman" w:hAnsi="Times New Roman" w:eastAsia="黑体" w:cs="Times New Roman"/>
          <w:b w:val="0"/>
          <w:bCs w:val="0"/>
          <w:snapToGrid w:val="0"/>
          <w:color w:val="auto"/>
          <w:sz w:val="32"/>
          <w:szCs w:val="32"/>
          <w:highlight w:val="none"/>
          <w:lang w:val="en-US" w:eastAsia="zh-CN"/>
        </w:rPr>
        <w:t xml:space="preserve">  </w:t>
      </w:r>
      <w:r>
        <w:rPr>
          <w:rFonts w:hint="default" w:ascii="Times New Roman" w:hAnsi="Times New Roman" w:eastAsia="黑体" w:cs="Times New Roman"/>
          <w:b w:val="0"/>
          <w:bCs w:val="0"/>
          <w:snapToGrid w:val="0"/>
          <w:color w:val="auto"/>
          <w:sz w:val="32"/>
          <w:szCs w:val="32"/>
          <w:highlight w:val="none"/>
        </w:rPr>
        <w:t>则</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pPr>
      <w:r>
        <w:rPr>
          <w:rFonts w:hint="default" w:ascii="Times New Roman" w:hAnsi="Times New Roman" w:eastAsia="黑体" w:cs="Times New Roman"/>
          <w:b w:val="0"/>
          <w:bCs w:val="0"/>
          <w:snapToGrid w:val="0"/>
          <w:color w:val="auto"/>
          <w:sz w:val="32"/>
          <w:szCs w:val="32"/>
          <w:highlight w:val="none"/>
          <w:lang w:val="en-US" w:eastAsia="zh-CN"/>
        </w:rPr>
        <w:t>第二十三条</w:t>
      </w: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 xml:space="preserve">  </w:t>
      </w:r>
      <w:r>
        <w:rPr>
          <w:rFonts w:hint="eastAsia"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州</w:t>
      </w: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医保局、财政</w:t>
      </w:r>
      <w:r>
        <w:rPr>
          <w:rFonts w:hint="eastAsia"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局</w:t>
      </w: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可根据医保基金支</w:t>
      </w:r>
      <w:r>
        <w:rPr>
          <w:rFonts w:hint="eastAsia"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撑</w:t>
      </w: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能力、医学技术发展等情况，对门诊共济保障和个人账户相关政策适时进行调整。</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SA"/>
        </w:rPr>
      </w:pPr>
      <w:r>
        <w:rPr>
          <w:rFonts w:hint="default" w:ascii="Times New Roman" w:hAnsi="Times New Roman" w:eastAsia="黑体" w:cs="Times New Roman"/>
          <w:b w:val="0"/>
          <w:bCs w:val="0"/>
          <w:snapToGrid w:val="0"/>
          <w:color w:val="auto"/>
          <w:sz w:val="32"/>
          <w:szCs w:val="32"/>
          <w:highlight w:val="none"/>
          <w:lang w:val="en-US" w:eastAsia="zh-CN"/>
        </w:rPr>
        <w:t>第二十四条</w:t>
      </w: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 xml:space="preserve">  此前有关政策与本实施细则不一致的，以本细则为准，本实施细则由</w:t>
      </w:r>
      <w:r>
        <w:rPr>
          <w:rFonts w:hint="eastAsia"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州</w:t>
      </w: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SA"/>
        </w:rPr>
        <w:t>医保局</w:t>
      </w:r>
      <w:r>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SA"/>
        </w:rPr>
        <w:t>负责解释。</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0" w:lineRule="atLeast"/>
        <w:ind w:left="0" w:right="0" w:firstLine="640"/>
        <w:jc w:val="both"/>
        <w:rPr>
          <w:rFonts w:hint="eastAsia" w:ascii="宋体" w:hAnsi="宋体" w:eastAsia="宋体" w:cs="宋体"/>
          <w:i w:val="0"/>
          <w:caps w:val="0"/>
          <w:color w:val="auto"/>
          <w:spacing w:val="0"/>
          <w:sz w:val="24"/>
          <w:szCs w:val="24"/>
        </w:rPr>
      </w:pPr>
      <w:r>
        <w:rPr>
          <w:rFonts w:hint="default" w:ascii="Times New Roman" w:hAnsi="Times New Roman" w:eastAsia="黑体" w:cs="Times New Roman"/>
          <w:b w:val="0"/>
          <w:bCs w:val="0"/>
          <w:snapToGrid w:val="0"/>
          <w:color w:val="auto"/>
          <w:sz w:val="32"/>
          <w:szCs w:val="32"/>
          <w:lang w:val="en-US" w:eastAsia="zh-CN"/>
        </w:rPr>
        <w:t>第二十五条</w:t>
      </w:r>
      <w:r>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SA"/>
        </w:rPr>
        <w:t xml:space="preserve">  </w:t>
      </w:r>
      <w:r>
        <w:rPr>
          <w:rFonts w:hint="eastAsia" w:ascii="仿宋" w:hAnsi="仿宋" w:eastAsia="仿宋" w:cs="仿宋"/>
          <w:i w:val="0"/>
          <w:caps w:val="0"/>
          <w:color w:val="auto"/>
          <w:spacing w:val="0"/>
          <w:sz w:val="32"/>
          <w:szCs w:val="32"/>
          <w:shd w:val="clear" w:color="auto" w:fill="FFFFFF"/>
        </w:rPr>
        <w:t>本实施细则自</w:t>
      </w:r>
      <w:r>
        <w:rPr>
          <w:rFonts w:hint="default" w:ascii="Times New Roman" w:hAnsi="Times New Roman" w:eastAsia="宋体" w:cs="Times New Roman"/>
          <w:i w:val="0"/>
          <w:caps w:val="0"/>
          <w:color w:val="auto"/>
          <w:spacing w:val="0"/>
          <w:sz w:val="32"/>
          <w:szCs w:val="32"/>
          <w:shd w:val="clear" w:color="auto" w:fill="FFFFFF"/>
        </w:rPr>
        <w:t>2023</w:t>
      </w:r>
      <w:r>
        <w:rPr>
          <w:rFonts w:hint="eastAsia" w:ascii="仿宋" w:hAnsi="仿宋" w:eastAsia="仿宋" w:cs="仿宋"/>
          <w:i w:val="0"/>
          <w:caps w:val="0"/>
          <w:color w:val="auto"/>
          <w:spacing w:val="0"/>
          <w:sz w:val="32"/>
          <w:szCs w:val="32"/>
          <w:shd w:val="clear" w:color="auto" w:fill="FFFFFF"/>
        </w:rPr>
        <w:t>年</w:t>
      </w:r>
      <w:r>
        <w:rPr>
          <w:rFonts w:hint="default" w:ascii="Times New Roman" w:hAnsi="Times New Roman" w:eastAsia="宋体" w:cs="Times New Roman"/>
          <w:i w:val="0"/>
          <w:caps w:val="0"/>
          <w:color w:val="auto"/>
          <w:spacing w:val="0"/>
          <w:sz w:val="32"/>
          <w:szCs w:val="32"/>
          <w:shd w:val="clear" w:color="auto" w:fill="FFFFFF"/>
        </w:rPr>
        <w:t>1</w:t>
      </w:r>
      <w:r>
        <w:rPr>
          <w:rFonts w:hint="eastAsia" w:ascii="仿宋" w:hAnsi="仿宋" w:eastAsia="仿宋" w:cs="仿宋"/>
          <w:i w:val="0"/>
          <w:caps w:val="0"/>
          <w:color w:val="auto"/>
          <w:spacing w:val="0"/>
          <w:sz w:val="32"/>
          <w:szCs w:val="32"/>
          <w:shd w:val="clear" w:color="auto" w:fill="FFFFFF"/>
        </w:rPr>
        <w:t>月</w:t>
      </w:r>
      <w:r>
        <w:rPr>
          <w:rFonts w:hint="default" w:ascii="Times New Roman" w:hAnsi="Times New Roman" w:eastAsia="宋体" w:cs="Times New Roman"/>
          <w:i w:val="0"/>
          <w:caps w:val="0"/>
          <w:color w:val="auto"/>
          <w:spacing w:val="0"/>
          <w:sz w:val="32"/>
          <w:szCs w:val="32"/>
          <w:shd w:val="clear" w:color="auto" w:fill="FFFFFF"/>
        </w:rPr>
        <w:t>1</w:t>
      </w:r>
      <w:r>
        <w:rPr>
          <w:rFonts w:hint="eastAsia" w:ascii="仿宋" w:hAnsi="仿宋" w:eastAsia="仿宋" w:cs="仿宋"/>
          <w:i w:val="0"/>
          <w:caps w:val="0"/>
          <w:color w:val="auto"/>
          <w:spacing w:val="0"/>
          <w:sz w:val="32"/>
          <w:szCs w:val="32"/>
          <w:shd w:val="clear" w:color="auto" w:fill="FFFFFF"/>
        </w:rPr>
        <w:t>日起施行，有效期至</w:t>
      </w:r>
      <w:r>
        <w:rPr>
          <w:rFonts w:hint="eastAsia" w:ascii="Times New Roman" w:hAnsi="Times New Roman" w:eastAsia="宋体" w:cs="Times New Roman"/>
          <w:i w:val="0"/>
          <w:caps w:val="0"/>
          <w:color w:val="auto"/>
          <w:spacing w:val="0"/>
          <w:sz w:val="32"/>
          <w:szCs w:val="32"/>
          <w:shd w:val="clear" w:color="auto" w:fill="FFFFFF"/>
          <w:lang w:val="en-US" w:eastAsia="zh-CN"/>
        </w:rPr>
        <w:t>2027</w:t>
      </w:r>
      <w:r>
        <w:rPr>
          <w:rFonts w:hint="eastAsia" w:ascii="仿宋" w:hAnsi="仿宋" w:eastAsia="仿宋" w:cs="仿宋"/>
          <w:i w:val="0"/>
          <w:caps w:val="0"/>
          <w:color w:val="auto"/>
          <w:spacing w:val="0"/>
          <w:sz w:val="32"/>
          <w:szCs w:val="32"/>
          <w:shd w:val="clear" w:color="auto" w:fill="FFFFFF"/>
        </w:rPr>
        <w:t>年</w:t>
      </w:r>
      <w:r>
        <w:rPr>
          <w:rFonts w:hint="eastAsia" w:ascii="Times New Roman" w:hAnsi="Times New Roman" w:eastAsia="宋体" w:cs="Times New Roman"/>
          <w:i w:val="0"/>
          <w:caps w:val="0"/>
          <w:color w:val="auto"/>
          <w:spacing w:val="0"/>
          <w:sz w:val="32"/>
          <w:szCs w:val="32"/>
          <w:shd w:val="clear" w:color="auto" w:fill="FFFFFF"/>
          <w:lang w:val="en-US" w:eastAsia="zh-CN"/>
        </w:rPr>
        <w:t>1</w:t>
      </w:r>
      <w:r>
        <w:rPr>
          <w:rFonts w:hint="eastAsia" w:ascii="仿宋" w:hAnsi="仿宋" w:eastAsia="仿宋" w:cs="仿宋"/>
          <w:i w:val="0"/>
          <w:caps w:val="0"/>
          <w:color w:val="auto"/>
          <w:spacing w:val="0"/>
          <w:sz w:val="32"/>
          <w:szCs w:val="32"/>
          <w:shd w:val="clear" w:color="auto" w:fill="FFFFFF"/>
        </w:rPr>
        <w:t>月</w:t>
      </w:r>
      <w:r>
        <w:rPr>
          <w:rFonts w:hint="eastAsia" w:ascii="Times New Roman" w:hAnsi="Times New Roman" w:eastAsia="宋体" w:cs="Times New Roman"/>
          <w:i w:val="0"/>
          <w:caps w:val="0"/>
          <w:color w:val="auto"/>
          <w:spacing w:val="0"/>
          <w:sz w:val="32"/>
          <w:szCs w:val="32"/>
          <w:shd w:val="clear" w:color="auto" w:fill="FFFFFF"/>
          <w:lang w:val="en-US" w:eastAsia="zh-CN"/>
        </w:rPr>
        <w:t>31</w:t>
      </w:r>
      <w:r>
        <w:rPr>
          <w:rFonts w:hint="eastAsia" w:ascii="仿宋" w:hAnsi="仿宋" w:eastAsia="仿宋" w:cs="仿宋"/>
          <w:i w:val="0"/>
          <w:caps w:val="0"/>
          <w:color w:val="auto"/>
          <w:spacing w:val="0"/>
          <w:sz w:val="32"/>
          <w:szCs w:val="32"/>
          <w:shd w:val="clear" w:color="auto" w:fill="FFFFFF"/>
        </w:rPr>
        <w:t>日。</w:t>
      </w:r>
    </w:p>
    <w:p>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SA"/>
        </w:rPr>
      </w:pPr>
    </w:p>
    <w:p>
      <w:pPr>
        <w:spacing w:before="283" w:line="241" w:lineRule="auto"/>
        <w:ind w:firstLine="160"/>
        <w:rPr>
          <w:rFonts w:ascii="仿宋" w:hAnsi="仿宋" w:eastAsia="仿宋" w:cs="仿宋"/>
          <w:color w:val="auto"/>
          <w:sz w:val="22"/>
          <w:szCs w:val="22"/>
        </w:rPr>
      </w:pPr>
      <w:bookmarkStart w:id="0" w:name="_GoBack"/>
      <w:bookmarkEnd w:id="0"/>
    </w:p>
    <w:sectPr>
      <w:footerReference r:id="rId5" w:type="default"/>
      <w:pgSz w:w="11900" w:h="16830"/>
      <w:pgMar w:top="1430" w:right="1482" w:bottom="400" w:left="151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zExNDdlNThlZjMzZWI2ZDZiMGY2NjFkYWM1ZTE1ZGQifQ=="/>
  </w:docVars>
  <w:rsids>
    <w:rsidRoot w:val="00000000"/>
    <w:rsid w:val="04CD6074"/>
    <w:rsid w:val="08B16276"/>
    <w:rsid w:val="0A07319C"/>
    <w:rsid w:val="0CF709BC"/>
    <w:rsid w:val="0D212B7C"/>
    <w:rsid w:val="10F23342"/>
    <w:rsid w:val="17B73951"/>
    <w:rsid w:val="220C75C9"/>
    <w:rsid w:val="27D359EA"/>
    <w:rsid w:val="28C428F1"/>
    <w:rsid w:val="2E5205EF"/>
    <w:rsid w:val="3636777E"/>
    <w:rsid w:val="39490E7F"/>
    <w:rsid w:val="3AD0074E"/>
    <w:rsid w:val="3C434083"/>
    <w:rsid w:val="3DB13001"/>
    <w:rsid w:val="3E1917E6"/>
    <w:rsid w:val="3EE27015"/>
    <w:rsid w:val="4368049A"/>
    <w:rsid w:val="449D004D"/>
    <w:rsid w:val="45D71050"/>
    <w:rsid w:val="46A4546D"/>
    <w:rsid w:val="4812529F"/>
    <w:rsid w:val="4A9B340C"/>
    <w:rsid w:val="4D3E23DE"/>
    <w:rsid w:val="5112656A"/>
    <w:rsid w:val="51F24B66"/>
    <w:rsid w:val="56D67375"/>
    <w:rsid w:val="59F57680"/>
    <w:rsid w:val="5B773657"/>
    <w:rsid w:val="5DF24571"/>
    <w:rsid w:val="5FBF1AD7"/>
    <w:rsid w:val="5FF813CC"/>
    <w:rsid w:val="627734D5"/>
    <w:rsid w:val="63206607"/>
    <w:rsid w:val="64EE4941"/>
    <w:rsid w:val="69420F64"/>
    <w:rsid w:val="6B9C52A9"/>
    <w:rsid w:val="6D72533E"/>
    <w:rsid w:val="6D7A3D68"/>
    <w:rsid w:val="744C212D"/>
    <w:rsid w:val="7730181F"/>
    <w:rsid w:val="7B1F3240"/>
    <w:rsid w:val="7B252C3A"/>
    <w:rsid w:val="7DAA1A94"/>
    <w:rsid w:val="7EE116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eastAsia="方正仿宋简体" w:cs="Times New Roman"/>
      <w:kern w:val="0"/>
      <w:sz w:val="32"/>
      <w:szCs w:val="24"/>
      <w:lang w:bidi="ar-SA"/>
    </w:rPr>
  </w:style>
  <w:style w:type="paragraph" w:styleId="3">
    <w:name w:val="index 8"/>
    <w:basedOn w:val="1"/>
    <w:next w:val="1"/>
    <w:qFormat/>
    <w:uiPriority w:val="0"/>
    <w:pPr>
      <w:ind w:left="2940"/>
    </w:pPr>
  </w:style>
  <w:style w:type="paragraph" w:styleId="5">
    <w:name w:val="index 5"/>
    <w:basedOn w:val="1"/>
    <w:next w:val="1"/>
    <w:qFormat/>
    <w:uiPriority w:val="0"/>
    <w:pPr>
      <w:ind w:left="1680"/>
    </w:pPr>
  </w:style>
  <w:style w:type="paragraph" w:styleId="6">
    <w:name w:val="Body Text Indent"/>
    <w:basedOn w:val="1"/>
    <w:next w:val="7"/>
    <w:qFormat/>
    <w:uiPriority w:val="0"/>
    <w:pPr>
      <w:spacing w:after="120"/>
      <w:ind w:left="200" w:leftChars="200"/>
    </w:pPr>
  </w:style>
  <w:style w:type="paragraph" w:styleId="7">
    <w:name w:val="Body Text First Indent 2"/>
    <w:basedOn w:val="6"/>
    <w:next w:val="1"/>
    <w:qFormat/>
    <w:uiPriority w:val="0"/>
    <w:pPr>
      <w:spacing w:after="0" w:line="240" w:lineRule="auto"/>
      <w:ind w:left="0" w:leftChars="0" w:firstLine="200" w:firstLineChars="200"/>
    </w:pPr>
    <w:rPr>
      <w:rFonts w:ascii="Times New Roman" w:hAnsi="Times New Roman" w:eastAsia="黑体"/>
      <w:sz w:val="30"/>
      <w:szCs w:val="24"/>
    </w:rPr>
  </w:style>
  <w:style w:type="paragraph" w:styleId="8">
    <w:name w:val="footer"/>
    <w:basedOn w:val="1"/>
    <w:next w:val="5"/>
    <w:qFormat/>
    <w:uiPriority w:val="0"/>
    <w:pPr>
      <w:tabs>
        <w:tab w:val="center" w:pos="4153"/>
        <w:tab w:val="right" w:pos="8306"/>
      </w:tabs>
      <w:snapToGrid w:val="0"/>
      <w:jc w:val="left"/>
    </w:pPr>
    <w:rPr>
      <w:sz w:val="18"/>
      <w:szCs w:val="18"/>
    </w:rPr>
  </w:style>
  <w:style w:type="paragraph" w:styleId="9">
    <w:name w:val="Normal (Web)"/>
    <w:basedOn w:val="1"/>
    <w:next w:val="6"/>
    <w:qFormat/>
    <w:uiPriority w:val="0"/>
    <w:pPr>
      <w:spacing w:beforeAutospacing="1" w:afterAutospacing="1"/>
      <w:jc w:val="left"/>
    </w:pPr>
    <w:rPr>
      <w:kern w:val="0"/>
      <w:sz w:val="24"/>
    </w:rPr>
  </w:style>
  <w:style w:type="character" w:styleId="12">
    <w:name w:val="Strong"/>
    <w:basedOn w:val="11"/>
    <w:qFormat/>
    <w:uiPriority w:val="0"/>
    <w:rPr>
      <w:b/>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4196</Words>
  <Characters>4245</Characters>
  <TotalTime>52</TotalTime>
  <ScaleCrop>false</ScaleCrop>
  <LinksUpToDate>false</LinksUpToDate>
  <CharactersWithSpaces>4301</CharactersWithSpaces>
  <Application>WPS Office_11.1.0.12358_F1E327BC-269C-435d-A152-05C5408002CA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2022-03-04T03:36:00Z</dcterms:created>
  <dc:creator>lenovo</dc:creator>
  <cp:lastModifiedBy>lenovo</cp:lastModifiedBy>
  <cp:lastPrinted>2022-09-27T09:03:00Z</cp:lastPrinted>
  <dcterms:modified xsi:type="dcterms:W3CDTF">2022-10-08T07:31:49Z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2022-03-04T11:36:52Z</vt:filetime>
  </property>
  <property fmtid="{D5CDD505-2E9C-101B-9397-08002B2CF9AE}" pid="4" name="KSOProductBuildVer">
    <vt:lpwstr>2052-11.1.0.12358</vt:lpwstr>
  </property>
  <property fmtid="{D5CDD505-2E9C-101B-9397-08002B2CF9AE}" pid="5" name="ICV">
    <vt:lpwstr>2991A88E7BA24DD7A337792D464AADEC</vt:lpwstr>
  </property>
</Properties>
</file>