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ind w:firstLine="0" w:firstLineChars="0"/>
        <w:jc w:val="center"/>
        <w:rPr>
          <w:rFonts w:hint="eastAsia" w:ascii="方正粗宋简体" w:hAnsi="Times New Roman" w:eastAsia="方正粗宋简体" w:cs="Times New Roman"/>
          <w:sz w:val="44"/>
          <w:szCs w:val="44"/>
        </w:rPr>
      </w:pPr>
    </w:p>
    <w:p>
      <w:pPr>
        <w:spacing w:line="580" w:lineRule="exact"/>
        <w:ind w:firstLine="0" w:firstLineChars="0"/>
        <w:jc w:val="center"/>
        <w:rPr>
          <w:rFonts w:ascii="方正粗宋简体" w:hAnsi="Times New Roman" w:eastAsia="方正粗宋简体" w:cs="Times New Roman"/>
          <w:sz w:val="44"/>
          <w:szCs w:val="44"/>
        </w:rPr>
      </w:pPr>
      <w:r>
        <w:rPr>
          <w:rFonts w:hint="eastAsia" w:ascii="方正粗宋简体" w:hAnsi="Times New Roman" w:eastAsia="方正粗宋简体" w:cs="Times New Roman"/>
          <w:sz w:val="44"/>
          <w:szCs w:val="44"/>
        </w:rPr>
        <w:t>理塘县自然保护地整合优化方案</w:t>
      </w:r>
    </w:p>
    <w:p>
      <w:pPr>
        <w:spacing w:line="580" w:lineRule="exact"/>
        <w:ind w:firstLine="200"/>
        <w:jc w:val="center"/>
        <w:rPr>
          <w:rFonts w:ascii="Times New Roman" w:hAnsi="Times New Roman" w:eastAsia="方正小标宋简体" w:cs="Times New Roman"/>
          <w:sz w:val="10"/>
          <w:szCs w:val="10"/>
        </w:rPr>
      </w:pPr>
    </w:p>
    <w:p>
      <w:pPr>
        <w:ind w:firstLine="640"/>
        <w:rPr>
          <w:rFonts w:ascii="Times New Roman" w:hAnsi="Times New Roman" w:cs="Times New Roman"/>
          <w:szCs w:val="32"/>
        </w:rPr>
      </w:pPr>
      <w:r>
        <w:rPr>
          <w:rFonts w:hint="eastAsia" w:ascii="Times New Roman" w:hAnsi="Times New Roman" w:cs="Times New Roman"/>
          <w:szCs w:val="32"/>
          <w:lang w:val="en-US" w:eastAsia="zh-CN"/>
        </w:rPr>
        <w:t>根据</w:t>
      </w:r>
      <w:r>
        <w:rPr>
          <w:rFonts w:ascii="Times New Roman" w:hAnsi="Times New Roman" w:cs="Times New Roman"/>
          <w:szCs w:val="32"/>
        </w:rPr>
        <w:t>2020年甘孜藏族自治州林业和草原局</w:t>
      </w:r>
      <w:r>
        <w:rPr>
          <w:rFonts w:hint="eastAsia" w:ascii="Times New Roman" w:hAnsi="Times New Roman" w:cs="Times New Roman"/>
          <w:szCs w:val="32"/>
          <w:lang w:eastAsia="zh-CN"/>
        </w:rPr>
        <w:t>〈</w:t>
      </w:r>
      <w:r>
        <w:rPr>
          <w:rFonts w:ascii="Times New Roman" w:hAnsi="Times New Roman" w:cs="Times New Roman"/>
          <w:szCs w:val="32"/>
        </w:rPr>
        <w:t>关于转发《四川省林业和草原局关于编制报送自然保护地整合优化建议方案的通知》的函</w:t>
      </w:r>
      <w:r>
        <w:rPr>
          <w:rFonts w:hint="eastAsia" w:ascii="Times New Roman" w:hAnsi="Times New Roman" w:cs="Times New Roman"/>
          <w:szCs w:val="32"/>
          <w:lang w:eastAsia="zh-CN"/>
        </w:rPr>
        <w:t>〉</w:t>
      </w:r>
      <w:r>
        <w:rPr>
          <w:rFonts w:ascii="Times New Roman" w:hAnsi="Times New Roman" w:cs="Times New Roman"/>
          <w:szCs w:val="32"/>
        </w:rPr>
        <w:t>（甘林草函〔2020〕56号）文件要求，为有效保护</w:t>
      </w:r>
      <w:r>
        <w:rPr>
          <w:rFonts w:hint="eastAsia" w:ascii="Times New Roman" w:hAnsi="Times New Roman" w:cs="Times New Roman"/>
          <w:szCs w:val="32"/>
          <w:lang w:val="en-US" w:eastAsia="zh-CN"/>
        </w:rPr>
        <w:t>理塘县</w:t>
      </w:r>
      <w:r>
        <w:rPr>
          <w:rFonts w:ascii="Times New Roman" w:hAnsi="Times New Roman" w:cs="Times New Roman"/>
          <w:szCs w:val="32"/>
        </w:rPr>
        <w:t>有限的自然资源和今后涉及</w:t>
      </w:r>
      <w:r>
        <w:rPr>
          <w:rFonts w:hint="eastAsia" w:ascii="Times New Roman" w:hAnsi="Times New Roman" w:cs="Times New Roman"/>
          <w:szCs w:val="32"/>
          <w:lang w:val="en-US" w:eastAsia="zh-CN"/>
        </w:rPr>
        <w:t>自然</w:t>
      </w:r>
      <w:r>
        <w:rPr>
          <w:rFonts w:ascii="Times New Roman" w:hAnsi="Times New Roman" w:cs="Times New Roman"/>
          <w:szCs w:val="32"/>
        </w:rPr>
        <w:t>保护地的规划项目能顺利实施，按文件要求</w:t>
      </w:r>
      <w:r>
        <w:rPr>
          <w:rFonts w:hint="eastAsia" w:ascii="Times New Roman" w:hAnsi="Times New Roman" w:cs="Times New Roman"/>
          <w:szCs w:val="32"/>
          <w:lang w:val="en-US" w:eastAsia="zh-CN"/>
        </w:rPr>
        <w:t>理塘县林业和草原局</w:t>
      </w:r>
      <w:r>
        <w:rPr>
          <w:rFonts w:ascii="Times New Roman" w:hAnsi="Times New Roman" w:cs="Times New Roman"/>
          <w:szCs w:val="32"/>
        </w:rPr>
        <w:t>已于2020</w:t>
      </w:r>
      <w:r>
        <w:rPr>
          <w:rFonts w:hint="eastAsia" w:ascii="Times New Roman" w:hAnsi="Times New Roman" w:cs="Times New Roman"/>
          <w:szCs w:val="32"/>
        </w:rPr>
        <w:t>年</w:t>
      </w:r>
      <w:r>
        <w:rPr>
          <w:rFonts w:ascii="Times New Roman" w:hAnsi="Times New Roman" w:cs="Times New Roman"/>
          <w:szCs w:val="32"/>
        </w:rPr>
        <w:t>对县境内5个保护地开展了整合优化工作，</w:t>
      </w:r>
      <w:r>
        <w:rPr>
          <w:rFonts w:hint="eastAsia" w:ascii="Times New Roman" w:hAnsi="Times New Roman" w:cs="Times New Roman"/>
          <w:szCs w:val="32"/>
          <w:lang w:val="en-US" w:eastAsia="zh-CN"/>
        </w:rPr>
        <w:t>具体</w:t>
      </w:r>
      <w:r>
        <w:rPr>
          <w:rFonts w:ascii="Times New Roman" w:hAnsi="Times New Roman" w:cs="Times New Roman"/>
          <w:szCs w:val="32"/>
        </w:rPr>
        <w:t>优化整合方案如下：</w:t>
      </w:r>
    </w:p>
    <w:p>
      <w:pPr>
        <w:ind w:firstLine="640"/>
        <w:rPr>
          <w:rFonts w:ascii="Times New Roman" w:hAnsi="Times New Roman" w:eastAsia="黑体" w:cs="Times New Roman"/>
          <w:szCs w:val="32"/>
        </w:rPr>
      </w:pPr>
      <w:r>
        <w:rPr>
          <w:rFonts w:ascii="Times New Roman" w:hAnsi="Times New Roman" w:eastAsia="黑体" w:cs="Times New Roman"/>
          <w:szCs w:val="32"/>
        </w:rPr>
        <w:t>一、概况</w:t>
      </w:r>
    </w:p>
    <w:p>
      <w:pPr>
        <w:ind w:firstLine="600"/>
        <w:rPr>
          <w:rFonts w:ascii="Times New Roman" w:hAnsi="Times New Roman" w:eastAsia="黑体" w:cs="Times New Roman"/>
          <w:sz w:val="30"/>
          <w:szCs w:val="30"/>
        </w:rPr>
      </w:pPr>
      <w:r>
        <w:rPr>
          <w:rFonts w:ascii="Times New Roman" w:hAnsi="Times New Roman" w:eastAsia="黑体" w:cs="Times New Roman"/>
          <w:sz w:val="30"/>
          <w:szCs w:val="30"/>
        </w:rPr>
        <w:t>（一）自然生态现状及保护价值</w:t>
      </w:r>
    </w:p>
    <w:p>
      <w:pPr>
        <w:ind w:firstLine="643"/>
        <w:rPr>
          <w:rFonts w:ascii="Times New Roman" w:hAnsi="Times New Roman" w:cs="Times New Roman"/>
          <w:b/>
          <w:bCs/>
          <w:szCs w:val="32"/>
        </w:rPr>
      </w:pPr>
      <w:r>
        <w:rPr>
          <w:rFonts w:ascii="Times New Roman" w:hAnsi="Times New Roman" w:cs="Times New Roman"/>
          <w:b/>
          <w:bCs/>
          <w:szCs w:val="32"/>
        </w:rPr>
        <w:t>（1）国土面积、自然地理和社会经济</w:t>
      </w:r>
    </w:p>
    <w:p>
      <w:pPr>
        <w:ind w:firstLine="640"/>
        <w:rPr>
          <w:rFonts w:ascii="Times New Roman" w:hAnsi="Times New Roman" w:cs="Times New Roman"/>
          <w:szCs w:val="32"/>
        </w:rPr>
      </w:pPr>
      <w:r>
        <w:rPr>
          <w:rFonts w:ascii="Times New Roman" w:hAnsi="Times New Roman" w:cs="Times New Roman"/>
          <w:szCs w:val="32"/>
        </w:rPr>
        <w:t>理塘县隶属四川省甘孜藏族自治州，位于四川省西部，甘孜藏族自治州西南部，介于东经99°19′-100°56′</w:t>
      </w:r>
      <w:r>
        <w:rPr>
          <w:rFonts w:hint="eastAsia" w:ascii="Times New Roman" w:hAnsi="Times New Roman" w:cs="Times New Roman"/>
          <w:szCs w:val="32"/>
          <w:lang w:eastAsia="zh-CN"/>
        </w:rPr>
        <w:t>、</w:t>
      </w:r>
      <w:r>
        <w:rPr>
          <w:rFonts w:ascii="Times New Roman" w:hAnsi="Times New Roman" w:cs="Times New Roman"/>
          <w:szCs w:val="32"/>
        </w:rPr>
        <w:t>北纬 28°57′-30°43′之间，国土面积14352平方公里。</w:t>
      </w:r>
    </w:p>
    <w:p>
      <w:pPr>
        <w:ind w:firstLine="640"/>
        <w:rPr>
          <w:rFonts w:ascii="Times New Roman" w:hAnsi="Times New Roman" w:cs="Times New Roman"/>
          <w:szCs w:val="32"/>
        </w:rPr>
      </w:pPr>
      <w:r>
        <w:rPr>
          <w:rFonts w:ascii="Times New Roman" w:hAnsi="Times New Roman" w:cs="Times New Roman"/>
          <w:szCs w:val="32"/>
        </w:rPr>
        <w:t>理塘县地貌以丘状高原和山原地貌为主，兼有部分高山峡谷，西中部因造山运动的抬升，地势起伏较大，向东南和东北倾斜，境内山脉和水系呈南北走向，东西排列，山川河流相间，山地垂直分布明显。地形成呈</w:t>
      </w:r>
      <w:r>
        <w:rPr>
          <w:rFonts w:hint="eastAsia" w:ascii="Times New Roman" w:hAnsi="Times New Roman" w:cs="Times New Roman"/>
          <w:szCs w:val="32"/>
          <w:lang w:val="en-US" w:eastAsia="zh-CN"/>
        </w:rPr>
        <w:t>明显</w:t>
      </w:r>
      <w:r>
        <w:rPr>
          <w:rFonts w:ascii="Times New Roman" w:hAnsi="Times New Roman" w:cs="Times New Roman"/>
          <w:szCs w:val="32"/>
        </w:rPr>
        <w:t>的垂直分带，由低到高依次出现中山、高山、极高山等类型，在山地窄谷、宽谷和高山顶部夷平面又出现台地、多平坝、高山原类型。境内大部分地区海拔在3600</w:t>
      </w:r>
      <w:r>
        <w:rPr>
          <w:rFonts w:hint="eastAsia" w:ascii="Times New Roman" w:hAnsi="Times New Roman" w:cs="Times New Roman"/>
          <w:szCs w:val="32"/>
          <w:lang w:eastAsia="zh-CN"/>
        </w:rPr>
        <w:t>—</w:t>
      </w:r>
      <w:r>
        <w:rPr>
          <w:rFonts w:ascii="Times New Roman" w:hAnsi="Times New Roman" w:cs="Times New Roman"/>
          <w:szCs w:val="32"/>
        </w:rPr>
        <w:t>4600米之间。</w:t>
      </w:r>
    </w:p>
    <w:p>
      <w:pPr>
        <w:ind w:firstLine="640"/>
        <w:rPr>
          <w:rFonts w:ascii="Times New Roman" w:hAnsi="Times New Roman" w:cs="Times New Roman"/>
          <w:szCs w:val="32"/>
        </w:rPr>
      </w:pPr>
      <w:r>
        <w:rPr>
          <w:rFonts w:ascii="Times New Roman" w:hAnsi="Times New Roman" w:cs="Times New Roman"/>
          <w:szCs w:val="32"/>
        </w:rPr>
        <w:t xml:space="preserve">2021年理塘县城乡居民总计17493户，总人口68202人，农业人口62553，非农业人口5649，常住人口74740人，藏族人口占总人口的93%。2021年理塘县城镇化率为39.19%。2021年理塘县全县国内地区生产总值（GDP）14.46亿元，比上年增长11.8%，第一产业生产总值为44320万元，比上年增长 3.7%；第二产业生产总值为 30562万元，比上年增长 23.7%；第三产业生产总值为 54489万元，比上年增长 4.7%。 </w:t>
      </w:r>
    </w:p>
    <w:p>
      <w:pPr>
        <w:ind w:firstLine="321" w:firstLineChars="100"/>
        <w:rPr>
          <w:rFonts w:ascii="Times New Roman" w:hAnsi="Times New Roman" w:cs="Times New Roman"/>
          <w:b/>
          <w:bCs/>
          <w:szCs w:val="32"/>
        </w:rPr>
      </w:pPr>
      <w:r>
        <w:rPr>
          <w:rFonts w:ascii="Times New Roman" w:hAnsi="Times New Roman" w:cs="Times New Roman"/>
          <w:b/>
          <w:bCs/>
          <w:szCs w:val="32"/>
        </w:rPr>
        <w:t>（2）生态系统</w:t>
      </w:r>
    </w:p>
    <w:p>
      <w:pPr>
        <w:ind w:firstLine="643"/>
        <w:rPr>
          <w:rFonts w:ascii="Times New Roman" w:hAnsi="Times New Roman" w:cs="Times New Roman"/>
          <w:szCs w:val="32"/>
        </w:rPr>
      </w:pPr>
      <w:r>
        <w:rPr>
          <w:rFonts w:ascii="Times New Roman" w:hAnsi="Times New Roman" w:cs="Times New Roman"/>
          <w:b/>
          <w:szCs w:val="32"/>
        </w:rPr>
        <w:t>湿地生态系统：</w:t>
      </w:r>
      <w:r>
        <w:rPr>
          <w:rFonts w:ascii="Times New Roman" w:hAnsi="Times New Roman" w:cs="Times New Roman"/>
          <w:szCs w:val="32"/>
        </w:rPr>
        <w:t>理塘县海子山</w:t>
      </w:r>
      <w:r>
        <w:rPr>
          <w:rFonts w:hint="eastAsia" w:ascii="Times New Roman" w:hAnsi="Times New Roman" w:cs="Times New Roman"/>
          <w:szCs w:val="32"/>
          <w:lang w:val="en-US" w:eastAsia="zh-CN"/>
        </w:rPr>
        <w:t>片区湿地广泛分布，区域</w:t>
      </w:r>
      <w:r>
        <w:rPr>
          <w:rFonts w:ascii="Times New Roman" w:hAnsi="Times New Roman" w:cs="Times New Roman"/>
          <w:szCs w:val="32"/>
        </w:rPr>
        <w:t>地处川西高原，海拔一般在3400米以上，属高原气候，空气寒冷干燥，日照强烈，无霜期短，终年无夏。区域内古冰川遗迹十分明显，常形成辽阔的冰积石带和众多的冰积湖</w:t>
      </w:r>
      <w:r>
        <w:rPr>
          <w:rFonts w:hint="eastAsia" w:ascii="Times New Roman" w:hAnsi="Times New Roman" w:cs="Times New Roman"/>
          <w:szCs w:val="32"/>
          <w:lang w:eastAsia="zh-CN"/>
        </w:rPr>
        <w:t>（</w:t>
      </w:r>
      <w:r>
        <w:rPr>
          <w:rFonts w:ascii="Times New Roman" w:hAnsi="Times New Roman" w:cs="Times New Roman"/>
          <w:szCs w:val="32"/>
        </w:rPr>
        <w:t>海子</w:t>
      </w:r>
      <w:r>
        <w:rPr>
          <w:rFonts w:hint="eastAsia" w:ascii="Times New Roman" w:hAnsi="Times New Roman" w:cs="Times New Roman"/>
          <w:szCs w:val="32"/>
          <w:lang w:eastAsia="zh-CN"/>
        </w:rPr>
        <w:t>）</w:t>
      </w:r>
      <w:r>
        <w:rPr>
          <w:rFonts w:ascii="Times New Roman" w:hAnsi="Times New Roman" w:cs="Times New Roman"/>
          <w:szCs w:val="32"/>
        </w:rPr>
        <w:t xml:space="preserve"> 群，具有典型的高原高寒湿地生态系统</w:t>
      </w:r>
      <w:r>
        <w:rPr>
          <w:rFonts w:hint="eastAsia" w:ascii="Times New Roman" w:hAnsi="Times New Roman" w:cs="Times New Roman"/>
          <w:szCs w:val="32"/>
          <w:lang w:val="en-US" w:eastAsia="zh-CN"/>
        </w:rPr>
        <w:t>特征</w:t>
      </w:r>
      <w:r>
        <w:rPr>
          <w:rFonts w:ascii="Times New Roman" w:hAnsi="Times New Roman" w:cs="Times New Roman"/>
          <w:szCs w:val="32"/>
        </w:rPr>
        <w:t>。另有一些季节性河流和水深小于6米的河道属于河流湿地类型。区内分布着434个高山湖泊，如格木乡境内的措然津、热柯区的措扎、扎西措、海子山的兴伊措、金措、银措、章阿措等，属于典型的湖泊湿地生态系统。另外，在区域各处还多分布有沼泽、河流滩地与瀑布等湿地生态系统。</w:t>
      </w:r>
    </w:p>
    <w:p>
      <w:pPr>
        <w:ind w:firstLine="643"/>
        <w:rPr>
          <w:rFonts w:ascii="Times New Roman" w:hAnsi="Times New Roman" w:cs="Times New Roman"/>
          <w:szCs w:val="32"/>
        </w:rPr>
      </w:pPr>
      <w:r>
        <w:rPr>
          <w:rFonts w:ascii="Times New Roman" w:hAnsi="Times New Roman" w:cs="Times New Roman"/>
          <w:b/>
          <w:szCs w:val="32"/>
        </w:rPr>
        <w:t>草地生态系统：</w:t>
      </w:r>
      <w:r>
        <w:rPr>
          <w:rFonts w:ascii="Times New Roman" w:hAnsi="Times New Roman" w:cs="Times New Roman"/>
          <w:szCs w:val="32"/>
        </w:rPr>
        <w:t>草地生态系统是理塘县县域范围内分布最广</w:t>
      </w:r>
      <w:r>
        <w:rPr>
          <w:rFonts w:hint="eastAsia" w:ascii="Times New Roman" w:hAnsi="Times New Roman" w:cs="Times New Roman"/>
          <w:szCs w:val="32"/>
          <w:lang w:eastAsia="zh-CN"/>
        </w:rPr>
        <w:t>、</w:t>
      </w:r>
      <w:r>
        <w:rPr>
          <w:rFonts w:ascii="Times New Roman" w:hAnsi="Times New Roman" w:cs="Times New Roman"/>
          <w:szCs w:val="32"/>
        </w:rPr>
        <w:t>面积最大的生态系统，主要分布在海拔3600</w:t>
      </w:r>
      <w:r>
        <w:rPr>
          <w:rFonts w:hint="eastAsia" w:ascii="Times New Roman" w:hAnsi="Times New Roman" w:cs="Times New Roman"/>
          <w:szCs w:val="32"/>
          <w:lang w:eastAsia="zh-CN"/>
        </w:rPr>
        <w:t>—</w:t>
      </w:r>
      <w:r>
        <w:rPr>
          <w:rFonts w:ascii="Times New Roman" w:hAnsi="Times New Roman" w:cs="Times New Roman"/>
          <w:szCs w:val="32"/>
        </w:rPr>
        <w:t>4800米之间。草地生态系统种类以禾草、嵩草、苔草、马先蒿、珠芽蓼、圆穗蓼、狼毒、花锚、橐吾、</w:t>
      </w:r>
      <w:r>
        <w:rPr>
          <w:rFonts w:hint="eastAsia" w:ascii="Times New Roman" w:hAnsi="Times New Roman" w:cs="Times New Roman"/>
          <w:szCs w:val="32"/>
          <w:lang w:eastAsia="zh-CN"/>
        </w:rPr>
        <w:t>委陵菜</w:t>
      </w:r>
      <w:r>
        <w:rPr>
          <w:rFonts w:ascii="Times New Roman" w:hAnsi="Times New Roman" w:cs="Times New Roman"/>
          <w:szCs w:val="32"/>
        </w:rPr>
        <w:t>、风毛菊等为优势种。县域内较湿润的草甸逐渐过渡为草本为主的沼泽，优势种有剪股颖、早熟禾、苞叶大黄、云生毛茛、长苞灯心草、星状风毛菊、穗状狐尾藻、杉叶藻、水马齿等。在县域内如曲布沟、青元库、虎皮坝等很多地区较湿润的地带，草甸与草本为主的沼泽间杂分布。</w:t>
      </w:r>
    </w:p>
    <w:p>
      <w:pPr>
        <w:ind w:firstLine="643"/>
        <w:rPr>
          <w:rFonts w:ascii="Times New Roman" w:hAnsi="Times New Roman" w:cs="Times New Roman"/>
          <w:szCs w:val="32"/>
        </w:rPr>
      </w:pPr>
      <w:r>
        <w:rPr>
          <w:rFonts w:ascii="Times New Roman" w:hAnsi="Times New Roman" w:cs="Times New Roman"/>
          <w:b/>
          <w:szCs w:val="32"/>
        </w:rPr>
        <w:t>灌丛生态系统：</w:t>
      </w:r>
      <w:r>
        <w:rPr>
          <w:rFonts w:ascii="Times New Roman" w:hAnsi="Times New Roman" w:cs="Times New Roman"/>
          <w:szCs w:val="32"/>
        </w:rPr>
        <w:t>理塘县</w:t>
      </w:r>
      <w:r>
        <w:rPr>
          <w:rFonts w:hint="eastAsia" w:ascii="Times New Roman" w:hAnsi="Times New Roman" w:cs="Times New Roman"/>
          <w:szCs w:val="32"/>
          <w:lang w:val="en-US" w:eastAsia="zh-CN"/>
        </w:rPr>
        <w:t>境内</w:t>
      </w:r>
      <w:r>
        <w:rPr>
          <w:rFonts w:ascii="Times New Roman" w:hAnsi="Times New Roman" w:cs="Times New Roman"/>
          <w:szCs w:val="32"/>
        </w:rPr>
        <w:t>的灌丛生态系统主要有亚高山林下灌丛和高山灌丛两种类型。亚高山林下灌丛主要分布在4000米以下的林下，常见种有杜鹃、窄叶鲜卑花、金露梅、银露梅、绣线菊、小檗、高山柳和忍冬等。高山灌丛常与草甸交错分布于海拔3600</w:t>
      </w:r>
      <w:r>
        <w:rPr>
          <w:rFonts w:hint="eastAsia" w:ascii="Times New Roman" w:hAnsi="Times New Roman" w:cs="Times New Roman"/>
          <w:szCs w:val="32"/>
          <w:lang w:eastAsia="zh-CN"/>
        </w:rPr>
        <w:t>—</w:t>
      </w:r>
      <w:r>
        <w:rPr>
          <w:rFonts w:ascii="Times New Roman" w:hAnsi="Times New Roman" w:cs="Times New Roman"/>
          <w:szCs w:val="32"/>
        </w:rPr>
        <w:t>4800米之间，是理塘县另一种主要分布的生态系统类型，主要种类有杜鹃、金露梅、窄叶 鲜卑花、香柏、高山柳、锦鸡儿、小檗、沙棘等。另外，沿沟谷还分布着以柳、沙棘、水柏枝为主的河滩灌丛。</w:t>
      </w:r>
    </w:p>
    <w:p>
      <w:pPr>
        <w:ind w:firstLine="643"/>
        <w:rPr>
          <w:rFonts w:ascii="Times New Roman" w:hAnsi="Times New Roman" w:cs="Times New Roman"/>
          <w:szCs w:val="32"/>
        </w:rPr>
      </w:pPr>
      <w:r>
        <w:rPr>
          <w:rFonts w:ascii="Times New Roman" w:hAnsi="Times New Roman" w:cs="Times New Roman"/>
          <w:b/>
          <w:szCs w:val="32"/>
        </w:rPr>
        <w:t>森林生态系统：</w:t>
      </w:r>
      <w:r>
        <w:rPr>
          <w:rFonts w:ascii="Times New Roman" w:hAnsi="Times New Roman" w:cs="Times New Roman"/>
          <w:szCs w:val="32"/>
        </w:rPr>
        <w:t>理塘县海拔高，气温低，常绿阔叶林种类较少，只有在海拔相对较低的山原地区，有以川滇高山栎林为主的硬叶常绿阔叶林分布；落叶阔叶林的种类主要为桦木、杨树、柳、沙棘等；针阔混交林在理塘县内多有分布</w:t>
      </w:r>
      <w:r>
        <w:rPr>
          <w:rFonts w:hint="eastAsia" w:ascii="Times New Roman" w:hAnsi="Times New Roman" w:cs="Times New Roman"/>
          <w:szCs w:val="32"/>
          <w:lang w:eastAsia="zh-CN"/>
        </w:rPr>
        <w:t>，</w:t>
      </w:r>
      <w:r>
        <w:rPr>
          <w:rFonts w:ascii="Times New Roman" w:hAnsi="Times New Roman" w:cs="Times New Roman"/>
          <w:szCs w:val="32"/>
        </w:rPr>
        <w:t>而以冷云杉为主的针叶林是</w:t>
      </w:r>
      <w:r>
        <w:rPr>
          <w:rFonts w:hint="eastAsia" w:ascii="Times New Roman" w:hAnsi="Times New Roman" w:cs="Times New Roman"/>
          <w:szCs w:val="32"/>
          <w:lang w:val="en-US" w:eastAsia="zh-CN"/>
        </w:rPr>
        <w:t>区域</w:t>
      </w:r>
      <w:r>
        <w:rPr>
          <w:rFonts w:ascii="Times New Roman" w:hAnsi="Times New Roman" w:cs="Times New Roman"/>
          <w:szCs w:val="32"/>
        </w:rPr>
        <w:t>最主要的森林类型。由于理塘县气候环境条件</w:t>
      </w:r>
      <w:r>
        <w:rPr>
          <w:rFonts w:hint="eastAsia" w:ascii="Times New Roman" w:hAnsi="Times New Roman" w:cs="Times New Roman"/>
          <w:szCs w:val="32"/>
          <w:lang w:val="en-US" w:eastAsia="zh-CN"/>
        </w:rPr>
        <w:t>较为</w:t>
      </w:r>
      <w:r>
        <w:rPr>
          <w:rFonts w:ascii="Times New Roman" w:hAnsi="Times New Roman" w:cs="Times New Roman"/>
          <w:szCs w:val="32"/>
        </w:rPr>
        <w:t>复杂，造成森林植被类型常出现倒置以及混杂的现象，如冷、云杉林的倒置或混杂，森林常有分布于灌丛及高山草甸之上的现象。</w:t>
      </w:r>
    </w:p>
    <w:p>
      <w:pPr>
        <w:ind w:firstLine="321" w:firstLineChars="100"/>
        <w:rPr>
          <w:rFonts w:ascii="Times New Roman" w:hAnsi="Times New Roman" w:cs="Times New Roman"/>
          <w:b/>
          <w:bCs/>
          <w:szCs w:val="32"/>
        </w:rPr>
      </w:pPr>
      <w:r>
        <w:rPr>
          <w:rFonts w:ascii="Times New Roman" w:hAnsi="Times New Roman" w:cs="Times New Roman"/>
          <w:b/>
          <w:bCs/>
          <w:szCs w:val="32"/>
        </w:rPr>
        <w:t>（3）自然景观</w:t>
      </w:r>
    </w:p>
    <w:p>
      <w:pPr>
        <w:ind w:firstLine="643"/>
        <w:rPr>
          <w:rFonts w:ascii="Times New Roman" w:hAnsi="Times New Roman" w:cs="Times New Roman"/>
          <w:szCs w:val="32"/>
        </w:rPr>
      </w:pPr>
      <w:r>
        <w:rPr>
          <w:rFonts w:ascii="Times New Roman" w:hAnsi="Times New Roman" w:cs="Times New Roman"/>
          <w:b/>
          <w:szCs w:val="32"/>
        </w:rPr>
        <w:t>格聂雪山：</w:t>
      </w:r>
      <w:r>
        <w:rPr>
          <w:rFonts w:ascii="Times New Roman" w:hAnsi="Times New Roman" w:cs="Times New Roman"/>
          <w:szCs w:val="32"/>
        </w:rPr>
        <w:t>格聂区域雪峰林立，最美丽的是三座神山，其中格聂主峰海拔6204米，肖扎神山海拔5807米，克麦隆神山海拔5780米</w:t>
      </w:r>
      <w:r>
        <w:rPr>
          <w:rFonts w:hint="eastAsia" w:ascii="Times New Roman" w:hAnsi="Times New Roman" w:cs="Times New Roman"/>
          <w:szCs w:val="32"/>
          <w:lang w:eastAsia="zh-CN"/>
        </w:rPr>
        <w:t>，</w:t>
      </w:r>
      <w:r>
        <w:rPr>
          <w:rFonts w:ascii="Times New Roman" w:hAnsi="Times New Roman" w:cs="Times New Roman"/>
          <w:szCs w:val="32"/>
        </w:rPr>
        <w:t>其与高原湖泊、温泉叠瀑、草原森林、湿地莽原、河流峡谷等生态资源的组合，共同构成了</w:t>
      </w:r>
      <w:r>
        <w:rPr>
          <w:rFonts w:hint="eastAsia" w:ascii="Times New Roman" w:hAnsi="Times New Roman" w:cs="Times New Roman"/>
          <w:szCs w:val="32"/>
          <w:lang w:eastAsia="zh-CN"/>
        </w:rPr>
        <w:t>一幅</w:t>
      </w:r>
      <w:r>
        <w:rPr>
          <w:rFonts w:ascii="Times New Roman" w:hAnsi="Times New Roman" w:cs="Times New Roman"/>
          <w:szCs w:val="32"/>
        </w:rPr>
        <w:t>大美画卷。格聂山是世界规模最大、最典型的古冰帽遗迹“</w:t>
      </w:r>
      <w:r>
        <w:rPr>
          <w:rFonts w:hint="eastAsia" w:ascii="Times New Roman" w:hAnsi="Times New Roman" w:cs="Times New Roman"/>
          <w:szCs w:val="32"/>
          <w:lang w:val="en-US" w:eastAsia="zh-CN"/>
        </w:rPr>
        <w:t>理塘－</w:t>
      </w:r>
      <w:r>
        <w:rPr>
          <w:rFonts w:ascii="Times New Roman" w:hAnsi="Times New Roman" w:cs="Times New Roman"/>
          <w:szCs w:val="32"/>
        </w:rPr>
        <w:t>稻城古冰帽”的</w:t>
      </w:r>
      <w:r>
        <w:rPr>
          <w:rFonts w:hint="eastAsia" w:ascii="Times New Roman" w:hAnsi="Times New Roman" w:cs="Times New Roman"/>
          <w:szCs w:val="32"/>
          <w:lang w:val="en-US" w:eastAsia="zh-CN"/>
        </w:rPr>
        <w:t>重要</w:t>
      </w:r>
      <w:r>
        <w:rPr>
          <w:rFonts w:ascii="Times New Roman" w:hAnsi="Times New Roman" w:cs="Times New Roman"/>
          <w:szCs w:val="32"/>
        </w:rPr>
        <w:t xml:space="preserve">组成部分，第四纪冰期冰川遗迹规模巨大，数以亿计的冰川漂砾和海子铺满了整个山原面，在国内绝无仅有，极其罕见。 </w:t>
      </w:r>
    </w:p>
    <w:p>
      <w:pPr>
        <w:ind w:firstLine="643"/>
        <w:rPr>
          <w:rFonts w:ascii="Times New Roman" w:hAnsi="Times New Roman" w:cs="Times New Roman"/>
          <w:szCs w:val="32"/>
        </w:rPr>
      </w:pPr>
      <w:r>
        <w:rPr>
          <w:rFonts w:ascii="Times New Roman" w:hAnsi="Times New Roman" w:cs="Times New Roman"/>
          <w:b/>
          <w:szCs w:val="32"/>
        </w:rPr>
        <w:t>草原风光：</w:t>
      </w:r>
      <w:r>
        <w:rPr>
          <w:rFonts w:ascii="Times New Roman" w:hAnsi="Times New Roman" w:cs="Times New Roman"/>
          <w:szCs w:val="32"/>
        </w:rPr>
        <w:t>毛垭草原，属川西高寒草原，数十公里的青青草地，点缀着</w:t>
      </w:r>
      <w:r>
        <w:rPr>
          <w:rFonts w:hint="eastAsia" w:ascii="Times New Roman" w:hAnsi="Times New Roman" w:cs="Times New Roman"/>
          <w:szCs w:val="32"/>
          <w:lang w:eastAsia="zh-CN"/>
        </w:rPr>
        <w:t>帐篷</w:t>
      </w:r>
      <w:r>
        <w:rPr>
          <w:rFonts w:ascii="Times New Roman" w:hAnsi="Times New Roman" w:cs="Times New Roman"/>
          <w:szCs w:val="32"/>
        </w:rPr>
        <w:t>、毡房，成群的牛羊在悠闲地散步吃着青绿的草，丹顶鹤、水獭、羚羊、青羊、黄鸭、旱獭等野生动物</w:t>
      </w:r>
      <w:r>
        <w:rPr>
          <w:rFonts w:hint="eastAsia" w:ascii="Times New Roman" w:hAnsi="Times New Roman" w:cs="Times New Roman"/>
          <w:szCs w:val="32"/>
          <w:lang w:val="en-US" w:eastAsia="zh-CN"/>
        </w:rPr>
        <w:t>生活</w:t>
      </w:r>
      <w:r>
        <w:rPr>
          <w:rFonts w:ascii="Times New Roman" w:hAnsi="Times New Roman" w:cs="Times New Roman"/>
          <w:szCs w:val="32"/>
        </w:rPr>
        <w:t>其中；清晨，牧民的炊烟袅袅直上与草地上升起的淡淡薄雾混在一起，犹如幻境。</w:t>
      </w:r>
      <w:r>
        <w:rPr>
          <w:rFonts w:hint="eastAsia" w:ascii="Times New Roman" w:hAnsi="Times New Roman" w:cs="Times New Roman"/>
          <w:szCs w:val="32"/>
          <w:lang w:val="en-US" w:eastAsia="zh-CN"/>
        </w:rPr>
        <w:t>草原</w:t>
      </w:r>
      <w:r>
        <w:rPr>
          <w:rFonts w:ascii="Times New Roman" w:hAnsi="Times New Roman" w:cs="Times New Roman"/>
          <w:szCs w:val="32"/>
        </w:rPr>
        <w:t>与青山、雪峰、白云、蓝天亲近，脱俗而灵动，有一种立体多面的美，草原上风云变幻无穷，置身其中，有一种说不尽的感慨。</w:t>
      </w:r>
      <w:r>
        <w:rPr>
          <w:rFonts w:hint="eastAsia" w:ascii="Times New Roman" w:hAnsi="Times New Roman" w:cs="Times New Roman"/>
          <w:szCs w:val="32"/>
          <w:lang w:val="en-US" w:eastAsia="zh-CN"/>
        </w:rPr>
        <w:t>区域草原</w:t>
      </w:r>
      <w:r>
        <w:rPr>
          <w:rFonts w:ascii="Times New Roman" w:hAnsi="Times New Roman" w:cs="Times New Roman"/>
          <w:szCs w:val="32"/>
        </w:rPr>
        <w:t>曾被《中国地理》杂志评为中国最美的6大草原之一。</w:t>
      </w:r>
    </w:p>
    <w:p>
      <w:pPr>
        <w:ind w:firstLine="643"/>
        <w:rPr>
          <w:rFonts w:ascii="Times New Roman" w:hAnsi="Times New Roman" w:cs="Times New Roman"/>
          <w:szCs w:val="32"/>
        </w:rPr>
      </w:pPr>
      <w:r>
        <w:rPr>
          <w:rFonts w:ascii="Times New Roman" w:hAnsi="Times New Roman" w:cs="Times New Roman"/>
          <w:b/>
          <w:szCs w:val="32"/>
        </w:rPr>
        <w:t>温泉：</w:t>
      </w:r>
      <w:r>
        <w:rPr>
          <w:rFonts w:ascii="Times New Roman" w:hAnsi="Times New Roman" w:cs="Times New Roman"/>
          <w:szCs w:val="32"/>
        </w:rPr>
        <w:t>理塘县境内天然温泉</w:t>
      </w:r>
      <w:r>
        <w:rPr>
          <w:rFonts w:hint="eastAsia" w:ascii="Times New Roman" w:hAnsi="Times New Roman" w:cs="Times New Roman"/>
          <w:szCs w:val="32"/>
          <w:lang w:val="en-US" w:eastAsia="zh-CN"/>
        </w:rPr>
        <w:t>十分</w:t>
      </w:r>
      <w:r>
        <w:rPr>
          <w:rFonts w:ascii="Times New Roman" w:hAnsi="Times New Roman" w:cs="Times New Roman"/>
          <w:szCs w:val="32"/>
        </w:rPr>
        <w:t>丰富，据统计</w:t>
      </w:r>
      <w:r>
        <w:rPr>
          <w:rFonts w:hint="eastAsia" w:ascii="Times New Roman" w:hAnsi="Times New Roman" w:cs="Times New Roman"/>
          <w:szCs w:val="32"/>
          <w:lang w:val="en-US" w:eastAsia="zh-CN"/>
        </w:rPr>
        <w:t>县域内</w:t>
      </w:r>
      <w:r>
        <w:rPr>
          <w:rFonts w:ascii="Times New Roman" w:hAnsi="Times New Roman" w:cs="Times New Roman"/>
          <w:szCs w:val="32"/>
        </w:rPr>
        <w:t>已发现的温泉共有100余处，其中著名如毛垭温泉、吿巫温泉、仲拿沟温泉，这种雪山和温泉、草原和温泉的组合，也为今后的</w:t>
      </w:r>
      <w:r>
        <w:rPr>
          <w:rFonts w:hint="eastAsia" w:ascii="Times New Roman" w:hAnsi="Times New Roman" w:cs="Times New Roman"/>
          <w:szCs w:val="32"/>
          <w:lang w:val="en-US" w:eastAsia="zh-CN"/>
        </w:rPr>
        <w:t>生态旅游</w:t>
      </w:r>
      <w:r>
        <w:rPr>
          <w:rFonts w:ascii="Times New Roman" w:hAnsi="Times New Roman" w:cs="Times New Roman"/>
          <w:szCs w:val="32"/>
        </w:rPr>
        <w:t xml:space="preserve">产品打造提供了有利条件。 </w:t>
      </w:r>
    </w:p>
    <w:p>
      <w:pPr>
        <w:ind w:firstLine="643"/>
        <w:rPr>
          <w:rFonts w:ascii="Times New Roman" w:hAnsi="Times New Roman" w:cs="Times New Roman"/>
          <w:b/>
          <w:bCs/>
          <w:szCs w:val="32"/>
        </w:rPr>
      </w:pPr>
      <w:r>
        <w:rPr>
          <w:rFonts w:ascii="Times New Roman" w:hAnsi="Times New Roman" w:cs="Times New Roman"/>
          <w:b/>
          <w:bCs/>
          <w:szCs w:val="32"/>
        </w:rPr>
        <w:t>（4）具有保护价值区域</w:t>
      </w:r>
    </w:p>
    <w:p>
      <w:pPr>
        <w:ind w:firstLine="643"/>
        <w:rPr>
          <w:rFonts w:ascii="Times New Roman" w:hAnsi="Times New Roman" w:cs="Times New Roman"/>
          <w:szCs w:val="32"/>
        </w:rPr>
      </w:pPr>
      <w:r>
        <w:rPr>
          <w:rFonts w:ascii="Times New Roman" w:hAnsi="Times New Roman" w:cs="Times New Roman"/>
          <w:b/>
          <w:szCs w:val="32"/>
        </w:rPr>
        <w:t>无量河：</w:t>
      </w:r>
      <w:r>
        <w:rPr>
          <w:rFonts w:ascii="Times New Roman" w:hAnsi="Times New Roman" w:cs="Times New Roman"/>
          <w:szCs w:val="32"/>
        </w:rPr>
        <w:t>无量河是理塘县境内最主要的河流，流域内也是县境内人口最集中、经济相对活跃的</w:t>
      </w:r>
      <w:r>
        <w:rPr>
          <w:rFonts w:hint="eastAsia" w:ascii="Times New Roman" w:hAnsi="Times New Roman" w:cs="Times New Roman"/>
          <w:szCs w:val="32"/>
          <w:lang w:val="en-US" w:eastAsia="zh-CN"/>
        </w:rPr>
        <w:t>区域</w:t>
      </w:r>
      <w:r>
        <w:rPr>
          <w:rFonts w:ascii="Times New Roman" w:hAnsi="Times New Roman" w:cs="Times New Roman"/>
          <w:szCs w:val="32"/>
        </w:rPr>
        <w:t>，县城高城镇也在</w:t>
      </w:r>
      <w:r>
        <w:rPr>
          <w:rFonts w:hint="eastAsia" w:ascii="Times New Roman" w:hAnsi="Times New Roman" w:cs="Times New Roman"/>
          <w:szCs w:val="32"/>
          <w:lang w:val="en-US" w:eastAsia="zh-CN"/>
        </w:rPr>
        <w:t>无量河</w:t>
      </w:r>
      <w:r>
        <w:rPr>
          <w:rFonts w:ascii="Times New Roman" w:hAnsi="Times New Roman" w:cs="Times New Roman"/>
          <w:szCs w:val="32"/>
        </w:rPr>
        <w:t>流域内。县境域内</w:t>
      </w:r>
      <w:r>
        <w:rPr>
          <w:rFonts w:hint="eastAsia" w:ascii="Times New Roman" w:hAnsi="Times New Roman" w:cs="Times New Roman"/>
          <w:szCs w:val="32"/>
          <w:lang w:val="en-US" w:eastAsia="zh-CN"/>
        </w:rPr>
        <w:t>无量河</w:t>
      </w:r>
      <w:r>
        <w:rPr>
          <w:rFonts w:ascii="Times New Roman" w:hAnsi="Times New Roman" w:cs="Times New Roman"/>
          <w:szCs w:val="32"/>
        </w:rPr>
        <w:t>流长218千米，流域面积6400平方千米，多年平均流量为97.79立方米/秒，天然落差2050</w:t>
      </w:r>
      <w:r>
        <w:rPr>
          <w:rFonts w:hint="eastAsia" w:ascii="Times New Roman" w:hAnsi="Times New Roman" w:cs="Times New Roman"/>
          <w:szCs w:val="32"/>
          <w:lang w:val="en-US" w:eastAsia="zh-CN"/>
        </w:rPr>
        <w:t>米</w:t>
      </w:r>
      <w:r>
        <w:rPr>
          <w:rFonts w:ascii="Times New Roman" w:hAnsi="Times New Roman" w:cs="Times New Roman"/>
          <w:szCs w:val="32"/>
        </w:rPr>
        <w:t>。水能储量大，理论装机容量为80万千瓦。流域在濯桑以上辽阔坦荡，河谷开阔，河流切割浅，两岸阶地宽平，局部低洼地段沼泽发育（如大毛垭坝），并有冰川湖群。濯桑以下，河流穿行于横断山地高山峡谷中，下切加剧，岭谷高差1000米左右。河口以下，河谷岭脊较坦缓，谷内深切，河流比降减小，各段比降分别为5.6‰，7.0‰和1.5‰</w:t>
      </w:r>
    </w:p>
    <w:p>
      <w:pPr>
        <w:ind w:firstLine="643"/>
        <w:rPr>
          <w:rFonts w:ascii="Times New Roman" w:hAnsi="Times New Roman" w:cs="Times New Roman"/>
          <w:szCs w:val="32"/>
        </w:rPr>
      </w:pPr>
      <w:r>
        <w:rPr>
          <w:rFonts w:ascii="Times New Roman" w:hAnsi="Times New Roman" w:cs="Times New Roman"/>
          <w:b/>
          <w:szCs w:val="32"/>
        </w:rPr>
        <w:t>海子山：</w:t>
      </w:r>
      <w:r>
        <w:rPr>
          <w:rFonts w:ascii="Times New Roman" w:hAnsi="Times New Roman" w:cs="Times New Roman"/>
          <w:szCs w:val="32"/>
        </w:rPr>
        <w:t>海子山古冰体遗迹分布在海拔4500</w:t>
      </w:r>
      <w:r>
        <w:rPr>
          <w:rFonts w:hint="eastAsia" w:ascii="Times New Roman" w:hAnsi="Times New Roman" w:cs="Times New Roman"/>
          <w:szCs w:val="32"/>
          <w:lang w:eastAsia="zh-CN"/>
        </w:rPr>
        <w:t>—</w:t>
      </w:r>
      <w:r>
        <w:rPr>
          <w:rFonts w:ascii="Times New Roman" w:hAnsi="Times New Roman" w:cs="Times New Roman"/>
          <w:szCs w:val="32"/>
        </w:rPr>
        <w:t>4700米的山原面上，有角峰、古冰斗、U形槽谷、冰蚀洼地、冰斗湖等冰蚀地貌，以及终碛堤、侧碛堤、冰川基碛、蛇形丘、羊背石、冰川漂砾等冰川堆积地貌。浅浅的小丘与海子相间，仿佛是火星地表，为古冰川地貌。海子山高原面是青藏高原最大的古冰体遗迹。海子山是鹿、獐、熊、豹、野猪、野羊和珍稀白唇鹿栖息之地，产高原黄鱼。地球历史上曾经有三次被冰雪覆盖的时代，被地质学家称为“三大冰期”，即距今7亿年左右的南华纪晚世的南华纪大冰期、距今3亿年左右的晚古生代大冰期和距今</w:t>
      </w:r>
      <w:r>
        <w:rPr>
          <w:rFonts w:hint="eastAsia" w:ascii="Times New Roman" w:hAnsi="Times New Roman" w:cs="Times New Roman"/>
          <w:szCs w:val="32"/>
          <w:lang w:eastAsia="zh-CN"/>
        </w:rPr>
        <w:t>260万-300万</w:t>
      </w:r>
      <w:r>
        <w:rPr>
          <w:rFonts w:ascii="Times New Roman" w:hAnsi="Times New Roman" w:cs="Times New Roman"/>
          <w:szCs w:val="32"/>
        </w:rPr>
        <w:t>年至今的第四纪大冰期。海子山古冰帽便属于第四纪大冰期的遗迹。这次冰期因为距离现今的时间最近，同时伴随着人类诞生和发展，具有重要意义。青藏高原第四纪气候变化研究，通常被视为是</w:t>
      </w:r>
      <w:r>
        <w:rPr>
          <w:rFonts w:hint="eastAsia" w:ascii="Times New Roman" w:hAnsi="Times New Roman" w:cs="Times New Roman"/>
          <w:szCs w:val="32"/>
          <w:lang w:eastAsia="zh-CN"/>
        </w:rPr>
        <w:t>揭开</w:t>
      </w:r>
      <w:r>
        <w:rPr>
          <w:rFonts w:ascii="Times New Roman" w:hAnsi="Times New Roman" w:cs="Times New Roman"/>
          <w:szCs w:val="32"/>
        </w:rPr>
        <w:t>全球环境变化的关键，而古冰川事件则是第四纪时期气候波动最直接、最有力的地质证据。因而，分布于青藏高原及其周边地区的第四纪冰川也就自然而然成了研究亚洲乃至全球气候变化的重要内容之一。</w:t>
      </w:r>
    </w:p>
    <w:p>
      <w:pPr>
        <w:ind w:firstLine="643"/>
        <w:rPr>
          <w:rFonts w:ascii="Times New Roman" w:hAnsi="Times New Roman" w:cs="Times New Roman"/>
          <w:szCs w:val="32"/>
        </w:rPr>
      </w:pPr>
      <w:r>
        <w:rPr>
          <w:rFonts w:ascii="Times New Roman" w:hAnsi="Times New Roman" w:cs="Times New Roman"/>
          <w:b/>
          <w:szCs w:val="32"/>
        </w:rPr>
        <w:t>扎嘎神山：</w:t>
      </w:r>
      <w:r>
        <w:rPr>
          <w:rFonts w:ascii="Times New Roman" w:hAnsi="Times New Roman" w:cs="Times New Roman"/>
          <w:szCs w:val="32"/>
        </w:rPr>
        <w:t>“扎嘎神山”位于青藏高原东南边缘丘状高原向高原峡谷过渡的山原地带，相对地势较大，北段高原面保留较多，河流下切较浅，南段则山脊平均高度明显下降，河谷较宽。地势总趋势是西部和中部高亢，向东南和东北倾斜。其主要特征有地形起伏较大，地貌类型复杂，受南北向构造的控制，境内山脉和水系均呈南北走向，东西排列，山川相间。这种走向排列、岭谷相间的地貌成为境内水平分布的主要地貌格局。随地貌外营力作用不断加强，区域内部的地貌类型日趋复杂化，山地形成明显的垂直分带，由低到高依次出现中山、高山、极高山等类型，在山地的窄谷、宽谷和高山顶夷平面又出现台地，高平坝、高山原等类型。地势高亢，高差较大</w:t>
      </w:r>
      <w:r>
        <w:rPr>
          <w:rFonts w:hint="eastAsia" w:ascii="Times New Roman" w:hAnsi="Times New Roman" w:cs="Times New Roman"/>
          <w:szCs w:val="32"/>
          <w:lang w:eastAsia="zh-CN"/>
        </w:rPr>
        <w:t>，</w:t>
      </w:r>
      <w:r>
        <w:rPr>
          <w:rFonts w:ascii="Times New Roman" w:hAnsi="Times New Roman" w:cs="Times New Roman"/>
          <w:szCs w:val="32"/>
        </w:rPr>
        <w:t>由于山地构造和抬升，境内大部分地区高于海拔4000米。古夷平面分布于广大高山地区，尤以中部、西部山原面地区为典型，二级古夷平面最为发育，地形起伏较为平缓，除寒冻风化作用外，受流水侵蚀和切割作用不显著，使高山原顶部古夷平面保持比较完整。</w:t>
      </w:r>
    </w:p>
    <w:p>
      <w:pPr>
        <w:ind w:firstLine="640"/>
        <w:rPr>
          <w:rFonts w:ascii="Times New Roman" w:hAnsi="Times New Roman" w:cs="Times New Roman"/>
          <w:szCs w:val="32"/>
        </w:rPr>
      </w:pPr>
      <w:r>
        <w:rPr>
          <w:rFonts w:ascii="Times New Roman" w:hAnsi="Times New Roman" w:cs="Times New Roman"/>
          <w:szCs w:val="32"/>
        </w:rPr>
        <w:t>重点保护价值的区域主要包括海子山、无量河和扎嘎神山</w:t>
      </w:r>
      <w:r>
        <w:rPr>
          <w:rFonts w:hint="eastAsia" w:ascii="Times New Roman" w:hAnsi="Times New Roman" w:cs="Times New Roman"/>
          <w:szCs w:val="32"/>
          <w:lang w:val="en-US" w:eastAsia="zh-CN"/>
        </w:rPr>
        <w:t>等</w:t>
      </w:r>
      <w:r>
        <w:rPr>
          <w:rFonts w:ascii="Times New Roman" w:hAnsi="Times New Roman" w:cs="Times New Roman"/>
          <w:szCs w:val="32"/>
        </w:rPr>
        <w:t>区域。</w:t>
      </w:r>
    </w:p>
    <w:p>
      <w:pPr>
        <w:ind w:firstLine="640"/>
        <w:rPr>
          <w:rFonts w:ascii="黑体" w:hAnsi="黑体" w:eastAsia="黑体" w:cs="黑体"/>
          <w:szCs w:val="32"/>
        </w:rPr>
      </w:pPr>
      <w:r>
        <w:rPr>
          <w:rFonts w:hint="eastAsia" w:ascii="黑体" w:hAnsi="黑体" w:eastAsia="黑体" w:cs="黑体"/>
          <w:szCs w:val="32"/>
        </w:rPr>
        <w:t>（二）自然保护地现状</w:t>
      </w:r>
    </w:p>
    <w:p>
      <w:pPr>
        <w:ind w:firstLine="643"/>
        <w:rPr>
          <w:rFonts w:ascii="Times New Roman" w:hAnsi="Times New Roman" w:cs="Times New Roman"/>
          <w:szCs w:val="32"/>
        </w:rPr>
      </w:pPr>
      <w:r>
        <w:rPr>
          <w:rFonts w:ascii="Times New Roman" w:hAnsi="Times New Roman" w:cs="Times New Roman"/>
          <w:b/>
          <w:szCs w:val="32"/>
        </w:rPr>
        <w:t>类型：</w:t>
      </w:r>
      <w:r>
        <w:rPr>
          <w:rFonts w:ascii="Times New Roman" w:hAnsi="Times New Roman" w:cs="Times New Roman"/>
          <w:szCs w:val="32"/>
        </w:rPr>
        <w:t>理塘县</w:t>
      </w:r>
      <w:r>
        <w:rPr>
          <w:rFonts w:hint="eastAsia" w:ascii="Times New Roman" w:hAnsi="Times New Roman" w:cs="Times New Roman"/>
          <w:szCs w:val="32"/>
          <w:lang w:val="en-US" w:eastAsia="zh-CN"/>
        </w:rPr>
        <w:t>境内</w:t>
      </w:r>
      <w:r>
        <w:rPr>
          <w:rFonts w:ascii="Times New Roman" w:hAnsi="Times New Roman" w:cs="Times New Roman"/>
          <w:szCs w:val="32"/>
        </w:rPr>
        <w:t>自然保护地类型包括自然保护区、湿地公园和风景名胜区3类。</w:t>
      </w:r>
    </w:p>
    <w:p>
      <w:pPr>
        <w:ind w:firstLine="643"/>
        <w:rPr>
          <w:rFonts w:ascii="Times New Roman" w:hAnsi="Times New Roman" w:cs="Times New Roman"/>
          <w:szCs w:val="32"/>
        </w:rPr>
      </w:pPr>
      <w:r>
        <w:rPr>
          <w:rFonts w:ascii="Times New Roman" w:hAnsi="Times New Roman" w:cs="Times New Roman"/>
          <w:b/>
          <w:szCs w:val="32"/>
        </w:rPr>
        <w:t>级别：</w:t>
      </w:r>
      <w:r>
        <w:rPr>
          <w:rFonts w:hint="eastAsia" w:ascii="Times New Roman" w:hAnsi="Times New Roman" w:cs="Times New Roman"/>
          <w:szCs w:val="32"/>
        </w:rPr>
        <w:t>四川</w:t>
      </w:r>
      <w:r>
        <w:rPr>
          <w:rFonts w:ascii="Times New Roman" w:hAnsi="Times New Roman" w:cs="Times New Roman"/>
          <w:szCs w:val="32"/>
        </w:rPr>
        <w:t>海子山国家级自然保护区级别为国家级，扎嘎神山自然保护区为县级，格木自然保护区级别为县级，无量河省级湿地公园级别为省级，</w:t>
      </w:r>
      <w:r>
        <w:rPr>
          <w:rFonts w:hint="eastAsia" w:ascii="Times New Roman" w:hAnsi="Times New Roman" w:cs="Times New Roman"/>
          <w:szCs w:val="32"/>
        </w:rPr>
        <w:t>理塘</w:t>
      </w:r>
      <w:r>
        <w:rPr>
          <w:rFonts w:ascii="Times New Roman" w:hAnsi="Times New Roman" w:cs="Times New Roman"/>
          <w:szCs w:val="32"/>
        </w:rPr>
        <w:t>擦若溪风景名胜区级别省级。</w:t>
      </w:r>
    </w:p>
    <w:p>
      <w:pPr>
        <w:ind w:firstLine="643"/>
        <w:rPr>
          <w:rFonts w:ascii="Times New Roman" w:hAnsi="Times New Roman" w:cs="Times New Roman"/>
          <w:szCs w:val="32"/>
        </w:rPr>
      </w:pPr>
      <w:r>
        <w:rPr>
          <w:rFonts w:ascii="Times New Roman" w:hAnsi="Times New Roman" w:cs="Times New Roman"/>
          <w:b/>
          <w:szCs w:val="32"/>
        </w:rPr>
        <w:t>数量：</w:t>
      </w:r>
      <w:r>
        <w:rPr>
          <w:rFonts w:ascii="Times New Roman" w:hAnsi="Times New Roman" w:cs="Times New Roman"/>
          <w:szCs w:val="32"/>
        </w:rPr>
        <w:t>自然保护区3个，湿地公园1个，风景名胜区1个。</w:t>
      </w:r>
    </w:p>
    <w:p>
      <w:pPr>
        <w:ind w:firstLine="643"/>
        <w:rPr>
          <w:rFonts w:ascii="Times New Roman" w:hAnsi="Times New Roman" w:cs="Times New Roman"/>
          <w:szCs w:val="32"/>
        </w:rPr>
      </w:pPr>
      <w:r>
        <w:rPr>
          <w:rFonts w:ascii="Times New Roman" w:hAnsi="Times New Roman" w:cs="Times New Roman"/>
          <w:b/>
          <w:szCs w:val="32"/>
        </w:rPr>
        <w:t>面积：</w:t>
      </w:r>
      <w:r>
        <w:rPr>
          <w:rFonts w:hint="eastAsia" w:ascii="Times New Roman" w:hAnsi="Times New Roman" w:cs="Times New Roman"/>
          <w:szCs w:val="32"/>
        </w:rPr>
        <w:t>理塘县</w:t>
      </w:r>
      <w:r>
        <w:rPr>
          <w:rFonts w:hint="eastAsia" w:ascii="Times New Roman" w:hAnsi="Times New Roman" w:cs="Times New Roman"/>
          <w:szCs w:val="32"/>
          <w:lang w:val="en-US" w:eastAsia="zh-CN"/>
        </w:rPr>
        <w:t>5</w:t>
      </w:r>
      <w:r>
        <w:rPr>
          <w:rFonts w:ascii="Times New Roman" w:hAnsi="Times New Roman" w:cs="Times New Roman"/>
          <w:szCs w:val="32"/>
        </w:rPr>
        <w:t>个自然保护地总面积</w:t>
      </w:r>
      <w:r>
        <w:rPr>
          <w:rFonts w:hint="eastAsia" w:ascii="Times New Roman" w:hAnsi="Times New Roman" w:cs="Times New Roman"/>
          <w:szCs w:val="32"/>
        </w:rPr>
        <w:t>638501.97</w:t>
      </w:r>
      <w:r>
        <w:rPr>
          <w:rFonts w:ascii="Times New Roman" w:hAnsi="Times New Roman" w:cs="Times New Roman"/>
          <w:szCs w:val="32"/>
        </w:rPr>
        <w:t>公顷，其中四川海子山国家级自然保护区总面积459161公顷</w:t>
      </w:r>
      <w:r>
        <w:rPr>
          <w:rFonts w:hint="eastAsia" w:ascii="Times New Roman" w:hAnsi="Times New Roman" w:cs="Times New Roman"/>
          <w:szCs w:val="32"/>
        </w:rPr>
        <w:t>（</w:t>
      </w:r>
      <w:r>
        <w:rPr>
          <w:rFonts w:ascii="Times New Roman" w:hAnsi="Times New Roman" w:cs="Times New Roman"/>
          <w:szCs w:val="32"/>
        </w:rPr>
        <w:t>理塘县部分为334608公顷，稻城县部分为124553公顷</w:t>
      </w:r>
      <w:r>
        <w:rPr>
          <w:rFonts w:hint="eastAsia" w:ascii="Times New Roman" w:hAnsi="Times New Roman" w:cs="Times New Roman"/>
          <w:szCs w:val="32"/>
        </w:rPr>
        <w:t>）</w:t>
      </w:r>
      <w:r>
        <w:rPr>
          <w:rFonts w:ascii="Times New Roman" w:hAnsi="Times New Roman" w:cs="Times New Roman"/>
          <w:szCs w:val="32"/>
        </w:rPr>
        <w:t>；四川扎嘎神山自然保护区总面积为</w:t>
      </w:r>
      <w:r>
        <w:rPr>
          <w:rFonts w:hint="eastAsia" w:ascii="Times New Roman" w:hAnsi="Times New Roman" w:cs="Times New Roman"/>
          <w:szCs w:val="32"/>
        </w:rPr>
        <w:t>160692.39</w:t>
      </w:r>
      <w:r>
        <w:rPr>
          <w:rFonts w:ascii="Times New Roman" w:hAnsi="Times New Roman" w:cs="Times New Roman"/>
          <w:szCs w:val="32"/>
        </w:rPr>
        <w:t>公顷；四川格木自然保护区总面积为</w:t>
      </w:r>
      <w:r>
        <w:rPr>
          <w:rFonts w:hint="eastAsia" w:ascii="Times New Roman" w:hAnsi="Times New Roman" w:cs="Times New Roman"/>
          <w:szCs w:val="32"/>
        </w:rPr>
        <w:t>134370.65</w:t>
      </w:r>
      <w:r>
        <w:rPr>
          <w:rFonts w:ascii="Times New Roman" w:hAnsi="Times New Roman" w:cs="Times New Roman"/>
          <w:szCs w:val="32"/>
        </w:rPr>
        <w:t>公顷；四川理塘无量河湿地自然公园总面积为</w:t>
      </w:r>
      <w:r>
        <w:rPr>
          <w:rFonts w:hint="eastAsia" w:ascii="Times New Roman" w:hAnsi="Times New Roman" w:cs="Times New Roman"/>
          <w:szCs w:val="32"/>
        </w:rPr>
        <w:t>3710.06</w:t>
      </w:r>
      <w:r>
        <w:rPr>
          <w:rFonts w:ascii="Times New Roman" w:hAnsi="Times New Roman" w:cs="Times New Roman"/>
          <w:szCs w:val="32"/>
        </w:rPr>
        <w:t xml:space="preserve">公顷；擦若溪风景名胜区总面积 </w:t>
      </w:r>
      <w:r>
        <w:rPr>
          <w:rFonts w:hint="eastAsia" w:ascii="Times New Roman" w:hAnsi="Times New Roman" w:cs="Times New Roman"/>
          <w:szCs w:val="32"/>
        </w:rPr>
        <w:t>6570.00</w:t>
      </w:r>
      <w:r>
        <w:rPr>
          <w:rFonts w:hint="eastAsia" w:ascii="Times New Roman" w:hAnsi="Times New Roman" w:cs="Times New Roman"/>
          <w:szCs w:val="32"/>
          <w:lang w:val="en-US" w:eastAsia="zh-CN"/>
        </w:rPr>
        <w:t>公顷</w:t>
      </w:r>
      <w:r>
        <w:rPr>
          <w:rFonts w:ascii="Times New Roman" w:hAnsi="Times New Roman" w:cs="Times New Roman"/>
          <w:szCs w:val="32"/>
        </w:rPr>
        <w:t>。</w:t>
      </w:r>
    </w:p>
    <w:p>
      <w:pPr>
        <w:ind w:firstLine="643"/>
        <w:rPr>
          <w:rFonts w:ascii="Times New Roman" w:hAnsi="Times New Roman" w:cs="Times New Roman"/>
          <w:szCs w:val="32"/>
        </w:rPr>
      </w:pPr>
      <w:r>
        <w:rPr>
          <w:rFonts w:ascii="Times New Roman" w:hAnsi="Times New Roman" w:cs="Times New Roman"/>
          <w:b/>
          <w:szCs w:val="32"/>
        </w:rPr>
        <w:t>管理机构：</w:t>
      </w:r>
      <w:r>
        <w:rPr>
          <w:rFonts w:ascii="Times New Roman" w:hAnsi="Times New Roman" w:cs="Times New Roman"/>
          <w:szCs w:val="32"/>
        </w:rPr>
        <w:t>四川海子山国家级自然保护区管理处统一管理四川海子山国家级自然保护区、扎嘎神山自然保护区、格木自然保护区、四川理塘无量河湿地公园、</w:t>
      </w:r>
      <w:r>
        <w:rPr>
          <w:rFonts w:hint="eastAsia" w:ascii="Times New Roman" w:hAnsi="Times New Roman" w:cs="Times New Roman"/>
          <w:szCs w:val="32"/>
        </w:rPr>
        <w:t>理塘</w:t>
      </w:r>
      <w:r>
        <w:rPr>
          <w:rFonts w:ascii="Times New Roman" w:hAnsi="Times New Roman" w:cs="Times New Roman"/>
          <w:szCs w:val="32"/>
        </w:rPr>
        <w:t>擦若溪风景名胜区。</w:t>
      </w:r>
    </w:p>
    <w:p>
      <w:pPr>
        <w:ind w:firstLine="643"/>
        <w:rPr>
          <w:rFonts w:ascii="Times New Roman" w:hAnsi="Times New Roman" w:cs="Times New Roman"/>
          <w:szCs w:val="32"/>
        </w:rPr>
      </w:pPr>
      <w:r>
        <w:rPr>
          <w:rFonts w:ascii="Times New Roman" w:hAnsi="Times New Roman" w:cs="Times New Roman"/>
          <w:b/>
          <w:szCs w:val="32"/>
        </w:rPr>
        <w:t>占国土面积比例：</w:t>
      </w:r>
      <w:r>
        <w:rPr>
          <w:rFonts w:hint="eastAsia" w:ascii="Times New Roman" w:hAnsi="Times New Roman" w:cs="Times New Roman"/>
          <w:szCs w:val="32"/>
        </w:rPr>
        <w:t>理塘县</w:t>
      </w:r>
      <w:r>
        <w:rPr>
          <w:rFonts w:hint="eastAsia" w:ascii="Times New Roman" w:hAnsi="Times New Roman" w:cs="Times New Roman"/>
          <w:szCs w:val="32"/>
          <w:lang w:val="en-US" w:eastAsia="zh-CN"/>
        </w:rPr>
        <w:t>自然</w:t>
      </w:r>
      <w:r>
        <w:rPr>
          <w:rFonts w:ascii="Times New Roman" w:hAnsi="Times New Roman" w:cs="Times New Roman"/>
          <w:szCs w:val="32"/>
        </w:rPr>
        <w:t>保护地面积占国土面积比例为4</w:t>
      </w:r>
      <w:r>
        <w:rPr>
          <w:rFonts w:hint="eastAsia" w:ascii="Times New Roman" w:hAnsi="Times New Roman" w:cs="Times New Roman"/>
          <w:szCs w:val="32"/>
        </w:rPr>
        <w:t>4.49</w:t>
      </w:r>
      <w:r>
        <w:rPr>
          <w:rFonts w:ascii="Times New Roman" w:hAnsi="Times New Roman" w:cs="Times New Roman"/>
          <w:szCs w:val="32"/>
        </w:rPr>
        <w:t>%。</w:t>
      </w:r>
    </w:p>
    <w:p>
      <w:pPr>
        <w:ind w:firstLine="640"/>
        <w:rPr>
          <w:rFonts w:ascii="黑体" w:hAnsi="黑体" w:eastAsia="黑体" w:cs="黑体"/>
          <w:szCs w:val="32"/>
        </w:rPr>
      </w:pPr>
      <w:r>
        <w:rPr>
          <w:rFonts w:hint="eastAsia" w:ascii="黑体" w:hAnsi="黑体" w:eastAsia="黑体" w:cs="黑体"/>
          <w:szCs w:val="32"/>
        </w:rPr>
        <w:t>（三）整合优化工作开展情况</w:t>
      </w:r>
    </w:p>
    <w:p>
      <w:pPr>
        <w:ind w:firstLine="643"/>
        <w:rPr>
          <w:rFonts w:ascii="Times New Roman" w:hAnsi="Times New Roman" w:cs="Times New Roman"/>
          <w:szCs w:val="32"/>
        </w:rPr>
      </w:pPr>
      <w:r>
        <w:rPr>
          <w:rFonts w:ascii="Times New Roman" w:hAnsi="Times New Roman" w:cs="Times New Roman"/>
          <w:b/>
          <w:szCs w:val="32"/>
        </w:rPr>
        <w:t>一是</w:t>
      </w:r>
      <w:r>
        <w:rPr>
          <w:rFonts w:ascii="Times New Roman" w:hAnsi="Times New Roman" w:cs="Times New Roman"/>
          <w:szCs w:val="32"/>
        </w:rPr>
        <w:t>成立理塘县保护地优化整合工作领导小组，</w:t>
      </w:r>
      <w:r>
        <w:rPr>
          <w:rFonts w:hint="eastAsia" w:ascii="Times New Roman" w:hAnsi="Times New Roman" w:cs="Times New Roman"/>
          <w:szCs w:val="32"/>
        </w:rPr>
        <w:t>专题</w:t>
      </w:r>
      <w:r>
        <w:rPr>
          <w:rFonts w:ascii="Times New Roman" w:hAnsi="Times New Roman" w:cs="Times New Roman"/>
          <w:szCs w:val="32"/>
        </w:rPr>
        <w:t>研究部署相关工作；</w:t>
      </w:r>
      <w:r>
        <w:rPr>
          <w:rFonts w:ascii="Times New Roman" w:hAnsi="Times New Roman" w:cs="Times New Roman"/>
          <w:b/>
          <w:szCs w:val="32"/>
        </w:rPr>
        <w:t>二是</w:t>
      </w:r>
      <w:r>
        <w:rPr>
          <w:rFonts w:ascii="Times New Roman" w:hAnsi="Times New Roman" w:cs="Times New Roman"/>
          <w:szCs w:val="32"/>
        </w:rPr>
        <w:t>协调发改、自然资源、生态环境、水务、农业农村、乡村振兴、住建、文化旅游等相关部门核实保护地</w:t>
      </w:r>
      <w:r>
        <w:rPr>
          <w:rFonts w:hint="eastAsia" w:ascii="Times New Roman" w:hAnsi="Times New Roman" w:cs="Times New Roman"/>
          <w:szCs w:val="32"/>
        </w:rPr>
        <w:t>有关</w:t>
      </w:r>
      <w:r>
        <w:rPr>
          <w:rFonts w:ascii="Times New Roman" w:hAnsi="Times New Roman" w:cs="Times New Roman"/>
          <w:szCs w:val="32"/>
        </w:rPr>
        <w:t>项目、</w:t>
      </w:r>
      <w:r>
        <w:rPr>
          <w:rFonts w:hint="eastAsia" w:ascii="Times New Roman" w:hAnsi="Times New Roman" w:cs="Times New Roman"/>
          <w:szCs w:val="32"/>
        </w:rPr>
        <w:t>村庄、</w:t>
      </w:r>
      <w:r>
        <w:rPr>
          <w:rFonts w:ascii="Times New Roman" w:hAnsi="Times New Roman" w:cs="Times New Roman"/>
          <w:szCs w:val="32"/>
        </w:rPr>
        <w:t>居民、</w:t>
      </w:r>
      <w:r>
        <w:rPr>
          <w:rFonts w:hint="eastAsia" w:ascii="Times New Roman" w:hAnsi="Times New Roman" w:cs="Times New Roman"/>
          <w:szCs w:val="32"/>
        </w:rPr>
        <w:t>矿产</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旅游</w:t>
      </w:r>
      <w:r>
        <w:rPr>
          <w:rFonts w:ascii="Times New Roman" w:hAnsi="Times New Roman" w:cs="Times New Roman"/>
          <w:szCs w:val="32"/>
        </w:rPr>
        <w:t>等情况；</w:t>
      </w:r>
      <w:r>
        <w:rPr>
          <w:rFonts w:ascii="Times New Roman" w:hAnsi="Times New Roman" w:cs="Times New Roman"/>
          <w:b/>
          <w:szCs w:val="32"/>
        </w:rPr>
        <w:t>三是</w:t>
      </w:r>
      <w:r>
        <w:rPr>
          <w:rFonts w:ascii="Times New Roman" w:hAnsi="Times New Roman" w:cs="Times New Roman"/>
          <w:szCs w:val="32"/>
        </w:rPr>
        <w:t>现场踏勘，组织技术人员实地勘察保护地</w:t>
      </w:r>
      <w:r>
        <w:rPr>
          <w:rFonts w:hint="eastAsia" w:ascii="Times New Roman" w:hAnsi="Times New Roman" w:cs="Times New Roman"/>
          <w:szCs w:val="32"/>
        </w:rPr>
        <w:t>涉及的</w:t>
      </w:r>
      <w:r>
        <w:rPr>
          <w:rFonts w:ascii="Times New Roman" w:hAnsi="Times New Roman" w:cs="Times New Roman"/>
          <w:szCs w:val="32"/>
        </w:rPr>
        <w:t>项目、村庄</w:t>
      </w:r>
      <w:r>
        <w:rPr>
          <w:rFonts w:hint="eastAsia" w:ascii="Times New Roman" w:hAnsi="Times New Roman" w:cs="Times New Roman"/>
          <w:szCs w:val="32"/>
        </w:rPr>
        <w:t>、商品林地、基本农田</w:t>
      </w:r>
      <w:r>
        <w:rPr>
          <w:rFonts w:ascii="Times New Roman" w:hAnsi="Times New Roman" w:cs="Times New Roman"/>
          <w:szCs w:val="32"/>
        </w:rPr>
        <w:t>等分布情况。</w:t>
      </w:r>
    </w:p>
    <w:p>
      <w:pPr>
        <w:ind w:firstLine="720"/>
        <w:rPr>
          <w:rFonts w:ascii="黑体" w:hAnsi="黑体" w:eastAsia="黑体" w:cs="黑体"/>
          <w:sz w:val="36"/>
          <w:szCs w:val="36"/>
        </w:rPr>
      </w:pPr>
      <w:r>
        <w:rPr>
          <w:rFonts w:hint="eastAsia" w:ascii="黑体" w:hAnsi="黑体" w:eastAsia="黑体" w:cs="黑体"/>
          <w:sz w:val="36"/>
          <w:szCs w:val="36"/>
        </w:rPr>
        <w:t>二、自然保护地存在的主要问题和冲突现状</w:t>
      </w:r>
    </w:p>
    <w:p>
      <w:pPr>
        <w:ind w:firstLine="600"/>
        <w:rPr>
          <w:rFonts w:ascii="Times New Roman" w:hAnsi="Times New Roman" w:eastAsia="黑体" w:cs="Times New Roman"/>
          <w:sz w:val="30"/>
          <w:szCs w:val="30"/>
        </w:rPr>
      </w:pPr>
      <w:r>
        <w:rPr>
          <w:rFonts w:hint="eastAsia" w:ascii="Times New Roman" w:hAnsi="Times New Roman" w:eastAsia="黑体" w:cs="Times New Roman"/>
          <w:sz w:val="30"/>
          <w:szCs w:val="30"/>
        </w:rPr>
        <w:t>（一）</w:t>
      </w:r>
      <w:r>
        <w:rPr>
          <w:rFonts w:ascii="Times New Roman" w:hAnsi="Times New Roman" w:eastAsia="黑体" w:cs="Times New Roman"/>
          <w:sz w:val="30"/>
          <w:szCs w:val="30"/>
        </w:rPr>
        <w:t>不同类型自然保护地交叉重叠情况</w:t>
      </w:r>
    </w:p>
    <w:p>
      <w:pPr>
        <w:ind w:firstLine="640"/>
        <w:rPr>
          <w:rFonts w:ascii="Times New Roman" w:hAnsi="Times New Roman" w:cs="Times New Roman"/>
          <w:szCs w:val="32"/>
        </w:rPr>
      </w:pPr>
      <w:r>
        <w:rPr>
          <w:rFonts w:hint="eastAsia" w:ascii="Times New Roman" w:hAnsi="Times New Roman" w:cs="Times New Roman"/>
          <w:szCs w:val="32"/>
        </w:rPr>
        <w:t>理塘县</w:t>
      </w:r>
      <w:r>
        <w:rPr>
          <w:rFonts w:ascii="Times New Roman" w:hAnsi="Times New Roman" w:cs="Times New Roman"/>
          <w:szCs w:val="32"/>
        </w:rPr>
        <w:t>涉及2个保护地</w:t>
      </w:r>
      <w:r>
        <w:rPr>
          <w:rFonts w:hint="eastAsia" w:ascii="Times New Roman" w:hAnsi="Times New Roman" w:cs="Times New Roman"/>
          <w:szCs w:val="32"/>
        </w:rPr>
        <w:t>交叉重叠</w:t>
      </w:r>
      <w:r>
        <w:rPr>
          <w:rFonts w:ascii="Times New Roman" w:hAnsi="Times New Roman" w:cs="Times New Roman"/>
          <w:szCs w:val="32"/>
        </w:rPr>
        <w:t>分别是四川海子山国家级自然保护区和格木自然保护区</w:t>
      </w:r>
      <w:r>
        <w:rPr>
          <w:rFonts w:hint="eastAsia" w:ascii="Times New Roman" w:hAnsi="Times New Roman" w:cs="Times New Roman"/>
          <w:szCs w:val="32"/>
        </w:rPr>
        <w:t>，</w:t>
      </w:r>
      <w:r>
        <w:rPr>
          <w:rFonts w:ascii="Times New Roman" w:hAnsi="Times New Roman" w:cs="Times New Roman"/>
          <w:szCs w:val="32"/>
        </w:rPr>
        <w:t>类型为自然保护区</w:t>
      </w:r>
      <w:r>
        <w:rPr>
          <w:rFonts w:hint="eastAsia" w:ascii="Times New Roman" w:hAnsi="Times New Roman" w:cs="Times New Roman"/>
          <w:szCs w:val="32"/>
        </w:rPr>
        <w:t>，</w:t>
      </w:r>
      <w:r>
        <w:rPr>
          <w:rFonts w:ascii="Times New Roman" w:hAnsi="Times New Roman" w:cs="Times New Roman"/>
          <w:szCs w:val="32"/>
        </w:rPr>
        <w:t>级别为国家级和县级。交叉重叠的面积为69544公顷。重叠原因</w:t>
      </w:r>
      <w:r>
        <w:rPr>
          <w:rFonts w:hint="eastAsia" w:ascii="Times New Roman" w:hAnsi="Times New Roman" w:cs="Times New Roman"/>
          <w:szCs w:val="32"/>
        </w:rPr>
        <w:t>为</w:t>
      </w:r>
      <w:r>
        <w:rPr>
          <w:rFonts w:ascii="Times New Roman" w:hAnsi="Times New Roman" w:cs="Times New Roman"/>
          <w:szCs w:val="32"/>
        </w:rPr>
        <w:t>在保护地</w:t>
      </w:r>
      <w:r>
        <w:rPr>
          <w:rFonts w:hint="eastAsia" w:ascii="Times New Roman" w:hAnsi="Times New Roman" w:cs="Times New Roman"/>
          <w:szCs w:val="32"/>
        </w:rPr>
        <w:t>建设时范围</w:t>
      </w:r>
      <w:r>
        <w:rPr>
          <w:rFonts w:ascii="Times New Roman" w:hAnsi="Times New Roman" w:cs="Times New Roman"/>
          <w:szCs w:val="32"/>
        </w:rPr>
        <w:t>划分技术</w:t>
      </w:r>
      <w:r>
        <w:rPr>
          <w:rFonts w:hint="eastAsia" w:ascii="Times New Roman" w:hAnsi="Times New Roman" w:cs="Times New Roman"/>
          <w:szCs w:val="32"/>
        </w:rPr>
        <w:t>相对落后导致保护地交叉重叠</w:t>
      </w:r>
      <w:r>
        <w:rPr>
          <w:rFonts w:ascii="Times New Roman" w:hAnsi="Times New Roman" w:cs="Times New Roman"/>
          <w:szCs w:val="32"/>
        </w:rPr>
        <w:t>。</w:t>
      </w: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pStyle w:val="2"/>
        <w:ind w:firstLine="640"/>
      </w:pPr>
    </w:p>
    <w:p>
      <w:pPr>
        <w:ind w:left="0" w:leftChars="0" w:right="-451" w:rightChars="-141" w:firstLine="0" w:firstLineChars="0"/>
        <w:jc w:val="center"/>
        <w:rPr>
          <w:rFonts w:ascii="Times New Roman" w:hAnsi="Times New Roman" w:cs="Times New Roman"/>
          <w:b/>
          <w:szCs w:val="32"/>
        </w:rPr>
      </w:pPr>
      <w:r>
        <w:rPr>
          <w:rFonts w:ascii="Times New Roman" w:hAnsi="Times New Roman" w:cs="Times New Roman"/>
          <w:b/>
          <w:szCs w:val="32"/>
        </w:rPr>
        <w:t>四川海子山国家级自然保护</w:t>
      </w:r>
      <w:r>
        <w:rPr>
          <w:rFonts w:hint="eastAsia" w:ascii="Times New Roman" w:hAnsi="Times New Roman" w:cs="Times New Roman"/>
          <w:b/>
          <w:szCs w:val="32"/>
          <w:lang w:val="en-US" w:eastAsia="zh-CN"/>
        </w:rPr>
        <w:t>区</w:t>
      </w:r>
      <w:r>
        <w:rPr>
          <w:rFonts w:ascii="Times New Roman" w:hAnsi="Times New Roman" w:cs="Times New Roman"/>
          <w:b/>
          <w:szCs w:val="32"/>
        </w:rPr>
        <w:t>重叠整合汇总表</w:t>
      </w:r>
    </w:p>
    <w:p>
      <w:pPr>
        <w:ind w:right="-451" w:rightChars="-141" w:firstLine="643"/>
        <w:jc w:val="center"/>
        <w:rPr>
          <w:rFonts w:ascii="Times New Roman" w:hAnsi="Times New Roman" w:cs="Times New Roman"/>
          <w:b/>
          <w:sz w:val="28"/>
          <w:szCs w:val="28"/>
        </w:rPr>
      </w:pPr>
      <w:r>
        <w:rPr>
          <w:rFonts w:hint="eastAsia" w:ascii="Times New Roman" w:hAnsi="Times New Roman" w:cs="Times New Roman"/>
          <w:b/>
          <w:szCs w:val="32"/>
        </w:rPr>
        <w:t xml:space="preserve">            </w:t>
      </w:r>
      <w:r>
        <w:rPr>
          <w:rFonts w:ascii="Times New Roman" w:hAnsi="Times New Roman" w:cs="Times New Roman"/>
          <w:b/>
          <w:szCs w:val="32"/>
        </w:rPr>
        <w:t xml:space="preserve">                </w:t>
      </w:r>
      <w:r>
        <w:rPr>
          <w:rFonts w:hint="eastAsia" w:ascii="Times New Roman" w:hAnsi="Times New Roman" w:cs="Times New Roman"/>
          <w:b/>
          <w:szCs w:val="32"/>
        </w:rPr>
        <w:t xml:space="preserve">          </w:t>
      </w:r>
      <w:r>
        <w:rPr>
          <w:rFonts w:ascii="Times New Roman" w:hAnsi="Times New Roman" w:cs="Times New Roman"/>
          <w:b/>
          <w:sz w:val="28"/>
          <w:szCs w:val="28"/>
        </w:rPr>
        <w:t>单位：公顷</w:t>
      </w:r>
    </w:p>
    <w:tbl>
      <w:tblPr>
        <w:tblStyle w:val="8"/>
        <w:tblW w:w="4998" w:type="pct"/>
        <w:tblInd w:w="0" w:type="dxa"/>
        <w:tblLayout w:type="autofit"/>
        <w:tblCellMar>
          <w:top w:w="0" w:type="dxa"/>
          <w:left w:w="108" w:type="dxa"/>
          <w:bottom w:w="0" w:type="dxa"/>
          <w:right w:w="108" w:type="dxa"/>
        </w:tblCellMar>
      </w:tblPr>
      <w:tblGrid>
        <w:gridCol w:w="433"/>
        <w:gridCol w:w="1121"/>
        <w:gridCol w:w="629"/>
        <w:gridCol w:w="545"/>
        <w:gridCol w:w="864"/>
        <w:gridCol w:w="1282"/>
        <w:gridCol w:w="1121"/>
        <w:gridCol w:w="2524"/>
      </w:tblGrid>
      <w:tr>
        <w:tblPrEx>
          <w:tblCellMar>
            <w:top w:w="0" w:type="dxa"/>
            <w:left w:w="108" w:type="dxa"/>
            <w:bottom w:w="0" w:type="dxa"/>
            <w:right w:w="108" w:type="dxa"/>
          </w:tblCellMar>
        </w:tblPrEx>
        <w:trPr>
          <w:trHeight w:val="270" w:hRule="atLeast"/>
          <w:tblHeader/>
        </w:trPr>
        <w:tc>
          <w:tcPr>
            <w:tcW w:w="1281" w:type="pct"/>
            <w:gridSpan w:val="3"/>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整合后</w:t>
            </w:r>
          </w:p>
        </w:tc>
        <w:tc>
          <w:tcPr>
            <w:tcW w:w="320" w:type="pct"/>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整合方式</w:t>
            </w:r>
          </w:p>
        </w:tc>
        <w:tc>
          <w:tcPr>
            <w:tcW w:w="3397" w:type="pct"/>
            <w:gridSpan w:val="4"/>
            <w:tcBorders>
              <w:top w:val="single" w:color="auto" w:sz="4" w:space="0"/>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整合前</w:t>
            </w:r>
          </w:p>
        </w:tc>
      </w:tr>
      <w:tr>
        <w:tblPrEx>
          <w:tblCellMar>
            <w:top w:w="0" w:type="dxa"/>
            <w:left w:w="108" w:type="dxa"/>
            <w:bottom w:w="0" w:type="dxa"/>
            <w:right w:w="108" w:type="dxa"/>
          </w:tblCellMar>
        </w:tblPrEx>
        <w:trPr>
          <w:trHeight w:val="270" w:hRule="atLeast"/>
          <w:tblHeader/>
        </w:trPr>
        <w:tc>
          <w:tcPr>
            <w:tcW w:w="254"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编号</w:t>
            </w:r>
          </w:p>
        </w:tc>
        <w:tc>
          <w:tcPr>
            <w:tcW w:w="658"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X_014</w:t>
            </w:r>
          </w:p>
        </w:tc>
        <w:tc>
          <w:tcPr>
            <w:tcW w:w="36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功能分区</w:t>
            </w:r>
          </w:p>
        </w:tc>
        <w:tc>
          <w:tcPr>
            <w:tcW w:w="320" w:type="pct"/>
            <w:vMerge w:val="continue"/>
            <w:tcBorders>
              <w:top w:val="single" w:color="auto" w:sz="4" w:space="0"/>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功能分区</w:t>
            </w:r>
          </w:p>
        </w:tc>
        <w:tc>
          <w:tcPr>
            <w:tcW w:w="752"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保护地名称</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面积</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说明</w:t>
            </w:r>
          </w:p>
        </w:tc>
      </w:tr>
      <w:tr>
        <w:tblPrEx>
          <w:tblCellMar>
            <w:top w:w="0" w:type="dxa"/>
            <w:left w:w="108" w:type="dxa"/>
            <w:bottom w:w="0" w:type="dxa"/>
            <w:right w:w="108" w:type="dxa"/>
          </w:tblCellMar>
        </w:tblPrEx>
        <w:trPr>
          <w:trHeight w:val="517"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367" w:type="pct"/>
            <w:vMerge w:val="restart"/>
            <w:tcBorders>
              <w:top w:val="nil"/>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核心保护区</w:t>
            </w:r>
          </w:p>
        </w:tc>
        <w:tc>
          <w:tcPr>
            <w:tcW w:w="320" w:type="pct"/>
            <w:vMerge w:val="restart"/>
            <w:tcBorders>
              <w:top w:val="nil"/>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保留</w:t>
            </w: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核心区</w:t>
            </w:r>
          </w:p>
        </w:tc>
        <w:tc>
          <w:tcPr>
            <w:tcW w:w="752" w:type="pct"/>
            <w:vMerge w:val="restart"/>
            <w:tcBorders>
              <w:top w:val="nil"/>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四川海子山国家级自然保护区</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225372.95</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海子山核心区单独保留部分</w:t>
            </w:r>
          </w:p>
        </w:tc>
      </w:tr>
      <w:tr>
        <w:tblPrEx>
          <w:tblCellMar>
            <w:top w:w="0" w:type="dxa"/>
            <w:left w:w="108" w:type="dxa"/>
            <w:bottom w:w="0" w:type="dxa"/>
            <w:right w:w="108" w:type="dxa"/>
          </w:tblCellMar>
        </w:tblPrEx>
        <w:trPr>
          <w:trHeight w:val="270" w:hRule="atLeast"/>
        </w:trPr>
        <w:tc>
          <w:tcPr>
            <w:tcW w:w="254"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名称</w:t>
            </w:r>
          </w:p>
        </w:tc>
        <w:tc>
          <w:tcPr>
            <w:tcW w:w="658"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四川海子山国家级自然保护区</w:t>
            </w:r>
          </w:p>
        </w:tc>
        <w:tc>
          <w:tcPr>
            <w:tcW w:w="367"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320"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缓冲区</w:t>
            </w:r>
          </w:p>
        </w:tc>
        <w:tc>
          <w:tcPr>
            <w:tcW w:w="752"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60675.22</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海子山缓冲区单独保留部分</w:t>
            </w:r>
          </w:p>
        </w:tc>
      </w:tr>
      <w:tr>
        <w:tblPrEx>
          <w:tblCellMar>
            <w:top w:w="0" w:type="dxa"/>
            <w:left w:w="108" w:type="dxa"/>
            <w:bottom w:w="0" w:type="dxa"/>
            <w:right w:w="108" w:type="dxa"/>
          </w:tblCellMar>
        </w:tblPrEx>
        <w:trPr>
          <w:trHeight w:val="270"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367"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一般控制区</w:t>
            </w:r>
          </w:p>
        </w:tc>
        <w:tc>
          <w:tcPr>
            <w:tcW w:w="320"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核心区</w:t>
            </w:r>
          </w:p>
        </w:tc>
        <w:tc>
          <w:tcPr>
            <w:tcW w:w="752"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4396.68</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海子山核心区单独保留且调整为一般控制区部分</w:t>
            </w:r>
          </w:p>
        </w:tc>
      </w:tr>
      <w:tr>
        <w:tblPrEx>
          <w:tblCellMar>
            <w:top w:w="0" w:type="dxa"/>
            <w:left w:w="108" w:type="dxa"/>
            <w:bottom w:w="0" w:type="dxa"/>
            <w:right w:w="108" w:type="dxa"/>
          </w:tblCellMar>
        </w:tblPrEx>
        <w:trPr>
          <w:trHeight w:val="270"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367"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320"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缓冲区</w:t>
            </w:r>
          </w:p>
        </w:tc>
        <w:tc>
          <w:tcPr>
            <w:tcW w:w="752"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1600.28</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海子山缓冲区单独保留且调整为一般控制区部分</w:t>
            </w:r>
          </w:p>
        </w:tc>
      </w:tr>
      <w:tr>
        <w:tblPrEx>
          <w:tblCellMar>
            <w:top w:w="0" w:type="dxa"/>
            <w:left w:w="108" w:type="dxa"/>
            <w:bottom w:w="0" w:type="dxa"/>
            <w:right w:w="108" w:type="dxa"/>
          </w:tblCellMar>
        </w:tblPrEx>
        <w:trPr>
          <w:trHeight w:val="270"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367"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320"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实验区</w:t>
            </w:r>
          </w:p>
        </w:tc>
        <w:tc>
          <w:tcPr>
            <w:tcW w:w="752"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91953.53</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海子山实验区单独保留部分</w:t>
            </w:r>
          </w:p>
        </w:tc>
      </w:tr>
      <w:tr>
        <w:tblPrEx>
          <w:tblCellMar>
            <w:top w:w="0" w:type="dxa"/>
            <w:left w:w="108" w:type="dxa"/>
            <w:bottom w:w="0" w:type="dxa"/>
            <w:right w:w="108" w:type="dxa"/>
          </w:tblCellMar>
        </w:tblPrEx>
        <w:trPr>
          <w:trHeight w:val="270" w:hRule="atLeast"/>
        </w:trPr>
        <w:tc>
          <w:tcPr>
            <w:tcW w:w="254"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级别</w:t>
            </w:r>
          </w:p>
        </w:tc>
        <w:tc>
          <w:tcPr>
            <w:tcW w:w="658"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国家级</w:t>
            </w:r>
          </w:p>
        </w:tc>
        <w:tc>
          <w:tcPr>
            <w:tcW w:w="367" w:type="pct"/>
            <w:vMerge w:val="restart"/>
            <w:tcBorders>
              <w:top w:val="nil"/>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核心保护区</w:t>
            </w:r>
          </w:p>
        </w:tc>
        <w:tc>
          <w:tcPr>
            <w:tcW w:w="320"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重叠整合</w:t>
            </w: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核心区</w:t>
            </w:r>
          </w:p>
        </w:tc>
        <w:tc>
          <w:tcPr>
            <w:tcW w:w="752" w:type="pct"/>
            <w:vMerge w:val="restart"/>
            <w:tcBorders>
              <w:top w:val="nil"/>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四川格木自然保护区</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34763.80</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海子山缓冲区与格木重叠部分，整合至海子山</w:t>
            </w:r>
          </w:p>
        </w:tc>
      </w:tr>
      <w:tr>
        <w:tblPrEx>
          <w:tblCellMar>
            <w:top w:w="0" w:type="dxa"/>
            <w:left w:w="108" w:type="dxa"/>
            <w:bottom w:w="0" w:type="dxa"/>
            <w:right w:w="108" w:type="dxa"/>
          </w:tblCellMar>
        </w:tblPrEx>
        <w:trPr>
          <w:trHeight w:val="270"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367"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320"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缓冲区</w:t>
            </w:r>
          </w:p>
        </w:tc>
        <w:tc>
          <w:tcPr>
            <w:tcW w:w="752"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14171.33</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海子山实验区与格木重叠部分，整合至海子山</w:t>
            </w:r>
          </w:p>
        </w:tc>
      </w:tr>
      <w:tr>
        <w:tblPrEx>
          <w:tblCellMar>
            <w:top w:w="0" w:type="dxa"/>
            <w:left w:w="108" w:type="dxa"/>
            <w:bottom w:w="0" w:type="dxa"/>
            <w:right w:w="108" w:type="dxa"/>
          </w:tblCellMar>
        </w:tblPrEx>
        <w:trPr>
          <w:trHeight w:val="270" w:hRule="atLeast"/>
        </w:trPr>
        <w:tc>
          <w:tcPr>
            <w:tcW w:w="254"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核心保护区</w:t>
            </w:r>
          </w:p>
        </w:tc>
        <w:tc>
          <w:tcPr>
            <w:tcW w:w="658"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334983.30</w:t>
            </w:r>
          </w:p>
        </w:tc>
        <w:tc>
          <w:tcPr>
            <w:tcW w:w="36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一般控制区</w:t>
            </w:r>
          </w:p>
        </w:tc>
        <w:tc>
          <w:tcPr>
            <w:tcW w:w="320"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实验区</w:t>
            </w:r>
          </w:p>
        </w:tc>
        <w:tc>
          <w:tcPr>
            <w:tcW w:w="752" w:type="pct"/>
            <w:vMerge w:val="continue"/>
            <w:tcBorders>
              <w:top w:val="nil"/>
              <w:left w:val="single" w:color="auto" w:sz="4" w:space="0"/>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23117.96</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海子山核心区与格木重叠部分，整合至海子山</w:t>
            </w:r>
          </w:p>
        </w:tc>
      </w:tr>
      <w:tr>
        <w:tblPrEx>
          <w:tblCellMar>
            <w:top w:w="0" w:type="dxa"/>
            <w:left w:w="108" w:type="dxa"/>
            <w:bottom w:w="0" w:type="dxa"/>
            <w:right w:w="108" w:type="dxa"/>
          </w:tblCellMar>
        </w:tblPrEx>
        <w:trPr>
          <w:trHeight w:val="270"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88" w:type="pct"/>
            <w:gridSpan w:val="2"/>
            <w:vMerge w:val="restart"/>
            <w:tcBorders>
              <w:top w:val="single" w:color="auto" w:sz="4" w:space="0"/>
              <w:left w:val="single" w:color="auto" w:sz="4" w:space="0"/>
              <w:bottom w:val="single" w:color="000000" w:sz="4" w:space="0"/>
              <w:right w:val="single" w:color="000000" w:sz="4" w:space="0"/>
            </w:tcBorders>
            <w:vAlign w:val="center"/>
          </w:tcPr>
          <w:p>
            <w:pPr>
              <w:spacing w:line="300" w:lineRule="exact"/>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c>
          <w:tcPr>
            <w:tcW w:w="507"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整合前计</w:t>
            </w:r>
          </w:p>
        </w:tc>
        <w:tc>
          <w:tcPr>
            <w:tcW w:w="752"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保护区计</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456051.75</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CellMar>
            <w:top w:w="0" w:type="dxa"/>
            <w:left w:w="108" w:type="dxa"/>
            <w:bottom w:w="0" w:type="dxa"/>
            <w:right w:w="108" w:type="dxa"/>
          </w:tblCellMar>
        </w:tblPrEx>
        <w:trPr>
          <w:trHeight w:val="270" w:hRule="atLeast"/>
        </w:trPr>
        <w:tc>
          <w:tcPr>
            <w:tcW w:w="254"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一般控制区</w:t>
            </w:r>
          </w:p>
        </w:tc>
        <w:tc>
          <w:tcPr>
            <w:tcW w:w="658" w:type="pct"/>
            <w:vMerge w:val="restart"/>
            <w:tcBorders>
              <w:top w:val="nil"/>
              <w:left w:val="single" w:color="auto" w:sz="4" w:space="0"/>
              <w:bottom w:val="single" w:color="000000"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121012.52</w:t>
            </w:r>
          </w:p>
        </w:tc>
        <w:tc>
          <w:tcPr>
            <w:tcW w:w="688" w:type="pct"/>
            <w:gridSpan w:val="2"/>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752"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核心区</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264533.43</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CellMar>
            <w:top w:w="0" w:type="dxa"/>
            <w:left w:w="108" w:type="dxa"/>
            <w:bottom w:w="0" w:type="dxa"/>
            <w:right w:w="108" w:type="dxa"/>
          </w:tblCellMar>
        </w:tblPrEx>
        <w:trPr>
          <w:trHeight w:val="270" w:hRule="atLeast"/>
        </w:trPr>
        <w:tc>
          <w:tcPr>
            <w:tcW w:w="254"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58"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688" w:type="pct"/>
            <w:gridSpan w:val="2"/>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752"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缓冲区</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76446.83</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r>
        <w:tblPrEx>
          <w:tblCellMar>
            <w:top w:w="0" w:type="dxa"/>
            <w:left w:w="108" w:type="dxa"/>
            <w:bottom w:w="0" w:type="dxa"/>
            <w:right w:w="108" w:type="dxa"/>
          </w:tblCellMar>
        </w:tblPrEx>
        <w:trPr>
          <w:trHeight w:val="270" w:hRule="atLeast"/>
        </w:trPr>
        <w:tc>
          <w:tcPr>
            <w:tcW w:w="254" w:type="pct"/>
            <w:tcBorders>
              <w:top w:val="nil"/>
              <w:left w:val="single" w:color="auto" w:sz="4" w:space="0"/>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合计</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455995.82</w:t>
            </w:r>
          </w:p>
        </w:tc>
        <w:tc>
          <w:tcPr>
            <w:tcW w:w="688" w:type="pct"/>
            <w:gridSpan w:val="2"/>
            <w:vMerge w:val="continue"/>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p>
        </w:tc>
        <w:tc>
          <w:tcPr>
            <w:tcW w:w="507" w:type="pct"/>
            <w:vMerge w:val="continue"/>
            <w:tcBorders>
              <w:top w:val="nil"/>
              <w:left w:val="single" w:color="auto" w:sz="4" w:space="0"/>
              <w:bottom w:val="single" w:color="000000" w:sz="4" w:space="0"/>
              <w:right w:val="single" w:color="auto" w:sz="4" w:space="0"/>
            </w:tcBorders>
            <w:vAlign w:val="center"/>
          </w:tcPr>
          <w:p>
            <w:pPr>
              <w:spacing w:line="300" w:lineRule="exact"/>
              <w:ind w:firstLine="0" w:firstLineChars="0"/>
              <w:jc w:val="left"/>
              <w:rPr>
                <w:rFonts w:ascii="Times New Roman" w:hAnsi="Times New Roman" w:cs="Times New Roman"/>
                <w:b/>
                <w:bCs/>
                <w:color w:val="000000"/>
                <w:kern w:val="0"/>
                <w:sz w:val="21"/>
                <w:szCs w:val="21"/>
              </w:rPr>
            </w:pPr>
          </w:p>
        </w:tc>
        <w:tc>
          <w:tcPr>
            <w:tcW w:w="752"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实验区</w:t>
            </w:r>
          </w:p>
        </w:tc>
        <w:tc>
          <w:tcPr>
            <w:tcW w:w="658" w:type="pct"/>
            <w:tcBorders>
              <w:top w:val="nil"/>
              <w:left w:val="nil"/>
              <w:bottom w:val="single" w:color="auto" w:sz="4" w:space="0"/>
              <w:right w:val="single" w:color="auto" w:sz="4" w:space="0"/>
            </w:tcBorders>
            <w:vAlign w:val="center"/>
          </w:tcPr>
          <w:p>
            <w:pPr>
              <w:spacing w:line="300" w:lineRule="exact"/>
              <w:ind w:firstLine="0" w:firstLineChars="0"/>
              <w:jc w:val="center"/>
              <w:rPr>
                <w:rFonts w:ascii="Times New Roman" w:hAnsi="Times New Roman" w:cs="Times New Roman"/>
                <w:b/>
                <w:bCs/>
                <w:color w:val="000000"/>
                <w:kern w:val="0"/>
                <w:sz w:val="21"/>
                <w:szCs w:val="21"/>
              </w:rPr>
            </w:pPr>
            <w:r>
              <w:rPr>
                <w:rFonts w:ascii="Times New Roman" w:hAnsi="Times New Roman" w:cs="Times New Roman"/>
                <w:b/>
                <w:bCs/>
                <w:color w:val="000000"/>
                <w:kern w:val="0"/>
                <w:sz w:val="21"/>
                <w:szCs w:val="21"/>
              </w:rPr>
              <w:t>115071.49</w:t>
            </w:r>
          </w:p>
        </w:tc>
        <w:tc>
          <w:tcPr>
            <w:tcW w:w="1478" w:type="pct"/>
            <w:tcBorders>
              <w:top w:val="nil"/>
              <w:left w:val="nil"/>
              <w:bottom w:val="single" w:color="auto" w:sz="4" w:space="0"/>
              <w:right w:val="single" w:color="auto" w:sz="4" w:space="0"/>
            </w:tcBorders>
            <w:vAlign w:val="center"/>
          </w:tcPr>
          <w:p>
            <w:pPr>
              <w:spacing w:line="300" w:lineRule="exact"/>
              <w:ind w:firstLine="0" w:firstLineChars="0"/>
              <w:jc w:val="left"/>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　</w:t>
            </w:r>
          </w:p>
        </w:tc>
      </w:tr>
    </w:tbl>
    <w:p>
      <w:pPr>
        <w:ind w:firstLine="600"/>
        <w:rPr>
          <w:rFonts w:ascii="Times New Roman" w:hAnsi="Times New Roman" w:eastAsia="黑体" w:cs="Times New Roman"/>
          <w:sz w:val="30"/>
          <w:szCs w:val="30"/>
        </w:rPr>
      </w:pPr>
      <w:r>
        <w:rPr>
          <w:rFonts w:hint="eastAsia" w:ascii="Times New Roman" w:hAnsi="Times New Roman" w:eastAsia="黑体" w:cs="Times New Roman"/>
          <w:sz w:val="30"/>
          <w:szCs w:val="30"/>
        </w:rPr>
        <w:t>（二）现有自然保护地内冲突概况</w:t>
      </w:r>
    </w:p>
    <w:p>
      <w:pPr>
        <w:numPr>
          <w:ilvl w:val="0"/>
          <w:numId w:val="1"/>
        </w:numPr>
        <w:ind w:left="0" w:firstLine="643"/>
        <w:rPr>
          <w:b/>
          <w:bCs/>
        </w:rPr>
      </w:pPr>
      <w:r>
        <w:rPr>
          <w:b/>
          <w:bCs/>
        </w:rPr>
        <w:t>县域自然保护地存在的问题</w:t>
      </w:r>
    </w:p>
    <w:p>
      <w:pPr>
        <w:ind w:firstLine="643"/>
      </w:pPr>
      <w:r>
        <w:rPr>
          <w:rFonts w:ascii="Times New Roman" w:hAnsi="Times New Roman" w:cs="Times New Roman"/>
          <w:b/>
          <w:szCs w:val="32"/>
        </w:rPr>
        <w:t>一是</w:t>
      </w:r>
      <w:r>
        <w:t>存在村庄、乡镇、原住民生活区域；</w:t>
      </w:r>
      <w:r>
        <w:rPr>
          <w:b/>
          <w:bCs/>
        </w:rPr>
        <w:t>二是</w:t>
      </w:r>
      <w:r>
        <w:t>保护区</w:t>
      </w:r>
      <w:r>
        <w:rPr>
          <w:rFonts w:hint="eastAsia"/>
        </w:rPr>
        <w:t>之间</w:t>
      </w:r>
      <w:r>
        <w:t>存在</w:t>
      </w:r>
      <w:r>
        <w:rPr>
          <w:rFonts w:hint="eastAsia"/>
          <w:lang w:val="en-US" w:eastAsia="zh-CN"/>
        </w:rPr>
        <w:t>部分</w:t>
      </w:r>
      <w:r>
        <w:t>重叠；</w:t>
      </w:r>
      <w:r>
        <w:rPr>
          <w:rFonts w:ascii="Times New Roman" w:hAnsi="Times New Roman" w:cs="Times New Roman"/>
          <w:b/>
          <w:szCs w:val="32"/>
        </w:rPr>
        <w:t>三是</w:t>
      </w:r>
      <w:r>
        <w:t>存在基本农田在保护区内；</w:t>
      </w:r>
      <w:r>
        <w:rPr>
          <w:rFonts w:ascii="Times New Roman" w:hAnsi="Times New Roman" w:cs="Times New Roman"/>
          <w:b/>
          <w:szCs w:val="32"/>
        </w:rPr>
        <w:t>四</w:t>
      </w:r>
      <w:r>
        <w:rPr>
          <w:rFonts w:hint="eastAsia" w:ascii="Times New Roman" w:hAnsi="Times New Roman" w:cs="Times New Roman"/>
          <w:b/>
          <w:szCs w:val="32"/>
        </w:rPr>
        <w:t>是</w:t>
      </w:r>
      <w:r>
        <w:t>人工商品林在保护区</w:t>
      </w:r>
      <w:r>
        <w:rPr>
          <w:rFonts w:hint="eastAsia"/>
        </w:rPr>
        <w:t>内</w:t>
      </w:r>
      <w:r>
        <w:t>；</w:t>
      </w:r>
      <w:r>
        <w:rPr>
          <w:rFonts w:ascii="Times New Roman" w:hAnsi="Times New Roman" w:cs="Times New Roman"/>
          <w:b/>
          <w:szCs w:val="32"/>
        </w:rPr>
        <w:t>五</w:t>
      </w:r>
      <w:r>
        <w:rPr>
          <w:rFonts w:hint="eastAsia" w:ascii="Times New Roman" w:hAnsi="Times New Roman" w:cs="Times New Roman"/>
          <w:b/>
          <w:szCs w:val="32"/>
        </w:rPr>
        <w:t>是</w:t>
      </w:r>
      <w:r>
        <w:t>保护区内存在探矿权、采矿权、尾矿库等情况。</w:t>
      </w:r>
    </w:p>
    <w:p>
      <w:pPr>
        <w:ind w:firstLine="643"/>
        <w:rPr>
          <w:rFonts w:ascii="Times New Roman" w:hAnsi="Times New Roman" w:cs="Times New Roman"/>
          <w:szCs w:val="32"/>
        </w:rPr>
      </w:pPr>
      <w:r>
        <w:rPr>
          <w:rFonts w:ascii="Times New Roman" w:hAnsi="Times New Roman" w:cs="Times New Roman"/>
          <w:b/>
          <w:bCs/>
          <w:szCs w:val="32"/>
        </w:rPr>
        <w:t>（2）</w:t>
      </w:r>
      <w:r>
        <w:rPr>
          <w:rFonts w:hint="eastAsia" w:ascii="Times New Roman" w:hAnsi="Times New Roman" w:cs="Times New Roman"/>
          <w:b/>
          <w:bCs/>
          <w:szCs w:val="32"/>
        </w:rPr>
        <w:t>四川</w:t>
      </w:r>
      <w:r>
        <w:rPr>
          <w:rFonts w:ascii="Times New Roman" w:hAnsi="Times New Roman" w:cs="Times New Roman"/>
          <w:b/>
          <w:bCs/>
          <w:szCs w:val="32"/>
        </w:rPr>
        <w:t>海子山</w:t>
      </w:r>
      <w:r>
        <w:rPr>
          <w:rFonts w:hint="eastAsia" w:ascii="Times New Roman" w:hAnsi="Times New Roman" w:cs="Times New Roman"/>
          <w:b/>
          <w:bCs/>
          <w:szCs w:val="32"/>
        </w:rPr>
        <w:t>国家级</w:t>
      </w:r>
      <w:r>
        <w:rPr>
          <w:rFonts w:ascii="Times New Roman" w:hAnsi="Times New Roman" w:cs="Times New Roman"/>
          <w:b/>
          <w:bCs/>
          <w:szCs w:val="32"/>
        </w:rPr>
        <w:t>自然保护区</w:t>
      </w:r>
    </w:p>
    <w:p>
      <w:pPr>
        <w:ind w:firstLine="643"/>
        <w:rPr>
          <w:rFonts w:ascii="Times New Roman" w:hAnsi="Times New Roman" w:cs="Times New Roman"/>
          <w:szCs w:val="32"/>
        </w:rPr>
      </w:pPr>
      <w:r>
        <w:rPr>
          <w:rFonts w:ascii="Times New Roman" w:hAnsi="Times New Roman" w:cs="Times New Roman"/>
          <w:b/>
          <w:szCs w:val="32"/>
        </w:rPr>
        <w:t>交叉重叠</w:t>
      </w:r>
      <w:r>
        <w:rPr>
          <w:rFonts w:hint="eastAsia" w:ascii="Times New Roman" w:hAnsi="Times New Roman" w:cs="Times New Roman"/>
          <w:b/>
          <w:szCs w:val="32"/>
        </w:rPr>
        <w:t>：</w:t>
      </w:r>
      <w:r>
        <w:rPr>
          <w:rFonts w:hint="eastAsia" w:ascii="Times New Roman" w:hAnsi="Times New Roman" w:cs="Times New Roman"/>
          <w:szCs w:val="32"/>
        </w:rPr>
        <w:t>四川</w:t>
      </w:r>
      <w:r>
        <w:rPr>
          <w:rFonts w:ascii="Times New Roman" w:hAnsi="Times New Roman" w:cs="Times New Roman"/>
          <w:szCs w:val="32"/>
        </w:rPr>
        <w:t>海子山</w:t>
      </w:r>
      <w:r>
        <w:rPr>
          <w:rFonts w:hint="eastAsia" w:ascii="Times New Roman" w:hAnsi="Times New Roman" w:cs="Times New Roman"/>
          <w:szCs w:val="32"/>
        </w:rPr>
        <w:t>国家级</w:t>
      </w:r>
      <w:r>
        <w:rPr>
          <w:rFonts w:ascii="Times New Roman" w:hAnsi="Times New Roman" w:cs="Times New Roman"/>
          <w:szCs w:val="32"/>
        </w:rPr>
        <w:t>自然保护区和格木自然保护区2个自然保护区存在部分重叠，重叠面积69544公顷，重叠的原因</w:t>
      </w:r>
      <w:r>
        <w:rPr>
          <w:rFonts w:hint="eastAsia" w:ascii="Times New Roman" w:hAnsi="Times New Roman" w:cs="Times New Roman"/>
          <w:szCs w:val="32"/>
        </w:rPr>
        <w:t>主要为</w:t>
      </w:r>
      <w:r>
        <w:rPr>
          <w:rFonts w:ascii="Times New Roman" w:hAnsi="Times New Roman" w:cs="Times New Roman"/>
          <w:szCs w:val="32"/>
        </w:rPr>
        <w:t>在保护地</w:t>
      </w:r>
      <w:r>
        <w:rPr>
          <w:rFonts w:hint="eastAsia" w:ascii="Times New Roman" w:hAnsi="Times New Roman" w:cs="Times New Roman"/>
          <w:szCs w:val="32"/>
        </w:rPr>
        <w:t>成立时</w:t>
      </w:r>
      <w:r>
        <w:rPr>
          <w:rFonts w:hint="eastAsia" w:ascii="Times New Roman" w:hAnsi="Times New Roman" w:cs="Times New Roman"/>
          <w:szCs w:val="32"/>
          <w:lang w:val="en-US" w:eastAsia="zh-CN"/>
        </w:rPr>
        <w:t>范围</w:t>
      </w:r>
      <w:r>
        <w:rPr>
          <w:rFonts w:ascii="Times New Roman" w:hAnsi="Times New Roman" w:cs="Times New Roman"/>
          <w:szCs w:val="32"/>
        </w:rPr>
        <w:t>划分技术</w:t>
      </w:r>
      <w:r>
        <w:rPr>
          <w:rFonts w:hint="eastAsia" w:ascii="Times New Roman" w:hAnsi="Times New Roman" w:cs="Times New Roman"/>
          <w:szCs w:val="32"/>
        </w:rPr>
        <w:t>落后</w:t>
      </w:r>
      <w:r>
        <w:rPr>
          <w:rFonts w:ascii="Times New Roman" w:hAnsi="Times New Roman" w:cs="Times New Roman"/>
          <w:szCs w:val="32"/>
        </w:rPr>
        <w:t>。</w:t>
      </w:r>
    </w:p>
    <w:p>
      <w:pPr>
        <w:ind w:firstLine="643"/>
        <w:rPr>
          <w:rFonts w:ascii="Times New Roman" w:hAnsi="Times New Roman" w:cs="Times New Roman"/>
        </w:rPr>
      </w:pPr>
      <w:r>
        <w:rPr>
          <w:rFonts w:ascii="Times New Roman" w:hAnsi="Times New Roman" w:cs="Times New Roman"/>
          <w:b/>
          <w:szCs w:val="32"/>
        </w:rPr>
        <w:t>村庄和人口</w:t>
      </w:r>
      <w:r>
        <w:rPr>
          <w:rFonts w:hint="eastAsia" w:ascii="Times New Roman" w:hAnsi="Times New Roman" w:cs="Times New Roman"/>
          <w:szCs w:val="32"/>
        </w:rPr>
        <w:t>：</w:t>
      </w:r>
      <w:r>
        <w:rPr>
          <w:rFonts w:ascii="Times New Roman" w:hAnsi="Times New Roman" w:cs="Times New Roman"/>
          <w:szCs w:val="32"/>
        </w:rPr>
        <w:t>涉及村庄面积；312.77公顷</w:t>
      </w:r>
      <w:r>
        <w:rPr>
          <w:rFonts w:hint="eastAsia" w:ascii="Times New Roman" w:hAnsi="Times New Roman" w:cs="Times New Roman"/>
          <w:szCs w:val="32"/>
        </w:rPr>
        <w:t>；</w:t>
      </w:r>
      <w:r>
        <w:rPr>
          <w:rFonts w:ascii="Times New Roman" w:hAnsi="Times New Roman" w:cs="Times New Roman"/>
          <w:szCs w:val="32"/>
        </w:rPr>
        <w:t>人口5295人。</w:t>
      </w:r>
    </w:p>
    <w:p>
      <w:pPr>
        <w:ind w:firstLine="643"/>
        <w:rPr>
          <w:rFonts w:ascii="Times New Roman" w:hAnsi="Times New Roman" w:cs="Times New Roman"/>
          <w:szCs w:val="32"/>
        </w:rPr>
      </w:pPr>
      <w:r>
        <w:rPr>
          <w:rFonts w:ascii="Times New Roman" w:hAnsi="Times New Roman" w:cs="Times New Roman"/>
          <w:b/>
          <w:szCs w:val="32"/>
        </w:rPr>
        <w:t>人工商品林</w:t>
      </w:r>
      <w:r>
        <w:rPr>
          <w:rFonts w:hint="eastAsia" w:ascii="Times New Roman" w:hAnsi="Times New Roman" w:cs="Times New Roman"/>
          <w:szCs w:val="32"/>
        </w:rPr>
        <w:t>：</w:t>
      </w:r>
      <w:r>
        <w:rPr>
          <w:rFonts w:ascii="Times New Roman" w:hAnsi="Times New Roman" w:cs="Times New Roman"/>
          <w:szCs w:val="32"/>
        </w:rPr>
        <w:t>涉及面积115.33公顷</w:t>
      </w:r>
      <w:r>
        <w:rPr>
          <w:rFonts w:hint="eastAsia" w:ascii="Times New Roman" w:hAnsi="Times New Roman" w:cs="Times New Roman"/>
          <w:szCs w:val="32"/>
        </w:rPr>
        <w:t>。</w:t>
      </w:r>
    </w:p>
    <w:p>
      <w:pPr>
        <w:pStyle w:val="4"/>
        <w:ind w:left="420"/>
        <w:rPr>
          <w:rFonts w:ascii="Times New Roman" w:hAnsi="Times New Roman" w:eastAsia="仿宋" w:cs="Times New Roman"/>
          <w:b/>
          <w:bCs w:val="0"/>
        </w:rPr>
      </w:pPr>
      <w:r>
        <w:rPr>
          <w:rFonts w:hint="eastAsia" w:ascii="Times New Roman" w:hAnsi="Times New Roman" w:eastAsia="仿宋" w:cs="Times New Roman"/>
          <w:b/>
          <w:bCs w:val="0"/>
        </w:rPr>
        <w:t>（3）</w:t>
      </w:r>
      <w:r>
        <w:rPr>
          <w:rFonts w:ascii="Times New Roman" w:hAnsi="Times New Roman" w:eastAsia="仿宋" w:cs="Times New Roman"/>
          <w:b/>
          <w:bCs w:val="0"/>
        </w:rPr>
        <w:t>扎嘎神山自然保护区</w:t>
      </w:r>
    </w:p>
    <w:p>
      <w:pPr>
        <w:ind w:firstLine="643"/>
        <w:rPr>
          <w:rFonts w:ascii="Times New Roman" w:hAnsi="Times New Roman" w:cs="Times New Roman"/>
          <w:szCs w:val="32"/>
        </w:rPr>
      </w:pPr>
      <w:r>
        <w:rPr>
          <w:rFonts w:ascii="Times New Roman" w:hAnsi="Times New Roman" w:cs="Times New Roman"/>
          <w:b/>
          <w:szCs w:val="32"/>
        </w:rPr>
        <w:t>村庄和人口</w:t>
      </w:r>
      <w:r>
        <w:rPr>
          <w:rFonts w:hint="eastAsia" w:ascii="Times New Roman" w:hAnsi="Times New Roman" w:cs="Times New Roman"/>
          <w:b/>
          <w:szCs w:val="32"/>
        </w:rPr>
        <w:t>：</w:t>
      </w:r>
      <w:r>
        <w:rPr>
          <w:rFonts w:ascii="Times New Roman" w:hAnsi="Times New Roman" w:cs="Times New Roman"/>
          <w:szCs w:val="32"/>
        </w:rPr>
        <w:t>涉及人口3340人</w:t>
      </w:r>
      <w:r>
        <w:rPr>
          <w:rFonts w:hint="eastAsia" w:ascii="Times New Roman" w:hAnsi="Times New Roman" w:cs="Times New Roman"/>
          <w:szCs w:val="32"/>
        </w:rPr>
        <w:t>；</w:t>
      </w:r>
      <w:r>
        <w:rPr>
          <w:rFonts w:ascii="Times New Roman" w:hAnsi="Times New Roman" w:cs="Times New Roman"/>
          <w:szCs w:val="32"/>
        </w:rPr>
        <w:t>村庄面积3876.89公顷。</w:t>
      </w:r>
    </w:p>
    <w:p>
      <w:pPr>
        <w:ind w:firstLine="643"/>
        <w:rPr>
          <w:rFonts w:ascii="Times New Roman" w:hAnsi="Times New Roman" w:cs="Times New Roman"/>
        </w:rPr>
      </w:pPr>
      <w:r>
        <w:rPr>
          <w:rFonts w:ascii="Times New Roman" w:hAnsi="Times New Roman" w:cs="Times New Roman"/>
          <w:b/>
          <w:szCs w:val="32"/>
        </w:rPr>
        <w:t>永久基本农田</w:t>
      </w:r>
      <w:r>
        <w:rPr>
          <w:rFonts w:hint="eastAsia" w:ascii="Times New Roman" w:hAnsi="Times New Roman" w:cs="Times New Roman"/>
          <w:szCs w:val="32"/>
        </w:rPr>
        <w:t>：</w:t>
      </w:r>
      <w:r>
        <w:rPr>
          <w:rFonts w:ascii="Times New Roman" w:hAnsi="Times New Roman" w:cs="Times New Roman"/>
          <w:szCs w:val="32"/>
        </w:rPr>
        <w:t>涉及面积116.97公顷。</w:t>
      </w:r>
    </w:p>
    <w:p>
      <w:pPr>
        <w:ind w:firstLine="643"/>
        <w:rPr>
          <w:rFonts w:ascii="Times New Roman" w:hAnsi="Times New Roman" w:cs="Times New Roman"/>
          <w:szCs w:val="32"/>
        </w:rPr>
      </w:pPr>
      <w:r>
        <w:rPr>
          <w:rFonts w:ascii="Times New Roman" w:hAnsi="Times New Roman" w:cs="Times New Roman"/>
          <w:b/>
          <w:szCs w:val="32"/>
        </w:rPr>
        <w:t>人工商品林</w:t>
      </w:r>
      <w:r>
        <w:rPr>
          <w:rFonts w:hint="eastAsia" w:ascii="Times New Roman" w:hAnsi="Times New Roman" w:cs="Times New Roman"/>
          <w:b/>
          <w:szCs w:val="32"/>
        </w:rPr>
        <w:t>：</w:t>
      </w:r>
      <w:r>
        <w:rPr>
          <w:rFonts w:ascii="Times New Roman" w:hAnsi="Times New Roman" w:cs="Times New Roman"/>
          <w:szCs w:val="32"/>
        </w:rPr>
        <w:t>涉及面积8.87公顷</w:t>
      </w:r>
      <w:r>
        <w:rPr>
          <w:rFonts w:hint="eastAsia" w:ascii="Times New Roman" w:hAnsi="Times New Roman" w:cs="Times New Roman"/>
          <w:szCs w:val="32"/>
        </w:rPr>
        <w:t>。</w:t>
      </w:r>
    </w:p>
    <w:p>
      <w:pPr>
        <w:ind w:firstLine="643"/>
        <w:rPr>
          <w:rFonts w:ascii="Times New Roman" w:hAnsi="Times New Roman" w:cs="Times New Roman"/>
        </w:rPr>
      </w:pPr>
      <w:r>
        <w:rPr>
          <w:rFonts w:ascii="Times New Roman" w:hAnsi="Times New Roman" w:cs="Times New Roman"/>
          <w:b/>
          <w:szCs w:val="32"/>
        </w:rPr>
        <w:t>矿业权</w:t>
      </w:r>
      <w:r>
        <w:rPr>
          <w:rFonts w:hint="eastAsia" w:ascii="Times New Roman" w:hAnsi="Times New Roman" w:cs="Times New Roman"/>
          <w:szCs w:val="32"/>
        </w:rPr>
        <w:t>：</w:t>
      </w:r>
      <w:r>
        <w:rPr>
          <w:rFonts w:ascii="Times New Roman" w:hAnsi="Times New Roman" w:cs="Times New Roman"/>
          <w:szCs w:val="32"/>
        </w:rPr>
        <w:t>涉及面积1468.61公顷</w:t>
      </w:r>
      <w:r>
        <w:rPr>
          <w:rFonts w:hint="eastAsia" w:ascii="Times New Roman" w:hAnsi="Times New Roman" w:cs="Times New Roman"/>
          <w:szCs w:val="32"/>
        </w:rPr>
        <w:t>。</w:t>
      </w:r>
    </w:p>
    <w:p>
      <w:pPr>
        <w:pStyle w:val="4"/>
        <w:ind w:left="420"/>
        <w:rPr>
          <w:rFonts w:ascii="Times New Roman" w:hAnsi="Times New Roman" w:eastAsia="仿宋" w:cs="Times New Roman"/>
          <w:b/>
          <w:bCs w:val="0"/>
        </w:rPr>
      </w:pPr>
      <w:r>
        <w:rPr>
          <w:rFonts w:hint="eastAsia" w:ascii="Times New Roman" w:hAnsi="Times New Roman" w:eastAsia="仿宋" w:cs="Times New Roman"/>
          <w:b/>
          <w:bCs w:val="0"/>
        </w:rPr>
        <w:t>（4）</w:t>
      </w:r>
      <w:r>
        <w:rPr>
          <w:rFonts w:ascii="Times New Roman" w:hAnsi="Times New Roman" w:eastAsia="仿宋" w:cs="Times New Roman"/>
          <w:b/>
          <w:bCs w:val="0"/>
        </w:rPr>
        <w:t>格木自然保护区</w:t>
      </w:r>
    </w:p>
    <w:p>
      <w:pPr>
        <w:ind w:firstLine="643"/>
        <w:rPr>
          <w:rFonts w:ascii="Times New Roman" w:hAnsi="Times New Roman" w:cs="Times New Roman"/>
        </w:rPr>
      </w:pPr>
      <w:r>
        <w:rPr>
          <w:rFonts w:ascii="Times New Roman" w:hAnsi="Times New Roman" w:cs="Times New Roman"/>
          <w:b/>
          <w:szCs w:val="32"/>
        </w:rPr>
        <w:t>村庄和人口</w:t>
      </w:r>
      <w:r>
        <w:rPr>
          <w:rFonts w:hint="eastAsia" w:ascii="Times New Roman" w:hAnsi="Times New Roman" w:cs="Times New Roman"/>
          <w:b/>
          <w:szCs w:val="32"/>
        </w:rPr>
        <w:t>：</w:t>
      </w:r>
      <w:r>
        <w:rPr>
          <w:rFonts w:ascii="Times New Roman" w:hAnsi="Times New Roman" w:cs="Times New Roman"/>
          <w:szCs w:val="32"/>
        </w:rPr>
        <w:t>涉及村庄面积6024.54公顷</w:t>
      </w:r>
      <w:r>
        <w:rPr>
          <w:rFonts w:hint="eastAsia" w:ascii="Times New Roman" w:hAnsi="Times New Roman" w:cs="Times New Roman"/>
          <w:szCs w:val="32"/>
        </w:rPr>
        <w:t>；</w:t>
      </w:r>
      <w:r>
        <w:rPr>
          <w:rFonts w:ascii="Times New Roman" w:hAnsi="Times New Roman" w:cs="Times New Roman"/>
          <w:szCs w:val="32"/>
        </w:rPr>
        <w:t>人口：4193人</w:t>
      </w:r>
      <w:r>
        <w:rPr>
          <w:rFonts w:hint="eastAsia" w:ascii="Times New Roman" w:hAnsi="Times New Roman" w:cs="Times New Roman"/>
          <w:szCs w:val="32"/>
        </w:rPr>
        <w:t>。</w:t>
      </w:r>
    </w:p>
    <w:p>
      <w:pPr>
        <w:ind w:firstLine="643"/>
        <w:rPr>
          <w:rFonts w:ascii="Times New Roman" w:hAnsi="Times New Roman" w:cs="Times New Roman"/>
          <w:szCs w:val="32"/>
        </w:rPr>
      </w:pPr>
      <w:r>
        <w:rPr>
          <w:rFonts w:ascii="Times New Roman" w:hAnsi="Times New Roman" w:cs="Times New Roman"/>
          <w:b/>
          <w:szCs w:val="32"/>
        </w:rPr>
        <w:t>人工商品林</w:t>
      </w:r>
      <w:r>
        <w:rPr>
          <w:rFonts w:hint="eastAsia" w:ascii="Times New Roman" w:hAnsi="Times New Roman" w:cs="Times New Roman"/>
          <w:szCs w:val="32"/>
        </w:rPr>
        <w:t>：</w:t>
      </w:r>
      <w:r>
        <w:rPr>
          <w:rFonts w:ascii="Times New Roman" w:hAnsi="Times New Roman" w:cs="Times New Roman"/>
          <w:szCs w:val="32"/>
        </w:rPr>
        <w:t>涉及面积645.79公顷</w:t>
      </w:r>
      <w:r>
        <w:rPr>
          <w:rFonts w:hint="eastAsia" w:ascii="Times New Roman" w:hAnsi="Times New Roman" w:cs="Times New Roman"/>
          <w:szCs w:val="32"/>
        </w:rPr>
        <w:t>。</w:t>
      </w:r>
    </w:p>
    <w:p>
      <w:pPr>
        <w:pStyle w:val="4"/>
        <w:ind w:left="420"/>
        <w:rPr>
          <w:rFonts w:ascii="Times New Roman" w:hAnsi="Times New Roman" w:eastAsia="仿宋" w:cs="Times New Roman"/>
          <w:b/>
          <w:bCs w:val="0"/>
        </w:rPr>
      </w:pPr>
      <w:r>
        <w:rPr>
          <w:rFonts w:hint="eastAsia" w:ascii="Times New Roman" w:hAnsi="Times New Roman" w:eastAsia="仿宋" w:cs="Times New Roman"/>
          <w:b/>
          <w:bCs w:val="0"/>
        </w:rPr>
        <w:t>（5）四川理塘</w:t>
      </w:r>
      <w:r>
        <w:rPr>
          <w:rFonts w:ascii="Times New Roman" w:hAnsi="Times New Roman" w:eastAsia="仿宋" w:cs="Times New Roman"/>
          <w:b/>
          <w:bCs w:val="0"/>
        </w:rPr>
        <w:t>无量河湿地公园和理塘擦若溪风景名胜区</w:t>
      </w:r>
    </w:p>
    <w:p>
      <w:pPr>
        <w:ind w:left="640" w:firstLine="0" w:firstLineChars="0"/>
        <w:rPr>
          <w:rFonts w:ascii="Times New Roman" w:hAnsi="Times New Roman" w:cs="Times New Roman"/>
          <w:szCs w:val="32"/>
        </w:rPr>
      </w:pPr>
      <w:r>
        <w:rPr>
          <w:rFonts w:hint="eastAsia" w:ascii="Times New Roman" w:hAnsi="Times New Roman" w:cs="Times New Roman"/>
          <w:szCs w:val="32"/>
        </w:rPr>
        <w:t>2个保护地</w:t>
      </w:r>
      <w:r>
        <w:rPr>
          <w:rFonts w:ascii="Times New Roman" w:hAnsi="Times New Roman" w:cs="Times New Roman"/>
          <w:szCs w:val="32"/>
        </w:rPr>
        <w:t>不涉及相关</w:t>
      </w:r>
      <w:r>
        <w:rPr>
          <w:rFonts w:hint="eastAsia" w:ascii="Times New Roman" w:hAnsi="Times New Roman" w:cs="Times New Roman"/>
          <w:szCs w:val="32"/>
        </w:rPr>
        <w:t>整合优化</w:t>
      </w:r>
      <w:r>
        <w:rPr>
          <w:rFonts w:ascii="Times New Roman" w:hAnsi="Times New Roman" w:cs="Times New Roman"/>
          <w:szCs w:val="32"/>
        </w:rPr>
        <w:t>问题。</w:t>
      </w:r>
    </w:p>
    <w:p>
      <w:pPr>
        <w:pStyle w:val="2"/>
        <w:ind w:firstLine="640"/>
      </w:pPr>
    </w:p>
    <w:p>
      <w:pPr>
        <w:numPr>
          <w:ilvl w:val="0"/>
          <w:numId w:val="2"/>
        </w:numPr>
        <w:ind w:left="-100" w:leftChars="0" w:firstLine="640" w:firstLineChars="0"/>
        <w:rPr>
          <w:rFonts w:ascii="黑体" w:hAnsi="黑体" w:eastAsia="黑体" w:cs="黑体"/>
          <w:szCs w:val="32"/>
        </w:rPr>
      </w:pPr>
      <w:r>
        <w:rPr>
          <w:rFonts w:hint="eastAsia" w:ascii="黑体" w:hAnsi="黑体" w:eastAsia="黑体" w:cs="黑体"/>
          <w:szCs w:val="32"/>
        </w:rPr>
        <w:t>自然保护地整合优化方案</w:t>
      </w:r>
    </w:p>
    <w:p>
      <w:pPr>
        <w:ind w:firstLine="640"/>
        <w:rPr>
          <w:rFonts w:ascii="黑体" w:hAnsi="黑体" w:eastAsia="黑体" w:cs="黑体"/>
          <w:szCs w:val="32"/>
        </w:rPr>
      </w:pPr>
      <w:r>
        <w:rPr>
          <w:rFonts w:hint="eastAsia" w:ascii="黑体" w:hAnsi="黑体" w:eastAsia="黑体" w:cs="黑体"/>
          <w:szCs w:val="32"/>
        </w:rPr>
        <w:t>（一）整合优化结果</w:t>
      </w:r>
    </w:p>
    <w:p>
      <w:pPr>
        <w:ind w:firstLine="640"/>
        <w:rPr>
          <w:rFonts w:ascii="Times New Roman" w:hAnsi="Times New Roman" w:cs="Times New Roman"/>
          <w:szCs w:val="32"/>
        </w:rPr>
      </w:pPr>
      <w:r>
        <w:rPr>
          <w:rFonts w:hint="eastAsia" w:ascii="Times New Roman" w:hAnsi="Times New Roman" w:cs="Times New Roman"/>
          <w:szCs w:val="32"/>
        </w:rPr>
        <w:t>理塘县</w:t>
      </w:r>
      <w:r>
        <w:rPr>
          <w:rFonts w:ascii="Times New Roman" w:hAnsi="Times New Roman" w:cs="Times New Roman"/>
          <w:szCs w:val="32"/>
        </w:rPr>
        <w:t>自然保护地</w:t>
      </w:r>
      <w:r>
        <w:rPr>
          <w:rFonts w:hint="eastAsia" w:ascii="Times New Roman" w:hAnsi="Times New Roman" w:cs="Times New Roman"/>
          <w:szCs w:val="32"/>
        </w:rPr>
        <w:t>为</w:t>
      </w:r>
      <w:r>
        <w:rPr>
          <w:rFonts w:ascii="Times New Roman" w:hAnsi="Times New Roman" w:cs="Times New Roman"/>
          <w:szCs w:val="32"/>
        </w:rPr>
        <w:t>5个</w:t>
      </w:r>
      <w:r>
        <w:rPr>
          <w:rFonts w:hint="eastAsia" w:ascii="Times New Roman" w:hAnsi="Times New Roman" w:cs="Times New Roman"/>
          <w:szCs w:val="32"/>
        </w:rPr>
        <w:t>，</w:t>
      </w:r>
      <w:r>
        <w:rPr>
          <w:rFonts w:ascii="Times New Roman" w:hAnsi="Times New Roman" w:cs="Times New Roman"/>
          <w:szCs w:val="32"/>
        </w:rPr>
        <w:t>类型包括自然保护区、湿地公园、风景名胜区</w:t>
      </w:r>
      <w:r>
        <w:rPr>
          <w:rFonts w:hint="eastAsia" w:ascii="Times New Roman" w:hAnsi="Times New Roman" w:cs="Times New Roman"/>
          <w:szCs w:val="32"/>
        </w:rPr>
        <w:t>3</w:t>
      </w:r>
      <w:r>
        <w:rPr>
          <w:rFonts w:ascii="Times New Roman" w:hAnsi="Times New Roman" w:cs="Times New Roman"/>
          <w:szCs w:val="32"/>
        </w:rPr>
        <w:t>类。</w:t>
      </w:r>
      <w:r>
        <w:rPr>
          <w:rFonts w:hint="eastAsia" w:ascii="Times New Roman" w:hAnsi="Times New Roman" w:cs="Times New Roman"/>
          <w:szCs w:val="32"/>
        </w:rPr>
        <w:t>理塘县</w:t>
      </w:r>
      <w:r>
        <w:rPr>
          <w:rFonts w:hint="eastAsia" w:ascii="Times New Roman" w:hAnsi="Times New Roman" w:cs="Times New Roman"/>
          <w:szCs w:val="32"/>
          <w:lang w:val="en-US" w:eastAsia="zh-CN"/>
        </w:rPr>
        <w:t>自然保护地</w:t>
      </w:r>
      <w:r>
        <w:rPr>
          <w:rFonts w:ascii="Times New Roman" w:hAnsi="Times New Roman" w:cs="Times New Roman"/>
          <w:szCs w:val="32"/>
        </w:rPr>
        <w:t>整合优化后面积</w:t>
      </w:r>
      <w:r>
        <w:rPr>
          <w:rFonts w:hint="eastAsia" w:ascii="Times New Roman" w:hAnsi="Times New Roman" w:cs="Times New Roman"/>
          <w:szCs w:val="32"/>
        </w:rPr>
        <w:t>为</w:t>
      </w:r>
      <w:r>
        <w:rPr>
          <w:rFonts w:hint="eastAsia" w:ascii="Times New Roman" w:hAnsi="Times New Roman" w:cs="Times New Roman"/>
          <w:szCs w:val="32"/>
          <w:lang w:val="en-US" w:eastAsia="zh-CN"/>
        </w:rPr>
        <w:t>557922.45</w:t>
      </w:r>
      <w:r>
        <w:rPr>
          <w:rFonts w:ascii="Times New Roman" w:hAnsi="Times New Roman" w:cs="Times New Roman"/>
          <w:szCs w:val="32"/>
        </w:rPr>
        <w:t>公顷</w:t>
      </w:r>
      <w:r>
        <w:rPr>
          <w:rFonts w:hint="eastAsia" w:ascii="Times New Roman" w:hAnsi="Times New Roman" w:cs="Times New Roman"/>
          <w:szCs w:val="32"/>
        </w:rPr>
        <w:t>（不含四川海子山国家级自然保护区稻城县部分）</w:t>
      </w:r>
      <w:r>
        <w:rPr>
          <w:rFonts w:ascii="Times New Roman" w:hAnsi="Times New Roman" w:cs="Times New Roman"/>
          <w:szCs w:val="32"/>
        </w:rPr>
        <w:t>，占国土面积</w:t>
      </w:r>
      <w:r>
        <w:rPr>
          <w:rFonts w:hint="eastAsia" w:ascii="Times New Roman" w:hAnsi="Times New Roman" w:cs="Times New Roman"/>
          <w:szCs w:val="32"/>
        </w:rPr>
        <w:t>38</w:t>
      </w:r>
      <w:r>
        <w:rPr>
          <w:rFonts w:hint="eastAsia" w:ascii="Times New Roman" w:hAnsi="Times New Roman" w:cs="Times New Roman"/>
          <w:szCs w:val="32"/>
          <w:lang w:val="en-US" w:eastAsia="zh-CN"/>
        </w:rPr>
        <w:t>.87</w:t>
      </w:r>
      <w:r>
        <w:rPr>
          <w:rFonts w:ascii="Times New Roman" w:hAnsi="Times New Roman" w:cs="Times New Roman"/>
          <w:szCs w:val="32"/>
        </w:rPr>
        <w:t>%。</w:t>
      </w:r>
      <w:r>
        <w:rPr>
          <w:rFonts w:hint="eastAsia" w:ascii="Times New Roman" w:hAnsi="Times New Roman" w:cs="Times New Roman"/>
          <w:szCs w:val="32"/>
          <w:lang w:val="en-US" w:eastAsia="zh-CN"/>
        </w:rPr>
        <w:t>其中</w:t>
      </w:r>
      <w:r>
        <w:rPr>
          <w:rFonts w:ascii="Times New Roman" w:hAnsi="Times New Roman" w:cs="Times New Roman"/>
          <w:szCs w:val="32"/>
        </w:rPr>
        <w:t>自然保护区</w:t>
      </w:r>
      <w:r>
        <w:rPr>
          <w:rFonts w:ascii="Times New Roman" w:hAnsi="Times New Roman" w:cs="Times New Roman"/>
          <w:color w:val="000000" w:themeColor="text1"/>
          <w:szCs w:val="32"/>
          <w14:textFill>
            <w14:solidFill>
              <w14:schemeClr w14:val="tx1"/>
            </w14:solidFill>
          </w14:textFill>
        </w:rPr>
        <w:t>面积</w:t>
      </w:r>
      <w:r>
        <w:rPr>
          <w:rFonts w:hint="eastAsia" w:ascii="Times New Roman" w:hAnsi="Times New Roman" w:cs="Times New Roman"/>
          <w:color w:val="000000" w:themeColor="text1"/>
          <w:szCs w:val="32"/>
          <w:lang w:val="en-US" w:eastAsia="zh-CN"/>
          <w14:textFill>
            <w14:solidFill>
              <w14:schemeClr w14:val="tx1"/>
            </w14:solidFill>
          </w14:textFill>
        </w:rPr>
        <w:t>547477.65</w:t>
      </w:r>
      <w:r>
        <w:rPr>
          <w:rFonts w:ascii="Times New Roman" w:hAnsi="Times New Roman" w:cs="Times New Roman"/>
          <w:szCs w:val="32"/>
        </w:rPr>
        <w:t>公顷</w:t>
      </w:r>
      <w:r>
        <w:rPr>
          <w:rFonts w:hint="eastAsia" w:ascii="Times New Roman" w:hAnsi="Times New Roman" w:cs="Times New Roman"/>
          <w:szCs w:val="32"/>
        </w:rPr>
        <w:t>，</w:t>
      </w:r>
      <w:r>
        <w:rPr>
          <w:rFonts w:ascii="Times New Roman" w:hAnsi="Times New Roman" w:cs="Times New Roman"/>
          <w:szCs w:val="32"/>
        </w:rPr>
        <w:t>占国土面积</w:t>
      </w:r>
      <w:r>
        <w:rPr>
          <w:rFonts w:hint="eastAsia" w:ascii="Times New Roman" w:hAnsi="Times New Roman" w:cs="Times New Roman"/>
          <w:szCs w:val="32"/>
        </w:rPr>
        <w:t>38.</w:t>
      </w:r>
      <w:r>
        <w:rPr>
          <w:rFonts w:hint="eastAsia" w:ascii="Times New Roman" w:hAnsi="Times New Roman" w:cs="Times New Roman"/>
          <w:szCs w:val="32"/>
          <w:lang w:val="en-US" w:eastAsia="zh-CN"/>
        </w:rPr>
        <w:t>1</w:t>
      </w:r>
      <w:r>
        <w:rPr>
          <w:rFonts w:hint="eastAsia" w:ascii="Times New Roman" w:hAnsi="Times New Roman" w:cs="Times New Roman"/>
          <w:szCs w:val="32"/>
        </w:rPr>
        <w:t>4</w:t>
      </w:r>
      <w:r>
        <w:rPr>
          <w:rFonts w:ascii="Times New Roman" w:hAnsi="Times New Roman" w:cs="Times New Roman"/>
          <w:szCs w:val="32"/>
        </w:rPr>
        <w:t>%</w:t>
      </w:r>
      <w:r>
        <w:rPr>
          <w:rFonts w:hint="eastAsia" w:ascii="Times New Roman" w:hAnsi="Times New Roman" w:cs="Times New Roman"/>
          <w:szCs w:val="32"/>
          <w:lang w:eastAsia="zh-CN"/>
        </w:rPr>
        <w:t>；</w:t>
      </w:r>
      <w:r>
        <w:rPr>
          <w:rFonts w:ascii="Times New Roman" w:hAnsi="Times New Roman" w:cs="Times New Roman"/>
          <w:szCs w:val="32"/>
        </w:rPr>
        <w:t>湿地公园面积3709</w:t>
      </w:r>
      <w:r>
        <w:rPr>
          <w:rFonts w:hint="eastAsia" w:ascii="Times New Roman" w:hAnsi="Times New Roman" w:cs="Times New Roman"/>
          <w:szCs w:val="32"/>
        </w:rPr>
        <w:t>.36</w:t>
      </w:r>
      <w:r>
        <w:rPr>
          <w:rFonts w:ascii="Times New Roman" w:hAnsi="Times New Roman" w:cs="Times New Roman"/>
          <w:szCs w:val="32"/>
        </w:rPr>
        <w:t>公顷，占国土面积0.26%</w:t>
      </w:r>
      <w:r>
        <w:rPr>
          <w:rFonts w:hint="eastAsia" w:ascii="Times New Roman" w:hAnsi="Times New Roman" w:cs="Times New Roman"/>
          <w:szCs w:val="32"/>
          <w:lang w:eastAsia="zh-CN"/>
        </w:rPr>
        <w:t>；</w:t>
      </w:r>
      <w:r>
        <w:rPr>
          <w:rFonts w:ascii="Times New Roman" w:hAnsi="Times New Roman" w:cs="Times New Roman"/>
          <w:szCs w:val="32"/>
        </w:rPr>
        <w:t>风景名胜区面积6567</w:t>
      </w:r>
      <w:r>
        <w:rPr>
          <w:rFonts w:hint="eastAsia" w:ascii="Times New Roman" w:hAnsi="Times New Roman" w:cs="Times New Roman"/>
          <w:szCs w:val="32"/>
        </w:rPr>
        <w:t>.05</w:t>
      </w:r>
      <w:r>
        <w:rPr>
          <w:rFonts w:ascii="Times New Roman" w:hAnsi="Times New Roman" w:cs="Times New Roman"/>
          <w:szCs w:val="32"/>
        </w:rPr>
        <w:t>公顷，占国土面积0.46%</w:t>
      </w:r>
      <w:r>
        <w:rPr>
          <w:rFonts w:hint="eastAsia" w:ascii="Times New Roman" w:hAnsi="Times New Roman" w:cs="Times New Roman"/>
          <w:szCs w:val="32"/>
        </w:rPr>
        <w:t>。</w:t>
      </w:r>
    </w:p>
    <w:p>
      <w:pPr>
        <w:ind w:firstLine="640"/>
        <w:rPr>
          <w:rFonts w:ascii="Times New Roman" w:hAnsi="Times New Roman" w:cs="Times New Roman"/>
          <w:szCs w:val="32"/>
        </w:rPr>
      </w:pPr>
      <w:r>
        <w:rPr>
          <w:rFonts w:hint="eastAsia" w:ascii="黑体" w:hAnsi="黑体" w:eastAsia="黑体" w:cs="黑体"/>
          <w:szCs w:val="32"/>
        </w:rPr>
        <w:t>（二）</w:t>
      </w:r>
      <w:r>
        <w:rPr>
          <w:rFonts w:ascii="黑体" w:hAnsi="黑体" w:eastAsia="黑体" w:cs="黑体"/>
          <w:szCs w:val="32"/>
        </w:rPr>
        <w:t>整合优化方案</w:t>
      </w:r>
    </w:p>
    <w:p>
      <w:pPr>
        <w:ind w:left="643" w:firstLine="0" w:firstLineChars="0"/>
        <w:rPr>
          <w:rFonts w:ascii="Times New Roman" w:hAnsi="Times New Roman" w:cs="Times New Roman"/>
          <w:b/>
          <w:bCs/>
        </w:rPr>
      </w:pPr>
      <w:r>
        <w:rPr>
          <w:rFonts w:hint="eastAsia" w:ascii="Times New Roman" w:hAnsi="Times New Roman" w:cs="Times New Roman"/>
          <w:b/>
          <w:bCs/>
        </w:rPr>
        <w:t>（1）</w:t>
      </w:r>
      <w:r>
        <w:rPr>
          <w:rFonts w:ascii="Times New Roman" w:hAnsi="Times New Roman" w:cs="Times New Roman"/>
          <w:b/>
          <w:szCs w:val="32"/>
        </w:rPr>
        <w:t>四川海子山国家级自然保护区</w:t>
      </w:r>
    </w:p>
    <w:p>
      <w:pPr>
        <w:ind w:firstLine="0" w:firstLineChars="0"/>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b/>
          <w:szCs w:val="32"/>
        </w:rPr>
        <w:t xml:space="preserve"> 空间整合：</w:t>
      </w:r>
      <w:r>
        <w:rPr>
          <w:rFonts w:ascii="Times New Roman" w:hAnsi="Times New Roman" w:cs="Times New Roman"/>
        </w:rPr>
        <w:t>四川海子山国家级自然保护区和格木自然保护区交叉重叠部分保留到四川海子山国家级自然保护区</w:t>
      </w:r>
      <w:r>
        <w:rPr>
          <w:rFonts w:hint="eastAsia" w:ascii="Times New Roman" w:hAnsi="Times New Roman" w:cs="Times New Roman"/>
          <w:lang w:val="en-US" w:eastAsia="zh-CN"/>
        </w:rPr>
        <w:t>内</w:t>
      </w:r>
      <w:r>
        <w:rPr>
          <w:rFonts w:ascii="Times New Roman" w:hAnsi="Times New Roman" w:cs="Times New Roman"/>
        </w:rPr>
        <w:t>。</w:t>
      </w:r>
    </w:p>
    <w:p>
      <w:pPr>
        <w:ind w:firstLine="643"/>
        <w:rPr>
          <w:rFonts w:ascii="Times New Roman" w:hAnsi="Times New Roman" w:cs="Times New Roman"/>
        </w:rPr>
      </w:pPr>
      <w:r>
        <w:rPr>
          <w:rFonts w:ascii="Times New Roman" w:hAnsi="Times New Roman" w:cs="Times New Roman"/>
          <w:b/>
          <w:szCs w:val="32"/>
        </w:rPr>
        <w:t>范围优化：</w:t>
      </w:r>
      <w:r>
        <w:rPr>
          <w:rFonts w:ascii="Times New Roman" w:hAnsi="Times New Roman" w:cs="Times New Roman"/>
        </w:rPr>
        <w:t>依据自然资源部 国家林业和草原局《关于做好自然保护区范围及功能分区优化调整前期有关工作的函》</w:t>
      </w:r>
      <w:r>
        <w:rPr>
          <w:rFonts w:hint="eastAsia" w:ascii="Times New Roman" w:hAnsi="Times New Roman" w:cs="Times New Roman"/>
        </w:rPr>
        <w:t>（</w:t>
      </w:r>
      <w:r>
        <w:rPr>
          <w:rFonts w:ascii="Times New Roman" w:hAnsi="Times New Roman" w:cs="Times New Roman"/>
        </w:rPr>
        <w:t>自然资函〔2020〕71号</w:t>
      </w:r>
      <w:r>
        <w:rPr>
          <w:rFonts w:hint="eastAsia" w:ascii="Times New Roman" w:hAnsi="Times New Roman" w:cs="Times New Roman"/>
        </w:rPr>
        <w:t>）</w:t>
      </w:r>
      <w:r>
        <w:rPr>
          <w:rFonts w:hint="eastAsia" w:ascii="Times New Roman" w:hAnsi="Times New Roman" w:cs="Times New Roman"/>
          <w:lang w:eastAsia="zh-CN"/>
        </w:rPr>
        <w:t>、</w:t>
      </w:r>
      <w:r>
        <w:rPr>
          <w:rFonts w:ascii="Times New Roman" w:hAnsi="Times New Roman" w:cs="Times New Roman"/>
        </w:rPr>
        <w:t>中共中央办公厅 国务院办公厅印发《关于在国土空间规划中统筹划定落实三条控制线的指导意见》等文件</w:t>
      </w:r>
      <w:r>
        <w:rPr>
          <w:rFonts w:hint="eastAsia" w:ascii="Times New Roman" w:hAnsi="Times New Roman" w:cs="Times New Roman"/>
        </w:rPr>
        <w:t>规定，重点</w:t>
      </w:r>
      <w:r>
        <w:rPr>
          <w:rFonts w:ascii="Times New Roman" w:hAnsi="Times New Roman" w:cs="Times New Roman"/>
        </w:rPr>
        <w:t>解决农牧民</w:t>
      </w:r>
      <w:r>
        <w:rPr>
          <w:rFonts w:hint="eastAsia" w:ascii="Times New Roman" w:hAnsi="Times New Roman" w:cs="Times New Roman"/>
          <w:lang w:val="en-US" w:eastAsia="zh-CN"/>
        </w:rPr>
        <w:t>居住区、</w:t>
      </w:r>
      <w:r>
        <w:rPr>
          <w:rFonts w:ascii="Times New Roman" w:hAnsi="Times New Roman" w:cs="Times New Roman"/>
        </w:rPr>
        <w:t>人工集体商品林</w:t>
      </w:r>
      <w:r>
        <w:rPr>
          <w:rFonts w:hint="eastAsia" w:ascii="Times New Roman" w:hAnsi="Times New Roman" w:cs="Times New Roman"/>
          <w:lang w:val="en-US" w:eastAsia="zh-CN"/>
        </w:rPr>
        <w:t>与保护区重叠问题</w:t>
      </w:r>
      <w:r>
        <w:rPr>
          <w:rFonts w:ascii="Times New Roman" w:hAnsi="Times New Roman" w:cs="Times New Roman"/>
        </w:rPr>
        <w:t>。调整不涉及矛盾纠纷。</w:t>
      </w:r>
    </w:p>
    <w:p>
      <w:pPr>
        <w:pStyle w:val="2"/>
        <w:ind w:firstLine="640"/>
        <w:rPr>
          <w:rFonts w:ascii="Times New Roman" w:hAnsi="Times New Roman" w:cs="Times New Roman"/>
        </w:rPr>
      </w:pPr>
    </w:p>
    <w:p>
      <w:pPr>
        <w:pStyle w:val="2"/>
        <w:ind w:firstLine="640"/>
        <w:rPr>
          <w:rFonts w:ascii="Times New Roman" w:hAnsi="Times New Roman" w:cs="Times New Roman"/>
        </w:rPr>
      </w:pPr>
    </w:p>
    <w:p>
      <w:pPr>
        <w:ind w:firstLine="0" w:firstLineChars="0"/>
        <w:jc w:val="center"/>
        <w:rPr>
          <w:rFonts w:ascii="Times New Roman" w:hAnsi="Times New Roman" w:eastAsia="方正黑体_GBK" w:cs="Times New Roman"/>
          <w:sz w:val="30"/>
          <w:szCs w:val="30"/>
        </w:rPr>
      </w:pPr>
      <w:r>
        <w:rPr>
          <w:rFonts w:hint="eastAsia" w:ascii="Times New Roman" w:hAnsi="Times New Roman" w:eastAsia="方正黑体_GBK" w:cs="Times New Roman"/>
          <w:sz w:val="30"/>
          <w:szCs w:val="30"/>
          <w:lang w:val="en-US" w:eastAsia="zh-CN"/>
        </w:rPr>
        <w:t>四川</w:t>
      </w:r>
      <w:r>
        <w:rPr>
          <w:rFonts w:hint="eastAsia" w:ascii="Times New Roman" w:hAnsi="Times New Roman" w:eastAsia="方正黑体_GBK" w:cs="Times New Roman"/>
          <w:sz w:val="30"/>
          <w:szCs w:val="30"/>
        </w:rPr>
        <w:t>海子山</w:t>
      </w:r>
      <w:r>
        <w:rPr>
          <w:rFonts w:hint="eastAsia" w:ascii="Times New Roman" w:hAnsi="Times New Roman" w:eastAsia="方正黑体_GBK" w:cs="Times New Roman"/>
          <w:sz w:val="30"/>
          <w:szCs w:val="30"/>
          <w:lang w:val="en-US" w:eastAsia="zh-CN"/>
        </w:rPr>
        <w:t>国家级</w:t>
      </w:r>
      <w:r>
        <w:rPr>
          <w:rFonts w:ascii="Times New Roman" w:hAnsi="Times New Roman" w:eastAsia="方正黑体_GBK" w:cs="Times New Roman"/>
          <w:sz w:val="30"/>
          <w:szCs w:val="30"/>
        </w:rPr>
        <w:t>自然保护区整合范围优化汇总表</w:t>
      </w:r>
    </w:p>
    <w:tbl>
      <w:tblPr>
        <w:tblStyle w:val="8"/>
        <w:tblW w:w="4997" w:type="pct"/>
        <w:tblInd w:w="0" w:type="dxa"/>
        <w:tblLayout w:type="autofit"/>
        <w:tblCellMar>
          <w:top w:w="0" w:type="dxa"/>
          <w:left w:w="108" w:type="dxa"/>
          <w:bottom w:w="0" w:type="dxa"/>
          <w:right w:w="108" w:type="dxa"/>
        </w:tblCellMar>
      </w:tblPr>
      <w:tblGrid>
        <w:gridCol w:w="554"/>
        <w:gridCol w:w="740"/>
        <w:gridCol w:w="701"/>
        <w:gridCol w:w="684"/>
        <w:gridCol w:w="794"/>
        <w:gridCol w:w="777"/>
        <w:gridCol w:w="825"/>
        <w:gridCol w:w="1021"/>
        <w:gridCol w:w="2421"/>
      </w:tblGrid>
      <w:tr>
        <w:tblPrEx>
          <w:tblCellMar>
            <w:top w:w="0" w:type="dxa"/>
            <w:left w:w="108" w:type="dxa"/>
            <w:bottom w:w="0" w:type="dxa"/>
            <w:right w:w="108" w:type="dxa"/>
          </w:tblCellMar>
        </w:tblPrEx>
        <w:trPr>
          <w:trHeight w:val="855" w:hRule="atLeast"/>
          <w:tblHeader/>
        </w:trPr>
        <w:tc>
          <w:tcPr>
            <w:tcW w:w="759" w:type="pct"/>
            <w:gridSpan w:val="2"/>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类别</w:t>
            </w:r>
          </w:p>
        </w:tc>
        <w:tc>
          <w:tcPr>
            <w:tcW w:w="411"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人口</w:t>
            </w:r>
          </w:p>
        </w:tc>
        <w:tc>
          <w:tcPr>
            <w:tcW w:w="401"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城镇建成区面积</w:t>
            </w:r>
          </w:p>
        </w:tc>
        <w:tc>
          <w:tcPr>
            <w:tcW w:w="466"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村庄建设用地面积</w:t>
            </w:r>
          </w:p>
        </w:tc>
        <w:tc>
          <w:tcPr>
            <w:tcW w:w="456"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永久基本农田面积</w:t>
            </w:r>
          </w:p>
        </w:tc>
        <w:tc>
          <w:tcPr>
            <w:tcW w:w="484"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人工集体商品林面积</w:t>
            </w:r>
          </w:p>
        </w:tc>
        <w:tc>
          <w:tcPr>
            <w:tcW w:w="599"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矿业权面积</w:t>
            </w:r>
          </w:p>
        </w:tc>
        <w:tc>
          <w:tcPr>
            <w:tcW w:w="1420"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开发区面积</w:t>
            </w:r>
          </w:p>
        </w:tc>
      </w:tr>
      <w:tr>
        <w:tblPrEx>
          <w:tblCellMar>
            <w:top w:w="0" w:type="dxa"/>
            <w:left w:w="108" w:type="dxa"/>
            <w:bottom w:w="0" w:type="dxa"/>
            <w:right w:w="108" w:type="dxa"/>
          </w:tblCellMar>
        </w:tblPrEx>
        <w:trPr>
          <w:trHeight w:val="463" w:hRule="atLeast"/>
        </w:trPr>
        <w:tc>
          <w:tcPr>
            <w:tcW w:w="325" w:type="pct"/>
            <w:vMerge w:val="restart"/>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原自然保护区</w:t>
            </w: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5295</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312.77</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115.33</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878</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88.78</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2992</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180.78</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1425</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43.21</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115.33</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restart"/>
            <w:tcBorders>
              <w:top w:val="nil"/>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调出自然保护区</w:t>
            </w:r>
          </w:p>
        </w:tc>
        <w:tc>
          <w:tcPr>
            <w:tcW w:w="433" w:type="pct"/>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1411</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312.77</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115.33</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849</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88.78</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9</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180.78</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553</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43.21</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115.33</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restart"/>
            <w:tcBorders>
              <w:top w:val="nil"/>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调入自然保护区</w:t>
            </w: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restart"/>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优化调整后自然保护区</w:t>
            </w: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3884</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r>
        <w:tblPrEx>
          <w:tblCellMar>
            <w:top w:w="0" w:type="dxa"/>
            <w:left w:w="108" w:type="dxa"/>
            <w:bottom w:w="0" w:type="dxa"/>
            <w:right w:w="108" w:type="dxa"/>
          </w:tblCellMar>
        </w:tblPrEx>
        <w:trPr>
          <w:trHeight w:val="409" w:hRule="atLeast"/>
        </w:trPr>
        <w:tc>
          <w:tcPr>
            <w:tcW w:w="325"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3012</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325"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433"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41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872</w:t>
            </w:r>
          </w:p>
        </w:tc>
        <w:tc>
          <w:tcPr>
            <w:tcW w:w="40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5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8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9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1420"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bl>
    <w:p>
      <w:pPr>
        <w:spacing w:before="156" w:beforeLines="50"/>
        <w:ind w:firstLine="643"/>
        <w:rPr>
          <w:rFonts w:hint="eastAsia" w:ascii="Times New Roman" w:hAnsi="Times New Roman" w:cs="Times New Roman"/>
        </w:rPr>
      </w:pPr>
      <w:r>
        <w:rPr>
          <w:rFonts w:ascii="Times New Roman" w:hAnsi="Times New Roman" w:cs="Times New Roman"/>
          <w:b/>
          <w:szCs w:val="32"/>
        </w:rPr>
        <w:t>自然保护区功能分区调整：</w:t>
      </w:r>
      <w:r>
        <w:rPr>
          <w:rFonts w:hint="eastAsia" w:ascii="Times New Roman" w:hAnsi="Times New Roman" w:cs="Times New Roman"/>
          <w:lang w:val="en-US" w:eastAsia="zh-CN"/>
        </w:rPr>
        <w:t>四川海子山国家级</w:t>
      </w:r>
      <w:r>
        <w:rPr>
          <w:rFonts w:ascii="Times New Roman" w:hAnsi="Times New Roman" w:cs="Times New Roman"/>
        </w:rPr>
        <w:t>自然保护区原330713.29公顷核心区和缓冲区直接转化为核心保护区，原93585.74公顷实验区直接转化为一般控制区，原10067.69公顷核心区和缓冲区调整到一般控制区，原13342.49公顷实验区调整到核心保护区</w:t>
      </w:r>
      <w:r>
        <w:rPr>
          <w:rFonts w:hint="eastAsia" w:ascii="Times New Roman" w:hAnsi="Times New Roman" w:cs="Times New Roman"/>
        </w:rPr>
        <w:t>。</w:t>
      </w:r>
    </w:p>
    <w:p>
      <w:pPr>
        <w:pStyle w:val="2"/>
      </w:pPr>
    </w:p>
    <w:p>
      <w:pPr>
        <w:ind w:firstLine="600"/>
        <w:jc w:val="center"/>
        <w:rPr>
          <w:rFonts w:ascii="Times New Roman" w:hAnsi="Times New Roman" w:cs="Times New Roman"/>
        </w:rPr>
      </w:pPr>
      <w:r>
        <w:rPr>
          <w:rFonts w:hint="eastAsia" w:ascii="Times New Roman" w:hAnsi="Times New Roman" w:eastAsia="方正黑体_GBK" w:cs="Times New Roman"/>
          <w:color w:val="000000"/>
          <w:sz w:val="30"/>
          <w:szCs w:val="30"/>
          <w:lang w:val="en-US" w:eastAsia="zh-CN"/>
        </w:rPr>
        <w:t>四川</w:t>
      </w:r>
      <w:r>
        <w:rPr>
          <w:rFonts w:hint="eastAsia" w:ascii="Times New Roman" w:hAnsi="Times New Roman" w:eastAsia="方正黑体_GBK" w:cs="Times New Roman"/>
          <w:color w:val="000000"/>
          <w:sz w:val="30"/>
          <w:szCs w:val="30"/>
        </w:rPr>
        <w:t>海子山</w:t>
      </w:r>
      <w:r>
        <w:rPr>
          <w:rFonts w:hint="eastAsia" w:ascii="Times New Roman" w:hAnsi="Times New Roman" w:eastAsia="方正黑体_GBK" w:cs="Times New Roman"/>
          <w:color w:val="000000"/>
          <w:sz w:val="30"/>
          <w:szCs w:val="30"/>
          <w:lang w:val="en-US" w:eastAsia="zh-CN"/>
        </w:rPr>
        <w:t>国家级</w:t>
      </w:r>
      <w:r>
        <w:rPr>
          <w:rFonts w:ascii="Times New Roman" w:hAnsi="Times New Roman" w:eastAsia="方正黑体_GBK" w:cs="Times New Roman"/>
          <w:color w:val="000000"/>
          <w:sz w:val="30"/>
          <w:szCs w:val="30"/>
        </w:rPr>
        <w:t>自然保护区功能分区转化统计表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4"/>
        <w:gridCol w:w="1129"/>
        <w:gridCol w:w="1429"/>
        <w:gridCol w:w="1158"/>
        <w:gridCol w:w="2771"/>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b/>
                <w:bCs/>
                <w:sz w:val="21"/>
                <w:szCs w:val="21"/>
              </w:rPr>
              <w:t>编号</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b/>
                <w:bCs/>
                <w:sz w:val="21"/>
                <w:szCs w:val="21"/>
              </w:rPr>
              <w:t>自然保护区原区划</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b/>
                <w:bCs/>
                <w:sz w:val="21"/>
                <w:szCs w:val="21"/>
              </w:rPr>
              <w:t>自然保护区新分区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b/>
                <w:bCs/>
                <w:sz w:val="21"/>
                <w:szCs w:val="21"/>
              </w:rPr>
              <w:t>面积</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b/>
                <w:bCs/>
                <w:sz w:val="21"/>
                <w:szCs w:val="21"/>
              </w:rPr>
              <w:t>调整理由</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b/>
                <w:bCs/>
                <w:sz w:val="21"/>
                <w:szCs w:val="21"/>
              </w:rPr>
              <w:t>资源和社会经济情况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37</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162035.31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核心区直接转为核心保护区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38</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5319.66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历史遗迹及古寺庙、防火通道</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39</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38824.20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缓冲区直接转为核心保护区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40</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4672.55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lang w:eastAsia="zh-CN"/>
              </w:rPr>
              <w:t>少数民族</w:t>
            </w:r>
            <w:r>
              <w:rPr>
                <w:rFonts w:ascii="Times New Roman" w:hAnsi="Times New Roman" w:eastAsia="方正仿宋_GBK" w:cs="Times New Roman"/>
                <w:color w:val="000000"/>
                <w:kern w:val="0"/>
                <w:sz w:val="21"/>
                <w:szCs w:val="21"/>
              </w:rPr>
              <w:t>特色村寨</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41</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13342.49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保护价值较高、无人区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42</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38193.71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实验区直接转为一般控制区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180</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32151.53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核心区直接转为核心保护区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181</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69.55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历史遗迹及古寺庙、防火通道</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182</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14171.47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缓冲区直接转为核心保护区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183</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5.94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lang w:eastAsia="zh-CN"/>
              </w:rPr>
              <w:t>少数民族</w:t>
            </w:r>
            <w:r>
              <w:rPr>
                <w:rFonts w:ascii="Times New Roman" w:hAnsi="Times New Roman" w:eastAsia="方正仿宋_GBK" w:cs="Times New Roman"/>
                <w:color w:val="000000"/>
                <w:kern w:val="0"/>
                <w:sz w:val="21"/>
                <w:szCs w:val="21"/>
              </w:rPr>
              <w:t>特色村寨</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8" w:hRule="atLeast"/>
        </w:trPr>
        <w:tc>
          <w:tcPr>
            <w:tcW w:w="33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184</w:t>
            </w:r>
          </w:p>
        </w:tc>
        <w:tc>
          <w:tcPr>
            <w:tcW w:w="67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857"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694"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 xml:space="preserve">23102.60 </w:t>
            </w:r>
          </w:p>
        </w:tc>
        <w:tc>
          <w:tcPr>
            <w:tcW w:w="1662"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实验区直接转为一般控制区</w:t>
            </w:r>
          </w:p>
        </w:tc>
        <w:tc>
          <w:tcPr>
            <w:tcW w:w="773" w:type="pct"/>
            <w:tcBorders>
              <w:tl2br w:val="nil"/>
              <w:tr2bl w:val="nil"/>
            </w:tcBorders>
            <w:noWrap/>
            <w:tcMar>
              <w:top w:w="12" w:type="dxa"/>
              <w:left w:w="12" w:type="dxa"/>
              <w:right w:w="12" w:type="dxa"/>
            </w:tcMar>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r>
    </w:tbl>
    <w:p>
      <w:pPr>
        <w:pStyle w:val="4"/>
        <w:spacing w:before="312" w:beforeLines="100"/>
        <w:ind w:firstLine="643" w:firstLineChars="200"/>
        <w:rPr>
          <w:rFonts w:ascii="Times New Roman" w:hAnsi="Times New Roman" w:eastAsia="仿宋" w:cs="Times New Roman"/>
        </w:rPr>
      </w:pPr>
      <w:r>
        <w:rPr>
          <w:rFonts w:ascii="Times New Roman" w:hAnsi="Times New Roman" w:eastAsia="仿宋" w:cs="Times New Roman"/>
          <w:b/>
          <w:bCs w:val="0"/>
        </w:rPr>
        <w:t>管理机构队伍</w:t>
      </w:r>
      <w:r>
        <w:rPr>
          <w:rFonts w:hint="eastAsia" w:ascii="Times New Roman" w:hAnsi="Times New Roman" w:eastAsia="仿宋" w:cs="Times New Roman"/>
          <w:b/>
          <w:bCs w:val="0"/>
        </w:rPr>
        <w:t>：</w:t>
      </w:r>
      <w:r>
        <w:rPr>
          <w:rFonts w:ascii="Times New Roman" w:hAnsi="Times New Roman" w:eastAsia="仿宋" w:cs="Times New Roman"/>
        </w:rPr>
        <w:t>整合优化前后管理机构队伍无变化</w:t>
      </w:r>
      <w:r>
        <w:rPr>
          <w:rFonts w:hint="eastAsia" w:ascii="Times New Roman" w:hAnsi="Times New Roman" w:eastAsia="仿宋" w:cs="Times New Roman"/>
        </w:rPr>
        <w:t>。</w:t>
      </w:r>
    </w:p>
    <w:p>
      <w:pPr>
        <w:ind w:firstLine="643"/>
        <w:rPr>
          <w:rFonts w:ascii="Times New Roman" w:hAnsi="Times New Roman" w:cs="Times New Roman"/>
          <w:b/>
          <w:bCs/>
        </w:rPr>
      </w:pPr>
      <w:r>
        <w:rPr>
          <w:rFonts w:hint="eastAsia" w:ascii="Times New Roman" w:hAnsi="Times New Roman" w:cs="Times New Roman"/>
          <w:b/>
          <w:bCs/>
        </w:rPr>
        <w:t>（2）</w:t>
      </w:r>
      <w:r>
        <w:rPr>
          <w:rFonts w:ascii="Times New Roman" w:hAnsi="Times New Roman" w:cs="Times New Roman"/>
          <w:b/>
          <w:bCs/>
        </w:rPr>
        <w:t>格木自然保护区</w:t>
      </w:r>
    </w:p>
    <w:p>
      <w:pPr>
        <w:ind w:firstLine="643"/>
        <w:rPr>
          <w:rFonts w:ascii="Times New Roman" w:hAnsi="Times New Roman" w:cs="Times New Roman"/>
          <w:szCs w:val="32"/>
        </w:rPr>
      </w:pPr>
      <w:r>
        <w:rPr>
          <w:rFonts w:ascii="Times New Roman" w:hAnsi="Times New Roman" w:cs="Times New Roman"/>
          <w:b/>
          <w:szCs w:val="32"/>
        </w:rPr>
        <w:t>空间整合：</w:t>
      </w:r>
      <w:r>
        <w:rPr>
          <w:rFonts w:ascii="Times New Roman" w:hAnsi="Times New Roman" w:cs="Times New Roman"/>
          <w:szCs w:val="32"/>
        </w:rPr>
        <w:t>四川海子山国家级自然保护区和格木自然保护区交叉重叠部分保留到四川海子山国家级自然保护区。</w:t>
      </w:r>
    </w:p>
    <w:p>
      <w:pPr>
        <w:ind w:firstLine="643"/>
        <w:rPr>
          <w:rFonts w:ascii="Times New Roman" w:hAnsi="Times New Roman" w:cs="Times New Roman"/>
          <w:szCs w:val="32"/>
        </w:rPr>
      </w:pPr>
      <w:r>
        <w:rPr>
          <w:rFonts w:ascii="Times New Roman" w:hAnsi="Times New Roman" w:cs="Times New Roman"/>
          <w:b/>
          <w:szCs w:val="32"/>
        </w:rPr>
        <w:t>范围优化：</w:t>
      </w:r>
      <w:r>
        <w:rPr>
          <w:rFonts w:ascii="Times New Roman" w:hAnsi="Times New Roman" w:cs="Times New Roman"/>
          <w:szCs w:val="32"/>
        </w:rPr>
        <w:t>依据自然资源部 国家林业和草原局《关于做好自然保护区范围及功能分区优化调整前期有关工作的函》</w:t>
      </w:r>
      <w:r>
        <w:rPr>
          <w:rFonts w:hint="eastAsia" w:ascii="Times New Roman" w:hAnsi="Times New Roman" w:cs="Times New Roman"/>
          <w:szCs w:val="32"/>
        </w:rPr>
        <w:t>（</w:t>
      </w:r>
      <w:r>
        <w:rPr>
          <w:rFonts w:ascii="Times New Roman" w:hAnsi="Times New Roman" w:cs="Times New Roman"/>
          <w:szCs w:val="32"/>
        </w:rPr>
        <w:t>自然资函〔2020〕71号</w:t>
      </w:r>
      <w:r>
        <w:rPr>
          <w:rFonts w:hint="eastAsia" w:ascii="Times New Roman" w:hAnsi="Times New Roman" w:cs="Times New Roman"/>
          <w:szCs w:val="32"/>
        </w:rPr>
        <w:t>）、</w:t>
      </w:r>
      <w:r>
        <w:rPr>
          <w:rFonts w:ascii="Times New Roman" w:hAnsi="Times New Roman" w:cs="Times New Roman"/>
          <w:szCs w:val="32"/>
        </w:rPr>
        <w:t>中共中央办公厅 国务院办公厅印发《关于在国土空间规划中统筹划定落实三条控制线的指导意见》等文件</w:t>
      </w:r>
      <w:r>
        <w:rPr>
          <w:rFonts w:hint="eastAsia" w:ascii="Times New Roman" w:hAnsi="Times New Roman" w:cs="Times New Roman"/>
          <w:szCs w:val="32"/>
        </w:rPr>
        <w:t>规定</w:t>
      </w:r>
      <w:r>
        <w:rPr>
          <w:rFonts w:hint="eastAsia" w:ascii="Times New Roman" w:hAnsi="Times New Roman" w:cs="Times New Roman"/>
          <w:szCs w:val="32"/>
          <w:lang w:eastAsia="zh-CN"/>
        </w:rPr>
        <w:t>，</w:t>
      </w:r>
      <w:r>
        <w:rPr>
          <w:rFonts w:hint="eastAsia" w:ascii="Times New Roman" w:hAnsi="Times New Roman" w:cs="Times New Roman"/>
        </w:rPr>
        <w:t>重点</w:t>
      </w:r>
      <w:r>
        <w:rPr>
          <w:rFonts w:ascii="Times New Roman" w:hAnsi="Times New Roman" w:cs="Times New Roman"/>
        </w:rPr>
        <w:t>解决农牧民</w:t>
      </w:r>
      <w:r>
        <w:rPr>
          <w:rFonts w:hint="eastAsia" w:ascii="Times New Roman" w:hAnsi="Times New Roman" w:cs="Times New Roman"/>
          <w:lang w:val="en-US" w:eastAsia="zh-CN"/>
        </w:rPr>
        <w:t>居住区、</w:t>
      </w:r>
      <w:r>
        <w:rPr>
          <w:rFonts w:ascii="Times New Roman" w:hAnsi="Times New Roman" w:cs="Times New Roman"/>
        </w:rPr>
        <w:t>人工集体商品林</w:t>
      </w:r>
      <w:r>
        <w:rPr>
          <w:rFonts w:hint="eastAsia" w:ascii="Times New Roman" w:hAnsi="Times New Roman" w:cs="Times New Roman"/>
          <w:lang w:val="en-US" w:eastAsia="zh-CN"/>
        </w:rPr>
        <w:t>与保护区重叠问题</w:t>
      </w:r>
      <w:r>
        <w:rPr>
          <w:rFonts w:ascii="Times New Roman" w:hAnsi="Times New Roman" w:cs="Times New Roman"/>
          <w:szCs w:val="32"/>
        </w:rPr>
        <w:t>等</w:t>
      </w:r>
      <w:r>
        <w:rPr>
          <w:rFonts w:hint="eastAsia" w:ascii="Times New Roman" w:hAnsi="Times New Roman" w:cs="Times New Roman"/>
          <w:szCs w:val="32"/>
        </w:rPr>
        <w:t>，</w:t>
      </w:r>
      <w:r>
        <w:rPr>
          <w:rFonts w:ascii="Times New Roman" w:hAnsi="Times New Roman" w:cs="Times New Roman"/>
          <w:szCs w:val="32"/>
        </w:rPr>
        <w:t>调整不涉及矛盾纠纷。</w:t>
      </w:r>
    </w:p>
    <w:p>
      <w:pPr>
        <w:pStyle w:val="2"/>
        <w:ind w:firstLine="640"/>
      </w:pPr>
    </w:p>
    <w:p>
      <w:pPr>
        <w:pStyle w:val="2"/>
        <w:ind w:firstLine="640"/>
      </w:pPr>
    </w:p>
    <w:p>
      <w:pPr>
        <w:pStyle w:val="2"/>
        <w:ind w:firstLine="640"/>
      </w:pPr>
    </w:p>
    <w:p>
      <w:pPr>
        <w:pStyle w:val="2"/>
        <w:ind w:firstLine="640"/>
      </w:pPr>
    </w:p>
    <w:p>
      <w:pPr>
        <w:ind w:left="0" w:leftChars="0" w:firstLine="0" w:firstLineChars="0"/>
        <w:jc w:val="center"/>
        <w:rPr>
          <w:rFonts w:ascii="Times New Roman" w:hAnsi="Times New Roman" w:eastAsia="方正黑体_GBK" w:cs="Times New Roman"/>
          <w:sz w:val="30"/>
          <w:szCs w:val="30"/>
        </w:rPr>
      </w:pPr>
      <w:r>
        <w:rPr>
          <w:rFonts w:hint="eastAsia" w:ascii="Times New Roman" w:hAnsi="Times New Roman" w:eastAsia="方正黑体_GBK" w:cs="Times New Roman"/>
          <w:sz w:val="30"/>
          <w:szCs w:val="30"/>
        </w:rPr>
        <w:t>格木</w:t>
      </w:r>
      <w:r>
        <w:rPr>
          <w:rFonts w:ascii="Times New Roman" w:hAnsi="Times New Roman" w:eastAsia="方正黑体_GBK" w:cs="Times New Roman"/>
          <w:sz w:val="30"/>
          <w:szCs w:val="30"/>
        </w:rPr>
        <w:t>自然保护区整合优化问题汇总表</w:t>
      </w:r>
    </w:p>
    <w:tbl>
      <w:tblPr>
        <w:tblStyle w:val="8"/>
        <w:tblW w:w="4998" w:type="pct"/>
        <w:tblInd w:w="0" w:type="dxa"/>
        <w:tblLayout w:type="autofit"/>
        <w:tblCellMar>
          <w:top w:w="0" w:type="dxa"/>
          <w:left w:w="108" w:type="dxa"/>
          <w:bottom w:w="0" w:type="dxa"/>
          <w:right w:w="108" w:type="dxa"/>
        </w:tblCellMar>
      </w:tblPr>
      <w:tblGrid>
        <w:gridCol w:w="797"/>
        <w:gridCol w:w="1374"/>
        <w:gridCol w:w="730"/>
        <w:gridCol w:w="786"/>
        <w:gridCol w:w="1047"/>
        <w:gridCol w:w="883"/>
        <w:gridCol w:w="970"/>
        <w:gridCol w:w="885"/>
        <w:gridCol w:w="1047"/>
      </w:tblGrid>
      <w:tr>
        <w:tblPrEx>
          <w:tblCellMar>
            <w:top w:w="0" w:type="dxa"/>
            <w:left w:w="108" w:type="dxa"/>
            <w:bottom w:w="0" w:type="dxa"/>
            <w:right w:w="108" w:type="dxa"/>
          </w:tblCellMar>
        </w:tblPrEx>
        <w:trPr>
          <w:trHeight w:val="855" w:hRule="atLeast"/>
          <w:tblHeader/>
        </w:trPr>
        <w:tc>
          <w:tcPr>
            <w:tcW w:w="1274" w:type="pct"/>
            <w:gridSpan w:val="2"/>
            <w:tcBorders>
              <w:top w:val="single" w:color="auto" w:sz="4" w:space="0"/>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类别</w:t>
            </w:r>
          </w:p>
        </w:tc>
        <w:tc>
          <w:tcPr>
            <w:tcW w:w="428"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人口</w:t>
            </w:r>
          </w:p>
        </w:tc>
        <w:tc>
          <w:tcPr>
            <w:tcW w:w="461"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城镇建成区面积</w:t>
            </w:r>
          </w:p>
        </w:tc>
        <w:tc>
          <w:tcPr>
            <w:tcW w:w="614"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村庄建设用地面积</w:t>
            </w:r>
          </w:p>
        </w:tc>
        <w:tc>
          <w:tcPr>
            <w:tcW w:w="518"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永久基本农田面积</w:t>
            </w:r>
          </w:p>
        </w:tc>
        <w:tc>
          <w:tcPr>
            <w:tcW w:w="569"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人工集体商品林面积</w:t>
            </w:r>
          </w:p>
        </w:tc>
        <w:tc>
          <w:tcPr>
            <w:tcW w:w="519"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矿业权面积</w:t>
            </w:r>
          </w:p>
        </w:tc>
        <w:tc>
          <w:tcPr>
            <w:tcW w:w="614" w:type="pct"/>
            <w:tcBorders>
              <w:top w:val="single" w:color="auto" w:sz="4" w:space="0"/>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开发区面积</w:t>
            </w:r>
          </w:p>
        </w:tc>
      </w:tr>
      <w:tr>
        <w:tblPrEx>
          <w:tblCellMar>
            <w:top w:w="0" w:type="dxa"/>
            <w:left w:w="108" w:type="dxa"/>
            <w:bottom w:w="0" w:type="dxa"/>
            <w:right w:w="108" w:type="dxa"/>
          </w:tblCellMar>
        </w:tblPrEx>
        <w:trPr>
          <w:trHeight w:val="409" w:hRule="atLeast"/>
        </w:trPr>
        <w:tc>
          <w:tcPr>
            <w:tcW w:w="468" w:type="pct"/>
            <w:vMerge w:val="restart"/>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原自然保护区</w:t>
            </w: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4931</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6024.54</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65.79</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9</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22.71</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3.38</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67.32</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3.94</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4919</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5934.51</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58.47</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restart"/>
            <w:tcBorders>
              <w:top w:val="nil"/>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调出自然保护区</w:t>
            </w:r>
          </w:p>
        </w:tc>
        <w:tc>
          <w:tcPr>
            <w:tcW w:w="806" w:type="pct"/>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4931</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6024.54</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65.79</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9</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22.71</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3.38</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67.32</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3.94</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4919</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5934.51</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58.47</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restart"/>
            <w:tcBorders>
              <w:top w:val="nil"/>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调入自然保护区</w:t>
            </w: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left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restart"/>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优化调整后自然保护区</w:t>
            </w: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468" w:type="pct"/>
            <w:vMerge w:val="continue"/>
            <w:tcBorders>
              <w:top w:val="nil"/>
              <w:left w:val="single" w:color="auto" w:sz="4" w:space="0"/>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p>
        </w:tc>
        <w:tc>
          <w:tcPr>
            <w:tcW w:w="806"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42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61"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8"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6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19"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14" w:type="pct"/>
            <w:tcBorders>
              <w:top w:val="nil"/>
              <w:left w:val="nil"/>
              <w:bottom w:val="single" w:color="auto" w:sz="4" w:space="0"/>
              <w:right w:val="single" w:color="auto" w:sz="4" w:space="0"/>
            </w:tcBorders>
            <w:vAlign w:val="center"/>
          </w:tcPr>
          <w:p>
            <w:pPr>
              <w:spacing w:line="24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bl>
    <w:p>
      <w:pPr>
        <w:pStyle w:val="4"/>
        <w:spacing w:before="156" w:beforeLines="50"/>
        <w:ind w:firstLine="643" w:firstLineChars="200"/>
        <w:rPr>
          <w:rFonts w:hint="eastAsia" w:ascii="Times New Roman" w:hAnsi="Times New Roman" w:eastAsia="仿宋" w:cs="Times New Roman"/>
          <w:lang w:eastAsia="zh-CN"/>
        </w:rPr>
      </w:pPr>
      <w:r>
        <w:rPr>
          <w:rFonts w:ascii="Times New Roman" w:hAnsi="Times New Roman" w:eastAsia="仿宋" w:cs="Times New Roman"/>
          <w:b/>
          <w:bCs w:val="0"/>
        </w:rPr>
        <w:t>自然保护区功能分区调整</w:t>
      </w:r>
      <w:r>
        <w:rPr>
          <w:rFonts w:hint="eastAsia" w:ascii="Times New Roman" w:hAnsi="Times New Roman" w:eastAsia="仿宋" w:cs="Times New Roman"/>
          <w:b/>
          <w:bCs w:val="0"/>
        </w:rPr>
        <w:t>：</w:t>
      </w:r>
      <w:r>
        <w:rPr>
          <w:rFonts w:ascii="Times New Roman" w:hAnsi="Times New Roman" w:eastAsia="仿宋" w:cs="Times New Roman"/>
        </w:rPr>
        <w:t>整合优化前后无变化</w:t>
      </w:r>
      <w:r>
        <w:rPr>
          <w:rFonts w:hint="eastAsia" w:ascii="Times New Roman" w:hAnsi="Times New Roman" w:eastAsia="仿宋" w:cs="Times New Roman"/>
          <w:lang w:eastAsia="zh-CN"/>
        </w:rPr>
        <w:t>。</w:t>
      </w:r>
    </w:p>
    <w:p>
      <w:pPr>
        <w:pStyle w:val="4"/>
        <w:ind w:firstLine="643" w:firstLineChars="200"/>
        <w:rPr>
          <w:rFonts w:ascii="Times New Roman" w:hAnsi="Times New Roman" w:eastAsia="仿宋" w:cs="Times New Roman"/>
        </w:rPr>
      </w:pPr>
      <w:r>
        <w:rPr>
          <w:rFonts w:ascii="Times New Roman" w:hAnsi="Times New Roman" w:eastAsia="仿宋" w:cs="Times New Roman"/>
          <w:b/>
          <w:bCs w:val="0"/>
        </w:rPr>
        <w:t>管理机构队伍</w:t>
      </w:r>
      <w:r>
        <w:rPr>
          <w:rFonts w:hint="eastAsia" w:ascii="Times New Roman" w:hAnsi="Times New Roman" w:eastAsia="仿宋" w:cs="Times New Roman"/>
          <w:b/>
          <w:bCs w:val="0"/>
        </w:rPr>
        <w:t>：</w:t>
      </w:r>
      <w:r>
        <w:rPr>
          <w:rFonts w:ascii="Times New Roman" w:hAnsi="Times New Roman" w:eastAsia="仿宋" w:cs="Times New Roman"/>
        </w:rPr>
        <w:t>整合优化前后无变化</w:t>
      </w:r>
    </w:p>
    <w:p>
      <w:pPr>
        <w:pStyle w:val="4"/>
        <w:rPr>
          <w:rFonts w:ascii="Times New Roman" w:hAnsi="Times New Roman" w:eastAsia="仿宋" w:cs="Times New Roman"/>
          <w:b/>
          <w:bCs w:val="0"/>
        </w:rPr>
      </w:pPr>
      <w:r>
        <w:rPr>
          <w:rFonts w:hint="eastAsia" w:ascii="Times New Roman" w:hAnsi="Times New Roman" w:eastAsia="仿宋" w:cs="Times New Roman"/>
          <w:b/>
          <w:bCs w:val="0"/>
        </w:rPr>
        <w:t>（3）扎嘎神山自然保护区</w:t>
      </w:r>
    </w:p>
    <w:p>
      <w:pPr>
        <w:ind w:left="640" w:leftChars="200" w:firstLine="0" w:firstLineChars="0"/>
        <w:rPr>
          <w:rFonts w:ascii="Times New Roman" w:hAnsi="Times New Roman" w:cs="Times New Roman"/>
          <w:szCs w:val="32"/>
        </w:rPr>
      </w:pPr>
      <w:r>
        <w:rPr>
          <w:rFonts w:ascii="Times New Roman" w:hAnsi="Times New Roman" w:cs="Times New Roman"/>
          <w:b/>
          <w:szCs w:val="32"/>
        </w:rPr>
        <w:t>空间整合：</w:t>
      </w:r>
      <w:r>
        <w:rPr>
          <w:rFonts w:ascii="Times New Roman" w:hAnsi="Times New Roman" w:cs="Times New Roman"/>
          <w:szCs w:val="32"/>
        </w:rPr>
        <w:t>不涉及空间整合</w:t>
      </w:r>
      <w:r>
        <w:rPr>
          <w:rFonts w:hint="eastAsia" w:ascii="Times New Roman" w:hAnsi="Times New Roman" w:cs="Times New Roman"/>
          <w:szCs w:val="32"/>
        </w:rPr>
        <w:t>。</w:t>
      </w:r>
    </w:p>
    <w:p>
      <w:pPr>
        <w:ind w:firstLine="643"/>
        <w:rPr>
          <w:rFonts w:ascii="Times New Roman" w:hAnsi="Times New Roman" w:cs="Times New Roman"/>
          <w:szCs w:val="32"/>
        </w:rPr>
      </w:pPr>
      <w:r>
        <w:rPr>
          <w:rFonts w:ascii="Times New Roman" w:hAnsi="Times New Roman" w:cs="Times New Roman"/>
          <w:b/>
          <w:szCs w:val="32"/>
        </w:rPr>
        <w:t>范围优化：</w:t>
      </w:r>
      <w:r>
        <w:rPr>
          <w:rFonts w:ascii="Times New Roman" w:hAnsi="Times New Roman" w:cs="Times New Roman"/>
          <w:szCs w:val="32"/>
        </w:rPr>
        <w:t>依据自然资源部</w:t>
      </w:r>
      <w:r>
        <w:rPr>
          <w:rFonts w:hint="eastAsia" w:ascii="Times New Roman" w:hAnsi="Times New Roman" w:cs="Times New Roman"/>
          <w:szCs w:val="32"/>
          <w:lang w:val="en-US" w:eastAsia="zh-CN"/>
        </w:rPr>
        <w:t xml:space="preserve"> </w:t>
      </w:r>
      <w:r>
        <w:rPr>
          <w:rFonts w:ascii="Times New Roman" w:hAnsi="Times New Roman" w:cs="Times New Roman"/>
          <w:szCs w:val="32"/>
        </w:rPr>
        <w:t>国家林业和草原局《关于做好自然保护区范围及功能分区优化调整前期有关工作的函》</w:t>
      </w:r>
      <w:r>
        <w:rPr>
          <w:rFonts w:hint="eastAsia" w:ascii="Times New Roman" w:hAnsi="Times New Roman" w:cs="Times New Roman"/>
          <w:szCs w:val="32"/>
        </w:rPr>
        <w:t>（</w:t>
      </w:r>
      <w:r>
        <w:rPr>
          <w:rFonts w:ascii="Times New Roman" w:hAnsi="Times New Roman" w:cs="Times New Roman"/>
          <w:szCs w:val="32"/>
        </w:rPr>
        <w:t>自然资函〔2020〕71号</w:t>
      </w:r>
      <w:r>
        <w:rPr>
          <w:rFonts w:hint="eastAsia" w:ascii="Times New Roman" w:hAnsi="Times New Roman" w:cs="Times New Roman"/>
          <w:szCs w:val="32"/>
        </w:rPr>
        <w:t>）、</w:t>
      </w:r>
      <w:r>
        <w:rPr>
          <w:rFonts w:ascii="Times New Roman" w:hAnsi="Times New Roman" w:cs="Times New Roman"/>
          <w:szCs w:val="32"/>
        </w:rPr>
        <w:t>中共中央办公厅</w:t>
      </w:r>
      <w:r>
        <w:rPr>
          <w:rFonts w:hint="eastAsia" w:ascii="Times New Roman" w:hAnsi="Times New Roman" w:cs="Times New Roman"/>
          <w:szCs w:val="32"/>
          <w:lang w:val="en-US" w:eastAsia="zh-CN"/>
        </w:rPr>
        <w:t xml:space="preserve"> </w:t>
      </w:r>
      <w:r>
        <w:rPr>
          <w:rFonts w:ascii="Times New Roman" w:hAnsi="Times New Roman" w:cs="Times New Roman"/>
          <w:szCs w:val="32"/>
        </w:rPr>
        <w:t>国务院办公厅印发《关于在国土空间规划中统筹划定落实三条控制线的指导意见》等</w:t>
      </w:r>
      <w:r>
        <w:rPr>
          <w:rFonts w:hint="eastAsia" w:ascii="Times New Roman" w:hAnsi="Times New Roman" w:cs="Times New Roman"/>
          <w:szCs w:val="32"/>
          <w:lang w:val="en-US" w:eastAsia="zh-CN"/>
        </w:rPr>
        <w:t>规定</w:t>
      </w:r>
      <w:r>
        <w:rPr>
          <w:rFonts w:hint="eastAsia" w:ascii="Times New Roman" w:hAnsi="Times New Roman" w:cs="Times New Roman"/>
          <w:szCs w:val="32"/>
          <w:lang w:eastAsia="zh-CN"/>
        </w:rPr>
        <w:t>，</w:t>
      </w:r>
      <w:r>
        <w:rPr>
          <w:rFonts w:hint="eastAsia" w:ascii="Times New Roman" w:hAnsi="Times New Roman" w:cs="Times New Roman"/>
          <w:szCs w:val="32"/>
        </w:rPr>
        <w:t>重点</w:t>
      </w:r>
      <w:r>
        <w:rPr>
          <w:rFonts w:ascii="Times New Roman" w:hAnsi="Times New Roman" w:cs="Times New Roman"/>
          <w:szCs w:val="32"/>
        </w:rPr>
        <w:t>解决农牧民</w:t>
      </w:r>
      <w:r>
        <w:rPr>
          <w:rFonts w:hint="eastAsia" w:ascii="Times New Roman" w:hAnsi="Times New Roman" w:cs="Times New Roman"/>
          <w:szCs w:val="32"/>
        </w:rPr>
        <w:t>居住区</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永久基本农田、人工集体商品林</w:t>
      </w:r>
      <w:r>
        <w:rPr>
          <w:rFonts w:hint="eastAsia" w:ascii="Times New Roman" w:hAnsi="Times New Roman" w:cs="Times New Roman"/>
          <w:szCs w:val="32"/>
        </w:rPr>
        <w:t>与保护区重叠及采矿权</w:t>
      </w:r>
      <w:r>
        <w:rPr>
          <w:rFonts w:ascii="Times New Roman" w:hAnsi="Times New Roman" w:cs="Times New Roman"/>
          <w:szCs w:val="32"/>
        </w:rPr>
        <w:t>等问题</w:t>
      </w:r>
      <w:r>
        <w:rPr>
          <w:rFonts w:hint="eastAsia" w:ascii="Times New Roman" w:hAnsi="Times New Roman" w:cs="Times New Roman"/>
          <w:szCs w:val="32"/>
        </w:rPr>
        <w:t>，本次</w:t>
      </w:r>
      <w:r>
        <w:rPr>
          <w:rFonts w:ascii="Times New Roman" w:hAnsi="Times New Roman" w:cs="Times New Roman"/>
          <w:szCs w:val="32"/>
        </w:rPr>
        <w:t>调整不涉及矛盾纠纷。</w:t>
      </w:r>
    </w:p>
    <w:p>
      <w:pPr>
        <w:ind w:firstLine="600"/>
        <w:jc w:val="center"/>
        <w:rPr>
          <w:rFonts w:ascii="Times New Roman" w:hAnsi="Times New Roman" w:eastAsia="方正黑体_GBK" w:cs="Times New Roman"/>
          <w:sz w:val="30"/>
          <w:szCs w:val="30"/>
        </w:rPr>
      </w:pPr>
      <w:r>
        <w:rPr>
          <w:rFonts w:hint="eastAsia" w:ascii="Times New Roman" w:hAnsi="Times New Roman" w:eastAsia="方正黑体_GBK" w:cs="Times New Roman"/>
          <w:sz w:val="30"/>
          <w:szCs w:val="30"/>
        </w:rPr>
        <w:t>扎嘎神山</w:t>
      </w:r>
      <w:r>
        <w:rPr>
          <w:rFonts w:ascii="Times New Roman" w:hAnsi="Times New Roman" w:eastAsia="方正黑体_GBK" w:cs="Times New Roman"/>
          <w:sz w:val="30"/>
          <w:szCs w:val="30"/>
        </w:rPr>
        <w:t>自然保护区整合优化问题汇总表</w:t>
      </w:r>
    </w:p>
    <w:tbl>
      <w:tblPr>
        <w:tblStyle w:val="8"/>
        <w:tblW w:w="4998" w:type="pct"/>
        <w:tblInd w:w="0" w:type="dxa"/>
        <w:tblLayout w:type="autofit"/>
        <w:tblCellMar>
          <w:top w:w="0" w:type="dxa"/>
          <w:left w:w="108" w:type="dxa"/>
          <w:bottom w:w="0" w:type="dxa"/>
          <w:right w:w="108" w:type="dxa"/>
        </w:tblCellMar>
      </w:tblPr>
      <w:tblGrid>
        <w:gridCol w:w="958"/>
        <w:gridCol w:w="1072"/>
        <w:gridCol w:w="719"/>
        <w:gridCol w:w="917"/>
        <w:gridCol w:w="1057"/>
        <w:gridCol w:w="1002"/>
        <w:gridCol w:w="851"/>
        <w:gridCol w:w="1025"/>
        <w:gridCol w:w="918"/>
      </w:tblGrid>
      <w:tr>
        <w:tblPrEx>
          <w:tblCellMar>
            <w:top w:w="0" w:type="dxa"/>
            <w:left w:w="108" w:type="dxa"/>
            <w:bottom w:w="0" w:type="dxa"/>
            <w:right w:w="108" w:type="dxa"/>
          </w:tblCellMar>
        </w:tblPrEx>
        <w:trPr>
          <w:trHeight w:val="855" w:hRule="atLeast"/>
          <w:tblHeader/>
        </w:trPr>
        <w:tc>
          <w:tcPr>
            <w:tcW w:w="1191" w:type="pct"/>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类别</w:t>
            </w:r>
          </w:p>
        </w:tc>
        <w:tc>
          <w:tcPr>
            <w:tcW w:w="422"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人口</w:t>
            </w:r>
          </w:p>
        </w:tc>
        <w:tc>
          <w:tcPr>
            <w:tcW w:w="53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城镇建成区面积</w:t>
            </w:r>
          </w:p>
        </w:tc>
        <w:tc>
          <w:tcPr>
            <w:tcW w:w="620"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村庄建设用地面积</w:t>
            </w:r>
          </w:p>
        </w:tc>
        <w:tc>
          <w:tcPr>
            <w:tcW w:w="58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永久基本农田面积</w:t>
            </w:r>
          </w:p>
        </w:tc>
        <w:tc>
          <w:tcPr>
            <w:tcW w:w="499"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人工集体商品林面积</w:t>
            </w:r>
          </w:p>
        </w:tc>
        <w:tc>
          <w:tcPr>
            <w:tcW w:w="601"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矿业权面积</w:t>
            </w:r>
          </w:p>
        </w:tc>
        <w:tc>
          <w:tcPr>
            <w:tcW w:w="538" w:type="pct"/>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b/>
                <w:bCs/>
                <w:color w:val="000000"/>
                <w:kern w:val="0"/>
                <w:sz w:val="21"/>
                <w:szCs w:val="21"/>
              </w:rPr>
            </w:pPr>
            <w:r>
              <w:rPr>
                <w:rFonts w:ascii="Times New Roman" w:hAnsi="Times New Roman" w:eastAsia="方正仿宋_GBK" w:cs="Times New Roman"/>
                <w:b/>
                <w:bCs/>
                <w:color w:val="000000"/>
                <w:kern w:val="0"/>
                <w:sz w:val="21"/>
                <w:szCs w:val="21"/>
              </w:rPr>
              <w:t>开发区面积</w:t>
            </w:r>
          </w:p>
        </w:tc>
      </w:tr>
      <w:tr>
        <w:tblPrEx>
          <w:tblCellMar>
            <w:top w:w="0" w:type="dxa"/>
            <w:left w:w="108" w:type="dxa"/>
            <w:bottom w:w="0" w:type="dxa"/>
            <w:right w:w="108" w:type="dxa"/>
          </w:tblCellMar>
        </w:tblPrEx>
        <w:trPr>
          <w:trHeight w:val="409" w:hRule="atLeast"/>
        </w:trPr>
        <w:tc>
          <w:tcPr>
            <w:tcW w:w="562" w:type="pct"/>
            <w:vMerge w:val="restar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原自然保护区</w:t>
            </w: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3340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3876.89</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116.97</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8.87</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1468.61</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0</w:t>
            </w:r>
          </w:p>
        </w:tc>
      </w:tr>
      <w:tr>
        <w:tblPrEx>
          <w:tblCellMar>
            <w:top w:w="0" w:type="dxa"/>
            <w:left w:w="108" w:type="dxa"/>
            <w:bottom w:w="0" w:type="dxa"/>
            <w:right w:w="108" w:type="dxa"/>
          </w:tblCellMar>
        </w:tblPrEx>
        <w:trPr>
          <w:trHeight w:val="409" w:hRule="atLeast"/>
        </w:trPr>
        <w:tc>
          <w:tcPr>
            <w:tcW w:w="56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4.03</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4.57</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3340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3872.86</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116.97</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8.87</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1464.04</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restart"/>
            <w:tcBorders>
              <w:top w:val="nil"/>
              <w:left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调出自然保护区</w:t>
            </w:r>
          </w:p>
        </w:tc>
        <w:tc>
          <w:tcPr>
            <w:tcW w:w="628" w:type="pc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3440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3876.89</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116.97</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8.87</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1468.61</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textAlignment w:val="center"/>
              <w:rPr>
                <w:rFonts w:ascii="Times New Roman" w:hAnsi="Times New Roman" w:eastAsia="方正仿宋_GBK" w:cs="Times New Roman"/>
                <w:color w:val="000000"/>
                <w:kern w:val="0"/>
                <w:sz w:val="21"/>
                <w:szCs w:val="21"/>
              </w:rPr>
            </w:pPr>
            <w:r>
              <w:rPr>
                <w:rFonts w:ascii="Times New Roman" w:hAnsi="Times New Roman" w:eastAsia="宋体" w:cs="Times New Roman"/>
                <w:snapToGrid w:val="0"/>
                <w:color w:val="000000"/>
                <w:kern w:val="0"/>
                <w:sz w:val="21"/>
                <w:szCs w:val="21"/>
                <w:lang w:bidi="ar"/>
              </w:rPr>
              <w:t>0</w:t>
            </w:r>
          </w:p>
        </w:tc>
      </w:tr>
      <w:tr>
        <w:tblPrEx>
          <w:tblCellMar>
            <w:top w:w="0" w:type="dxa"/>
            <w:left w:w="108" w:type="dxa"/>
            <w:bottom w:w="0" w:type="dxa"/>
            <w:right w:w="108" w:type="dxa"/>
          </w:tblCellMar>
        </w:tblPrEx>
        <w:trPr>
          <w:trHeight w:val="409" w:hRule="atLeast"/>
        </w:trPr>
        <w:tc>
          <w:tcPr>
            <w:tcW w:w="562" w:type="pct"/>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缓冲区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4.03</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4.57</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实验区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3340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3872.86</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116.97</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8.87</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1464.04</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restart"/>
            <w:tcBorders>
              <w:top w:val="nil"/>
              <w:left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调入自然保护区</w:t>
            </w: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left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restart"/>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优化调整后自然保护区</w:t>
            </w: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合计</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核心保护区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r>
        <w:tblPrEx>
          <w:tblCellMar>
            <w:top w:w="0" w:type="dxa"/>
            <w:left w:w="108" w:type="dxa"/>
            <w:bottom w:w="0" w:type="dxa"/>
            <w:right w:w="108" w:type="dxa"/>
          </w:tblCellMar>
        </w:tblPrEx>
        <w:trPr>
          <w:trHeight w:val="409" w:hRule="atLeast"/>
        </w:trPr>
        <w:tc>
          <w:tcPr>
            <w:tcW w:w="562"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p>
        </w:tc>
        <w:tc>
          <w:tcPr>
            <w:tcW w:w="62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一般控制区</w:t>
            </w:r>
          </w:p>
        </w:tc>
        <w:tc>
          <w:tcPr>
            <w:tcW w:w="422"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20"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8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499"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601"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c>
          <w:tcPr>
            <w:tcW w:w="538" w:type="pct"/>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0</w:t>
            </w:r>
          </w:p>
        </w:tc>
      </w:tr>
    </w:tbl>
    <w:p>
      <w:pPr>
        <w:pStyle w:val="4"/>
        <w:spacing w:before="156" w:beforeLines="50"/>
        <w:ind w:firstLine="643" w:firstLineChars="200"/>
        <w:rPr>
          <w:rFonts w:ascii="Times New Roman" w:hAnsi="Times New Roman" w:eastAsia="仿宋" w:cs="Times New Roman"/>
        </w:rPr>
      </w:pPr>
      <w:r>
        <w:rPr>
          <w:rFonts w:ascii="Times New Roman" w:hAnsi="Times New Roman" w:eastAsia="仿宋" w:cs="Times New Roman"/>
          <w:b/>
          <w:bCs w:val="0"/>
        </w:rPr>
        <w:t>自然保护区功能分区调整：</w:t>
      </w:r>
      <w:r>
        <w:rPr>
          <w:rFonts w:ascii="Times New Roman" w:hAnsi="Times New Roman" w:eastAsia="仿宋" w:cs="Times New Roman"/>
        </w:rPr>
        <w:t>整合优化前后无变化</w:t>
      </w:r>
    </w:p>
    <w:p>
      <w:pPr>
        <w:pStyle w:val="4"/>
        <w:ind w:firstLine="643" w:firstLineChars="200"/>
        <w:rPr>
          <w:rFonts w:ascii="Times New Roman" w:hAnsi="Times New Roman" w:eastAsia="仿宋" w:cs="Times New Roman"/>
        </w:rPr>
      </w:pPr>
      <w:r>
        <w:rPr>
          <w:rFonts w:ascii="Times New Roman" w:hAnsi="Times New Roman" w:eastAsia="仿宋" w:cs="Times New Roman"/>
          <w:b/>
          <w:bCs w:val="0"/>
        </w:rPr>
        <w:t>管理机构队伍</w:t>
      </w:r>
      <w:r>
        <w:rPr>
          <w:rFonts w:hint="eastAsia" w:ascii="Times New Roman" w:hAnsi="Times New Roman" w:eastAsia="仿宋" w:cs="Times New Roman"/>
        </w:rPr>
        <w:t>：</w:t>
      </w:r>
      <w:r>
        <w:rPr>
          <w:rFonts w:ascii="Times New Roman" w:hAnsi="Times New Roman" w:eastAsia="仿宋" w:cs="Times New Roman"/>
        </w:rPr>
        <w:t>整合优化前后无变化</w:t>
      </w:r>
    </w:p>
    <w:p>
      <w:pPr>
        <w:pStyle w:val="2"/>
        <w:ind w:firstLine="0" w:firstLineChars="0"/>
        <w:rPr>
          <w:rFonts w:ascii="Times New Roman" w:hAnsi="Times New Roman" w:cs="Times New Roman"/>
          <w:b/>
          <w:bCs/>
          <w:szCs w:val="32"/>
        </w:rPr>
      </w:pPr>
      <w:r>
        <w:rPr>
          <w:rFonts w:hint="eastAsia" w:ascii="Times New Roman" w:hAnsi="Times New Roman" w:cs="Times New Roman"/>
          <w:b/>
          <w:bCs/>
          <w:szCs w:val="32"/>
        </w:rPr>
        <w:t>（4）</w:t>
      </w:r>
      <w:r>
        <w:rPr>
          <w:rFonts w:ascii="Times New Roman" w:hAnsi="Times New Roman" w:cs="Times New Roman"/>
          <w:b/>
          <w:bCs/>
          <w:szCs w:val="32"/>
        </w:rPr>
        <w:t>四川理塘无量河湿地公园</w:t>
      </w:r>
    </w:p>
    <w:p>
      <w:pPr>
        <w:pStyle w:val="2"/>
        <w:ind w:firstLine="640"/>
        <w:rPr>
          <w:rFonts w:ascii="Times New Roman" w:hAnsi="Times New Roman" w:cs="Times New Roman"/>
          <w:szCs w:val="32"/>
        </w:rPr>
      </w:pPr>
      <w:r>
        <w:rPr>
          <w:rFonts w:ascii="Times New Roman" w:hAnsi="Times New Roman" w:cs="Times New Roman"/>
          <w:szCs w:val="32"/>
        </w:rPr>
        <w:t>四川理塘无量河湿地公园不涉及优化调整</w:t>
      </w:r>
      <w:r>
        <w:rPr>
          <w:rFonts w:hint="eastAsia" w:ascii="Times New Roman" w:hAnsi="Times New Roman" w:cs="Times New Roman"/>
          <w:szCs w:val="32"/>
        </w:rPr>
        <w:t>。</w:t>
      </w:r>
    </w:p>
    <w:p>
      <w:pPr>
        <w:pStyle w:val="2"/>
        <w:ind w:firstLine="0" w:firstLineChars="0"/>
        <w:rPr>
          <w:rFonts w:ascii="Times New Roman" w:hAnsi="Times New Roman" w:cs="Times New Roman"/>
          <w:b/>
          <w:bCs/>
          <w:szCs w:val="32"/>
        </w:rPr>
      </w:pPr>
      <w:r>
        <w:rPr>
          <w:rFonts w:hint="eastAsia" w:ascii="Times New Roman" w:hAnsi="Times New Roman" w:cs="Times New Roman"/>
          <w:b/>
          <w:bCs/>
          <w:szCs w:val="32"/>
        </w:rPr>
        <w:t>（5）</w:t>
      </w:r>
      <w:r>
        <w:rPr>
          <w:rFonts w:ascii="Times New Roman" w:hAnsi="Times New Roman" w:cs="Times New Roman"/>
          <w:b/>
          <w:bCs/>
          <w:szCs w:val="32"/>
        </w:rPr>
        <w:t>理塘擦若溪风景名胜区</w:t>
      </w:r>
    </w:p>
    <w:p>
      <w:pPr>
        <w:pStyle w:val="2"/>
        <w:ind w:firstLine="640"/>
        <w:rPr>
          <w:rFonts w:ascii="Times New Roman" w:hAnsi="Times New Roman" w:cs="Times New Roman"/>
          <w:szCs w:val="32"/>
        </w:rPr>
      </w:pPr>
      <w:r>
        <w:rPr>
          <w:rFonts w:ascii="Times New Roman" w:hAnsi="Times New Roman" w:cs="Times New Roman"/>
          <w:szCs w:val="32"/>
        </w:rPr>
        <w:t>理塘擦若溪风景名胜区不涉及优化调整</w:t>
      </w:r>
      <w:r>
        <w:rPr>
          <w:rFonts w:hint="eastAsia" w:ascii="Times New Roman" w:hAnsi="Times New Roman" w:cs="Times New Roman"/>
          <w:szCs w:val="32"/>
        </w:rPr>
        <w:t>。</w:t>
      </w:r>
    </w:p>
    <w:p>
      <w:pPr>
        <w:pStyle w:val="2"/>
        <w:numPr>
          <w:ilvl w:val="0"/>
          <w:numId w:val="2"/>
        </w:numPr>
        <w:ind w:left="320" w:leftChars="0" w:firstLine="0" w:firstLineChars="0"/>
        <w:rPr>
          <w:rFonts w:ascii="黑体" w:hAnsi="黑体" w:eastAsia="黑体" w:cs="黑体"/>
          <w:szCs w:val="32"/>
        </w:rPr>
      </w:pPr>
      <w:r>
        <w:rPr>
          <w:rFonts w:hint="eastAsia" w:ascii="黑体" w:hAnsi="黑体" w:eastAsia="黑体" w:cs="黑体"/>
          <w:szCs w:val="32"/>
        </w:rPr>
        <w:t>影响和效益评价</w:t>
      </w:r>
    </w:p>
    <w:p>
      <w:pPr>
        <w:pStyle w:val="2"/>
        <w:ind w:firstLine="640"/>
        <w:rPr>
          <w:rFonts w:ascii="Times New Roman" w:hAnsi="Times New Roman" w:cs="Times New Roman"/>
          <w:szCs w:val="32"/>
        </w:rPr>
      </w:pPr>
      <w:r>
        <w:rPr>
          <w:rFonts w:hint="eastAsia" w:ascii="Times New Roman" w:hAnsi="Times New Roman" w:cs="Times New Roman"/>
          <w:szCs w:val="32"/>
        </w:rPr>
        <w:t>在考虑资源保护的前提下，充分重视地方经济社会发展的现实需求，将</w:t>
      </w:r>
      <w:r>
        <w:rPr>
          <w:rFonts w:hint="eastAsia" w:ascii="Times New Roman" w:hAnsi="Times New Roman" w:cs="Times New Roman"/>
          <w:szCs w:val="32"/>
          <w:lang w:val="en-US" w:eastAsia="zh-CN"/>
        </w:rPr>
        <w:t>自然</w:t>
      </w:r>
      <w:r>
        <w:rPr>
          <w:rFonts w:hint="eastAsia" w:ascii="Times New Roman" w:hAnsi="Times New Roman" w:cs="Times New Roman"/>
          <w:szCs w:val="32"/>
        </w:rPr>
        <w:t>保护</w:t>
      </w:r>
      <w:r>
        <w:rPr>
          <w:rFonts w:hint="eastAsia" w:ascii="Times New Roman" w:hAnsi="Times New Roman" w:cs="Times New Roman"/>
          <w:szCs w:val="32"/>
          <w:lang w:val="en-US" w:eastAsia="zh-CN"/>
        </w:rPr>
        <w:t>地</w:t>
      </w:r>
      <w:r>
        <w:rPr>
          <w:rFonts w:hint="eastAsia" w:ascii="Times New Roman" w:hAnsi="Times New Roman" w:cs="Times New Roman"/>
          <w:szCs w:val="32"/>
        </w:rPr>
        <w:t>内已存在的居民点</w:t>
      </w:r>
      <w:r>
        <w:rPr>
          <w:rFonts w:hint="eastAsia" w:ascii="Times New Roman" w:hAnsi="Times New Roman" w:cs="Times New Roman"/>
          <w:szCs w:val="32"/>
          <w:lang w:eastAsia="zh-CN"/>
        </w:rPr>
        <w:t>、</w:t>
      </w:r>
      <w:r>
        <w:rPr>
          <w:rFonts w:hint="eastAsia" w:ascii="Times New Roman" w:hAnsi="Times New Roman" w:cs="Times New Roman"/>
          <w:szCs w:val="32"/>
          <w:lang w:val="en-US" w:eastAsia="zh-CN"/>
        </w:rPr>
        <w:t>集体商品林、永久基本农田、采矿点</w:t>
      </w:r>
      <w:r>
        <w:rPr>
          <w:rFonts w:hint="eastAsia" w:ascii="Times New Roman" w:hAnsi="Times New Roman" w:cs="Times New Roman"/>
          <w:szCs w:val="32"/>
        </w:rPr>
        <w:t>且生物多样性极低、水土保持功能</w:t>
      </w:r>
      <w:r>
        <w:rPr>
          <w:rFonts w:hint="eastAsia" w:ascii="Times New Roman" w:hAnsi="Times New Roman" w:cs="Times New Roman"/>
          <w:szCs w:val="32"/>
          <w:lang w:val="en-US" w:eastAsia="zh-CN"/>
        </w:rPr>
        <w:t>较</w:t>
      </w:r>
      <w:r>
        <w:rPr>
          <w:rFonts w:hint="eastAsia" w:ascii="Times New Roman" w:hAnsi="Times New Roman" w:cs="Times New Roman"/>
          <w:szCs w:val="32"/>
        </w:rPr>
        <w:t>差的</w:t>
      </w:r>
      <w:r>
        <w:rPr>
          <w:rFonts w:hint="eastAsia" w:ascii="Times New Roman" w:hAnsi="Times New Roman" w:cs="Times New Roman"/>
          <w:szCs w:val="32"/>
          <w:lang w:val="en-US" w:eastAsia="zh-CN"/>
        </w:rPr>
        <w:t>区域</w:t>
      </w:r>
      <w:r>
        <w:rPr>
          <w:rFonts w:hint="eastAsia" w:ascii="Times New Roman" w:hAnsi="Times New Roman" w:cs="Times New Roman"/>
          <w:szCs w:val="32"/>
        </w:rPr>
        <w:t>调出了</w:t>
      </w:r>
      <w:r>
        <w:rPr>
          <w:rFonts w:hint="eastAsia" w:ascii="Times New Roman" w:hAnsi="Times New Roman" w:cs="Times New Roman"/>
          <w:szCs w:val="32"/>
          <w:lang w:val="en-US" w:eastAsia="zh-CN"/>
        </w:rPr>
        <w:t>自然</w:t>
      </w:r>
      <w:r>
        <w:rPr>
          <w:rFonts w:hint="eastAsia" w:ascii="Times New Roman" w:hAnsi="Times New Roman" w:cs="Times New Roman"/>
          <w:szCs w:val="32"/>
        </w:rPr>
        <w:t>保护</w:t>
      </w:r>
      <w:r>
        <w:rPr>
          <w:rFonts w:hint="eastAsia" w:ascii="Times New Roman" w:hAnsi="Times New Roman" w:cs="Times New Roman"/>
          <w:szCs w:val="32"/>
          <w:lang w:val="en-US" w:eastAsia="zh-CN"/>
        </w:rPr>
        <w:t>地</w:t>
      </w:r>
      <w:r>
        <w:rPr>
          <w:rFonts w:hint="eastAsia" w:ascii="Times New Roman" w:hAnsi="Times New Roman" w:cs="Times New Roman"/>
          <w:szCs w:val="32"/>
        </w:rPr>
        <w:t>，有利于社区经济发展，对融洽</w:t>
      </w:r>
      <w:r>
        <w:rPr>
          <w:rFonts w:hint="eastAsia" w:ascii="Times New Roman" w:hAnsi="Times New Roman" w:cs="Times New Roman"/>
          <w:szCs w:val="32"/>
          <w:lang w:val="en-US" w:eastAsia="zh-CN"/>
        </w:rPr>
        <w:t>自然</w:t>
      </w:r>
      <w:r>
        <w:rPr>
          <w:rFonts w:hint="eastAsia" w:ascii="Times New Roman" w:hAnsi="Times New Roman" w:cs="Times New Roman"/>
          <w:szCs w:val="32"/>
        </w:rPr>
        <w:t>保护</w:t>
      </w:r>
      <w:r>
        <w:rPr>
          <w:rFonts w:hint="eastAsia" w:ascii="Times New Roman" w:hAnsi="Times New Roman" w:cs="Times New Roman"/>
          <w:szCs w:val="32"/>
          <w:lang w:val="en-US" w:eastAsia="zh-CN"/>
        </w:rPr>
        <w:t>地</w:t>
      </w:r>
      <w:r>
        <w:rPr>
          <w:rFonts w:hint="eastAsia" w:ascii="Times New Roman" w:hAnsi="Times New Roman" w:cs="Times New Roman"/>
          <w:szCs w:val="32"/>
        </w:rPr>
        <w:t>与周边社区关系、维持当地社会稳定极为有利。</w:t>
      </w:r>
    </w:p>
    <w:p>
      <w:pPr>
        <w:pStyle w:val="2"/>
        <w:ind w:firstLine="640"/>
        <w:rPr>
          <w:rFonts w:ascii="Times New Roman" w:hAnsi="Times New Roman" w:cs="Times New Roman"/>
          <w:szCs w:val="32"/>
        </w:rPr>
      </w:pPr>
      <w:r>
        <w:rPr>
          <w:rFonts w:hint="eastAsia" w:ascii="Times New Roman" w:hAnsi="Times New Roman" w:cs="Times New Roman"/>
          <w:szCs w:val="32"/>
        </w:rPr>
        <w:t>理塘县境内现有</w:t>
      </w:r>
      <w:r>
        <w:rPr>
          <w:rFonts w:ascii="Times New Roman" w:hAnsi="Times New Roman" w:cs="Times New Roman"/>
          <w:szCs w:val="32"/>
        </w:rPr>
        <w:t>野生动物25目74科299种</w:t>
      </w:r>
      <w:r>
        <w:rPr>
          <w:rFonts w:hint="eastAsia" w:ascii="Times New Roman" w:hAnsi="Times New Roman" w:cs="Times New Roman"/>
          <w:szCs w:val="32"/>
        </w:rPr>
        <w:t>，</w:t>
      </w:r>
      <w:r>
        <w:rPr>
          <w:rFonts w:ascii="Times New Roman" w:hAnsi="Times New Roman" w:cs="Times New Roman"/>
          <w:szCs w:val="32"/>
        </w:rPr>
        <w:t>其中哺乳纲6目21科63种，鸟纲14目42科210种，两栖纲2目4科8种，爬行纲1目4科6种，鱼类2目3科12种</w:t>
      </w:r>
      <w:r>
        <w:rPr>
          <w:rFonts w:hint="eastAsia" w:ascii="Times New Roman" w:hAnsi="Times New Roman" w:cs="Times New Roman"/>
          <w:szCs w:val="32"/>
        </w:rPr>
        <w:t>，其中雪豹、林麝、马麝等国家保护动物57种</w:t>
      </w:r>
      <w:r>
        <w:rPr>
          <w:rFonts w:ascii="Times New Roman" w:hAnsi="Times New Roman" w:cs="Times New Roman"/>
          <w:szCs w:val="32"/>
        </w:rPr>
        <w:t>。</w:t>
      </w:r>
      <w:r>
        <w:rPr>
          <w:rFonts w:hint="eastAsia" w:ascii="Times New Roman" w:hAnsi="Times New Roman" w:cs="Times New Roman"/>
          <w:szCs w:val="32"/>
        </w:rPr>
        <w:t>区域分布的植物主要有云杉、冷杉、高山柳、高山柏等。区域</w:t>
      </w:r>
      <w:r>
        <w:rPr>
          <w:rFonts w:ascii="Times New Roman" w:hAnsi="Times New Roman" w:cs="Times New Roman"/>
          <w:szCs w:val="32"/>
        </w:rPr>
        <w:t>生态系统</w:t>
      </w:r>
      <w:r>
        <w:rPr>
          <w:rFonts w:hint="eastAsia" w:ascii="Times New Roman" w:hAnsi="Times New Roman" w:cs="Times New Roman"/>
          <w:szCs w:val="32"/>
        </w:rPr>
        <w:t>主要</w:t>
      </w:r>
      <w:r>
        <w:rPr>
          <w:rFonts w:ascii="Times New Roman" w:hAnsi="Times New Roman" w:cs="Times New Roman"/>
          <w:szCs w:val="32"/>
        </w:rPr>
        <w:t>包括湿地生</w:t>
      </w:r>
      <w:r>
        <w:rPr>
          <w:rFonts w:hint="eastAsia" w:ascii="Times New Roman" w:hAnsi="Times New Roman" w:cs="Times New Roman"/>
          <w:szCs w:val="32"/>
        </w:rPr>
        <w:t>态系统、草原生态系统、森林生态系统。本次调整涉及面积</w:t>
      </w:r>
      <w:r>
        <w:rPr>
          <w:rFonts w:hint="eastAsia" w:ascii="Times New Roman" w:hAnsi="Times New Roman" w:cs="Times New Roman"/>
          <w:szCs w:val="32"/>
          <w:lang w:val="en-US" w:eastAsia="zh-CN"/>
        </w:rPr>
        <w:t>8.39</w:t>
      </w:r>
      <w:r>
        <w:rPr>
          <w:rFonts w:hint="eastAsia" w:ascii="Times New Roman" w:hAnsi="Times New Roman" w:cs="Times New Roman"/>
          <w:szCs w:val="32"/>
        </w:rPr>
        <w:t>万公顷，占国土总面积的5.</w:t>
      </w:r>
      <w:r>
        <w:rPr>
          <w:rFonts w:hint="eastAsia" w:ascii="Times New Roman" w:hAnsi="Times New Roman" w:cs="Times New Roman"/>
          <w:szCs w:val="32"/>
          <w:lang w:val="en-US" w:eastAsia="zh-CN"/>
        </w:rPr>
        <w:t>60</w:t>
      </w:r>
      <w:r>
        <w:rPr>
          <w:rFonts w:hint="eastAsia" w:ascii="Times New Roman" w:hAnsi="Times New Roman" w:cs="Times New Roman"/>
          <w:szCs w:val="32"/>
        </w:rPr>
        <w:t>%，占比较小，不会对</w:t>
      </w:r>
      <w:r>
        <w:rPr>
          <w:rFonts w:hint="eastAsia" w:ascii="Times New Roman" w:hAnsi="Times New Roman" w:cs="Times New Roman"/>
          <w:szCs w:val="32"/>
          <w:lang w:val="en-US" w:eastAsia="zh-CN"/>
        </w:rPr>
        <w:t>区域</w:t>
      </w:r>
      <w:r>
        <w:rPr>
          <w:rFonts w:hint="eastAsia" w:ascii="Times New Roman" w:hAnsi="Times New Roman" w:cs="Times New Roman"/>
          <w:szCs w:val="32"/>
        </w:rPr>
        <w:t>生态系统的完整</w:t>
      </w:r>
      <w:r>
        <w:rPr>
          <w:rFonts w:ascii="Times New Roman" w:hAnsi="Times New Roman" w:cs="Times New Roman"/>
          <w:szCs w:val="32"/>
        </w:rPr>
        <w:t>性造成影响。</w:t>
      </w:r>
      <w:r>
        <w:rPr>
          <w:rFonts w:hint="eastAsia" w:ascii="Times New Roman" w:hAnsi="Times New Roman" w:cs="Times New Roman"/>
          <w:szCs w:val="32"/>
        </w:rPr>
        <w:t>同时</w:t>
      </w:r>
      <w:r>
        <w:rPr>
          <w:rFonts w:ascii="Times New Roman" w:hAnsi="Times New Roman" w:cs="Times New Roman"/>
          <w:szCs w:val="32"/>
        </w:rPr>
        <w:t>调出部分村庄</w:t>
      </w:r>
      <w:r>
        <w:rPr>
          <w:rFonts w:hint="eastAsia" w:ascii="Times New Roman" w:hAnsi="Times New Roman" w:cs="Times New Roman"/>
          <w:szCs w:val="32"/>
        </w:rPr>
        <w:t>、商品林、基本农田</w:t>
      </w:r>
      <w:r>
        <w:rPr>
          <w:rFonts w:ascii="Times New Roman" w:hAnsi="Times New Roman" w:cs="Times New Roman"/>
          <w:szCs w:val="32"/>
        </w:rPr>
        <w:t>后</w:t>
      </w:r>
      <w:r>
        <w:rPr>
          <w:rFonts w:hint="eastAsia" w:ascii="Times New Roman" w:hAnsi="Times New Roman" w:cs="Times New Roman"/>
          <w:szCs w:val="32"/>
        </w:rPr>
        <w:t>更</w:t>
      </w:r>
      <w:r>
        <w:rPr>
          <w:rFonts w:ascii="Times New Roman" w:hAnsi="Times New Roman" w:cs="Times New Roman"/>
          <w:szCs w:val="32"/>
        </w:rPr>
        <w:t>有利于改善</w:t>
      </w:r>
      <w:r>
        <w:rPr>
          <w:rFonts w:hint="eastAsia" w:ascii="Times New Roman" w:hAnsi="Times New Roman" w:cs="Times New Roman"/>
          <w:szCs w:val="32"/>
        </w:rPr>
        <w:t>区域</w:t>
      </w:r>
      <w:r>
        <w:rPr>
          <w:rFonts w:hint="eastAsia" w:ascii="Times New Roman" w:hAnsi="Times New Roman" w:cs="Times New Roman"/>
          <w:szCs w:val="32"/>
          <w:lang w:val="en-US" w:eastAsia="zh-CN"/>
        </w:rPr>
        <w:t>农牧民</w:t>
      </w:r>
      <w:r>
        <w:rPr>
          <w:rFonts w:ascii="Times New Roman" w:hAnsi="Times New Roman" w:cs="Times New Roman"/>
          <w:szCs w:val="32"/>
        </w:rPr>
        <w:t>的基本</w:t>
      </w:r>
      <w:r>
        <w:rPr>
          <w:rFonts w:hint="eastAsia" w:ascii="Times New Roman" w:hAnsi="Times New Roman" w:cs="Times New Roman"/>
          <w:szCs w:val="32"/>
        </w:rPr>
        <w:t>生产</w:t>
      </w:r>
      <w:r>
        <w:rPr>
          <w:rFonts w:ascii="Times New Roman" w:hAnsi="Times New Roman" w:cs="Times New Roman"/>
          <w:szCs w:val="32"/>
        </w:rPr>
        <w:t>生活条件，</w:t>
      </w:r>
      <w:r>
        <w:rPr>
          <w:rFonts w:hint="eastAsia" w:ascii="Times New Roman" w:hAnsi="Times New Roman" w:cs="Times New Roman"/>
          <w:szCs w:val="32"/>
        </w:rPr>
        <w:t>带动区域经济发展，</w:t>
      </w:r>
      <w:r>
        <w:rPr>
          <w:rFonts w:ascii="Times New Roman" w:hAnsi="Times New Roman" w:cs="Times New Roman"/>
          <w:szCs w:val="32"/>
        </w:rPr>
        <w:t>促进乡村振兴。</w:t>
      </w:r>
    </w:p>
    <w:p>
      <w:pPr>
        <w:pStyle w:val="2"/>
        <w:ind w:firstLine="640"/>
        <w:rPr>
          <w:rFonts w:hint="eastAsia" w:ascii="Times New Roman" w:hAnsi="Times New Roman" w:cs="Times New Roman"/>
          <w:szCs w:val="32"/>
        </w:rPr>
      </w:pPr>
      <w:r>
        <w:rPr>
          <w:rFonts w:hint="eastAsia" w:ascii="Times New Roman" w:hAnsi="Times New Roman" w:cs="Times New Roman"/>
          <w:szCs w:val="32"/>
        </w:rPr>
        <w:t>本次理塘县</w:t>
      </w:r>
      <w:r>
        <w:rPr>
          <w:rFonts w:ascii="Times New Roman" w:hAnsi="Times New Roman" w:cs="Times New Roman"/>
          <w:szCs w:val="32"/>
        </w:rPr>
        <w:t>四川海子山国家级自然保护区、格木自然保护区、扎嘎神山自然保护区、四川理塘无量河湿地公园、理塘擦若溪风景名胜区</w:t>
      </w:r>
      <w:r>
        <w:rPr>
          <w:rFonts w:hint="eastAsia" w:ascii="Times New Roman" w:hAnsi="Times New Roman" w:cs="Times New Roman"/>
          <w:szCs w:val="32"/>
        </w:rPr>
        <w:t>5个自然保护地</w:t>
      </w:r>
      <w:r>
        <w:rPr>
          <w:rFonts w:ascii="Times New Roman" w:hAnsi="Times New Roman" w:cs="Times New Roman"/>
          <w:szCs w:val="32"/>
        </w:rPr>
        <w:t>优化调整</w:t>
      </w:r>
      <w:r>
        <w:rPr>
          <w:rFonts w:hint="eastAsia" w:ascii="Times New Roman" w:hAnsi="Times New Roman" w:cs="Times New Roman"/>
          <w:szCs w:val="32"/>
        </w:rPr>
        <w:t>主要</w:t>
      </w:r>
      <w:r>
        <w:rPr>
          <w:rFonts w:ascii="Times New Roman" w:hAnsi="Times New Roman" w:cs="Times New Roman"/>
          <w:szCs w:val="32"/>
        </w:rPr>
        <w:t>涉及村庄调整、永久基本农田调整</w:t>
      </w:r>
      <w:r>
        <w:rPr>
          <w:rFonts w:hint="eastAsia" w:ascii="Times New Roman" w:hAnsi="Times New Roman" w:cs="Times New Roman"/>
          <w:szCs w:val="32"/>
        </w:rPr>
        <w:t>、</w:t>
      </w:r>
      <w:r>
        <w:rPr>
          <w:rFonts w:ascii="Times New Roman" w:hAnsi="Times New Roman" w:cs="Times New Roman"/>
          <w:szCs w:val="32"/>
        </w:rPr>
        <w:t>矿权调整</w:t>
      </w:r>
      <w:r>
        <w:rPr>
          <w:rFonts w:hint="eastAsia" w:ascii="Times New Roman" w:hAnsi="Times New Roman" w:cs="Times New Roman"/>
          <w:szCs w:val="32"/>
        </w:rPr>
        <w:t>、商品林调整</w:t>
      </w:r>
      <w:r>
        <w:rPr>
          <w:rFonts w:ascii="Times New Roman" w:hAnsi="Times New Roman" w:cs="Times New Roman"/>
          <w:szCs w:val="32"/>
        </w:rPr>
        <w:t>，有利于改善</w:t>
      </w:r>
      <w:r>
        <w:rPr>
          <w:rFonts w:hint="eastAsia" w:ascii="Times New Roman" w:hAnsi="Times New Roman" w:cs="Times New Roman"/>
          <w:szCs w:val="32"/>
        </w:rPr>
        <w:t>区域</w:t>
      </w:r>
      <w:r>
        <w:rPr>
          <w:rFonts w:hint="eastAsia" w:ascii="Times New Roman" w:hAnsi="Times New Roman" w:cs="Times New Roman"/>
          <w:szCs w:val="32"/>
          <w:lang w:val="en-US" w:eastAsia="zh-CN"/>
        </w:rPr>
        <w:t>农</w:t>
      </w:r>
      <w:r>
        <w:rPr>
          <w:rFonts w:ascii="Times New Roman" w:hAnsi="Times New Roman" w:cs="Times New Roman"/>
          <w:szCs w:val="32"/>
        </w:rPr>
        <w:t>牧民生产生活条件，</w:t>
      </w:r>
      <w:r>
        <w:rPr>
          <w:rFonts w:hint="eastAsia" w:ascii="Times New Roman" w:hAnsi="Times New Roman" w:cs="Times New Roman"/>
          <w:szCs w:val="32"/>
        </w:rPr>
        <w:t>促进</w:t>
      </w:r>
      <w:r>
        <w:rPr>
          <w:rFonts w:ascii="Times New Roman" w:hAnsi="Times New Roman" w:cs="Times New Roman"/>
          <w:szCs w:val="32"/>
        </w:rPr>
        <w:t>农业经济发展，带动周边农牧民就业，</w:t>
      </w:r>
      <w:r>
        <w:rPr>
          <w:rFonts w:hint="eastAsia" w:ascii="Times New Roman" w:hAnsi="Times New Roman" w:cs="Times New Roman"/>
          <w:szCs w:val="32"/>
        </w:rPr>
        <w:t>民族地区</w:t>
      </w:r>
      <w:r>
        <w:rPr>
          <w:rFonts w:ascii="Times New Roman" w:hAnsi="Times New Roman" w:cs="Times New Roman"/>
          <w:szCs w:val="32"/>
        </w:rPr>
        <w:t>社会</w:t>
      </w:r>
      <w:r>
        <w:rPr>
          <w:rFonts w:hint="eastAsia" w:ascii="Times New Roman" w:hAnsi="Times New Roman" w:cs="Times New Roman"/>
          <w:szCs w:val="32"/>
        </w:rPr>
        <w:t>更加</w:t>
      </w:r>
      <w:r>
        <w:rPr>
          <w:rFonts w:ascii="Times New Roman" w:hAnsi="Times New Roman" w:cs="Times New Roman"/>
          <w:szCs w:val="32"/>
        </w:rPr>
        <w:t>稳定，更有利于自然保护地的管理和保护。</w:t>
      </w:r>
      <w:r>
        <w:rPr>
          <w:rFonts w:hint="eastAsia" w:ascii="Times New Roman" w:hAnsi="Times New Roman" w:cs="Times New Roman"/>
          <w:szCs w:val="32"/>
        </w:rPr>
        <w:t>因此，范围优化调整后，保护区的主要保护对象都被划入了核心保护区，确保主要保护对象能够得到更为严格的保护。</w:t>
      </w:r>
      <w:r>
        <w:rPr>
          <w:rFonts w:hint="eastAsia" w:ascii="Times New Roman" w:hAnsi="Times New Roman" w:cs="Times New Roman"/>
          <w:szCs w:val="32"/>
          <w:lang w:val="en-US" w:eastAsia="zh-CN"/>
        </w:rPr>
        <w:t>另外</w:t>
      </w:r>
      <w:r>
        <w:rPr>
          <w:rFonts w:hint="eastAsia" w:ascii="Times New Roman" w:hAnsi="Times New Roman" w:cs="Times New Roman"/>
          <w:szCs w:val="32"/>
        </w:rPr>
        <w:t>，原保护</w:t>
      </w:r>
      <w:r>
        <w:rPr>
          <w:rFonts w:hint="eastAsia" w:ascii="Times New Roman" w:hAnsi="Times New Roman" w:cs="Times New Roman"/>
          <w:szCs w:val="32"/>
          <w:lang w:val="en-US" w:eastAsia="zh-CN"/>
        </w:rPr>
        <w:t>地</w:t>
      </w:r>
      <w:r>
        <w:rPr>
          <w:rFonts w:hint="eastAsia" w:ascii="Times New Roman" w:hAnsi="Times New Roman" w:cs="Times New Roman"/>
          <w:szCs w:val="32"/>
        </w:rPr>
        <w:t>内</w:t>
      </w:r>
      <w:r>
        <w:rPr>
          <w:rFonts w:hint="eastAsia" w:ascii="Times New Roman" w:hAnsi="Times New Roman" w:cs="Times New Roman"/>
          <w:szCs w:val="32"/>
          <w:lang w:val="en-US" w:eastAsia="zh-CN"/>
        </w:rPr>
        <w:t>的一些</w:t>
      </w:r>
      <w:r>
        <w:rPr>
          <w:rFonts w:hint="eastAsia" w:ascii="Times New Roman" w:hAnsi="Times New Roman" w:cs="Times New Roman"/>
          <w:szCs w:val="32"/>
        </w:rPr>
        <w:t>零散分布的生态低效人工林被调出保护区范围，有利于地方政府对这些森林开展仿自然生态改造，提高其水土保持、涵养水源和增加区域生物多样性的能力，同时对维持和改善保护</w:t>
      </w:r>
      <w:r>
        <w:rPr>
          <w:rFonts w:hint="eastAsia" w:ascii="Times New Roman" w:hAnsi="Times New Roman" w:cs="Times New Roman"/>
          <w:szCs w:val="32"/>
          <w:lang w:val="en-US" w:eastAsia="zh-CN"/>
        </w:rPr>
        <w:t>地</w:t>
      </w:r>
      <w:r>
        <w:rPr>
          <w:rFonts w:hint="eastAsia" w:ascii="Times New Roman" w:hAnsi="Times New Roman" w:cs="Times New Roman"/>
          <w:szCs w:val="32"/>
        </w:rPr>
        <w:t>内湿地生态</w:t>
      </w:r>
      <w:r>
        <w:rPr>
          <w:rFonts w:hint="eastAsia" w:ascii="Times New Roman" w:hAnsi="Times New Roman" w:cs="Times New Roman"/>
          <w:szCs w:val="32"/>
          <w:lang w:val="en-US" w:eastAsia="zh-CN"/>
        </w:rPr>
        <w:t>系统等</w:t>
      </w:r>
      <w:r>
        <w:rPr>
          <w:rFonts w:hint="eastAsia" w:ascii="Times New Roman" w:hAnsi="Times New Roman" w:cs="Times New Roman"/>
          <w:szCs w:val="32"/>
        </w:rPr>
        <w:t>具有十分积极的现实意义。</w:t>
      </w:r>
      <w:r>
        <w:rPr>
          <w:rFonts w:hint="eastAsia" w:ascii="Times New Roman" w:hAnsi="Times New Roman" w:cs="Times New Roman"/>
          <w:szCs w:val="32"/>
          <w:lang w:val="en-US" w:eastAsia="zh-CN"/>
        </w:rPr>
        <w:t>总之</w:t>
      </w:r>
      <w:r>
        <w:rPr>
          <w:rFonts w:hint="eastAsia" w:ascii="Times New Roman" w:hAnsi="Times New Roman" w:cs="Times New Roman"/>
          <w:szCs w:val="32"/>
        </w:rPr>
        <w:t>保护</w:t>
      </w:r>
      <w:r>
        <w:rPr>
          <w:rFonts w:hint="eastAsia" w:ascii="Times New Roman" w:hAnsi="Times New Roman" w:cs="Times New Roman"/>
          <w:szCs w:val="32"/>
          <w:lang w:val="en-US" w:eastAsia="zh-CN"/>
        </w:rPr>
        <w:t>地</w:t>
      </w:r>
      <w:r>
        <w:rPr>
          <w:rFonts w:hint="eastAsia" w:ascii="Times New Roman" w:hAnsi="Times New Roman" w:cs="Times New Roman"/>
          <w:szCs w:val="32"/>
        </w:rPr>
        <w:t>本次范围调整及调整后的功能区划对保护</w:t>
      </w:r>
      <w:r>
        <w:rPr>
          <w:rFonts w:hint="eastAsia" w:ascii="Times New Roman" w:hAnsi="Times New Roman" w:cs="Times New Roman"/>
          <w:szCs w:val="32"/>
          <w:lang w:val="en-US" w:eastAsia="zh-CN"/>
        </w:rPr>
        <w:t>地</w:t>
      </w:r>
      <w:r>
        <w:rPr>
          <w:rFonts w:hint="eastAsia" w:ascii="Times New Roman" w:hAnsi="Times New Roman" w:cs="Times New Roman"/>
          <w:szCs w:val="32"/>
        </w:rPr>
        <w:t>主要保护对象不利影响极小，甚至对该区域的生物多样性维持和提高，以及区域生态环境质量改善具有十分积极的正面影响。</w:t>
      </w:r>
    </w:p>
    <w:p>
      <w:pPr>
        <w:spacing w:line="570" w:lineRule="exact"/>
        <w:ind w:firstLine="640" w:firstLineChars="200"/>
        <w:contextualSpacing/>
        <w:outlineLvl w:val="0"/>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五、相关意见和承诺</w:t>
      </w:r>
    </w:p>
    <w:p>
      <w:pPr>
        <w:spacing w:line="570" w:lineRule="exact"/>
        <w:ind w:firstLine="640" w:firstLineChars="200"/>
        <w:contextualSpacing/>
        <w:rPr>
          <w:rFonts w:hint="eastAsia" w:ascii="Times New Roman" w:hAnsi="Times New Roman" w:cs="Times New Roman"/>
          <w:szCs w:val="32"/>
        </w:rPr>
      </w:pPr>
      <w:r>
        <w:rPr>
          <w:rFonts w:ascii="Times New Roman" w:hAnsi="Times New Roman" w:eastAsia="仿宋_GB2312"/>
          <w:sz w:val="32"/>
          <w:szCs w:val="32"/>
        </w:rPr>
        <w:t>调出地块不涉及已列入中央和省级环保督察、自然保护地“绿盾”行动、违建别墅清理整治等各类专项行动以及长江、黄河生态环境警示片发现的问题，未列入相关整改问题清单，不存在“以调代改”的情况。</w:t>
      </w:r>
      <w:bookmarkStart w:id="0" w:name="_GoBack"/>
      <w:bookmarkEnd w:id="0"/>
    </w:p>
    <w:p>
      <w:pPr>
        <w:pStyle w:val="2"/>
        <w:numPr>
          <w:numId w:val="0"/>
        </w:numPr>
        <w:ind w:left="320" w:leftChars="0"/>
        <w:rPr>
          <w:rFonts w:ascii="Times New Roman" w:hAnsi="Times New Roman" w:cs="Times New Roman"/>
          <w:b/>
          <w:bCs/>
          <w:szCs w:val="32"/>
        </w:rPr>
      </w:pPr>
      <w:r>
        <w:rPr>
          <w:rFonts w:hint="eastAsia" w:ascii="黑体" w:hAnsi="黑体" w:eastAsia="黑体" w:cs="黑体"/>
          <w:szCs w:val="32"/>
          <w:lang w:val="en-US" w:eastAsia="zh-CN"/>
        </w:rPr>
        <w:t>六、</w:t>
      </w:r>
      <w:r>
        <w:rPr>
          <w:rFonts w:hint="eastAsia" w:ascii="黑体" w:hAnsi="黑体" w:eastAsia="黑体" w:cs="黑体"/>
          <w:szCs w:val="32"/>
        </w:rPr>
        <w:t>附图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理塘县整合前自然保护地分布图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理塘县整合后自然保护地分布图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理塘县整合后自然保护地与生态红线分布图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lang w:val="en-US" w:eastAsia="zh-CN"/>
        </w:rPr>
        <w:t>理塘县整合优化后与城镇开发边界线分布图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理塘擦若溪风景名胜区整合优化前后对比图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格木自然保护区整合</w:t>
      </w:r>
      <w:r>
        <w:rPr>
          <w:rFonts w:hint="eastAsia" w:ascii="Times New Roman" w:hAnsi="Times New Roman" w:cs="Times New Roman"/>
          <w:szCs w:val="32"/>
          <w:lang w:val="en-US" w:eastAsia="zh-CN"/>
        </w:rPr>
        <w:t>优化</w:t>
      </w:r>
      <w:r>
        <w:rPr>
          <w:rFonts w:hint="eastAsia" w:ascii="Times New Roman" w:hAnsi="Times New Roman" w:cs="Times New Roman"/>
          <w:szCs w:val="32"/>
        </w:rPr>
        <w:t>前后对比图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四川海子山国家级自然保护区整合</w:t>
      </w:r>
      <w:r>
        <w:rPr>
          <w:rFonts w:hint="eastAsia" w:ascii="Times New Roman" w:hAnsi="Times New Roman" w:cs="Times New Roman"/>
          <w:szCs w:val="32"/>
          <w:lang w:val="en-US" w:eastAsia="zh-CN"/>
        </w:rPr>
        <w:t>优化</w:t>
      </w:r>
      <w:r>
        <w:rPr>
          <w:rFonts w:hint="eastAsia" w:ascii="Times New Roman" w:hAnsi="Times New Roman" w:cs="Times New Roman"/>
          <w:szCs w:val="32"/>
        </w:rPr>
        <w:t>前后对比图</w:t>
      </w:r>
    </w:p>
    <w:p>
      <w:pPr>
        <w:pStyle w:val="2"/>
        <w:numPr>
          <w:ilvl w:val="0"/>
          <w:numId w:val="3"/>
        </w:numPr>
        <w:ind w:firstLine="640"/>
        <w:rPr>
          <w:rFonts w:ascii="Times New Roman" w:hAnsi="Times New Roman" w:cs="Times New Roman"/>
          <w:szCs w:val="32"/>
        </w:rPr>
      </w:pPr>
      <w:r>
        <w:rPr>
          <w:rFonts w:hint="eastAsia" w:ascii="Times New Roman" w:hAnsi="Times New Roman" w:cs="Times New Roman"/>
          <w:szCs w:val="32"/>
        </w:rPr>
        <w:t xml:space="preserve"> 四川理塘无量河省级湿地公园整合</w:t>
      </w:r>
      <w:r>
        <w:rPr>
          <w:rFonts w:hint="eastAsia" w:ascii="Times New Roman" w:hAnsi="Times New Roman" w:cs="Times New Roman"/>
          <w:szCs w:val="32"/>
          <w:lang w:val="en-US" w:eastAsia="zh-CN"/>
        </w:rPr>
        <w:t>优化</w:t>
      </w:r>
      <w:r>
        <w:rPr>
          <w:rFonts w:hint="eastAsia" w:ascii="Times New Roman" w:hAnsi="Times New Roman" w:cs="Times New Roman"/>
          <w:szCs w:val="32"/>
        </w:rPr>
        <w:t>前后对比图</w:t>
      </w:r>
    </w:p>
    <w:p>
      <w:pPr>
        <w:pStyle w:val="2"/>
        <w:numPr>
          <w:ilvl w:val="0"/>
          <w:numId w:val="3"/>
        </w:numPr>
        <w:ind w:firstLine="640"/>
        <w:rPr>
          <w:rFonts w:ascii="Times New Roman" w:hAnsi="Times New Roman" w:cs="Times New Roman"/>
          <w:b/>
          <w:bCs/>
          <w:szCs w:val="32"/>
        </w:rPr>
      </w:pPr>
      <w:r>
        <w:rPr>
          <w:rFonts w:hint="eastAsia" w:ascii="Times New Roman" w:hAnsi="Times New Roman" w:cs="Times New Roman"/>
          <w:szCs w:val="32"/>
        </w:rPr>
        <w:t>扎嘎神山自然保护区整合</w:t>
      </w:r>
      <w:r>
        <w:rPr>
          <w:rFonts w:hint="eastAsia" w:ascii="Times New Roman" w:hAnsi="Times New Roman" w:cs="Times New Roman"/>
          <w:szCs w:val="32"/>
          <w:lang w:val="en-US" w:eastAsia="zh-CN"/>
        </w:rPr>
        <w:t>优化</w:t>
      </w:r>
      <w:r>
        <w:rPr>
          <w:rFonts w:hint="eastAsia" w:ascii="Times New Roman" w:hAnsi="Times New Roman" w:cs="Times New Roman"/>
          <w:szCs w:val="32"/>
        </w:rPr>
        <w:t>前后对比图</w:t>
      </w:r>
    </w:p>
    <w:p>
      <w:pPr>
        <w:pStyle w:val="2"/>
        <w:ind w:left="640" w:leftChars="200" w:firstLine="0" w:firstLineChars="0"/>
        <w:rPr>
          <w:rFonts w:ascii="Times New Roman" w:hAnsi="Times New Roman" w:cs="Times New Roman"/>
          <w:b/>
          <w:bCs/>
          <w:szCs w:val="32"/>
        </w:rPr>
      </w:pPr>
    </w:p>
    <w:p>
      <w:pPr>
        <w:pStyle w:val="2"/>
        <w:ind w:firstLine="640"/>
        <w:rPr>
          <w:rFonts w:ascii="Times New Roman" w:hAnsi="Times New Roman" w:cs="Times New Roman"/>
          <w:szCs w:val="32"/>
        </w:rPr>
      </w:pPr>
    </w:p>
    <w:p>
      <w:pPr>
        <w:pStyle w:val="2"/>
        <w:ind w:firstLine="640"/>
        <w:rPr>
          <w:rFonts w:ascii="Times New Roman" w:hAnsi="Times New Roman" w:cs="Times New Roman"/>
        </w:rPr>
      </w:pPr>
      <w:r>
        <w:rPr>
          <w:rFonts w:ascii="Times New Roman" w:hAnsi="Times New Roman" w:cs="Times New Roman"/>
        </w:rPr>
        <w:drawing>
          <wp:inline distT="0" distB="0" distL="114300" distR="114300">
            <wp:extent cx="5271135" cy="7454900"/>
            <wp:effectExtent l="0" t="0" r="1905" b="12700"/>
            <wp:docPr id="1" name="图片 1" descr="附图1理塘县整合优化前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1理塘县整合优化前自然保护地分布图"/>
                    <pic:cNvPicPr>
                      <a:picLocks noChangeAspect="1"/>
                    </pic:cNvPicPr>
                  </pic:nvPicPr>
                  <pic:blipFill>
                    <a:blip r:embed="rId7"/>
                    <a:stretch>
                      <a:fillRect/>
                    </a:stretch>
                  </pic:blipFill>
                  <pic:spPr>
                    <a:xfrm>
                      <a:off x="0" y="0"/>
                      <a:ext cx="5271135" cy="7454900"/>
                    </a:xfrm>
                    <a:prstGeom prst="rect">
                      <a:avLst/>
                    </a:prstGeom>
                  </pic:spPr>
                </pic:pic>
              </a:graphicData>
            </a:graphic>
          </wp:inline>
        </w:drawing>
      </w:r>
    </w:p>
    <w:p>
      <w:pPr>
        <w:pStyle w:val="2"/>
        <w:ind w:firstLine="640"/>
        <w:rPr>
          <w:rFonts w:ascii="Times New Roman" w:hAnsi="Times New Roman" w:cs="Times New Roman"/>
        </w:rPr>
      </w:pPr>
    </w:p>
    <w:p>
      <w:pPr>
        <w:pStyle w:val="2"/>
        <w:ind w:firstLine="640"/>
        <w:rPr>
          <w:rFonts w:ascii="Times New Roman" w:hAnsi="Times New Roman" w:cs="Times New Roman"/>
        </w:rPr>
      </w:pPr>
    </w:p>
    <w:p>
      <w:pPr>
        <w:pStyle w:val="2"/>
        <w:ind w:firstLine="640"/>
        <w:rPr>
          <w:rFonts w:ascii="Times New Roman" w:hAnsi="Times New Roman" w:cs="Times New Roman"/>
        </w:rPr>
      </w:pPr>
    </w:p>
    <w:p>
      <w:pPr>
        <w:pStyle w:val="2"/>
        <w:ind w:firstLine="640"/>
        <w:rPr>
          <w:rFonts w:ascii="Times New Roman" w:hAnsi="Times New Roman" w:cs="Times New Roman"/>
        </w:rPr>
      </w:pPr>
      <w:r>
        <w:rPr>
          <w:rFonts w:ascii="Times New Roman" w:hAnsi="Times New Roman" w:cs="Times New Roman"/>
        </w:rPr>
        <w:drawing>
          <wp:inline distT="0" distB="0" distL="114300" distR="114300">
            <wp:extent cx="5270500" cy="7454900"/>
            <wp:effectExtent l="0" t="0" r="2540" b="12700"/>
            <wp:docPr id="2" name="图片 2" descr="C:\Users\10730\Desktop\优化后.jpg优化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0730\Desktop\优化后.jpg优化后"/>
                    <pic:cNvPicPr>
                      <a:picLocks noChangeAspect="1"/>
                    </pic:cNvPicPr>
                  </pic:nvPicPr>
                  <pic:blipFill>
                    <a:blip r:embed="rId8"/>
                    <a:srcRect/>
                    <a:stretch>
                      <a:fillRect/>
                    </a:stretch>
                  </pic:blipFill>
                  <pic:spPr>
                    <a:xfrm>
                      <a:off x="0" y="0"/>
                      <a:ext cx="5270500" cy="7454900"/>
                    </a:xfrm>
                    <a:prstGeom prst="rect">
                      <a:avLst/>
                    </a:prstGeom>
                  </pic:spPr>
                </pic:pic>
              </a:graphicData>
            </a:graphic>
          </wp:inline>
        </w:drawing>
      </w:r>
    </w:p>
    <w:p>
      <w:pPr>
        <w:pStyle w:val="2"/>
        <w:ind w:firstLine="640"/>
        <w:rPr>
          <w:rFonts w:ascii="Times New Roman" w:hAnsi="Times New Roman" w:cs="Times New Roman"/>
        </w:rPr>
      </w:pPr>
    </w:p>
    <w:p>
      <w:pPr>
        <w:pStyle w:val="2"/>
        <w:ind w:firstLine="640"/>
        <w:rPr>
          <w:rFonts w:ascii="Times New Roman" w:hAnsi="Times New Roman" w:cs="Times New Roman"/>
        </w:rPr>
      </w:pPr>
    </w:p>
    <w:p>
      <w:pPr>
        <w:pStyle w:val="2"/>
        <w:ind w:firstLine="640"/>
        <w:rPr>
          <w:rFonts w:ascii="Times New Roman" w:hAnsi="Times New Roman" w:cs="Times New Roman"/>
        </w:rPr>
      </w:pPr>
    </w:p>
    <w:p>
      <w:pPr>
        <w:pStyle w:val="2"/>
        <w:ind w:firstLine="0" w:firstLineChars="0"/>
        <w:rPr>
          <w:rFonts w:ascii="Times New Roman" w:hAnsi="Times New Roman" w:cs="Times New Roman"/>
        </w:rPr>
      </w:pPr>
      <w:r>
        <w:rPr>
          <w:rFonts w:ascii="Times New Roman" w:hAnsi="Times New Roman" w:cs="Times New Roman"/>
        </w:rPr>
        <w:drawing>
          <wp:inline distT="0" distB="0" distL="114300" distR="114300">
            <wp:extent cx="5271135" cy="7454900"/>
            <wp:effectExtent l="0" t="0" r="1905" b="12700"/>
            <wp:docPr id="3" name="图片 3" descr="附图3理塘县整合优化后自然保护地与生态红线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3理塘县整合优化后自然保护地与生态红线分布图"/>
                    <pic:cNvPicPr>
                      <a:picLocks noChangeAspect="1"/>
                    </pic:cNvPicPr>
                  </pic:nvPicPr>
                  <pic:blipFill>
                    <a:blip r:embed="rId9"/>
                    <a:stretch>
                      <a:fillRect/>
                    </a:stretch>
                  </pic:blipFill>
                  <pic:spPr>
                    <a:xfrm>
                      <a:off x="0" y="0"/>
                      <a:ext cx="5271135" cy="7454900"/>
                    </a:xfrm>
                    <a:prstGeom prst="rect">
                      <a:avLst/>
                    </a:prstGeom>
                  </pic:spPr>
                </pic:pic>
              </a:graphicData>
            </a:graphic>
          </wp:inline>
        </w:drawing>
      </w: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ascii="Times New Roman" w:hAnsi="Times New Roman" w:cs="Times New Roman"/>
        </w:rPr>
      </w:pPr>
    </w:p>
    <w:p>
      <w:pPr>
        <w:pStyle w:val="2"/>
        <w:ind w:firstLine="0" w:firstLineChars="0"/>
        <w:rPr>
          <w:rFonts w:hint="eastAsia" w:ascii="Times New Roman" w:hAnsi="Times New Roman" w:eastAsia="仿宋" w:cs="Times New Roman"/>
          <w:lang w:eastAsia="zh-CN"/>
        </w:rPr>
        <w:sectPr>
          <w:footerReference r:id="rId5" w:type="default"/>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 w:cs="Times New Roman"/>
          <w:lang w:eastAsia="zh-CN"/>
        </w:rPr>
        <w:drawing>
          <wp:inline distT="0" distB="0" distL="114300" distR="114300">
            <wp:extent cx="5271135" cy="7454900"/>
            <wp:effectExtent l="0" t="0" r="1905" b="12700"/>
            <wp:docPr id="10" name="图片 10" descr="6a6eaf351215dcf845de2b4d04d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6eaf351215dcf845de2b4d04d5111"/>
                    <pic:cNvPicPr>
                      <a:picLocks noChangeAspect="1"/>
                    </pic:cNvPicPr>
                  </pic:nvPicPr>
                  <pic:blipFill>
                    <a:blip r:embed="rId10"/>
                    <a:stretch>
                      <a:fillRect/>
                    </a:stretch>
                  </pic:blipFill>
                  <pic:spPr>
                    <a:xfrm>
                      <a:off x="0" y="0"/>
                      <a:ext cx="5271135" cy="7454900"/>
                    </a:xfrm>
                    <a:prstGeom prst="rect">
                      <a:avLst/>
                    </a:prstGeom>
                  </pic:spPr>
                </pic:pic>
              </a:graphicData>
            </a:graphic>
          </wp:inline>
        </w:drawing>
      </w:r>
    </w:p>
    <w:p>
      <w:pPr>
        <w:pStyle w:val="2"/>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8336915" cy="5894705"/>
            <wp:effectExtent l="0" t="0" r="6985" b="0"/>
            <wp:docPr id="4" name="图片 4" descr="附图4理塘擦若溪风景名胜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4理塘擦若溪风景名胜区"/>
                    <pic:cNvPicPr>
                      <a:picLocks noChangeAspect="1"/>
                    </pic:cNvPicPr>
                  </pic:nvPicPr>
                  <pic:blipFill>
                    <a:blip r:embed="rId11"/>
                    <a:stretch>
                      <a:fillRect/>
                    </a:stretch>
                  </pic:blipFill>
                  <pic:spPr>
                    <a:xfrm>
                      <a:off x="0" y="0"/>
                      <a:ext cx="8354242" cy="5907131"/>
                    </a:xfrm>
                    <a:prstGeom prst="rect">
                      <a:avLst/>
                    </a:prstGeom>
                  </pic:spPr>
                </pic:pic>
              </a:graphicData>
            </a:graphic>
          </wp:inline>
        </w:drawing>
      </w:r>
    </w:p>
    <w:p>
      <w:pPr>
        <w:pStyle w:val="2"/>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8540115" cy="6039485"/>
            <wp:effectExtent l="0" t="0" r="9525" b="10795"/>
            <wp:docPr id="5" name="图片 5" descr="C:\Users\10730\Desktop\28f560ac7d66c9af9f772a65ea9eaf3.jpg28f560ac7d66c9af9f772a65ea9e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730\Desktop\28f560ac7d66c9af9f772a65ea9eaf3.jpg28f560ac7d66c9af9f772a65ea9eaf3"/>
                    <pic:cNvPicPr>
                      <a:picLocks noChangeAspect="1"/>
                    </pic:cNvPicPr>
                  </pic:nvPicPr>
                  <pic:blipFill>
                    <a:blip r:embed="rId12"/>
                    <a:srcRect/>
                    <a:stretch>
                      <a:fillRect/>
                    </a:stretch>
                  </pic:blipFill>
                  <pic:spPr>
                    <a:xfrm>
                      <a:off x="0" y="0"/>
                      <a:ext cx="8540115" cy="6043062"/>
                    </a:xfrm>
                    <a:prstGeom prst="rect">
                      <a:avLst/>
                    </a:prstGeom>
                  </pic:spPr>
                </pic:pic>
              </a:graphicData>
            </a:graphic>
          </wp:inline>
        </w:drawing>
      </w:r>
    </w:p>
    <w:p>
      <w:pPr>
        <w:pStyle w:val="2"/>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8336915" cy="5894705"/>
            <wp:effectExtent l="0" t="0" r="6985" b="0"/>
            <wp:docPr id="6" name="图片 6" descr="附图4四川海子山国家级自然保护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4四川海子山国家级自然保护区"/>
                    <pic:cNvPicPr>
                      <a:picLocks noChangeAspect="1"/>
                    </pic:cNvPicPr>
                  </pic:nvPicPr>
                  <pic:blipFill>
                    <a:blip r:embed="rId13"/>
                    <a:stretch>
                      <a:fillRect/>
                    </a:stretch>
                  </pic:blipFill>
                  <pic:spPr>
                    <a:xfrm>
                      <a:off x="0" y="0"/>
                      <a:ext cx="8341970" cy="5898454"/>
                    </a:xfrm>
                    <a:prstGeom prst="rect">
                      <a:avLst/>
                    </a:prstGeom>
                  </pic:spPr>
                </pic:pic>
              </a:graphicData>
            </a:graphic>
          </wp:inline>
        </w:drawing>
      </w:r>
    </w:p>
    <w:p>
      <w:pPr>
        <w:pStyle w:val="2"/>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8315325" cy="5879465"/>
            <wp:effectExtent l="0" t="0" r="0" b="6985"/>
            <wp:docPr id="7" name="图片 7" descr="附图4四川理塘无量河省级湿地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4四川理塘无量河省级湿地公园"/>
                    <pic:cNvPicPr>
                      <a:picLocks noChangeAspect="1"/>
                    </pic:cNvPicPr>
                  </pic:nvPicPr>
                  <pic:blipFill>
                    <a:blip r:embed="rId14"/>
                    <a:stretch>
                      <a:fillRect/>
                    </a:stretch>
                  </pic:blipFill>
                  <pic:spPr>
                    <a:xfrm>
                      <a:off x="0" y="0"/>
                      <a:ext cx="8320444" cy="5883233"/>
                    </a:xfrm>
                    <a:prstGeom prst="rect">
                      <a:avLst/>
                    </a:prstGeom>
                  </pic:spPr>
                </pic:pic>
              </a:graphicData>
            </a:graphic>
          </wp:inline>
        </w:drawing>
      </w:r>
    </w:p>
    <w:p>
      <w:pPr>
        <w:pStyle w:val="6"/>
        <w:bidi w:val="0"/>
      </w:pPr>
      <w:r>
        <w:drawing>
          <wp:inline distT="0" distB="0" distL="114300" distR="114300">
            <wp:extent cx="8307070" cy="5874385"/>
            <wp:effectExtent l="0" t="0" r="13970" b="8255"/>
            <wp:docPr id="8" name="图片 8" descr="C:\Users\10730\Desktop\b1bd60cf7748f163b7d4e11a9efb545.jpgb1bd60cf7748f163b7d4e11a9efb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0730\Desktop\b1bd60cf7748f163b7d4e11a9efb545.jpgb1bd60cf7748f163b7d4e11a9efb545"/>
                    <pic:cNvPicPr>
                      <a:picLocks noChangeAspect="1"/>
                    </pic:cNvPicPr>
                  </pic:nvPicPr>
                  <pic:blipFill>
                    <a:blip r:embed="rId15"/>
                    <a:srcRect/>
                    <a:stretch>
                      <a:fillRect/>
                    </a:stretch>
                  </pic:blipFill>
                  <pic:spPr>
                    <a:xfrm>
                      <a:off x="0" y="0"/>
                      <a:ext cx="8307070" cy="5883143"/>
                    </a:xfrm>
                    <a:prstGeom prst="rect">
                      <a:avLst/>
                    </a:prstGeom>
                  </pic:spPr>
                </pic:pic>
              </a:graphicData>
            </a:graphic>
          </wp:inline>
        </w:drawing>
      </w:r>
    </w:p>
    <w:sectPr>
      <w:pgSz w:w="16838" w:h="11906" w:orient="landscape"/>
      <w:pgMar w:top="1230" w:right="1134" w:bottom="1230" w:left="1134"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粗宋简体">
    <w:altName w:val="宋体"/>
    <w:panose1 w:val="03000509000000000000"/>
    <w:charset w:val="86"/>
    <w:family w:val="script"/>
    <w:pitch w:val="default"/>
    <w:sig w:usb0="00000000" w:usb1="00000000" w:usb2="00000010" w:usb3="00000000" w:csb0="00040000" w:csb1="00000000"/>
  </w:font>
  <w:font w:name="方正小标宋简体">
    <w:altName w:val="方正舒体"/>
    <w:panose1 w:val="02010601030101010101"/>
    <w:charset w:val="86"/>
    <w:family w:val="auto"/>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1FB20A"/>
    <w:multiLevelType w:val="singleLevel"/>
    <w:tmpl w:val="B71FB20A"/>
    <w:lvl w:ilvl="0" w:tentative="0">
      <w:start w:val="3"/>
      <w:numFmt w:val="chineseCounting"/>
      <w:suff w:val="nothing"/>
      <w:lvlText w:val="%1、"/>
      <w:lvlJc w:val="left"/>
      <w:pPr>
        <w:ind w:left="-100"/>
      </w:pPr>
      <w:rPr>
        <w:rFonts w:hint="eastAsia"/>
      </w:rPr>
    </w:lvl>
  </w:abstractNum>
  <w:abstractNum w:abstractNumId="1">
    <w:nsid w:val="D2462830"/>
    <w:multiLevelType w:val="singleLevel"/>
    <w:tmpl w:val="D2462830"/>
    <w:lvl w:ilvl="0" w:tentative="0">
      <w:start w:val="1"/>
      <w:numFmt w:val="decimal"/>
      <w:suff w:val="nothing"/>
      <w:lvlText w:val="（%1）"/>
      <w:lvlJc w:val="left"/>
      <w:pPr>
        <w:ind w:left="1277"/>
      </w:pPr>
    </w:lvl>
  </w:abstractNum>
  <w:abstractNum w:abstractNumId="2">
    <w:nsid w:val="700AD55F"/>
    <w:multiLevelType w:val="singleLevel"/>
    <w:tmpl w:val="700AD55F"/>
    <w:lvl w:ilvl="0" w:tentative="0">
      <w:start w:val="1"/>
      <w:numFmt w:val="chineseCounting"/>
      <w:suff w:val="nothing"/>
      <w:lvlText w:val="（%1）"/>
      <w:lvlJc w:val="left"/>
      <w:rPr>
        <w:rFonts w:hint="eastAsia"/>
        <w:b w:val="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0"/>
  <w:bordersDoNotSurroundFooter w:val="0"/>
  <w:documentProtection w:enforcement="0"/>
  <w:defaultTabStop w:val="420"/>
  <w:drawingGridHorizontalSpacing w:val="106"/>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jNGJiNDA5YjgzY2I5NzRjNWFhZDFjOWRjNGI2ZjcifQ=="/>
  </w:docVars>
  <w:rsids>
    <w:rsidRoot w:val="00FF04C8"/>
    <w:rsid w:val="00077825"/>
    <w:rsid w:val="00192D7D"/>
    <w:rsid w:val="002711C8"/>
    <w:rsid w:val="002952AB"/>
    <w:rsid w:val="002B6500"/>
    <w:rsid w:val="0034252D"/>
    <w:rsid w:val="00391E09"/>
    <w:rsid w:val="00436E28"/>
    <w:rsid w:val="004B415E"/>
    <w:rsid w:val="004D7737"/>
    <w:rsid w:val="00640C4D"/>
    <w:rsid w:val="00694803"/>
    <w:rsid w:val="006F2B88"/>
    <w:rsid w:val="007069CA"/>
    <w:rsid w:val="007A72B8"/>
    <w:rsid w:val="007D6A1B"/>
    <w:rsid w:val="00811257"/>
    <w:rsid w:val="009426C7"/>
    <w:rsid w:val="009D28D3"/>
    <w:rsid w:val="00A06096"/>
    <w:rsid w:val="00AD0BAA"/>
    <w:rsid w:val="00BC0047"/>
    <w:rsid w:val="00BC738C"/>
    <w:rsid w:val="00C03942"/>
    <w:rsid w:val="00C5644F"/>
    <w:rsid w:val="00CE7902"/>
    <w:rsid w:val="00D14290"/>
    <w:rsid w:val="00D63991"/>
    <w:rsid w:val="00EC26F8"/>
    <w:rsid w:val="00ED67CE"/>
    <w:rsid w:val="00F51AD8"/>
    <w:rsid w:val="00F7555A"/>
    <w:rsid w:val="00FF04C8"/>
    <w:rsid w:val="02A2569A"/>
    <w:rsid w:val="04447F34"/>
    <w:rsid w:val="05D76C05"/>
    <w:rsid w:val="0A100BE4"/>
    <w:rsid w:val="0E76792E"/>
    <w:rsid w:val="0EBC2A42"/>
    <w:rsid w:val="0FBE50CC"/>
    <w:rsid w:val="14E66747"/>
    <w:rsid w:val="16C77EC8"/>
    <w:rsid w:val="17B22906"/>
    <w:rsid w:val="1AB657A4"/>
    <w:rsid w:val="20A60683"/>
    <w:rsid w:val="21907191"/>
    <w:rsid w:val="22407854"/>
    <w:rsid w:val="22B77015"/>
    <w:rsid w:val="27B719F7"/>
    <w:rsid w:val="29201CDC"/>
    <w:rsid w:val="29521A25"/>
    <w:rsid w:val="2A4361E4"/>
    <w:rsid w:val="2C612BA3"/>
    <w:rsid w:val="2FEF5F88"/>
    <w:rsid w:val="311E67A2"/>
    <w:rsid w:val="3585109B"/>
    <w:rsid w:val="37895702"/>
    <w:rsid w:val="39FE4212"/>
    <w:rsid w:val="3BCD3C49"/>
    <w:rsid w:val="3D744FD6"/>
    <w:rsid w:val="3DAA51A2"/>
    <w:rsid w:val="3E2272B5"/>
    <w:rsid w:val="3FC56F60"/>
    <w:rsid w:val="40686534"/>
    <w:rsid w:val="43A057D9"/>
    <w:rsid w:val="47D32A4A"/>
    <w:rsid w:val="4887211D"/>
    <w:rsid w:val="4D415CBF"/>
    <w:rsid w:val="4DC04567"/>
    <w:rsid w:val="4E667023"/>
    <w:rsid w:val="4FEB6B02"/>
    <w:rsid w:val="528F1769"/>
    <w:rsid w:val="52EE6396"/>
    <w:rsid w:val="54AC4FFA"/>
    <w:rsid w:val="57CA2856"/>
    <w:rsid w:val="59CA433D"/>
    <w:rsid w:val="600E04E7"/>
    <w:rsid w:val="625B3FC0"/>
    <w:rsid w:val="62FD5966"/>
    <w:rsid w:val="63425E9C"/>
    <w:rsid w:val="63750C78"/>
    <w:rsid w:val="64D67929"/>
    <w:rsid w:val="672E57FA"/>
    <w:rsid w:val="68D57866"/>
    <w:rsid w:val="6B440553"/>
    <w:rsid w:val="6ED17ECC"/>
    <w:rsid w:val="6FF3394E"/>
    <w:rsid w:val="71AC3EEB"/>
    <w:rsid w:val="754F6315"/>
    <w:rsid w:val="76CF52F0"/>
    <w:rsid w:val="76DF183C"/>
    <w:rsid w:val="76E23A38"/>
    <w:rsid w:val="795D5ACB"/>
    <w:rsid w:val="79866294"/>
    <w:rsid w:val="79FC104F"/>
    <w:rsid w:val="7C9C5BCB"/>
    <w:rsid w:val="7DBF5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4" w:firstLineChars="200"/>
      <w:jc w:val="both"/>
    </w:pPr>
    <w:rPr>
      <w:rFonts w:eastAsia="仿宋" w:asciiTheme="minorHAnsi" w:hAnsiTheme="minorHAnsi" w:cstheme="minorBidi"/>
      <w:kern w:val="2"/>
      <w:sz w:val="32"/>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ind w:firstLine="0" w:firstLineChars="0"/>
      <w:outlineLvl w:val="1"/>
    </w:pPr>
    <w:rPr>
      <w:rFonts w:ascii="Arial" w:hAnsi="Arial" w:eastAsia="黑体"/>
      <w:bCs/>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style>
  <w:style w:type="paragraph" w:styleId="5">
    <w:name w:val="Balloon Text"/>
    <w:basedOn w:val="1"/>
    <w:link w:val="11"/>
    <w:qFormat/>
    <w:uiPriority w:val="0"/>
    <w:pPr>
      <w:spacing w:line="240" w:lineRule="auto"/>
    </w:pPr>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basedOn w:val="10"/>
    <w:link w:val="5"/>
    <w:qFormat/>
    <w:uiPriority w:val="0"/>
    <w:rPr>
      <w:rFonts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27</Pages>
  <Words>7474</Words>
  <Characters>8341</Characters>
  <Lines>64</Lines>
  <Paragraphs>18</Paragraphs>
  <TotalTime>1</TotalTime>
  <ScaleCrop>false</ScaleCrop>
  <LinksUpToDate>false</LinksUpToDate>
  <CharactersWithSpaces>8418</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钦琳</cp:lastModifiedBy>
  <dcterms:modified xsi:type="dcterms:W3CDTF">2023-03-22T09:12:46Z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048A424CBA344425BA117B223F309731</vt:lpwstr>
  </property>
</Properties>
</file>