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华文中宋" w:hAnsi="华文中宋" w:eastAsia="华文中宋"/>
          <w:spacing w:val="20"/>
          <w:sz w:val="72"/>
          <w:szCs w:val="72"/>
          <w:lang w:eastAsia="zh-CN"/>
        </w:rPr>
        <w:t>理塘县民政局社会服务与养老服务</w:t>
      </w:r>
      <w:r>
        <w:rPr>
          <w:rFonts w:hint="eastAsia" w:ascii="华文中宋" w:hAnsi="华文中宋" w:eastAsia="华文中宋"/>
          <w:spacing w:val="20"/>
          <w:sz w:val="72"/>
          <w:szCs w:val="72"/>
        </w:rPr>
        <w:t>试点领域基层政务公开标准目录汇编</w:t>
      </w:r>
    </w:p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pStyle w:val="2"/>
        <w:jc w:val="both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）社会救助领域基层政务公开标准目录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http://xxgk.gzz.gov.cn:888/litang/GPI/index.aspx?dept=92338630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http://xxgk.gzz.gov.cn:888/litang/GPI/index.aspx?dept=92338630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http://xxgk.gzz.gov.cn:888/litang/GPI/index.aspx?dept=92338630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http://xxgk.gzz.gov.cn:888/litang/GPI/index.aspx?dept=92338630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http://xxgk.gzz.gov.cn:888/litang/GPI/index.aspx?dept=92338630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http://xxgk.gzz.gov.cn:888/litang/GPI/index.aspx?dept=92338630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http://xxgk.gzz.gov.cn:888/litang/GPI/index.aspx?dept=92338630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社会救助股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sz w:val="28"/>
          <w:szCs w:val="28"/>
        </w:rPr>
        <w:br w:type="page"/>
      </w:r>
      <w:bookmarkStart w:id="1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）养老服务领域基层政务公开标准目录</w:t>
      </w:r>
      <w:bookmarkEnd w:id="1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http://xxgk.gzz.gov.cn:888/litang/GPI/index.aspx?dept=92338630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养老服务股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http://xxgk.gzz.gov.cn:888/litang/GPI/index.aspx?dept=92338630</w:t>
            </w:r>
            <w:bookmarkStart w:id="2" w:name="_GoBack"/>
            <w:bookmarkEnd w:id="2"/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62692"/>
    <w:rsid w:val="218E33FE"/>
    <w:rsid w:val="30062692"/>
    <w:rsid w:val="570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2020-08-28T03:38:00Z</dcterms:created>
  <dc:creator>(=^_^=)林</dc:creator>
  <cp:lastModifiedBy>(=^_^=)林</cp:lastModifiedBy>
  <dcterms:modified xsi:type="dcterms:W3CDTF">2020-08-28T09:32:24Z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