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78441"/>
      <w:bookmarkStart w:id="2" w:name="_Toc15377425"/>
      <w:bookmarkStart w:id="3" w:name="_Toc15377193"/>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598"/>
      <w:bookmarkStart w:id="7" w:name="_Toc15377426"/>
      <w:bookmarkStart w:id="8" w:name="_Toc15377194"/>
      <w:bookmarkStart w:id="9" w:name="_Toc15378442"/>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石渠县起坞乡人民</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政府</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3"/>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20"/>
          <w:rFonts w:hint="eastAsia" w:asciiTheme="minorEastAsia" w:hAnsiTheme="minorEastAsia" w:eastAsiaTheme="minorEastAsia" w:cstheme="minorEastAsia"/>
          <w:color w:val="auto"/>
          <w:sz w:val="24"/>
          <w:highlight w:val="none"/>
          <w:u w:val="none"/>
          <w:lang w:eastAsia="zh-CN"/>
        </w:rPr>
        <w:t>十</w:t>
      </w:r>
      <w:r>
        <w:rPr>
          <w:rStyle w:val="20"/>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3"/>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rPr>
          <w:rStyle w:val="30"/>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30"/>
          <w:rFonts w:hint="eastAsia" w:ascii="黑体" w:hAnsi="黑体" w:eastAsia="黑体"/>
          <w:b w:val="0"/>
          <w:bCs w:val="0"/>
          <w:color w:val="auto"/>
          <w:highlight w:val="none"/>
        </w:rPr>
        <w:t>本职能及主要工作</w:t>
      </w:r>
      <w:bookmarkEnd w:id="14"/>
      <w:bookmarkEnd w:id="15"/>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6" w:name="_Toc15377198"/>
      <w:bookmarkStart w:id="17" w:name="_Toc15378445"/>
      <w:r>
        <w:rPr>
          <w:rFonts w:hint="eastAsia" w:ascii="仿宋" w:hAnsi="仿宋" w:eastAsia="仿宋"/>
          <w:bCs/>
          <w:color w:val="auto"/>
          <w:sz w:val="32"/>
          <w:szCs w:val="32"/>
          <w:highlight w:val="none"/>
        </w:rPr>
        <w:t>（一）主要职能。</w:t>
      </w:r>
      <w:bookmarkEnd w:id="16"/>
      <w:bookmarkEnd w:id="17"/>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lang w:val="en-US" w:eastAsia="zh-CN"/>
        </w:rPr>
        <w:t>1.党建与</w:t>
      </w:r>
      <w:r>
        <w:rPr>
          <w:rFonts w:hint="eastAsia" w:ascii="华文仿宋" w:hAnsi="华文仿宋" w:eastAsia="华文仿宋" w:cs="仿宋"/>
          <w:color w:val="333333"/>
          <w:sz w:val="32"/>
          <w:szCs w:val="32"/>
          <w:shd w:val="clear" w:color="auto" w:fill="FFFFFF"/>
          <w:lang w:eastAsia="zh-CN"/>
        </w:rPr>
        <w:t>综合办公室</w:t>
      </w:r>
      <w:r>
        <w:rPr>
          <w:rFonts w:hint="eastAsia" w:ascii="华文仿宋" w:hAnsi="华文仿宋" w:eastAsia="华文仿宋" w:cs="仿宋"/>
          <w:color w:val="333333"/>
          <w:sz w:val="32"/>
          <w:szCs w:val="32"/>
          <w:shd w:val="clear" w:color="auto" w:fill="FFFFFF"/>
        </w:rPr>
        <w:t>。</w:t>
      </w:r>
    </w:p>
    <w:p>
      <w:pPr>
        <w:spacing w:line="600" w:lineRule="exact"/>
        <w:ind w:firstLine="640" w:firstLineChars="200"/>
        <w:rPr>
          <w:rFonts w:hint="default" w:ascii="华文仿宋" w:hAnsi="华文仿宋" w:eastAsia="华文仿宋" w:cs="仿宋"/>
          <w:color w:val="333333"/>
          <w:sz w:val="32"/>
          <w:szCs w:val="32"/>
          <w:shd w:val="clear" w:color="auto" w:fill="FFFFFF"/>
          <w:lang w:val="en-US" w:eastAsia="zh-CN"/>
        </w:rPr>
      </w:pPr>
      <w:r>
        <w:rPr>
          <w:rFonts w:hint="eastAsia" w:ascii="华文仿宋" w:hAnsi="华文仿宋" w:eastAsia="华文仿宋" w:cs="仿宋"/>
          <w:color w:val="333333"/>
          <w:sz w:val="32"/>
          <w:szCs w:val="32"/>
          <w:shd w:val="clear" w:color="auto" w:fill="FFFFFF"/>
        </w:rPr>
        <w:t xml:space="preserve">  </w:t>
      </w:r>
      <w:r>
        <w:rPr>
          <w:rFonts w:hint="eastAsia" w:ascii="华文仿宋" w:hAnsi="华文仿宋" w:eastAsia="华文仿宋" w:cs="仿宋"/>
          <w:color w:val="333333"/>
          <w:sz w:val="32"/>
          <w:szCs w:val="32"/>
          <w:shd w:val="clear" w:color="auto" w:fill="FFFFFF"/>
          <w:lang w:val="en-US" w:eastAsia="zh-CN"/>
        </w:rPr>
        <w:t>主要负责日常运转，承担文电、会务、机构编制、干部人事管理、信息、档案、保密、固定资产、后勤保障等职责。负责人大议案、代表批评建议意见和政协委员提案的办理和答复。负责对基层党组织建设的统筹指导,承担党建、意识形态、宣传、人大、工青妇群团组织、党风廉政建设、群众工作等职责。</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lang w:val="en-US" w:eastAsia="zh-CN"/>
        </w:rPr>
        <w:t>2.社会事务与经济发展</w:t>
      </w:r>
      <w:r>
        <w:rPr>
          <w:rFonts w:hint="eastAsia" w:ascii="华文仿宋" w:hAnsi="华文仿宋" w:eastAsia="华文仿宋" w:cs="仿宋"/>
          <w:color w:val="333333"/>
          <w:sz w:val="32"/>
          <w:szCs w:val="32"/>
          <w:shd w:val="clear" w:color="auto" w:fill="FFFFFF"/>
          <w:lang w:eastAsia="zh-CN"/>
        </w:rPr>
        <w:t>办公室</w:t>
      </w:r>
      <w:r>
        <w:rPr>
          <w:rFonts w:hint="eastAsia" w:ascii="华文仿宋" w:hAnsi="华文仿宋" w:eastAsia="华文仿宋" w:cs="仿宋"/>
          <w:color w:val="333333"/>
          <w:sz w:val="32"/>
          <w:szCs w:val="32"/>
          <w:shd w:val="clear" w:color="auto" w:fill="FFFFFF"/>
        </w:rPr>
        <w:t>。</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rPr>
        <w:t xml:space="preserve"> 承担</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经济发展规划、重大项目建设协调、乡村振兴、农牧农村科技、乡</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规划建设、招商引资、项目管理、乡</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企业、林业草原（森林草原防灭火防治)、水利(防汛抗旱防治)、统计等职责;负责五大振兴、农业农村改革、脱贫攻坚、驻村、集体经济组织指导等工作。承担教育体育、民政、人力资源社会保障、退役军人事务、文化旅游广播电视、卫生健康、粮食、扶贫开发、移民安置等职责。承担环境保护、生态文明建设、城乡提升、自然资源管理（地质灾害防治)、市场监管等职责;负责农村人居环境整治工作;承办县委农村工作领导小组及其办公室交办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3.</w:t>
      </w:r>
      <w:r>
        <w:rPr>
          <w:rFonts w:hint="eastAsia" w:ascii="华文仿宋" w:hAnsi="华文仿宋" w:eastAsia="华文仿宋" w:cs="仿宋"/>
          <w:color w:val="333333"/>
          <w:sz w:val="32"/>
          <w:szCs w:val="32"/>
          <w:shd w:val="clear" w:color="auto" w:fill="FFFFFF"/>
          <w:lang w:val="zh-CN"/>
        </w:rPr>
        <w:t>综合行政执法办公室。</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整合基层站所执法力量和资源,采取合署办公等方式,强化对行政执法的统一指挥和统筹协调。负责辖区内行政执法的统一指挥和综合协调;综合协调并联系派驻乡乡的片区执法中队、市场监管所和自然资源所。承担社会治理、平安创建、综治维稳、群众信访、统战宗教、公共安全、依法治理、应急管理(森林草原、防汛抗旱、地质灾害等“全灾种”的应急处置和救援)、安全</w:t>
      </w:r>
      <w:r>
        <w:rPr>
          <w:rFonts w:hint="eastAsia" w:ascii="华文仿宋" w:hAnsi="华文仿宋" w:eastAsia="华文仿宋" w:cs="仿宋"/>
          <w:color w:val="333333"/>
          <w:sz w:val="32"/>
          <w:szCs w:val="32"/>
          <w:shd w:val="clear" w:color="auto" w:fill="FFFFFF"/>
          <w:lang w:val="en-US" w:eastAsia="zh-CN"/>
        </w:rPr>
        <w:t>生产监督、地</w:t>
      </w:r>
      <w:r>
        <w:rPr>
          <w:rFonts w:hint="eastAsia" w:ascii="华文仿宋" w:hAnsi="华文仿宋" w:eastAsia="华文仿宋" w:cs="仿宋"/>
          <w:color w:val="333333"/>
          <w:sz w:val="32"/>
          <w:szCs w:val="32"/>
          <w:shd w:val="clear" w:color="auto" w:fill="FFFFFF"/>
          <w:lang w:val="zh-CN"/>
        </w:rPr>
        <w:t>震灾害的防治救、人民武装、</w:t>
      </w:r>
      <w:r>
        <w:rPr>
          <w:rFonts w:hint="eastAsia" w:ascii="华文仿宋" w:hAnsi="华文仿宋" w:eastAsia="华文仿宋" w:cs="仿宋"/>
          <w:color w:val="333333"/>
          <w:sz w:val="32"/>
          <w:szCs w:val="32"/>
          <w:shd w:val="clear" w:color="auto" w:fill="FFFFFF"/>
          <w:lang w:val="en-US" w:eastAsia="zh-CN"/>
        </w:rPr>
        <w:t>交通运输、矛盾纠纷排查化解</w:t>
      </w:r>
      <w:r>
        <w:rPr>
          <w:rFonts w:hint="eastAsia" w:ascii="华文仿宋" w:hAnsi="华文仿宋" w:eastAsia="华文仿宋" w:cs="仿宋"/>
          <w:color w:val="333333"/>
          <w:sz w:val="32"/>
          <w:szCs w:val="32"/>
          <w:shd w:val="clear" w:color="auto" w:fill="FFFFFF"/>
          <w:lang w:val="zh-CN"/>
        </w:rPr>
        <w:t>等职责:综合协调和联系派驻乡</w:t>
      </w:r>
      <w:r>
        <w:rPr>
          <w:rFonts w:hint="eastAsia" w:ascii="华文仿宋" w:hAnsi="华文仿宋" w:eastAsia="华文仿宋" w:cs="仿宋"/>
          <w:color w:val="333333"/>
          <w:sz w:val="32"/>
          <w:szCs w:val="32"/>
          <w:shd w:val="clear" w:color="auto" w:fill="FFFFFF"/>
          <w:lang w:val="en-US" w:eastAsia="zh-CN"/>
        </w:rPr>
        <w:t>乡</w:t>
      </w:r>
      <w:r>
        <w:rPr>
          <w:rFonts w:hint="eastAsia" w:ascii="华文仿宋" w:hAnsi="华文仿宋" w:eastAsia="华文仿宋" w:cs="仿宋"/>
          <w:color w:val="333333"/>
          <w:sz w:val="32"/>
          <w:szCs w:val="32"/>
          <w:shd w:val="clear" w:color="auto" w:fill="FFFFFF"/>
          <w:lang w:val="zh-CN"/>
        </w:rPr>
        <w:t>的派出所、司动所。</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4.</w:t>
      </w:r>
      <w:r>
        <w:rPr>
          <w:rFonts w:hint="eastAsia" w:ascii="华文仿宋" w:hAnsi="华文仿宋" w:eastAsia="华文仿宋" w:cs="仿宋"/>
          <w:color w:val="333333"/>
          <w:sz w:val="32"/>
          <w:szCs w:val="32"/>
          <w:shd w:val="clear" w:color="auto" w:fill="FFFFFF"/>
          <w:lang w:val="zh-CN"/>
        </w:rPr>
        <w:t>寺庙管理所。</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负</w:t>
      </w:r>
      <w:r>
        <w:rPr>
          <w:rFonts w:hint="eastAsia" w:ascii="华文仿宋" w:hAnsi="华文仿宋" w:eastAsia="华文仿宋" w:cs="仿宋"/>
          <w:color w:val="333333"/>
          <w:sz w:val="32"/>
          <w:szCs w:val="32"/>
          <w:shd w:val="clear" w:color="auto" w:fill="FFFFFF"/>
          <w:lang w:val="en-US" w:eastAsia="zh-CN"/>
        </w:rPr>
        <w:t>责宣</w:t>
      </w:r>
      <w:r>
        <w:rPr>
          <w:rFonts w:hint="eastAsia" w:ascii="华文仿宋" w:hAnsi="华文仿宋" w:eastAsia="华文仿宋" w:cs="仿宋"/>
          <w:color w:val="333333"/>
          <w:sz w:val="32"/>
          <w:szCs w:val="32"/>
          <w:shd w:val="clear" w:color="auto" w:fill="FFFFFF"/>
          <w:lang w:val="zh-CN"/>
        </w:rPr>
        <w:t>传贯彻执行党和国家关干</w:t>
      </w:r>
      <w:r>
        <w:rPr>
          <w:rFonts w:hint="eastAsia" w:ascii="华文仿宋" w:hAnsi="华文仿宋" w:eastAsia="华文仿宋" w:cs="仿宋"/>
          <w:color w:val="333333"/>
          <w:sz w:val="32"/>
          <w:szCs w:val="32"/>
          <w:shd w:val="clear" w:color="auto" w:fill="FFFFFF"/>
          <w:lang w:val="en-US" w:eastAsia="zh-CN"/>
        </w:rPr>
        <w:t>寺</w:t>
      </w:r>
      <w:r>
        <w:rPr>
          <w:rFonts w:hint="eastAsia" w:ascii="华文仿宋" w:hAnsi="华文仿宋" w:eastAsia="华文仿宋" w:cs="仿宋"/>
          <w:color w:val="333333"/>
          <w:sz w:val="32"/>
          <w:szCs w:val="32"/>
          <w:shd w:val="clear" w:color="auto" w:fill="FFFFFF"/>
          <w:lang w:val="zh-CN"/>
        </w:rPr>
        <w:t>庙管理的方针政策和法律法规,执行落实新时代党的治藏方略;负责民族宗教工作、按照统战、民宗、佛协的安排部暑落实藏传佛教寺庙管理工作、促进藏传佛教中国化发展;负责辖区内寺庙、露天佛像、僧人、佛事活动、财税、宗教事务的管理工作:负责宣传、教育引导寺庙深入开展民族团结,和谐寺庙创建等活动、加强寺庙重点人员联系和管理工作:协调做好宗教活动场所、宗教教职人员的基础设施建设和公共服务工作:承办乡乡党委、政府和上级有关部门交办的其他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完成乡乡党委和乡政府交办的其他任务。</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5.起坞乡</w:t>
      </w:r>
      <w:r>
        <w:rPr>
          <w:rFonts w:hint="eastAsia" w:ascii="华文仿宋" w:hAnsi="华文仿宋" w:eastAsia="华文仿宋" w:cs="仿宋"/>
          <w:color w:val="333333"/>
          <w:sz w:val="32"/>
          <w:szCs w:val="32"/>
          <w:shd w:val="clear" w:color="auto" w:fill="FFFFFF"/>
          <w:lang w:val="zh-CN"/>
        </w:rPr>
        <w:t>综合服务站。</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主要负责乡乡农业、畜牧、林草、水利等相关技术服务、支撑与保障及退役军人服务等工作。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6.起坞乡</w:t>
      </w:r>
      <w:r>
        <w:rPr>
          <w:rFonts w:hint="eastAsia" w:ascii="华文仿宋" w:hAnsi="华文仿宋" w:eastAsia="华文仿宋" w:cs="仿宋"/>
          <w:color w:val="333333"/>
          <w:sz w:val="32"/>
          <w:szCs w:val="32"/>
          <w:shd w:val="clear" w:color="auto" w:fill="FFFFFF"/>
          <w:lang w:val="zh-CN"/>
        </w:rPr>
        <w:t>便民服务中心。</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主要负责乡乡便民服务、公共服务、农民工服务等工作。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7.起坞乡</w:t>
      </w:r>
      <w:r>
        <w:rPr>
          <w:rFonts w:hint="eastAsia" w:ascii="华文仿宋" w:hAnsi="华文仿宋" w:eastAsia="华文仿宋" w:cs="仿宋"/>
          <w:color w:val="333333"/>
          <w:sz w:val="32"/>
          <w:szCs w:val="32"/>
          <w:shd w:val="clear" w:color="auto" w:fill="FFFFFF"/>
          <w:lang w:val="zh-CN"/>
        </w:rPr>
        <w:t>文化旅游服务站。</w:t>
      </w:r>
    </w:p>
    <w:p>
      <w:pPr>
        <w:numPr>
          <w:ilvl w:val="0"/>
          <w:numId w:val="0"/>
        </w:numPr>
        <w:spacing w:line="600" w:lineRule="exact"/>
        <w:ind w:firstLine="640" w:firstLineChars="200"/>
        <w:rPr>
          <w:rFonts w:hint="eastAsia" w:ascii="仿宋_GB2312" w:hAnsi="仿宋" w:eastAsia="仿宋_GB2312"/>
          <w:sz w:val="32"/>
          <w:szCs w:val="32"/>
        </w:rPr>
      </w:pPr>
      <w:r>
        <w:rPr>
          <w:rFonts w:hint="eastAsia" w:ascii="华文仿宋" w:hAnsi="华文仿宋" w:eastAsia="华文仿宋" w:cs="仿宋"/>
          <w:color w:val="333333"/>
          <w:sz w:val="32"/>
          <w:szCs w:val="32"/>
          <w:shd w:val="clear" w:color="auto" w:fill="FFFFFF"/>
          <w:lang w:val="zh-CN"/>
        </w:rPr>
        <w:t>主要负责乡乡文化,旅游,广播电视等相关技术服务支持和保障工作。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lang w:val="en-US" w:eastAsia="zh-CN"/>
        </w:rPr>
        <w:t>二</w:t>
      </w:r>
      <w:r>
        <w:rPr>
          <w:rFonts w:hint="eastAsia" w:ascii="仿宋" w:hAnsi="仿宋" w:eastAsia="仿宋"/>
          <w:bCs/>
          <w:color w:val="auto"/>
          <w:sz w:val="32"/>
          <w:szCs w:val="32"/>
          <w:highlight w:val="none"/>
        </w:rPr>
        <w:t>）</w:t>
      </w:r>
      <w:r>
        <w:rPr>
          <w:rFonts w:hint="eastAsia" w:ascii="仿宋_GB2312" w:hAnsi="仿宋" w:eastAsia="仿宋_GB2312"/>
          <w:sz w:val="32"/>
          <w:szCs w:val="32"/>
          <w:lang w:val="en-US" w:eastAsia="zh-CN"/>
        </w:rPr>
        <w:t>直属事业机构</w:t>
      </w:r>
    </w:p>
    <w:p>
      <w:pPr>
        <w:spacing w:line="600" w:lineRule="exact"/>
        <w:ind w:firstLine="640" w:firstLineChars="200"/>
        <w:rPr>
          <w:rFonts w:hint="eastAsia" w:ascii="仿宋" w:hAnsi="仿宋" w:eastAsia="仿宋"/>
          <w:bCs/>
          <w:color w:val="auto"/>
          <w:sz w:val="32"/>
          <w:szCs w:val="32"/>
          <w:highlight w:val="none"/>
        </w:rPr>
      </w:pPr>
      <w:r>
        <w:rPr>
          <w:rFonts w:hint="eastAsia" w:ascii="华文仿宋" w:hAnsi="华文仿宋" w:eastAsia="华文仿宋" w:cs="仿宋"/>
          <w:color w:val="333333"/>
          <w:sz w:val="32"/>
          <w:szCs w:val="32"/>
          <w:shd w:val="clear" w:color="auto" w:fill="FFFFFF"/>
          <w:lang w:eastAsia="zh-CN"/>
        </w:rPr>
        <w:t>我</w:t>
      </w:r>
      <w:r>
        <w:rPr>
          <w:rFonts w:hint="eastAsia" w:ascii="华文仿宋" w:hAnsi="华文仿宋" w:eastAsia="华文仿宋" w:cs="仿宋"/>
          <w:color w:val="333333"/>
          <w:sz w:val="32"/>
          <w:szCs w:val="32"/>
          <w:shd w:val="clear" w:color="auto" w:fill="FFFFFF"/>
          <w:lang w:val="en-US" w:eastAsia="zh-CN"/>
        </w:rPr>
        <w:t>乡</w:t>
      </w:r>
      <w:r>
        <w:rPr>
          <w:rFonts w:hint="eastAsia" w:ascii="华文仿宋" w:hAnsi="华文仿宋" w:eastAsia="华文仿宋" w:cs="仿宋"/>
          <w:color w:val="333333"/>
          <w:sz w:val="32"/>
          <w:szCs w:val="32"/>
          <w:shd w:val="clear" w:color="auto" w:fill="FFFFFF"/>
        </w:rPr>
        <w:t>根据本工作的基本职能，按照县委编办的要求，</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政府机关设立</w:t>
      </w:r>
      <w:r>
        <w:rPr>
          <w:rFonts w:hint="eastAsia" w:ascii="华文仿宋" w:hAnsi="华文仿宋" w:eastAsia="华文仿宋" w:cs="仿宋"/>
          <w:color w:val="333333"/>
          <w:sz w:val="32"/>
          <w:szCs w:val="32"/>
          <w:shd w:val="clear" w:color="auto" w:fill="FFFFFF"/>
          <w:lang w:val="en-US" w:eastAsia="zh-CN"/>
        </w:rPr>
        <w:t>4</w:t>
      </w:r>
      <w:r>
        <w:rPr>
          <w:rFonts w:hint="eastAsia" w:ascii="华文仿宋" w:hAnsi="华文仿宋" w:eastAsia="华文仿宋" w:cs="仿宋"/>
          <w:color w:val="333333"/>
          <w:sz w:val="32"/>
          <w:szCs w:val="32"/>
          <w:shd w:val="clear" w:color="auto" w:fill="FFFFFF"/>
        </w:rPr>
        <w:t>个职能办公室</w:t>
      </w:r>
      <w:r>
        <w:rPr>
          <w:rFonts w:hint="eastAsia" w:ascii="华文仿宋" w:hAnsi="华文仿宋" w:eastAsia="华文仿宋" w:cs="仿宋"/>
          <w:color w:val="333333"/>
          <w:sz w:val="32"/>
          <w:szCs w:val="32"/>
          <w:shd w:val="clear" w:color="auto" w:fill="FFFFFF"/>
          <w:lang w:val="en-US" w:eastAsia="zh-CN"/>
        </w:rPr>
        <w:t>及3个直属事业机构</w:t>
      </w:r>
      <w:r>
        <w:rPr>
          <w:rFonts w:hint="eastAsia" w:ascii="华文仿宋" w:hAnsi="华文仿宋" w:eastAsia="华文仿宋" w:cs="仿宋"/>
          <w:color w:val="333333"/>
          <w:sz w:val="32"/>
          <w:szCs w:val="32"/>
          <w:shd w:val="clear" w:color="auto" w:fill="FFFFFF"/>
          <w:lang w:eastAsia="zh-CN"/>
        </w:rPr>
        <w:t>，分别是</w:t>
      </w:r>
      <w:r>
        <w:rPr>
          <w:rFonts w:hint="eastAsia" w:ascii="华文仿宋" w:hAnsi="华文仿宋" w:eastAsia="华文仿宋" w:cs="仿宋"/>
          <w:color w:val="333333"/>
          <w:sz w:val="32"/>
          <w:szCs w:val="32"/>
          <w:shd w:val="clear" w:color="auto" w:fill="FFFFFF"/>
          <w:lang w:val="en-US" w:eastAsia="zh-CN"/>
        </w:rPr>
        <w:t>党建与</w:t>
      </w:r>
      <w:r>
        <w:rPr>
          <w:rFonts w:hint="eastAsia" w:ascii="华文仿宋" w:hAnsi="华文仿宋" w:eastAsia="华文仿宋" w:cs="仿宋"/>
          <w:color w:val="333333"/>
          <w:sz w:val="32"/>
          <w:szCs w:val="32"/>
          <w:shd w:val="clear" w:color="auto" w:fill="FFFFFF"/>
          <w:lang w:eastAsia="zh-CN"/>
        </w:rPr>
        <w:t>综合办公室、</w:t>
      </w:r>
      <w:r>
        <w:rPr>
          <w:rFonts w:hint="eastAsia" w:ascii="华文仿宋" w:hAnsi="华文仿宋" w:eastAsia="华文仿宋" w:cs="仿宋"/>
          <w:color w:val="333333"/>
          <w:sz w:val="32"/>
          <w:szCs w:val="32"/>
          <w:shd w:val="clear" w:color="auto" w:fill="FFFFFF"/>
          <w:lang w:val="en-US" w:eastAsia="zh-CN"/>
        </w:rPr>
        <w:t>社会事务与经济发展</w:t>
      </w:r>
      <w:r>
        <w:rPr>
          <w:rFonts w:hint="eastAsia" w:ascii="华文仿宋" w:hAnsi="华文仿宋" w:eastAsia="华文仿宋" w:cs="仿宋"/>
          <w:color w:val="333333"/>
          <w:sz w:val="32"/>
          <w:szCs w:val="32"/>
          <w:shd w:val="clear" w:color="auto" w:fill="FFFFFF"/>
          <w:lang w:eastAsia="zh-CN"/>
        </w:rPr>
        <w:t>办公室、</w:t>
      </w:r>
      <w:r>
        <w:rPr>
          <w:rFonts w:hint="eastAsia" w:ascii="华文仿宋" w:hAnsi="华文仿宋" w:eastAsia="华文仿宋" w:cs="仿宋"/>
          <w:color w:val="333333"/>
          <w:sz w:val="32"/>
          <w:szCs w:val="32"/>
          <w:shd w:val="clear" w:color="auto" w:fill="FFFFFF"/>
          <w:lang w:val="en-US" w:eastAsia="zh-CN"/>
        </w:rPr>
        <w:t>综合行政执法办公室、寺庙管理所、起坞乡综合服务站、起坞乡便民服务中心、起坞乡文化旅游服务站</w:t>
      </w:r>
      <w:r>
        <w:rPr>
          <w:rFonts w:hint="eastAsia" w:ascii="华文仿宋" w:hAnsi="华文仿宋" w:eastAsia="华文仿宋" w:cs="仿宋"/>
          <w:color w:val="333333"/>
          <w:sz w:val="32"/>
          <w:szCs w:val="32"/>
          <w:shd w:val="clear" w:color="auto" w:fill="FFFFFF"/>
        </w:rPr>
        <w:t>。</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9"/>
      <w:bookmarkStart w:id="19" w:name="_Toc15378446"/>
      <w:bookmarkStart w:id="20" w:name="_Toc15396601"/>
      <w:bookmarkStart w:id="21" w:name="_Toc15377200"/>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pStyle w:val="14"/>
        <w:widowControl/>
        <w:numPr>
          <w:numId w:val="0"/>
        </w:numPr>
        <w:spacing w:line="27" w:lineRule="atLeast"/>
        <w:ind w:left="480" w:leftChars="0" w:right="0" w:rightChars="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1.持续做好维护社会稳定工作</w:t>
      </w:r>
    </w:p>
    <w:p>
      <w:pPr>
        <w:pStyle w:val="14"/>
        <w:widowControl/>
        <w:numPr>
          <w:ilvl w:val="0"/>
          <w:numId w:val="0"/>
        </w:numPr>
        <w:spacing w:line="27" w:lineRule="atLeast"/>
        <w:ind w:right="0" w:rightChars="0" w:firstLine="619" w:firstLineChars="200"/>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auto"/>
          <w:spacing w:val="-6"/>
          <w:position w:val="0"/>
          <w:sz w:val="32"/>
          <w:szCs w:val="32"/>
        </w:rPr>
        <w:t>一是</w:t>
      </w:r>
      <w:r>
        <w:rPr>
          <w:rFonts w:hint="eastAsia" w:ascii="仿宋_GB2312" w:hAnsi="仿宋_GB2312" w:eastAsia="仿宋_GB2312" w:cs="仿宋_GB2312"/>
          <w:color w:val="auto"/>
          <w:spacing w:val="-6"/>
          <w:position w:val="0"/>
          <w:sz w:val="32"/>
          <w:szCs w:val="32"/>
        </w:rPr>
        <w:t>加强组织领导，建章立制保平安。年初成立石渠县起坞乡维稳领导小组，制定并下发《起坞乡维稳工作责任书》与6个行政村签订落实各村属地责任制。在3月、7月特殊敏感期，严格执行24值班制度，动用一切网格力量实行网格化巡逻制度，每村设立1个维稳小分队，全乡设立4个卡点。</w:t>
      </w:r>
      <w:r>
        <w:rPr>
          <w:rFonts w:hint="eastAsia" w:ascii="仿宋_GB2312" w:hAnsi="仿宋_GB2312" w:eastAsia="仿宋_GB2312" w:cs="仿宋_GB2312"/>
          <w:b/>
          <w:bCs/>
          <w:color w:val="auto"/>
          <w:spacing w:val="-6"/>
          <w:position w:val="0"/>
          <w:sz w:val="32"/>
          <w:szCs w:val="32"/>
        </w:rPr>
        <w:t>二是</w:t>
      </w:r>
      <w:r>
        <w:rPr>
          <w:rFonts w:hint="eastAsia" w:ascii="仿宋_GB2312" w:hAnsi="仿宋_GB2312" w:eastAsia="仿宋_GB2312" w:cs="仿宋_GB2312"/>
          <w:color w:val="auto"/>
          <w:spacing w:val="-6"/>
          <w:position w:val="0"/>
          <w:sz w:val="32"/>
          <w:szCs w:val="32"/>
        </w:rPr>
        <w:t>深入开展矛盾纠纷排查化解，维护基层和谐稳定。坚持“大矛盾不出乡、小矛盾不出村”原则，走村入户走访群众，对各类矛盾纠纷隐患进行集中清理，并逐案落实包案领导、责任人、化解时限。我乡</w:t>
      </w:r>
      <w:r>
        <w:rPr>
          <w:rFonts w:hint="eastAsia" w:ascii="仿宋_GB2312" w:hAnsi="仿宋_GB2312" w:eastAsia="仿宋_GB2312" w:cs="仿宋_GB2312"/>
          <w:color w:val="auto"/>
          <w:spacing w:val="-6"/>
          <w:position w:val="0"/>
          <w:sz w:val="32"/>
          <w:szCs w:val="32"/>
          <w:lang w:val="en-US" w:eastAsia="zh-CN"/>
        </w:rPr>
        <w:t>全年</w:t>
      </w:r>
      <w:r>
        <w:rPr>
          <w:rFonts w:hint="eastAsia" w:ascii="仿宋_GB2312" w:hAnsi="仿宋_GB2312" w:eastAsia="仿宋_GB2312" w:cs="仿宋_GB2312"/>
          <w:color w:val="auto"/>
          <w:spacing w:val="-6"/>
          <w:position w:val="0"/>
          <w:sz w:val="32"/>
          <w:szCs w:val="32"/>
        </w:rPr>
        <w:t>排查矛盾纠纷</w:t>
      </w:r>
      <w:r>
        <w:rPr>
          <w:rFonts w:hint="eastAsia" w:ascii="仿宋_GB2312" w:hAnsi="仿宋_GB2312" w:eastAsia="仿宋_GB2312" w:cs="仿宋_GB2312"/>
          <w:color w:val="auto"/>
          <w:spacing w:val="-6"/>
          <w:position w:val="0"/>
          <w:sz w:val="32"/>
          <w:szCs w:val="32"/>
          <w:lang w:val="en-US" w:eastAsia="zh-CN"/>
        </w:rPr>
        <w:t>25</w:t>
      </w:r>
      <w:r>
        <w:rPr>
          <w:rFonts w:hint="eastAsia" w:ascii="仿宋_GB2312" w:hAnsi="仿宋_GB2312" w:eastAsia="仿宋_GB2312" w:cs="仿宋_GB2312"/>
          <w:color w:val="auto"/>
          <w:spacing w:val="-6"/>
          <w:position w:val="0"/>
          <w:sz w:val="32"/>
          <w:szCs w:val="32"/>
        </w:rPr>
        <w:t>起，成功化解</w:t>
      </w:r>
      <w:r>
        <w:rPr>
          <w:rFonts w:hint="eastAsia" w:ascii="仿宋_GB2312" w:hAnsi="仿宋_GB2312" w:eastAsia="仿宋_GB2312" w:cs="仿宋_GB2312"/>
          <w:color w:val="auto"/>
          <w:spacing w:val="-6"/>
          <w:position w:val="0"/>
          <w:sz w:val="32"/>
          <w:szCs w:val="32"/>
          <w:lang w:val="en-US" w:eastAsia="zh-CN"/>
        </w:rPr>
        <w:t>25</w:t>
      </w:r>
      <w:r>
        <w:rPr>
          <w:rFonts w:hint="eastAsia" w:ascii="仿宋_GB2312" w:hAnsi="仿宋_GB2312" w:eastAsia="仿宋_GB2312" w:cs="仿宋_GB2312"/>
          <w:color w:val="auto"/>
          <w:spacing w:val="-6"/>
          <w:position w:val="0"/>
          <w:sz w:val="32"/>
          <w:szCs w:val="32"/>
        </w:rPr>
        <w:t>起，化解率达100%。</w:t>
      </w:r>
      <w:r>
        <w:rPr>
          <w:rFonts w:hint="eastAsia" w:ascii="仿宋_GB2312" w:hAnsi="仿宋_GB2312" w:eastAsia="仿宋_GB2312" w:cs="仿宋_GB2312"/>
          <w:b/>
          <w:bCs/>
          <w:color w:val="auto"/>
          <w:spacing w:val="-6"/>
          <w:position w:val="0"/>
          <w:sz w:val="32"/>
          <w:szCs w:val="32"/>
        </w:rPr>
        <w:t>三是</w:t>
      </w:r>
      <w:r>
        <w:rPr>
          <w:rFonts w:hint="eastAsia" w:ascii="仿宋_GB2312" w:hAnsi="仿宋_GB2312" w:eastAsia="仿宋_GB2312" w:cs="仿宋_GB2312"/>
          <w:color w:val="auto"/>
          <w:spacing w:val="-6"/>
          <w:position w:val="0"/>
          <w:sz w:val="32"/>
          <w:szCs w:val="32"/>
        </w:rPr>
        <w:t>完善网格设置，切实发挥作用。以各行政村为单位，设立6个网格点，6名包村干部任专兼职网格员，配备3+N的服务团队，即专兼职网格员1名，一村一辅警1名，乡包片副科领导1名和“N”支网格党员先锋队，目前已配备网格长1名，专兼职网格员6名，成立6支网格工作队共72人，</w:t>
      </w:r>
      <w:r>
        <w:rPr>
          <w:rFonts w:hint="eastAsia" w:ascii="仿宋_GB2312" w:hAnsi="仿宋_GB2312" w:eastAsia="仿宋_GB2312" w:cs="仿宋_GB2312"/>
          <w:color w:val="auto"/>
          <w:spacing w:val="-6"/>
          <w:kern w:val="0"/>
          <w:position w:val="0"/>
          <w:sz w:val="32"/>
          <w:szCs w:val="32"/>
        </w:rPr>
        <w:t>成立起坞乡网格化领导小组，负责牵头组织开展本乡区域基层社会治安综合治理工作</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p>
    <w:p>
      <w:pPr>
        <w:pageBreakBefore w:val="0"/>
        <w:kinsoku/>
        <w:wordWrap/>
        <w:overflowPunct/>
        <w:topLinePunct w:val="0"/>
        <w:autoSpaceDN/>
        <w:bidi w:val="0"/>
        <w:adjustRightInd/>
        <w:snapToGrid/>
        <w:spacing w:line="510" w:lineRule="exact"/>
        <w:ind w:firstLine="640"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2.扎实推进依法治寺工作</w:t>
      </w:r>
    </w:p>
    <w:p>
      <w:pPr>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我乡</w:t>
      </w:r>
      <w:r>
        <w:rPr>
          <w:rFonts w:hint="eastAsia" w:ascii="仿宋_GB2312" w:hAnsi="仿宋_GB2312" w:eastAsia="仿宋_GB2312" w:cs="仿宋_GB2312"/>
          <w:sz w:val="32"/>
          <w:szCs w:val="32"/>
          <w:lang w:val="en-US" w:eastAsia="zh-CN"/>
        </w:rPr>
        <w:t>持续做好</w:t>
      </w:r>
      <w:r>
        <w:rPr>
          <w:rFonts w:hint="eastAsia" w:ascii="仿宋_GB2312" w:hAnsi="仿宋_GB2312" w:eastAsia="仿宋_GB2312" w:cs="仿宋_GB2312"/>
          <w:sz w:val="32"/>
          <w:szCs w:val="32"/>
        </w:rPr>
        <w:t>寺庙</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，强化三座寺庙消防安全意识，规范在寺庙内的生活用火、用电等行动进行不定期排查，严格执行僧侣请销假制度，抓实抓细对寺庙僧侣宣传爱国爱教的精神，持续抓好</w:t>
      </w:r>
      <w:r>
        <w:rPr>
          <w:rFonts w:hint="eastAsia" w:ascii="仿宋_GB2312" w:hAnsi="仿宋_GB2312" w:eastAsia="仿宋_GB2312" w:cs="仿宋_GB2312"/>
          <w:sz w:val="32"/>
          <w:szCs w:val="32"/>
          <w:lang w:val="en-US" w:eastAsia="zh-CN"/>
        </w:rPr>
        <w:t>寺庙</w:t>
      </w:r>
      <w:r>
        <w:rPr>
          <w:rFonts w:hint="eastAsia" w:ascii="仿宋_GB2312" w:hAnsi="仿宋_GB2312" w:eastAsia="仿宋_GB2312" w:cs="仿宋_GB2312"/>
          <w:sz w:val="32"/>
          <w:szCs w:val="32"/>
        </w:rPr>
        <w:t>疫情防控常态化工作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lang w:val="en-US" w:eastAsia="zh-CN"/>
        </w:rPr>
        <w:t>为切实解决经幡乱挂现象，</w:t>
      </w:r>
      <w:r>
        <w:rPr>
          <w:rFonts w:hint="eastAsia" w:ascii="仿宋_GB2312" w:hAnsi="仿宋_GB2312" w:eastAsia="仿宋_GB2312" w:cs="仿宋_GB2312"/>
          <w:spacing w:val="0"/>
          <w:sz w:val="32"/>
          <w:szCs w:val="32"/>
        </w:rPr>
        <w:t>重点清理了</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0"/>
          <w:szCs w:val="30"/>
        </w:rPr>
        <w:t>与自然景观不协调、凌乱经幡等问题。对六个村设立集中悬挂点，此次经幡清理活动的开展，进一步改善了人居环境，有效解决了凌乱搭经等问题。</w:t>
      </w:r>
    </w:p>
    <w:p>
      <w:pPr>
        <w:pageBreakBefore w:val="0"/>
        <w:kinsoku/>
        <w:wordWrap/>
        <w:overflowPunct/>
        <w:topLinePunct w:val="0"/>
        <w:autoSpaceDN/>
        <w:bidi w:val="0"/>
        <w:adjustRightInd/>
        <w:snapToGrid/>
        <w:spacing w:line="510" w:lineRule="exact"/>
        <w:ind w:firstLine="640"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3.加大宣传教育力度 强化依法入学责任</w:t>
      </w:r>
    </w:p>
    <w:p>
      <w:pPr>
        <w:pageBreakBefore w:val="0"/>
        <w:widowControl w:val="0"/>
        <w:kinsoku/>
        <w:wordWrap/>
        <w:overflowPunct/>
        <w:topLinePunct w:val="0"/>
        <w:autoSpaceDE/>
        <w:autoSpaceDN/>
        <w:bidi w:val="0"/>
        <w:adjustRightInd/>
        <w:snapToGrid/>
        <w:spacing w:line="510" w:lineRule="exact"/>
        <w:ind w:firstLine="616" w:firstLineChars="200"/>
        <w:textAlignment w:val="auto"/>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color w:val="auto"/>
          <w:spacing w:val="-6"/>
          <w:position w:val="0"/>
          <w:sz w:val="32"/>
          <w:szCs w:val="32"/>
          <w:lang w:val="en-US" w:eastAsia="zh-CN"/>
        </w:rPr>
        <w:t>全乡3所小学，在校学生567名，教师22名，</w:t>
      </w:r>
      <w:r>
        <w:rPr>
          <w:rFonts w:hint="eastAsia" w:ascii="仿宋_GB2312" w:hAnsi="仿宋_GB2312" w:eastAsia="仿宋_GB2312" w:cs="仿宋_GB2312"/>
          <w:color w:val="auto"/>
          <w:spacing w:val="-6"/>
          <w:position w:val="0"/>
          <w:sz w:val="32"/>
          <w:szCs w:val="32"/>
        </w:rPr>
        <w:t>建立健全控辍保学工作长效机制，为加大治理辍学工作力度，乡党委、政府高度重视，明确职责、强化领导，始终把义务教育阶段控辍保学工作作为当前教育工作的重中之重，通过制度保障，动态监测，摸排劝返，爱心帮扶等多层次、多举措，</w:t>
      </w:r>
      <w:r>
        <w:rPr>
          <w:rFonts w:hint="eastAsia" w:ascii="仿宋_GB2312" w:hAnsi="仿宋_GB2312" w:eastAsia="仿宋_GB2312" w:cs="仿宋_GB2312"/>
          <w:spacing w:val="0"/>
          <w:sz w:val="32"/>
          <w:szCs w:val="32"/>
        </w:rPr>
        <w:t>已完成控辍保学108名学生入学工作，</w:t>
      </w:r>
      <w:r>
        <w:rPr>
          <w:rFonts w:hint="eastAsia" w:ascii="仿宋_GB2312" w:hAnsi="仿宋_GB2312" w:eastAsia="仿宋_GB2312" w:cs="仿宋_GB2312"/>
          <w:color w:val="auto"/>
          <w:spacing w:val="-6"/>
          <w:position w:val="0"/>
          <w:sz w:val="32"/>
          <w:szCs w:val="32"/>
        </w:rPr>
        <w:t>始终坚持把“不让一个孩子失学”作为“控辍保学”工作的奋斗目标而持续推进，为脱贫攻坚有效衔接乡村振兴工作奠定坚实的基础。</w:t>
      </w:r>
    </w:p>
    <w:p>
      <w:pPr>
        <w:pageBreakBefore w:val="0"/>
        <w:kinsoku/>
        <w:wordWrap/>
        <w:overflowPunct/>
        <w:topLinePunct w:val="0"/>
        <w:autoSpaceDN/>
        <w:bidi w:val="0"/>
        <w:adjustRightInd/>
        <w:snapToGrid/>
        <w:spacing w:line="510" w:lineRule="exact"/>
        <w:ind w:firstLine="616"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spacing w:val="-6"/>
          <w:position w:val="0"/>
          <w:sz w:val="32"/>
          <w:szCs w:val="32"/>
          <w:lang w:val="en-US" w:eastAsia="zh-CN"/>
        </w:rPr>
        <w:t xml:space="preserve">4.加强做好森林草原防灭火工作 </w:t>
      </w:r>
    </w:p>
    <w:p>
      <w:pPr>
        <w:keepNext w:val="0"/>
        <w:keepLines w:val="0"/>
        <w:pageBreakBefore w:val="0"/>
        <w:widowControl w:val="0"/>
        <w:kinsoku/>
        <w:wordWrap/>
        <w:overflowPunct/>
        <w:topLinePunct w:val="0"/>
        <w:autoSpaceDE/>
        <w:autoSpaceDN/>
        <w:bidi w:val="0"/>
        <w:adjustRightInd/>
        <w:snapToGrid/>
        <w:spacing w:line="550" w:lineRule="exact"/>
        <w:ind w:firstLine="667" w:firstLineChars="200"/>
        <w:textAlignment w:val="auto"/>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b/>
          <w:bCs/>
          <w:spacing w:val="6"/>
          <w:position w:val="0"/>
          <w:sz w:val="32"/>
          <w:szCs w:val="32"/>
          <w:lang w:val="en-US" w:eastAsia="zh-CN"/>
        </w:rPr>
        <w:t>一是</w:t>
      </w:r>
      <w:r>
        <w:rPr>
          <w:rFonts w:hint="eastAsia" w:ascii="仿宋_GB2312" w:hAnsi="仿宋_GB2312" w:eastAsia="仿宋_GB2312" w:cs="仿宋_GB2312"/>
          <w:spacing w:val="6"/>
          <w:position w:val="0"/>
          <w:sz w:val="32"/>
          <w:szCs w:val="32"/>
          <w:lang w:val="en-US" w:eastAsia="zh-CN"/>
        </w:rPr>
        <w:t>在进入</w:t>
      </w:r>
      <w:r>
        <w:rPr>
          <w:rFonts w:hint="eastAsia" w:ascii="仿宋_GB2312" w:hAnsi="仿宋_GB2312" w:eastAsia="仿宋_GB2312" w:cs="仿宋_GB2312"/>
          <w:spacing w:val="6"/>
          <w:position w:val="0"/>
          <w:sz w:val="32"/>
          <w:szCs w:val="32"/>
        </w:rPr>
        <w:t>森林草</w:t>
      </w:r>
      <w:r>
        <w:rPr>
          <w:rFonts w:hint="eastAsia" w:ascii="仿宋_GB2312" w:hAnsi="仿宋_GB2312" w:eastAsia="仿宋_GB2312" w:cs="仿宋_GB2312"/>
          <w:spacing w:val="6"/>
          <w:position w:val="0"/>
          <w:sz w:val="32"/>
          <w:szCs w:val="32"/>
          <w:lang w:val="en-US" w:eastAsia="zh-CN"/>
        </w:rPr>
        <w:t>原防火中高风险期，我乡严格落实森林草原防灭火“党政同责、一岗双责、齐抓共管、失职追责”要求，</w:t>
      </w:r>
      <w:r>
        <w:rPr>
          <w:rFonts w:hint="eastAsia" w:ascii="仿宋_GB2312" w:hAnsi="仿宋_GB2312" w:eastAsia="仿宋_GB2312" w:cs="仿宋_GB2312"/>
          <w:spacing w:val="6"/>
          <w:position w:val="0"/>
          <w:sz w:val="32"/>
          <w:szCs w:val="32"/>
        </w:rPr>
        <w:t>与村委会寺庙、学校、商店</w:t>
      </w:r>
      <w:r>
        <w:rPr>
          <w:rFonts w:hint="eastAsia" w:ascii="仿宋_GB2312" w:hAnsi="仿宋_GB2312" w:eastAsia="仿宋_GB2312" w:cs="仿宋_GB2312"/>
          <w:spacing w:val="6"/>
          <w:position w:val="0"/>
          <w:sz w:val="32"/>
          <w:szCs w:val="32"/>
          <w:lang w:eastAsia="zh-CN"/>
        </w:rPr>
        <w:t>、</w:t>
      </w:r>
      <w:r>
        <w:rPr>
          <w:rFonts w:hint="eastAsia" w:ascii="仿宋_GB2312" w:hAnsi="仿宋_GB2312" w:eastAsia="仿宋_GB2312" w:cs="仿宋_GB2312"/>
          <w:spacing w:val="6"/>
          <w:position w:val="0"/>
          <w:sz w:val="32"/>
          <w:szCs w:val="32"/>
        </w:rPr>
        <w:t>牧户签订承诺书9</w:t>
      </w:r>
      <w:r>
        <w:rPr>
          <w:rFonts w:hint="eastAsia" w:ascii="仿宋_GB2312" w:hAnsi="仿宋_GB2312" w:eastAsia="仿宋_GB2312" w:cs="仿宋_GB2312"/>
          <w:spacing w:val="6"/>
          <w:position w:val="0"/>
          <w:sz w:val="32"/>
          <w:szCs w:val="32"/>
          <w:lang w:val="en-US"/>
        </w:rPr>
        <w:t>5</w:t>
      </w:r>
      <w:r>
        <w:rPr>
          <w:rFonts w:hint="eastAsia" w:ascii="仿宋_GB2312" w:hAnsi="仿宋_GB2312" w:eastAsia="仿宋_GB2312" w:cs="仿宋_GB2312"/>
          <w:spacing w:val="6"/>
          <w:position w:val="0"/>
          <w:sz w:val="32"/>
          <w:szCs w:val="32"/>
        </w:rPr>
        <w:t>0份</w:t>
      </w:r>
      <w:r>
        <w:rPr>
          <w:rFonts w:hint="eastAsia" w:ascii="仿宋_GB2312" w:hAnsi="仿宋_GB2312" w:eastAsia="仿宋_GB2312" w:cs="仿宋_GB2312"/>
          <w:spacing w:val="6"/>
          <w:position w:val="0"/>
          <w:sz w:val="32"/>
          <w:szCs w:val="32"/>
          <w:lang w:eastAsia="zh-CN"/>
        </w:rPr>
        <w:t>。</w:t>
      </w:r>
      <w:r>
        <w:rPr>
          <w:rFonts w:hint="eastAsia" w:ascii="仿宋_GB2312" w:hAnsi="仿宋_GB2312" w:eastAsia="仿宋_GB2312" w:cs="仿宋_GB2312"/>
          <w:b/>
          <w:bCs/>
          <w:spacing w:val="6"/>
          <w:position w:val="0"/>
          <w:sz w:val="32"/>
          <w:szCs w:val="32"/>
          <w:lang w:val="en-US" w:eastAsia="zh-CN"/>
        </w:rPr>
        <w:t>二</w:t>
      </w:r>
      <w:r>
        <w:rPr>
          <w:rFonts w:hint="eastAsia" w:ascii="仿宋_GB2312" w:hAnsi="仿宋_GB2312" w:eastAsia="仿宋_GB2312" w:cs="仿宋_GB2312"/>
          <w:b/>
          <w:bCs/>
          <w:spacing w:val="6"/>
          <w:position w:val="0"/>
          <w:sz w:val="32"/>
          <w:szCs w:val="32"/>
        </w:rPr>
        <w:t>是</w:t>
      </w:r>
      <w:r>
        <w:rPr>
          <w:rFonts w:hint="eastAsia" w:ascii="仿宋_GB2312" w:hAnsi="仿宋_GB2312" w:eastAsia="仿宋_GB2312" w:cs="仿宋_GB2312"/>
          <w:spacing w:val="6"/>
          <w:position w:val="0"/>
          <w:sz w:val="32"/>
          <w:szCs w:val="32"/>
        </w:rPr>
        <w:t>对</w:t>
      </w:r>
      <w:r>
        <w:rPr>
          <w:rFonts w:hint="eastAsia" w:ascii="仿宋_GB2312" w:hAnsi="仿宋_GB2312" w:eastAsia="仿宋_GB2312" w:cs="仿宋_GB2312"/>
          <w:spacing w:val="6"/>
          <w:position w:val="0"/>
          <w:sz w:val="32"/>
          <w:szCs w:val="32"/>
          <w:lang w:val="en-US" w:eastAsia="zh-CN"/>
        </w:rPr>
        <w:t>各</w:t>
      </w:r>
      <w:r>
        <w:rPr>
          <w:rFonts w:hint="eastAsia" w:ascii="仿宋_GB2312" w:hAnsi="仿宋_GB2312" w:eastAsia="仿宋_GB2312" w:cs="仿宋_GB2312"/>
          <w:spacing w:val="6"/>
          <w:position w:val="0"/>
          <w:sz w:val="32"/>
          <w:szCs w:val="32"/>
        </w:rPr>
        <w:t>村、寺庙、煨桑</w:t>
      </w:r>
      <w:r>
        <w:rPr>
          <w:rFonts w:hint="eastAsia" w:ascii="仿宋_GB2312" w:hAnsi="仿宋_GB2312" w:eastAsia="仿宋_GB2312" w:cs="仿宋_GB2312"/>
          <w:spacing w:val="6"/>
          <w:position w:val="0"/>
          <w:sz w:val="32"/>
          <w:szCs w:val="32"/>
          <w:lang w:val="en-US" w:eastAsia="zh-CN"/>
        </w:rPr>
        <w:t>点</w:t>
      </w:r>
      <w:r>
        <w:rPr>
          <w:rFonts w:hint="eastAsia" w:ascii="仿宋_GB2312" w:hAnsi="仿宋_GB2312" w:eastAsia="仿宋_GB2312" w:cs="仿宋_GB2312"/>
          <w:spacing w:val="6"/>
          <w:position w:val="0"/>
          <w:sz w:val="32"/>
          <w:szCs w:val="32"/>
        </w:rPr>
        <w:t>安排专人负责，定点对3座寺庙和活动场所、民间煨桑点进行</w:t>
      </w:r>
      <w:r>
        <w:rPr>
          <w:rFonts w:hint="eastAsia" w:ascii="仿宋_GB2312" w:hAnsi="仿宋_GB2312" w:eastAsia="仿宋_GB2312" w:cs="仿宋_GB2312"/>
          <w:spacing w:val="6"/>
          <w:position w:val="0"/>
          <w:sz w:val="32"/>
          <w:szCs w:val="32"/>
          <w:lang w:val="en-US" w:eastAsia="zh-CN"/>
        </w:rPr>
        <w:t>隐患</w:t>
      </w:r>
      <w:r>
        <w:rPr>
          <w:rFonts w:hint="eastAsia" w:ascii="仿宋_GB2312" w:hAnsi="仿宋_GB2312" w:eastAsia="仿宋_GB2312" w:cs="仿宋_GB2312"/>
          <w:spacing w:val="6"/>
          <w:position w:val="0"/>
          <w:sz w:val="32"/>
          <w:szCs w:val="32"/>
        </w:rPr>
        <w:t>排查。</w:t>
      </w:r>
      <w:r>
        <w:rPr>
          <w:rFonts w:hint="eastAsia" w:ascii="仿宋_GB2312" w:hAnsi="仿宋_GB2312" w:eastAsia="仿宋_GB2312" w:cs="仿宋_GB2312"/>
          <w:b/>
          <w:bCs/>
          <w:spacing w:val="6"/>
          <w:position w:val="0"/>
          <w:sz w:val="32"/>
          <w:szCs w:val="32"/>
          <w:lang w:val="en-US" w:eastAsia="zh-CN"/>
        </w:rPr>
        <w:t>三</w:t>
      </w:r>
      <w:r>
        <w:rPr>
          <w:rFonts w:hint="eastAsia" w:ascii="仿宋_GB2312" w:hAnsi="仿宋_GB2312" w:eastAsia="仿宋_GB2312" w:cs="仿宋_GB2312"/>
          <w:b/>
          <w:bCs/>
          <w:spacing w:val="6"/>
          <w:position w:val="0"/>
          <w:sz w:val="32"/>
          <w:szCs w:val="32"/>
        </w:rPr>
        <w:t>是</w:t>
      </w:r>
      <w:r>
        <w:rPr>
          <w:rFonts w:hint="eastAsia" w:ascii="仿宋_GB2312" w:hAnsi="仿宋_GB2312" w:eastAsia="仿宋_GB2312" w:cs="仿宋_GB2312"/>
          <w:spacing w:val="6"/>
          <w:position w:val="0"/>
          <w:sz w:val="32"/>
          <w:szCs w:val="32"/>
          <w:lang w:val="en-US" w:eastAsia="zh-CN"/>
        </w:rPr>
        <w:t>强化</w:t>
      </w:r>
      <w:r>
        <w:rPr>
          <w:rFonts w:hint="eastAsia" w:ascii="仿宋_GB2312" w:hAnsi="仿宋_GB2312" w:eastAsia="仿宋_GB2312" w:cs="仿宋_GB2312"/>
          <w:spacing w:val="6"/>
          <w:position w:val="0"/>
          <w:sz w:val="32"/>
          <w:szCs w:val="32"/>
        </w:rPr>
        <w:t>我乡</w:t>
      </w:r>
      <w:r>
        <w:rPr>
          <w:rFonts w:hint="eastAsia" w:ascii="仿宋_GB2312" w:hAnsi="仿宋_GB2312" w:eastAsia="仿宋_GB2312" w:cs="仿宋_GB2312"/>
          <w:spacing w:val="6"/>
          <w:position w:val="0"/>
          <w:sz w:val="32"/>
          <w:szCs w:val="32"/>
          <w:lang w:val="en-US" w:eastAsia="zh-CN"/>
        </w:rPr>
        <w:t>应急队伍建设，对</w:t>
      </w:r>
      <w:r>
        <w:rPr>
          <w:rFonts w:hint="eastAsia" w:ascii="仿宋_GB2312" w:hAnsi="仿宋_GB2312" w:eastAsia="仿宋_GB2312" w:cs="仿宋_GB2312"/>
          <w:spacing w:val="6"/>
          <w:position w:val="0"/>
          <w:sz w:val="32"/>
          <w:szCs w:val="32"/>
        </w:rPr>
        <w:t>半专业扑火队30人、护林员</w:t>
      </w:r>
      <w:r>
        <w:rPr>
          <w:rFonts w:hint="eastAsia" w:ascii="仿宋_GB2312" w:hAnsi="仿宋_GB2312" w:eastAsia="仿宋_GB2312" w:cs="仿宋_GB2312"/>
          <w:spacing w:val="6"/>
          <w:position w:val="0"/>
          <w:sz w:val="32"/>
          <w:szCs w:val="32"/>
          <w:lang w:val="en-US" w:eastAsia="zh-CN"/>
        </w:rPr>
        <w:t>48</w:t>
      </w:r>
      <w:r>
        <w:rPr>
          <w:rFonts w:hint="eastAsia" w:ascii="仿宋_GB2312" w:hAnsi="仿宋_GB2312" w:eastAsia="仿宋_GB2312" w:cs="仿宋_GB2312"/>
          <w:spacing w:val="6"/>
          <w:position w:val="0"/>
          <w:sz w:val="32"/>
          <w:szCs w:val="32"/>
        </w:rPr>
        <w:t>人进行应急演练</w:t>
      </w:r>
      <w:r>
        <w:rPr>
          <w:rFonts w:hint="eastAsia" w:ascii="仿宋_GB2312" w:hAnsi="仿宋_GB2312" w:eastAsia="仿宋_GB2312" w:cs="仿宋_GB2312"/>
          <w:spacing w:val="6"/>
          <w:position w:val="0"/>
          <w:sz w:val="32"/>
          <w:szCs w:val="32"/>
          <w:lang w:val="en-US" w:eastAsia="zh-CN"/>
        </w:rPr>
        <w:t>1</w:t>
      </w:r>
      <w:r>
        <w:rPr>
          <w:rFonts w:hint="eastAsia" w:ascii="仿宋_GB2312" w:hAnsi="仿宋_GB2312" w:eastAsia="仿宋_GB2312" w:cs="仿宋_GB2312"/>
          <w:spacing w:val="6"/>
          <w:position w:val="0"/>
          <w:sz w:val="32"/>
          <w:szCs w:val="32"/>
        </w:rPr>
        <w:t>次。同时划分区域以村支书为队长半专业扑火队、草</w:t>
      </w:r>
      <w:r>
        <w:rPr>
          <w:rFonts w:hint="eastAsia" w:ascii="仿宋_GB2312" w:hAnsi="仿宋_GB2312" w:eastAsia="仿宋_GB2312" w:cs="仿宋_GB2312"/>
          <w:spacing w:val="6"/>
          <w:position w:val="0"/>
          <w:sz w:val="32"/>
          <w:szCs w:val="32"/>
          <w:lang w:val="en-US" w:eastAsia="zh-CN"/>
        </w:rPr>
        <w:t>管</w:t>
      </w:r>
      <w:r>
        <w:rPr>
          <w:rFonts w:hint="eastAsia" w:ascii="仿宋_GB2312" w:hAnsi="仿宋_GB2312" w:eastAsia="仿宋_GB2312" w:cs="仿宋_GB2312"/>
          <w:spacing w:val="6"/>
          <w:position w:val="0"/>
          <w:sz w:val="32"/>
          <w:szCs w:val="32"/>
        </w:rPr>
        <w:t>员和护林员为队员进行24小时巡逻制度。</w:t>
      </w:r>
      <w:r>
        <w:rPr>
          <w:rFonts w:hint="eastAsia" w:ascii="仿宋_GB2312" w:hAnsi="仿宋_GB2312" w:eastAsia="仿宋_GB2312" w:cs="仿宋_GB2312"/>
          <w:i w:val="0"/>
          <w:caps w:val="0"/>
          <w:color w:val="auto"/>
          <w:spacing w:val="6"/>
          <w:position w:val="0"/>
          <w:sz w:val="32"/>
          <w:szCs w:val="32"/>
        </w:rPr>
        <w:t>我乡共设立六个森林草原防灭火卡点，各村入村路，进山路均已设立卡点，并张贴进山入村二维码，由各村护林、护草员24小时值班值守，做到逢人就登记，一人一码工作。在交通要道及进山路口放置警示宣传牌，利用微信公众号、微信群、村村响、车载广播、发放宣传单等方式扩大森林草原防灭火宣传覆盖率，召开“乡村寺民”四级工作宣传模式，切实提高全乡群众防火意识，做到森林草原防灭火家喻户晓，自觉遵守，着力营造群防群治、群策群力的良好氛围。</w:t>
      </w:r>
    </w:p>
    <w:p>
      <w:pPr>
        <w:pageBreakBefore w:val="0"/>
        <w:kinsoku/>
        <w:wordWrap/>
        <w:overflowPunct/>
        <w:topLinePunct w:val="0"/>
        <w:autoSpaceDN/>
        <w:bidi w:val="0"/>
        <w:adjustRightInd/>
        <w:snapToGrid/>
        <w:spacing w:line="510" w:lineRule="exact"/>
        <w:ind w:firstLine="640"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5.疫</w:t>
      </w:r>
      <w:r>
        <w:rPr>
          <w:rFonts w:hint="eastAsia" w:ascii="黑体" w:hAnsi="黑体" w:eastAsia="黑体" w:cs="黑体"/>
          <w:b w:val="0"/>
          <w:bCs/>
          <w:spacing w:val="-6"/>
          <w:position w:val="0"/>
          <w:sz w:val="32"/>
          <w:szCs w:val="32"/>
          <w:lang w:val="en-US" w:eastAsia="zh-CN"/>
        </w:rPr>
        <w:t>常态化开展疫情防控工作</w:t>
      </w:r>
    </w:p>
    <w:p>
      <w:pPr>
        <w:keepNext w:val="0"/>
        <w:keepLines w:val="0"/>
        <w:pageBreakBefore w:val="0"/>
        <w:widowControl w:val="0"/>
        <w:kinsoku/>
        <w:wordWrap/>
        <w:overflowPunct/>
        <w:topLinePunct w:val="0"/>
        <w:autoSpaceDE/>
        <w:autoSpaceDN/>
        <w:bidi w:val="0"/>
        <w:adjustRightInd/>
        <w:snapToGrid/>
        <w:spacing w:line="550" w:lineRule="exact"/>
        <w:ind w:firstLine="667" w:firstLineChars="200"/>
        <w:textAlignment w:val="auto"/>
        <w:rPr>
          <w:rFonts w:hint="eastAsia" w:ascii="仿宋_GB2312" w:hAnsi="仿宋_GB2312" w:eastAsia="仿宋_GB2312" w:cs="仿宋_GB2312"/>
          <w:spacing w:val="6"/>
          <w:position w:val="0"/>
          <w:sz w:val="32"/>
          <w:szCs w:val="32"/>
        </w:rPr>
      </w:pPr>
      <w:r>
        <w:rPr>
          <w:rFonts w:hint="eastAsia" w:ascii="仿宋_GB2312" w:hAnsi="仿宋_GB2312" w:eastAsia="仿宋_GB2312" w:cs="仿宋_GB2312"/>
          <w:b/>
          <w:bCs/>
          <w:spacing w:val="6"/>
          <w:position w:val="0"/>
          <w:sz w:val="32"/>
          <w:szCs w:val="32"/>
        </w:rPr>
        <w:t>一是</w:t>
      </w:r>
      <w:r>
        <w:rPr>
          <w:rFonts w:hint="eastAsia" w:ascii="仿宋_GB2312" w:hAnsi="仿宋_GB2312" w:eastAsia="仿宋_GB2312" w:cs="仿宋_GB2312"/>
          <w:spacing w:val="6"/>
          <w:position w:val="0"/>
          <w:sz w:val="32"/>
          <w:szCs w:val="32"/>
        </w:rPr>
        <w:t>严格落实疫情防控工作。自新型冠状病毒感染的肺炎疫情发生以来，我乡认真贯彻落实上级疫情防控指挥部决策部署，严格落实“外防输入、内防扩散”总要求，切实在对内防、对外控，联防联控、群防群治上下足功夫。截止目前，全乡共召开疫情防控会议</w:t>
      </w:r>
      <w:r>
        <w:rPr>
          <w:rFonts w:hint="eastAsia" w:ascii="仿宋_GB2312" w:hAnsi="仿宋_GB2312" w:eastAsia="仿宋_GB2312" w:cs="仿宋_GB2312"/>
          <w:spacing w:val="6"/>
          <w:position w:val="0"/>
          <w:sz w:val="32"/>
          <w:szCs w:val="32"/>
          <w:lang w:val="en-US" w:eastAsia="zh-CN"/>
        </w:rPr>
        <w:t>3</w:t>
      </w:r>
      <w:r>
        <w:rPr>
          <w:rFonts w:hint="eastAsia" w:ascii="仿宋_GB2312" w:hAnsi="仿宋_GB2312" w:eastAsia="仿宋_GB2312" w:cs="仿宋_GB2312"/>
          <w:spacing w:val="6"/>
          <w:position w:val="0"/>
          <w:sz w:val="32"/>
          <w:szCs w:val="32"/>
        </w:rPr>
        <w:t>次、入户排查外来人口</w:t>
      </w:r>
      <w:r>
        <w:rPr>
          <w:rFonts w:hint="eastAsia" w:ascii="仿宋_GB2312" w:hAnsi="仿宋_GB2312" w:eastAsia="仿宋_GB2312" w:cs="仿宋_GB2312"/>
          <w:spacing w:val="6"/>
          <w:position w:val="0"/>
          <w:sz w:val="32"/>
          <w:szCs w:val="32"/>
          <w:lang w:val="en-US" w:eastAsia="zh-CN"/>
        </w:rPr>
        <w:t>62</w:t>
      </w:r>
      <w:r>
        <w:rPr>
          <w:rFonts w:hint="eastAsia" w:ascii="仿宋_GB2312" w:hAnsi="仿宋_GB2312" w:eastAsia="仿宋_GB2312" w:cs="仿宋_GB2312"/>
          <w:spacing w:val="6"/>
          <w:position w:val="0"/>
          <w:sz w:val="32"/>
          <w:szCs w:val="32"/>
        </w:rPr>
        <w:t>人次。</w:t>
      </w:r>
      <w:r>
        <w:rPr>
          <w:rFonts w:hint="eastAsia" w:ascii="仿宋_GB2312" w:hAnsi="仿宋_GB2312" w:eastAsia="仿宋_GB2312" w:cs="仿宋_GB2312"/>
          <w:b/>
          <w:bCs/>
          <w:spacing w:val="6"/>
          <w:position w:val="0"/>
          <w:sz w:val="32"/>
          <w:szCs w:val="32"/>
        </w:rPr>
        <w:t>二是</w:t>
      </w:r>
      <w:r>
        <w:rPr>
          <w:rFonts w:hint="eastAsia" w:ascii="仿宋_GB2312" w:hAnsi="仿宋_GB2312" w:eastAsia="仿宋_GB2312" w:cs="仿宋_GB2312"/>
          <w:spacing w:val="6"/>
          <w:position w:val="0"/>
          <w:sz w:val="32"/>
          <w:szCs w:val="32"/>
        </w:rPr>
        <w:t>疫苗接种工作。大力宣传疫苗接种相关政策及接种必要性，引导教育群众自愿接种疫苗，做到应接必接。</w:t>
      </w:r>
      <w:r>
        <w:rPr>
          <w:rFonts w:hint="eastAsia" w:ascii="仿宋_GB2312" w:hAnsi="仿宋_GB2312" w:eastAsia="仿宋_GB2312" w:cs="仿宋_GB2312"/>
          <w:spacing w:val="6"/>
          <w:position w:val="0"/>
          <w:sz w:val="32"/>
          <w:szCs w:val="32"/>
          <w:lang w:val="en-US" w:eastAsia="zh-CN"/>
        </w:rPr>
        <w:t>截止</w:t>
      </w:r>
      <w:r>
        <w:rPr>
          <w:rFonts w:hint="eastAsia" w:ascii="仿宋_GB2312" w:hAnsi="仿宋_GB2312" w:eastAsia="仿宋_GB2312" w:cs="仿宋_GB2312"/>
          <w:spacing w:val="6"/>
          <w:position w:val="0"/>
          <w:sz w:val="32"/>
          <w:szCs w:val="32"/>
        </w:rPr>
        <w:t>目前</w:t>
      </w:r>
      <w:r>
        <w:rPr>
          <w:rFonts w:hint="eastAsia" w:ascii="仿宋_GB2312" w:hAnsi="仿宋_GB2312" w:eastAsia="仿宋_GB2312" w:cs="仿宋_GB2312"/>
          <w:spacing w:val="6"/>
          <w:position w:val="0"/>
          <w:sz w:val="32"/>
          <w:szCs w:val="32"/>
          <w:lang w:val="en-US"/>
        </w:rPr>
        <w:t>3-11</w:t>
      </w:r>
      <w:r>
        <w:rPr>
          <w:rFonts w:hint="eastAsia" w:ascii="仿宋_GB2312" w:hAnsi="仿宋_GB2312" w:eastAsia="仿宋_GB2312" w:cs="仿宋_GB2312"/>
          <w:spacing w:val="6"/>
          <w:position w:val="0"/>
          <w:sz w:val="32"/>
          <w:szCs w:val="32"/>
          <w:lang w:val="en-US" w:eastAsia="zh-CN"/>
        </w:rPr>
        <w:t>岁人员第一针</w:t>
      </w:r>
      <w:r>
        <w:rPr>
          <w:rFonts w:hint="eastAsia" w:ascii="仿宋_GB2312" w:hAnsi="仿宋_GB2312" w:eastAsia="仿宋_GB2312" w:cs="仿宋_GB2312"/>
          <w:spacing w:val="6"/>
          <w:position w:val="0"/>
          <w:sz w:val="32"/>
          <w:szCs w:val="32"/>
        </w:rPr>
        <w:t>疫苗</w:t>
      </w:r>
      <w:r>
        <w:rPr>
          <w:rFonts w:hint="eastAsia" w:ascii="仿宋_GB2312" w:hAnsi="仿宋_GB2312" w:eastAsia="仿宋_GB2312" w:cs="仿宋_GB2312"/>
          <w:spacing w:val="6"/>
          <w:position w:val="0"/>
          <w:sz w:val="32"/>
          <w:szCs w:val="32"/>
          <w:lang w:val="en-US" w:eastAsia="zh-CN"/>
        </w:rPr>
        <w:t>接种920人，第二针疫苗接种900人，12岁以上人员第一针</w:t>
      </w:r>
      <w:r>
        <w:rPr>
          <w:rFonts w:hint="eastAsia" w:ascii="仿宋_GB2312" w:hAnsi="仿宋_GB2312" w:eastAsia="仿宋_GB2312" w:cs="仿宋_GB2312"/>
          <w:spacing w:val="6"/>
          <w:position w:val="0"/>
          <w:sz w:val="32"/>
          <w:szCs w:val="32"/>
        </w:rPr>
        <w:t>疫苗</w:t>
      </w:r>
      <w:r>
        <w:rPr>
          <w:rFonts w:hint="eastAsia" w:ascii="仿宋_GB2312" w:hAnsi="仿宋_GB2312" w:eastAsia="仿宋_GB2312" w:cs="仿宋_GB2312"/>
          <w:spacing w:val="6"/>
          <w:position w:val="0"/>
          <w:sz w:val="32"/>
          <w:szCs w:val="32"/>
          <w:lang w:val="en-US" w:eastAsia="zh-CN"/>
        </w:rPr>
        <w:t>接种2829人，第二针疫苗接种2814人，18岁及以上加强针接种人员1486人。</w:t>
      </w:r>
      <w:r>
        <w:rPr>
          <w:rFonts w:hint="eastAsia" w:ascii="仿宋_GB2312" w:hAnsi="仿宋_GB2312" w:eastAsia="仿宋_GB2312" w:cs="仿宋_GB2312"/>
          <w:spacing w:val="6"/>
          <w:position w:val="0"/>
          <w:sz w:val="32"/>
          <w:szCs w:val="32"/>
        </w:rPr>
        <w:t>按照省、州、县疫情防控要求，所有寺庙停止举办一切聚集性佛事活动，抓实在寺僧尼做好在册登记工作，做好疫情排查信息、登记，加快补短板、堵漏洞、强弱项，设立疫情防控卡点，张贴场所码，发放宣传单，加强宣传教育工作，充分引导</w:t>
      </w:r>
      <w:r>
        <w:rPr>
          <w:rFonts w:hint="eastAsia" w:ascii="仿宋_GB2312" w:hAnsi="仿宋_GB2312" w:eastAsia="仿宋_GB2312" w:cs="仿宋_GB2312"/>
          <w:spacing w:val="6"/>
          <w:position w:val="0"/>
          <w:sz w:val="32"/>
          <w:szCs w:val="32"/>
          <w:lang w:val="en-US" w:eastAsia="zh-CN"/>
        </w:rPr>
        <w:t>群众</w:t>
      </w:r>
      <w:r>
        <w:rPr>
          <w:rFonts w:hint="eastAsia" w:ascii="仿宋_GB2312" w:hAnsi="仿宋_GB2312" w:eastAsia="仿宋_GB2312" w:cs="仿宋_GB2312"/>
          <w:spacing w:val="6"/>
          <w:position w:val="0"/>
          <w:sz w:val="32"/>
          <w:szCs w:val="32"/>
        </w:rPr>
        <w:t>僧</w:t>
      </w:r>
      <w:r>
        <w:rPr>
          <w:rFonts w:hint="eastAsia" w:ascii="仿宋_GB2312" w:hAnsi="仿宋_GB2312" w:eastAsia="仿宋_GB2312" w:cs="仿宋_GB2312"/>
          <w:spacing w:val="6"/>
          <w:position w:val="0"/>
          <w:sz w:val="32"/>
          <w:szCs w:val="32"/>
          <w:lang w:val="en-US" w:eastAsia="zh-CN"/>
        </w:rPr>
        <w:t>人</w:t>
      </w:r>
      <w:r>
        <w:rPr>
          <w:rFonts w:hint="eastAsia" w:ascii="仿宋_GB2312" w:hAnsi="仿宋_GB2312" w:eastAsia="仿宋_GB2312" w:cs="仿宋_GB2312"/>
          <w:spacing w:val="6"/>
          <w:position w:val="0"/>
          <w:sz w:val="32"/>
          <w:szCs w:val="32"/>
        </w:rPr>
        <w:t>对疫情的正确认识，科学预防，提高认识，严防境外输入，全方位落实联防联控措施。</w:t>
      </w:r>
    </w:p>
    <w:p>
      <w:pPr>
        <w:pageBreakBefore w:val="0"/>
        <w:kinsoku/>
        <w:wordWrap/>
        <w:overflowPunct/>
        <w:topLinePunct w:val="0"/>
        <w:autoSpaceDN/>
        <w:bidi w:val="0"/>
        <w:adjustRightInd/>
        <w:snapToGrid/>
        <w:spacing w:line="510" w:lineRule="exact"/>
        <w:ind w:firstLine="640"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6.抓好安全生产工作</w:t>
      </w:r>
    </w:p>
    <w:p>
      <w:pPr>
        <w:ind w:firstLine="616" w:firstLineChars="200"/>
        <w:rPr>
          <w:rFonts w:hint="eastAsia" w:ascii="仿宋_GB2312" w:hAnsi="仿宋_GB2312" w:eastAsia="仿宋_GB2312" w:cs="仿宋_GB2312"/>
          <w:color w:val="auto"/>
          <w:spacing w:val="-6"/>
          <w:kern w:val="2"/>
          <w:position w:val="0"/>
          <w:sz w:val="32"/>
          <w:szCs w:val="32"/>
        </w:rPr>
      </w:pPr>
      <w:r>
        <w:rPr>
          <w:rFonts w:hint="eastAsia" w:ascii="仿宋_GB2312" w:hAnsi="仿宋_GB2312" w:eastAsia="仿宋_GB2312" w:cs="仿宋_GB2312"/>
          <w:color w:val="auto"/>
          <w:spacing w:val="-6"/>
          <w:position w:val="0"/>
          <w:sz w:val="32"/>
          <w:szCs w:val="32"/>
        </w:rPr>
        <w:t>坚持不懈抓好安全生产，全面落实安全生产工作责任制。</w:t>
      </w:r>
      <w:r>
        <w:rPr>
          <w:rFonts w:hint="eastAsia" w:ascii="仿宋_GB2312" w:hAnsi="仿宋_GB2312" w:eastAsia="仿宋_GB2312" w:cs="仿宋_GB2312"/>
          <w:color w:val="auto"/>
          <w:spacing w:val="-6"/>
          <w:kern w:val="2"/>
          <w:position w:val="0"/>
          <w:sz w:val="32"/>
          <w:szCs w:val="32"/>
        </w:rPr>
        <w:t>深入排查各项安全隐患，及时上报，对隐患点行进定期巡查。</w:t>
      </w:r>
      <w:r>
        <w:rPr>
          <w:rFonts w:hint="eastAsia" w:ascii="仿宋_GB2312" w:hAnsi="仿宋_GB2312" w:eastAsia="仿宋_GB2312" w:cs="仿宋_GB2312"/>
          <w:b/>
          <w:bCs/>
          <w:color w:val="auto"/>
          <w:spacing w:val="-6"/>
          <w:kern w:val="2"/>
          <w:position w:val="0"/>
          <w:sz w:val="32"/>
          <w:szCs w:val="32"/>
        </w:rPr>
        <w:t>一是</w:t>
      </w:r>
      <w:r>
        <w:rPr>
          <w:rFonts w:hint="eastAsia" w:ascii="仿宋_GB2312" w:hAnsi="仿宋_GB2312" w:eastAsia="仿宋_GB2312" w:cs="仿宋_GB2312"/>
          <w:color w:val="auto"/>
          <w:spacing w:val="-6"/>
          <w:kern w:val="2"/>
          <w:position w:val="0"/>
          <w:sz w:val="32"/>
          <w:szCs w:val="32"/>
        </w:rPr>
        <w:t>细化应急预案，结合本乡实际，完善工作应急预案，做到乡、村两级干部熟知预案，当灾害发生时能够迅速做出反应，最大限度的保护群众生命及财产安全。</w:t>
      </w:r>
      <w:r>
        <w:rPr>
          <w:rFonts w:hint="eastAsia" w:ascii="仿宋_GB2312" w:hAnsi="仿宋_GB2312" w:eastAsia="仿宋_GB2312" w:cs="仿宋_GB2312"/>
          <w:b/>
          <w:bCs/>
          <w:color w:val="auto"/>
          <w:spacing w:val="-6"/>
          <w:kern w:val="2"/>
          <w:position w:val="0"/>
          <w:sz w:val="32"/>
          <w:szCs w:val="32"/>
        </w:rPr>
        <w:t>二是</w:t>
      </w:r>
      <w:r>
        <w:rPr>
          <w:rFonts w:hint="eastAsia" w:ascii="仿宋_GB2312" w:hAnsi="仿宋_GB2312" w:eastAsia="仿宋_GB2312" w:cs="仿宋_GB2312"/>
          <w:color w:val="auto"/>
          <w:spacing w:val="-6"/>
          <w:kern w:val="2"/>
          <w:position w:val="0"/>
          <w:sz w:val="32"/>
          <w:szCs w:val="32"/>
        </w:rPr>
        <w:t>加强隐患排查。组成草原防火巡逻队6个，对辖区进行不定期巡逻。结合河长制工作，加大对辖区内河流巡查，汛期防洪防灾巡逻队6个，对辖区进行不定期巡逻。</w:t>
      </w:r>
      <w:r>
        <w:rPr>
          <w:rFonts w:hint="eastAsia" w:ascii="仿宋_GB2312" w:hAnsi="仿宋_GB2312" w:eastAsia="仿宋_GB2312" w:cs="仿宋_GB2312"/>
          <w:b/>
          <w:bCs/>
          <w:color w:val="auto"/>
          <w:spacing w:val="-6"/>
          <w:kern w:val="2"/>
          <w:position w:val="0"/>
          <w:sz w:val="32"/>
          <w:szCs w:val="32"/>
        </w:rPr>
        <w:t>三是</w:t>
      </w:r>
      <w:r>
        <w:rPr>
          <w:rFonts w:hint="eastAsia" w:ascii="仿宋_GB2312" w:hAnsi="仿宋_GB2312" w:eastAsia="仿宋_GB2312" w:cs="仿宋_GB2312"/>
          <w:color w:val="auto"/>
          <w:spacing w:val="-6"/>
          <w:kern w:val="2"/>
          <w:position w:val="0"/>
          <w:sz w:val="32"/>
          <w:szCs w:val="32"/>
        </w:rPr>
        <w:t>加强道路安全宣传，由于S</w:t>
      </w:r>
      <w:r>
        <w:rPr>
          <w:rFonts w:hint="eastAsia" w:ascii="仿宋_GB2312" w:hAnsi="仿宋_GB2312" w:eastAsia="仿宋_GB2312" w:cs="仿宋_GB2312"/>
          <w:color w:val="auto"/>
          <w:spacing w:val="-6"/>
          <w:kern w:val="2"/>
          <w:position w:val="0"/>
          <w:sz w:val="32"/>
          <w:szCs w:val="32"/>
          <w:lang w:val="en-US" w:eastAsia="zh-CN"/>
        </w:rPr>
        <w:t>217</w:t>
      </w:r>
      <w:r>
        <w:rPr>
          <w:rFonts w:hint="eastAsia" w:ascii="仿宋_GB2312" w:hAnsi="仿宋_GB2312" w:eastAsia="仿宋_GB2312" w:cs="仿宋_GB2312"/>
          <w:color w:val="auto"/>
          <w:spacing w:val="-6"/>
          <w:kern w:val="2"/>
          <w:position w:val="0"/>
          <w:sz w:val="32"/>
          <w:szCs w:val="32"/>
        </w:rPr>
        <w:t>线贯穿我乡，存在一定安全隐患，结合路长制工作，加大对辖区内道路安全巡查，</w:t>
      </w:r>
      <w:r>
        <w:rPr>
          <w:rFonts w:hint="eastAsia" w:ascii="仿宋_GB2312" w:hAnsi="仿宋_GB2312" w:eastAsia="仿宋_GB2312" w:cs="仿宋_GB2312"/>
          <w:color w:val="auto"/>
          <w:spacing w:val="-6"/>
          <w:kern w:val="2"/>
          <w:position w:val="0"/>
          <w:sz w:val="32"/>
          <w:szCs w:val="32"/>
          <w:lang w:val="en-US" w:eastAsia="zh-CN"/>
        </w:rPr>
        <w:t>设立交通劝导员6名，农交安APP录入744条，有效劝导村民安全出行。</w:t>
      </w:r>
      <w:r>
        <w:rPr>
          <w:rFonts w:hint="eastAsia" w:ascii="仿宋_GB2312" w:hAnsi="仿宋_GB2312" w:eastAsia="仿宋_GB2312" w:cs="仿宋_GB2312"/>
          <w:color w:val="auto"/>
          <w:spacing w:val="-6"/>
          <w:kern w:val="2"/>
          <w:position w:val="0"/>
          <w:sz w:val="32"/>
          <w:szCs w:val="32"/>
        </w:rPr>
        <w:t>我乡组织</w:t>
      </w:r>
      <w:r>
        <w:rPr>
          <w:rFonts w:hint="eastAsia" w:ascii="仿宋_GB2312" w:hAnsi="仿宋_GB2312" w:eastAsia="仿宋_GB2312" w:cs="仿宋_GB2312"/>
          <w:color w:val="auto"/>
          <w:spacing w:val="-6"/>
          <w:kern w:val="2"/>
          <w:position w:val="0"/>
          <w:sz w:val="32"/>
          <w:szCs w:val="32"/>
          <w:lang w:val="en-US" w:eastAsia="zh-CN"/>
        </w:rPr>
        <w:t>15</w:t>
      </w:r>
      <w:r>
        <w:rPr>
          <w:rFonts w:hint="eastAsia" w:ascii="仿宋_GB2312" w:hAnsi="仿宋_GB2312" w:eastAsia="仿宋_GB2312" w:cs="仿宋_GB2312"/>
          <w:color w:val="auto"/>
          <w:spacing w:val="-6"/>
          <w:kern w:val="2"/>
          <w:position w:val="0"/>
          <w:sz w:val="32"/>
          <w:szCs w:val="32"/>
        </w:rPr>
        <w:t>场宣讲，提高群众道路安全意识及交通法规的认识，严厉打击和惩治车辆乱停乱放现象，对证照不全的依法交由公安交警处理。</w:t>
      </w:r>
    </w:p>
    <w:p>
      <w:pPr>
        <w:ind w:firstLine="640" w:firstLineChars="200"/>
        <w:rPr>
          <w:rFonts w:hint="eastAsia" w:ascii="方正仿宋_GB2312" w:hAnsi="方正仿宋_GB2312" w:eastAsia="黑体" w:cs="方正仿宋_GB2312"/>
          <w:b w:val="0"/>
          <w:bCs/>
          <w:sz w:val="32"/>
          <w:szCs w:val="32"/>
          <w:lang w:val="en-US" w:eastAsia="zh-CN"/>
        </w:rPr>
      </w:pPr>
      <w:r>
        <w:rPr>
          <w:rFonts w:hint="eastAsia" w:ascii="黑体" w:hAnsi="黑体" w:eastAsia="黑体" w:cs="黑体"/>
          <w:b w:val="0"/>
          <w:bCs/>
          <w:sz w:val="32"/>
          <w:szCs w:val="32"/>
          <w:lang w:val="en-US" w:eastAsia="zh-CN"/>
        </w:rPr>
        <w:t>7.</w:t>
      </w:r>
      <w:r>
        <w:rPr>
          <w:rFonts w:hint="eastAsia" w:ascii="黑体" w:hAnsi="黑体" w:eastAsia="黑体" w:cs="黑体"/>
          <w:b w:val="0"/>
          <w:bCs/>
          <w:sz w:val="32"/>
          <w:szCs w:val="32"/>
        </w:rPr>
        <w:t>惠民资金</w:t>
      </w:r>
      <w:r>
        <w:rPr>
          <w:rFonts w:hint="eastAsia" w:ascii="黑体" w:hAnsi="黑体" w:eastAsia="黑体" w:cs="黑体"/>
          <w:b w:val="0"/>
          <w:bCs/>
          <w:sz w:val="32"/>
          <w:szCs w:val="32"/>
          <w:lang w:eastAsia="zh-CN"/>
        </w:rPr>
        <w:t>清理工作</w:t>
      </w:r>
    </w:p>
    <w:p>
      <w:pPr>
        <w:ind w:firstLine="616" w:firstLineChars="200"/>
        <w:rPr>
          <w:rFonts w:hint="eastAsia" w:ascii="仿宋_GB2312" w:hAnsi="仿宋_GB2312" w:eastAsia="仿宋_GB2312" w:cs="仿宋_GB2312"/>
          <w:color w:val="auto"/>
          <w:spacing w:val="-6"/>
          <w:kern w:val="2"/>
          <w:position w:val="0"/>
          <w:sz w:val="32"/>
          <w:szCs w:val="32"/>
          <w:lang w:val="en-US" w:eastAsia="zh-CN"/>
        </w:rPr>
      </w:pPr>
      <w:r>
        <w:rPr>
          <w:rFonts w:hint="eastAsia" w:ascii="仿宋_GB2312" w:hAnsi="仿宋_GB2312" w:eastAsia="仿宋_GB2312" w:cs="仿宋_GB2312"/>
          <w:color w:val="auto"/>
          <w:spacing w:val="-6"/>
          <w:kern w:val="2"/>
          <w:position w:val="0"/>
          <w:sz w:val="32"/>
          <w:szCs w:val="32"/>
          <w:lang w:val="en-US" w:eastAsia="zh-CN"/>
        </w:rPr>
        <w:t>为确保城乡低保“应保尽保、应退尽退”，按照县委、县政府关于开展惠民资金兑现清理清查工作要求，我乡及时组织乡干部在县级联系单位和联系领导的指导监督下，深入全乡6个村居委会，对低保、五保、草补、困难救助金、医保等惠民资金兑现落实情况进行全面清理和自查。</w:t>
      </w:r>
    </w:p>
    <w:p>
      <w:pPr>
        <w:numPr>
          <w:ilvl w:val="0"/>
          <w:numId w:val="0"/>
        </w:num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8.</w:t>
      </w:r>
      <w:r>
        <w:rPr>
          <w:rFonts w:hint="eastAsia" w:ascii="黑体" w:hAnsi="黑体" w:eastAsia="黑体" w:cs="黑体"/>
          <w:b w:val="0"/>
          <w:bCs/>
          <w:sz w:val="32"/>
          <w:szCs w:val="32"/>
          <w:lang w:eastAsia="zh-CN"/>
        </w:rPr>
        <w:t>包虫病防治工作</w:t>
      </w:r>
    </w:p>
    <w:p>
      <w:pPr>
        <w:numPr>
          <w:ilvl w:val="0"/>
          <w:numId w:val="0"/>
        </w:numPr>
        <w:ind w:firstLine="616" w:firstLineChars="200"/>
        <w:rPr>
          <w:rFonts w:hint="eastAsia" w:ascii="仿宋_GB2312" w:hAnsi="仿宋_GB2312" w:eastAsia="仿宋_GB2312" w:cs="仿宋_GB2312"/>
          <w:color w:val="auto"/>
          <w:spacing w:val="-6"/>
          <w:kern w:val="2"/>
          <w:position w:val="0"/>
          <w:sz w:val="32"/>
          <w:szCs w:val="32"/>
          <w:lang w:val="en-US" w:eastAsia="zh-CN"/>
        </w:rPr>
      </w:pPr>
      <w:r>
        <w:rPr>
          <w:rFonts w:hint="eastAsia" w:ascii="仿宋_GB2312" w:hAnsi="仿宋_GB2312" w:eastAsia="仿宋_GB2312" w:cs="仿宋_GB2312"/>
          <w:color w:val="auto"/>
          <w:spacing w:val="-6"/>
          <w:kern w:val="2"/>
          <w:position w:val="0"/>
          <w:sz w:val="32"/>
          <w:szCs w:val="32"/>
          <w:lang w:val="en-US" w:eastAsia="zh-CN"/>
        </w:rPr>
        <w:t>按照我县“两抓、四管、六结合”模式深入开展我乡包虫病综合防治工作。</w:t>
      </w:r>
      <w:r>
        <w:rPr>
          <w:rFonts w:hint="eastAsia" w:ascii="仿宋_GB2312" w:hAnsi="仿宋_GB2312" w:eastAsia="仿宋_GB2312" w:cs="仿宋_GB2312"/>
          <w:b/>
          <w:bCs/>
          <w:color w:val="auto"/>
          <w:spacing w:val="-6"/>
          <w:kern w:val="2"/>
          <w:position w:val="0"/>
          <w:sz w:val="32"/>
          <w:szCs w:val="32"/>
          <w:lang w:val="en-US" w:eastAsia="zh-CN"/>
        </w:rPr>
        <w:t>一是</w:t>
      </w:r>
      <w:r>
        <w:rPr>
          <w:rFonts w:hint="eastAsia" w:ascii="仿宋_GB2312" w:hAnsi="仿宋_GB2312" w:eastAsia="仿宋_GB2312" w:cs="仿宋_GB2312"/>
          <w:color w:val="auto"/>
          <w:spacing w:val="-6"/>
          <w:kern w:val="2"/>
          <w:position w:val="0"/>
          <w:sz w:val="32"/>
          <w:szCs w:val="32"/>
          <w:lang w:val="en-US" w:eastAsia="zh-CN"/>
        </w:rPr>
        <w:t>犬只登记管理。抓住源头管理，严格按照犬只管理政策要求，并按照上级部门制定的《石渠县犬只管理办法》，对家犬实施全面登记管理，并实行家犬“身份证”管理。对各村家犬进行登记造册，实行养犬许可制度；</w:t>
      </w:r>
      <w:r>
        <w:rPr>
          <w:rFonts w:hint="eastAsia" w:ascii="仿宋_GB2312" w:hAnsi="仿宋_GB2312" w:eastAsia="仿宋_GB2312" w:cs="仿宋_GB2312"/>
          <w:b/>
          <w:bCs/>
          <w:color w:val="auto"/>
          <w:spacing w:val="-6"/>
          <w:kern w:val="2"/>
          <w:position w:val="0"/>
          <w:sz w:val="32"/>
          <w:szCs w:val="32"/>
          <w:lang w:val="en-US" w:eastAsia="zh-CN"/>
        </w:rPr>
        <w:t>二是</w:t>
      </w:r>
      <w:r>
        <w:rPr>
          <w:rFonts w:hint="eastAsia" w:ascii="仿宋_GB2312" w:hAnsi="仿宋_GB2312" w:eastAsia="仿宋_GB2312" w:cs="仿宋_GB2312"/>
          <w:color w:val="auto"/>
          <w:spacing w:val="-6"/>
          <w:kern w:val="2"/>
          <w:position w:val="0"/>
          <w:sz w:val="32"/>
          <w:szCs w:val="32"/>
          <w:lang w:val="en-US" w:eastAsia="zh-CN"/>
        </w:rPr>
        <w:t>犬驱虫与犬粪无害化处理。成立了驱虫队伍，强制落实犬只定期驱虫制度，按照县级相关部门的要求，做到“月月驱虫、犬犬投药”，对驱虫后5天内的犬粪做无害化处理，并对犬设进行全面的消毒；并积极配合县级畜牧兽医部门做好犬粪采样工作；</w:t>
      </w:r>
      <w:r>
        <w:rPr>
          <w:rFonts w:hint="eastAsia" w:ascii="仿宋_GB2312" w:hAnsi="仿宋_GB2312" w:eastAsia="仿宋_GB2312" w:cs="仿宋_GB2312"/>
          <w:b/>
          <w:bCs/>
          <w:color w:val="auto"/>
          <w:spacing w:val="-6"/>
          <w:kern w:val="2"/>
          <w:position w:val="0"/>
          <w:sz w:val="32"/>
          <w:szCs w:val="32"/>
          <w:lang w:val="en-US" w:eastAsia="zh-CN"/>
        </w:rPr>
        <w:t>三是</w:t>
      </w:r>
      <w:r>
        <w:rPr>
          <w:rFonts w:hint="eastAsia" w:ascii="仿宋_GB2312" w:hAnsi="仿宋_GB2312" w:eastAsia="仿宋_GB2312" w:cs="仿宋_GB2312"/>
          <w:color w:val="auto"/>
          <w:spacing w:val="-6"/>
          <w:kern w:val="2"/>
          <w:position w:val="0"/>
          <w:sz w:val="32"/>
          <w:szCs w:val="32"/>
          <w:lang w:val="en-US" w:eastAsia="zh-CN"/>
        </w:rPr>
        <w:t>安全饮水。通过相关部门的支持，修建安全饮水项目，很大程度上解决了牧民群众饮水安全、饮水难等问题。定居点包虫病安全饮水已全覆盖；</w:t>
      </w:r>
      <w:r>
        <w:rPr>
          <w:rFonts w:hint="eastAsia" w:ascii="仿宋_GB2312" w:hAnsi="仿宋_GB2312" w:eastAsia="仿宋_GB2312" w:cs="仿宋_GB2312"/>
          <w:b/>
          <w:bCs/>
          <w:color w:val="auto"/>
          <w:spacing w:val="-6"/>
          <w:kern w:val="2"/>
          <w:position w:val="0"/>
          <w:sz w:val="32"/>
          <w:szCs w:val="32"/>
          <w:lang w:val="en-US" w:eastAsia="zh-CN"/>
        </w:rPr>
        <w:t>四是</w:t>
      </w:r>
      <w:r>
        <w:rPr>
          <w:rFonts w:hint="eastAsia" w:ascii="仿宋_GB2312" w:hAnsi="仿宋_GB2312" w:eastAsia="仿宋_GB2312" w:cs="仿宋_GB2312"/>
          <w:color w:val="auto"/>
          <w:spacing w:val="-6"/>
          <w:kern w:val="2"/>
          <w:position w:val="0"/>
          <w:sz w:val="32"/>
          <w:szCs w:val="32"/>
          <w:lang w:val="en-US" w:eastAsia="zh-CN"/>
        </w:rPr>
        <w:t>患者治疗的管理。由书记和乡长为主管、副科级干部包片、一般干部包村、村干部包户的工作制度，配合我乡卫生院对全乡牧民进行包虫病筛查工作；</w:t>
      </w:r>
      <w:r>
        <w:rPr>
          <w:rFonts w:hint="eastAsia" w:ascii="仿宋_GB2312" w:hAnsi="仿宋_GB2312" w:eastAsia="仿宋_GB2312" w:cs="仿宋_GB2312"/>
          <w:b/>
          <w:bCs/>
          <w:color w:val="auto"/>
          <w:spacing w:val="-6"/>
          <w:kern w:val="2"/>
          <w:position w:val="0"/>
          <w:sz w:val="32"/>
          <w:szCs w:val="32"/>
          <w:lang w:val="en-US" w:eastAsia="zh-CN"/>
        </w:rPr>
        <w:t>五是</w:t>
      </w:r>
      <w:r>
        <w:rPr>
          <w:rFonts w:hint="eastAsia" w:ascii="仿宋_GB2312" w:hAnsi="仿宋_GB2312" w:eastAsia="仿宋_GB2312" w:cs="仿宋_GB2312"/>
          <w:color w:val="auto"/>
          <w:spacing w:val="-6"/>
          <w:kern w:val="2"/>
          <w:position w:val="0"/>
          <w:sz w:val="32"/>
          <w:szCs w:val="32"/>
          <w:lang w:val="en-US" w:eastAsia="zh-CN"/>
        </w:rPr>
        <w:t>包虫病防治知识宣传。组织全乡驱虫员、兽医员、乡卫生院，每月15日进行包虫病综合防治知识宣传，并组织牧民群众集中培训学习包虫病综合防治知识。每季度召开群众大会进行宣传，经走村入户形式，进行“七洗一扫”等包虫病相关知识，同时在学校开展包虫病健康教育课、包虫病防治之舞，将预防知识牢记于心，通过小手拉大手给家长普防治知识；</w:t>
      </w:r>
      <w:r>
        <w:rPr>
          <w:rFonts w:hint="eastAsia" w:ascii="仿宋_GB2312" w:hAnsi="仿宋_GB2312" w:eastAsia="仿宋_GB2312" w:cs="仿宋_GB2312"/>
          <w:b/>
          <w:bCs/>
          <w:color w:val="auto"/>
          <w:spacing w:val="-6"/>
          <w:kern w:val="2"/>
          <w:position w:val="0"/>
          <w:sz w:val="32"/>
          <w:szCs w:val="32"/>
          <w:lang w:val="en-US" w:eastAsia="zh-CN"/>
        </w:rPr>
        <w:t>六是</w:t>
      </w:r>
      <w:r>
        <w:rPr>
          <w:rFonts w:hint="eastAsia" w:ascii="仿宋_GB2312" w:hAnsi="仿宋_GB2312" w:eastAsia="仿宋_GB2312" w:cs="仿宋_GB2312"/>
          <w:color w:val="auto"/>
          <w:spacing w:val="-6"/>
          <w:kern w:val="2"/>
          <w:position w:val="0"/>
          <w:sz w:val="32"/>
          <w:szCs w:val="32"/>
          <w:lang w:val="en-US" w:eastAsia="zh-CN"/>
        </w:rPr>
        <w:t>包虫病防治工作办公室打造。县包办给予我乡10万的办公室经费，我乡对办公室进行了里外打造，挂墙展板、存放药物货架、办公电脑等一系列设备，现办公条件及设备设施已完善。</w:t>
      </w:r>
    </w:p>
    <w:p>
      <w:pPr>
        <w:numPr>
          <w:ilvl w:val="0"/>
          <w:numId w:val="0"/>
        </w:num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lang w:eastAsia="zh-CN"/>
        </w:rPr>
        <w:t>加强畜牧业健康发展</w:t>
      </w:r>
    </w:p>
    <w:p>
      <w:pPr>
        <w:numPr>
          <w:ilvl w:val="0"/>
          <w:numId w:val="0"/>
        </w:numPr>
        <w:ind w:firstLine="616" w:firstLineChars="200"/>
        <w:rPr>
          <w:rFonts w:hint="eastAsia" w:ascii="仿宋_GB2312" w:hAnsi="仿宋_GB2312" w:eastAsia="仿宋_GB2312" w:cs="仿宋_GB2312"/>
          <w:color w:val="auto"/>
          <w:spacing w:val="-6"/>
          <w:kern w:val="2"/>
          <w:position w:val="0"/>
          <w:sz w:val="32"/>
          <w:szCs w:val="32"/>
          <w:lang w:val="en-US" w:eastAsia="zh-CN"/>
        </w:rPr>
      </w:pPr>
      <w:r>
        <w:rPr>
          <w:rFonts w:hint="eastAsia" w:ascii="仿宋_GB2312" w:hAnsi="仿宋_GB2312" w:eastAsia="仿宋_GB2312" w:cs="仿宋_GB2312"/>
          <w:color w:val="auto"/>
          <w:spacing w:val="-6"/>
          <w:kern w:val="2"/>
          <w:position w:val="0"/>
          <w:sz w:val="32"/>
          <w:szCs w:val="32"/>
          <w:lang w:val="en-US" w:eastAsia="zh-CN"/>
        </w:rPr>
        <w:t>起坞乡落实牛场搬迁制度，严格按照相关制度和乡规民约，积极组织牧民群众进行牛场搬迁；同时各包村干部和村干部形成核查工作组，深入各村各户详细查看留畜情况，并认真清点牲畜，保证草场产草良性循环。</w:t>
      </w:r>
    </w:p>
    <w:p>
      <w:pPr>
        <w:pageBreakBefore w:val="0"/>
        <w:kinsoku/>
        <w:wordWrap/>
        <w:overflowPunct/>
        <w:topLinePunct w:val="0"/>
        <w:autoSpaceDN/>
        <w:bidi w:val="0"/>
        <w:adjustRightInd/>
        <w:snapToGrid/>
        <w:spacing w:line="510" w:lineRule="exact"/>
        <w:ind w:firstLine="640" w:firstLineChars="200"/>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10.抓实生态环境治理工作</w:t>
      </w:r>
    </w:p>
    <w:p>
      <w:pPr>
        <w:pStyle w:val="14"/>
        <w:pageBreakBefore w:val="0"/>
        <w:widowControl w:val="0"/>
        <w:shd w:val="clear" w:color="auto" w:fill="FFFFFF"/>
        <w:kinsoku/>
        <w:wordWrap/>
        <w:overflowPunct/>
        <w:topLinePunct w:val="0"/>
        <w:autoSpaceDE/>
        <w:autoSpaceDN/>
        <w:bidi w:val="0"/>
        <w:adjustRightInd/>
        <w:snapToGrid/>
        <w:spacing w:beforeAutospacing="0" w:afterAutospacing="0" w:line="510" w:lineRule="exact"/>
        <w:ind w:firstLine="616" w:firstLineChars="200"/>
        <w:textAlignment w:val="auto"/>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color w:val="auto"/>
          <w:spacing w:val="-6"/>
          <w:kern w:val="2"/>
          <w:position w:val="0"/>
          <w:sz w:val="32"/>
          <w:szCs w:val="32"/>
        </w:rPr>
        <w:t>对辖区内水源地保护区进行定期排查，拆除违规搭建厕所</w:t>
      </w:r>
      <w:r>
        <w:rPr>
          <w:rFonts w:hint="eastAsia" w:ascii="仿宋_GB2312" w:hAnsi="仿宋_GB2312" w:eastAsia="仿宋_GB2312" w:cs="仿宋_GB2312"/>
          <w:color w:val="auto"/>
          <w:spacing w:val="-6"/>
          <w:kern w:val="2"/>
          <w:position w:val="0"/>
          <w:sz w:val="32"/>
          <w:szCs w:val="32"/>
          <w:lang w:val="en-US" w:eastAsia="zh-CN"/>
        </w:rPr>
        <w:t>1</w:t>
      </w:r>
      <w:r>
        <w:rPr>
          <w:rFonts w:hint="eastAsia" w:ascii="仿宋_GB2312" w:hAnsi="仿宋_GB2312" w:eastAsia="仿宋_GB2312" w:cs="仿宋_GB2312"/>
          <w:color w:val="auto"/>
          <w:spacing w:val="-6"/>
          <w:kern w:val="2"/>
          <w:position w:val="0"/>
          <w:sz w:val="32"/>
          <w:szCs w:val="32"/>
        </w:rPr>
        <w:t>座，保证水源地清洁环保。结合城乡环境整治工作，与学校、卫生院、村委会、村民、个体户、合作社签订</w:t>
      </w:r>
      <w:r>
        <w:rPr>
          <w:rFonts w:hint="eastAsia" w:ascii="仿宋_GB2312" w:hAnsi="仿宋_GB2312" w:eastAsia="仿宋_GB2312" w:cs="仿宋_GB2312"/>
          <w:color w:val="auto"/>
          <w:spacing w:val="-6"/>
          <w:position w:val="0"/>
          <w:sz w:val="32"/>
          <w:szCs w:val="32"/>
        </w:rPr>
        <w:t>“门前三包”责任书，明确责任人、责任区域，引导个体工商户、村居民整改不规范行为，要求每家每户自行管理好门前卫生履行好责任义务，宣传爱护环境卫生和保护环境的重要性。六个村定期组织村干部、牧民党员等整治辖区内环境卫生，并由乡党委政府及村民对六个村进行评比，对较好的村进行表扬嘉奖，对落后的村进行整改，形成良性竞争，形成自己的青山绿水由自己保护的良好氛围，打造“无垃圾、无污染、无公害”的美丽起坞。</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p>
    <w:p>
      <w:pPr>
        <w:pStyle w:val="4"/>
        <w:rPr>
          <w:rStyle w:val="3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288" w:lineRule="auto"/>
        <w:ind w:firstLine="641"/>
        <w:textAlignment w:val="auto"/>
        <w:rPr>
          <w:rFonts w:hint="eastAsia"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纳入</w:t>
      </w:r>
      <w:r>
        <w:rPr>
          <w:rFonts w:hint="eastAsia" w:ascii="Times New Roman" w:hAnsi="Times New Roman" w:eastAsia="仿宋" w:cs="Times New Roman"/>
          <w:b w:val="0"/>
          <w:i w:val="0"/>
          <w:color w:val="000000"/>
          <w:sz w:val="31"/>
          <w:szCs w:val="31"/>
          <w:shd w:val="clear" w:color="auto" w:fill="FFFFFF"/>
          <w:lang w:val="en-US" w:eastAsia="zh-CN"/>
        </w:rPr>
        <w:t>2021</w:t>
      </w:r>
      <w:r>
        <w:rPr>
          <w:rFonts w:hint="eastAsia" w:ascii="仿宋" w:hAnsi="仿宋" w:eastAsia="仿宋" w:cs="仿宋"/>
          <w:color w:val="000000"/>
          <w:sz w:val="31"/>
          <w:szCs w:val="31"/>
          <w:shd w:val="clear" w:color="auto" w:fill="FFFFFF"/>
        </w:rPr>
        <w:t>年本</w:t>
      </w:r>
      <w:r>
        <w:rPr>
          <w:rFonts w:hint="eastAsia" w:ascii="仿宋" w:hAnsi="仿宋" w:eastAsia="仿宋" w:cs="仿宋"/>
          <w:color w:val="000000"/>
          <w:sz w:val="31"/>
          <w:szCs w:val="31"/>
          <w:shd w:val="clear" w:color="auto" w:fill="FFFFFF"/>
          <w:lang w:eastAsia="zh-CN"/>
        </w:rPr>
        <w:t>部门决算</w:t>
      </w:r>
      <w:r>
        <w:rPr>
          <w:rFonts w:hint="eastAsia" w:ascii="仿宋" w:hAnsi="仿宋" w:eastAsia="仿宋" w:cs="仿宋"/>
          <w:color w:val="000000"/>
          <w:sz w:val="31"/>
          <w:szCs w:val="31"/>
          <w:shd w:val="clear" w:color="auto" w:fill="FFFFFF"/>
        </w:rPr>
        <w:t>编制范围的</w:t>
      </w:r>
      <w:r>
        <w:rPr>
          <w:rFonts w:hint="eastAsia" w:ascii="仿宋" w:hAnsi="仿宋" w:eastAsia="仿宋" w:cs="仿宋"/>
          <w:color w:val="000000"/>
          <w:sz w:val="31"/>
          <w:szCs w:val="31"/>
          <w:shd w:val="clear" w:color="auto" w:fill="FFFFFF"/>
          <w:lang w:eastAsia="zh-CN"/>
        </w:rPr>
        <w:t>部门</w:t>
      </w:r>
      <w:r>
        <w:rPr>
          <w:rFonts w:hint="eastAsia" w:ascii="仿宋" w:hAnsi="仿宋" w:eastAsia="仿宋" w:cs="仿宋"/>
          <w:color w:val="000000"/>
          <w:sz w:val="31"/>
          <w:szCs w:val="31"/>
          <w:shd w:val="clear" w:color="auto" w:fill="FFFFFF"/>
        </w:rPr>
        <w:t>共</w:t>
      </w:r>
      <w:r>
        <w:rPr>
          <w:rFonts w:hint="default" w:ascii="Times New Roman" w:hAnsi="Times New Roman" w:eastAsia="仿宋" w:cs="Times New Roman"/>
          <w:b w:val="0"/>
          <w:i w:val="0"/>
          <w:color w:val="000000"/>
          <w:sz w:val="31"/>
          <w:szCs w:val="31"/>
          <w:shd w:val="clear" w:color="auto" w:fill="FFFFFF"/>
          <w:lang w:val="en-US" w:eastAsia="zh-CN"/>
        </w:rPr>
        <w:t>1</w:t>
      </w:r>
      <w:r>
        <w:rPr>
          <w:rFonts w:hint="eastAsia" w:ascii="仿宋" w:hAnsi="仿宋" w:eastAsia="仿宋" w:cs="仿宋"/>
          <w:color w:val="000000"/>
          <w:sz w:val="31"/>
          <w:szCs w:val="31"/>
          <w:shd w:val="clear" w:color="auto" w:fill="FFFFFF"/>
        </w:rPr>
        <w:t>个</w:t>
      </w:r>
      <w:r>
        <w:rPr>
          <w:rFonts w:hint="eastAsia" w:ascii="仿宋" w:hAnsi="仿宋" w:eastAsia="仿宋" w:cs="仿宋"/>
          <w:color w:val="000000"/>
          <w:sz w:val="31"/>
          <w:szCs w:val="31"/>
          <w:shd w:val="clear" w:color="auto" w:fill="FFFFFF"/>
          <w:lang w:val="en-US" w:eastAsia="zh-CN"/>
        </w:rPr>
        <w:t>一</w:t>
      </w:r>
      <w:r>
        <w:rPr>
          <w:rFonts w:hint="eastAsia" w:ascii="仿宋" w:hAnsi="仿宋" w:eastAsia="仿宋" w:cs="仿宋"/>
          <w:color w:val="000000"/>
          <w:kern w:val="2"/>
          <w:sz w:val="31"/>
          <w:szCs w:val="31"/>
          <w:shd w:val="clear" w:color="auto" w:fill="FFFFFF"/>
        </w:rPr>
        <w:t>级预算</w:t>
      </w:r>
      <w:r>
        <w:rPr>
          <w:rFonts w:hint="eastAsia" w:ascii="仿宋" w:hAnsi="仿宋" w:eastAsia="仿宋" w:cs="仿宋"/>
          <w:color w:val="000000"/>
          <w:sz w:val="31"/>
          <w:szCs w:val="31"/>
          <w:shd w:val="clear" w:color="auto" w:fill="FFFFFF"/>
        </w:rPr>
        <w:t>单位：</w:t>
      </w:r>
    </w:p>
    <w:tbl>
      <w:tblPr>
        <w:tblStyle w:val="1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noWrap w:val="0"/>
            <w:vAlign w:val="center"/>
          </w:tcPr>
          <w:p>
            <w:pPr>
              <w:jc w:val="center"/>
              <w:rPr>
                <w:rFonts w:ascii="黑体" w:eastAsia="黑体"/>
                <w:sz w:val="32"/>
                <w:szCs w:val="32"/>
              </w:rPr>
            </w:pPr>
            <w:r>
              <w:rPr>
                <w:rFonts w:hint="eastAsia" w:ascii="黑体" w:eastAsia="黑体"/>
                <w:sz w:val="32"/>
                <w:szCs w:val="32"/>
              </w:rPr>
              <w:t>序号</w:t>
            </w:r>
          </w:p>
        </w:tc>
        <w:tc>
          <w:tcPr>
            <w:tcW w:w="7278" w:type="dxa"/>
            <w:noWrap w:val="0"/>
            <w:vAlign w:val="center"/>
          </w:tcPr>
          <w:p>
            <w:pPr>
              <w:jc w:val="center"/>
              <w:rPr>
                <w:rFonts w:ascii="黑体" w:eastAsia="黑体"/>
                <w:sz w:val="32"/>
                <w:szCs w:val="32"/>
              </w:rPr>
            </w:pPr>
            <w:r>
              <w:rPr>
                <w:rFonts w:hint="eastAsia" w:asci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1" w:type="dxa"/>
            <w:noWrap w:val="0"/>
            <w:vAlign w:val="center"/>
          </w:tcPr>
          <w:p>
            <w:pPr>
              <w:jc w:val="center"/>
              <w:rPr>
                <w:rFonts w:ascii="??_GB2312" w:hAnsi="??_GB2312" w:cs="??_GB2312"/>
                <w:sz w:val="32"/>
                <w:szCs w:val="32"/>
              </w:rPr>
            </w:pPr>
            <w:r>
              <w:rPr>
                <w:rFonts w:ascii="Times New Roman" w:hAnsi="Times New Roman" w:eastAsia="仿宋" w:cs="Times New Roman"/>
                <w:b w:val="0"/>
                <w:i w:val="0"/>
                <w:color w:val="000000"/>
                <w:sz w:val="31"/>
                <w:szCs w:val="31"/>
                <w:shd w:val="clear" w:color="auto" w:fill="FFFFFF"/>
              </w:rPr>
              <w:t>1</w:t>
            </w:r>
          </w:p>
        </w:tc>
        <w:tc>
          <w:tcPr>
            <w:tcW w:w="727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1875" w:firstLineChars="605"/>
              <w:jc w:val="both"/>
              <w:textAlignment w:val="auto"/>
              <w:rPr>
                <w:rFonts w:hint="default" w:ascii="??_GB2312" w:hAnsi="??_GB2312" w:cs="??_GB2312"/>
                <w:sz w:val="32"/>
                <w:szCs w:val="32"/>
                <w:lang w:val="en-US"/>
              </w:rPr>
            </w:pPr>
            <w:r>
              <w:rPr>
                <w:rFonts w:hint="eastAsia" w:ascii="仿宋" w:hAnsi="仿宋" w:eastAsia="仿宋" w:cs="仿宋"/>
                <w:color w:val="000000"/>
                <w:sz w:val="31"/>
                <w:szCs w:val="31"/>
                <w:shd w:val="clear" w:color="auto" w:fill="FFFFFF"/>
                <w:lang w:val="en-US" w:eastAsia="zh-CN"/>
              </w:rPr>
              <w:t>石渠县起坞乡人民政府</w:t>
            </w:r>
          </w:p>
        </w:tc>
      </w:tr>
    </w:tbl>
    <w:p>
      <w:pPr>
        <w:pStyle w:val="14"/>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_GB2312" w:hAnsi="仿宋" w:eastAsia="仿宋_GB2312" w:cs="Times New Roman"/>
          <w:kern w:val="2"/>
          <w:sz w:val="32"/>
          <w:szCs w:val="32"/>
          <w:lang w:bidi="ar-SA"/>
        </w:rPr>
      </w:pPr>
      <w:r>
        <w:rPr>
          <w:rFonts w:hint="eastAsia" w:ascii="仿宋_GB2312" w:hAnsi="仿宋" w:eastAsia="仿宋_GB2312" w:cs="Times New Roman"/>
          <w:kern w:val="2"/>
          <w:sz w:val="32"/>
          <w:szCs w:val="32"/>
          <w:lang w:bidi="ar-SA"/>
        </w:rPr>
        <w:t>人员情况</w:t>
      </w:r>
    </w:p>
    <w:p>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360" w:lineRule="auto"/>
        <w:ind w:leftChars="200" w:right="0" w:rightChars="0" w:firstLine="640" w:firstLineChars="200"/>
        <w:jc w:val="both"/>
        <w:textAlignment w:val="auto"/>
        <w:rPr>
          <w:rFonts w:hint="default" w:ascii="??_GB2312" w:hAnsi="??_GB2312" w:eastAsia="宋体" w:cs="??_GB2312"/>
          <w:sz w:val="32"/>
          <w:szCs w:val="32"/>
          <w:lang w:val="en-US" w:eastAsia="zh-CN"/>
        </w:rPr>
      </w:pPr>
      <w:r>
        <w:rPr>
          <w:rFonts w:hint="eastAsia" w:ascii="仿宋_GB2312" w:hAnsi="宋体" w:eastAsia="仿宋_GB2312"/>
          <w:sz w:val="32"/>
          <w:szCs w:val="32"/>
        </w:rPr>
        <w:t>石渠县起坞乡人民政府共有编制2</w:t>
      </w:r>
      <w:r>
        <w:rPr>
          <w:rFonts w:hint="eastAsia" w:ascii="仿宋_GB2312" w:hAnsi="宋体" w:eastAsia="仿宋_GB2312"/>
          <w:sz w:val="32"/>
          <w:szCs w:val="32"/>
          <w:lang w:val="en-US" w:eastAsia="zh-CN"/>
        </w:rPr>
        <w:t>2</w:t>
      </w:r>
      <w:r>
        <w:rPr>
          <w:rFonts w:hint="eastAsia" w:ascii="仿宋_GB2312" w:hAnsi="宋体" w:eastAsia="仿宋_GB2312"/>
          <w:sz w:val="32"/>
          <w:szCs w:val="32"/>
        </w:rPr>
        <w:t>人，其中行政编制1</w:t>
      </w:r>
      <w:r>
        <w:rPr>
          <w:rFonts w:hint="eastAsia" w:ascii="仿宋_GB2312" w:hAnsi="宋体" w:eastAsia="仿宋_GB2312"/>
          <w:sz w:val="32"/>
          <w:szCs w:val="32"/>
          <w:lang w:val="en-US" w:eastAsia="zh-CN"/>
        </w:rPr>
        <w:t>6</w:t>
      </w:r>
      <w:r>
        <w:rPr>
          <w:rFonts w:hint="eastAsia" w:ascii="仿宋_GB2312" w:hAnsi="宋体" w:eastAsia="仿宋_GB2312"/>
          <w:sz w:val="32"/>
          <w:szCs w:val="32"/>
        </w:rPr>
        <w:t>人，事业编制6人。实有在职人（行政1</w:t>
      </w:r>
      <w:r>
        <w:rPr>
          <w:rFonts w:hint="eastAsia" w:ascii="仿宋_GB2312" w:hAnsi="宋体" w:eastAsia="仿宋_GB2312"/>
          <w:sz w:val="32"/>
          <w:szCs w:val="32"/>
          <w:lang w:val="en-US" w:eastAsia="zh-CN"/>
        </w:rPr>
        <w:t>6</w:t>
      </w:r>
      <w:r>
        <w:rPr>
          <w:rFonts w:hint="eastAsia" w:ascii="仿宋_GB2312" w:hAnsi="宋体" w:eastAsia="仿宋_GB2312"/>
          <w:sz w:val="32"/>
          <w:szCs w:val="32"/>
        </w:rPr>
        <w:t>人，事业6人）。</w:t>
      </w:r>
      <w:r>
        <w:rPr>
          <w:rFonts w:hint="eastAsia" w:ascii="??_GB2312" w:hAnsi="??_GB2312" w:cs="??_GB2312"/>
          <w:sz w:val="32"/>
          <w:szCs w:val="32"/>
          <w:lang w:val="en-US" w:eastAsia="zh-CN"/>
        </w:rPr>
        <w:t xml:space="preserve">                            </w:t>
      </w:r>
    </w:p>
    <w:tbl>
      <w:tblPr>
        <w:tblStyle w:val="17"/>
        <w:tblpPr w:leftFromText="180" w:rightFromText="180" w:vertAnchor="text" w:horzAnchor="page" w:tblpX="1815" w:tblpY="115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363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noWrap w:val="0"/>
            <w:vAlign w:val="top"/>
          </w:tcPr>
          <w:p>
            <w:pPr>
              <w:rPr>
                <w:rFonts w:hint="eastAsia" w:ascii="仿宋_GB2312" w:eastAsia="仿宋_GB2312"/>
                <w:color w:val="FF0000"/>
                <w:sz w:val="32"/>
                <w:szCs w:val="32"/>
                <w:vertAlign w:val="baseline"/>
                <w:lang w:eastAsia="zh-CN"/>
              </w:rPr>
            </w:pPr>
            <w:bookmarkStart w:id="22" w:name="OLE_LINK1" w:colFirst="0" w:colLast="2"/>
          </w:p>
        </w:tc>
        <w:tc>
          <w:tcPr>
            <w:tcW w:w="36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Times New Roman" w:hAnsi="Times New Roman" w:eastAsia="仿宋" w:cs="仿宋"/>
                <w:b w:val="0"/>
                <w:i w:val="0"/>
                <w:iCs w:val="0"/>
                <w:color w:val="000000"/>
                <w:kern w:val="0"/>
                <w:sz w:val="31"/>
                <w:szCs w:val="28"/>
                <w:u w:val="none"/>
                <w:lang w:val="en-US" w:eastAsia="zh-CN" w:bidi="ar"/>
              </w:rPr>
              <w:t>2020</w:t>
            </w:r>
            <w:r>
              <w:rPr>
                <w:rFonts w:hint="eastAsia" w:ascii="仿宋" w:hAnsi="仿宋" w:eastAsia="仿宋" w:cs="仿宋"/>
                <w:i w:val="0"/>
                <w:iCs w:val="0"/>
                <w:color w:val="000000"/>
                <w:kern w:val="0"/>
                <w:sz w:val="28"/>
                <w:szCs w:val="28"/>
                <w:u w:val="none"/>
                <w:lang w:val="en-US" w:eastAsia="zh-CN" w:bidi="ar"/>
              </w:rPr>
              <w:t>年年末</w:t>
            </w:r>
          </w:p>
        </w:tc>
        <w:tc>
          <w:tcPr>
            <w:tcW w:w="284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Times New Roman" w:hAnsi="Times New Roman" w:eastAsia="仿宋" w:cs="仿宋"/>
                <w:b w:val="0"/>
                <w:i w:val="0"/>
                <w:iCs w:val="0"/>
                <w:color w:val="000000"/>
                <w:kern w:val="0"/>
                <w:sz w:val="31"/>
                <w:szCs w:val="28"/>
                <w:u w:val="none"/>
                <w:lang w:val="en-US" w:eastAsia="zh-CN" w:bidi="ar"/>
              </w:rPr>
              <w:t>2021</w:t>
            </w:r>
            <w:r>
              <w:rPr>
                <w:rFonts w:hint="eastAsia" w:ascii="仿宋" w:hAnsi="仿宋" w:eastAsia="仿宋" w:cs="仿宋"/>
                <w:i w:val="0"/>
                <w:iCs w:val="0"/>
                <w:color w:val="000000"/>
                <w:kern w:val="0"/>
                <w:sz w:val="28"/>
                <w:szCs w:val="28"/>
                <w:u w:val="none"/>
                <w:lang w:val="en-US" w:eastAsia="zh-CN" w:bidi="ar"/>
              </w:rPr>
              <w:t>年年末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noWrap w:val="0"/>
            <w:vAlign w:val="top"/>
          </w:tcPr>
          <w:p>
            <w:pPr>
              <w:jc w:val="center"/>
              <w:rPr>
                <w:rFonts w:hint="eastAsia"/>
                <w:kern w:val="2"/>
                <w:sz w:val="21"/>
                <w:szCs w:val="24"/>
                <w:lang w:val="en-US" w:eastAsia="zh-CN" w:bidi="ar-SA"/>
              </w:rPr>
            </w:pPr>
            <w:r>
              <w:rPr>
                <w:rFonts w:hint="eastAsia" w:ascii="仿宋" w:hAnsi="仿宋" w:eastAsia="仿宋" w:cs="仿宋"/>
                <w:i w:val="0"/>
                <w:iCs w:val="0"/>
                <w:color w:val="000000"/>
                <w:kern w:val="0"/>
                <w:sz w:val="28"/>
                <w:szCs w:val="28"/>
                <w:u w:val="none"/>
                <w:lang w:val="en-US" w:eastAsia="zh-CN" w:bidi="ar"/>
              </w:rPr>
              <w:t>在职人数</w:t>
            </w:r>
          </w:p>
        </w:tc>
        <w:tc>
          <w:tcPr>
            <w:tcW w:w="3632" w:type="dxa"/>
            <w:noWrap w:val="0"/>
            <w:vAlign w:val="center"/>
          </w:tcPr>
          <w:p>
            <w:pPr>
              <w:ind w:firstLine="620" w:firstLineChars="200"/>
              <w:jc w:val="center"/>
              <w:rPr>
                <w:rFonts w:hint="default" w:ascii="宋体" w:hAnsi="宋体" w:eastAsia="宋体" w:cs="宋体"/>
                <w:i w:val="0"/>
                <w:caps w:val="0"/>
                <w:color w:val="000000"/>
                <w:spacing w:val="0"/>
                <w:sz w:val="31"/>
                <w:szCs w:val="31"/>
                <w:shd w:val="clear" w:color="auto" w:fill="FFFFFF"/>
                <w:lang w:val="en-US" w:eastAsia="zh-CN"/>
              </w:rPr>
            </w:pPr>
            <w:r>
              <w:rPr>
                <w:rFonts w:hint="eastAsia" w:ascii="宋体" w:hAnsi="宋体" w:cs="宋体"/>
                <w:i w:val="0"/>
                <w:caps w:val="0"/>
                <w:color w:val="000000"/>
                <w:spacing w:val="0"/>
                <w:sz w:val="31"/>
                <w:szCs w:val="31"/>
                <w:shd w:val="clear" w:color="auto" w:fill="FFFFFF"/>
                <w:lang w:val="en-US" w:eastAsia="zh-CN"/>
              </w:rPr>
              <w:t>19</w:t>
            </w:r>
          </w:p>
        </w:tc>
        <w:tc>
          <w:tcPr>
            <w:tcW w:w="2841" w:type="dxa"/>
            <w:noWrap w:val="0"/>
            <w:vAlign w:val="center"/>
          </w:tcPr>
          <w:p>
            <w:pPr>
              <w:ind w:firstLine="620" w:firstLineChars="200"/>
              <w:jc w:val="center"/>
              <w:rPr>
                <w:rFonts w:hint="default" w:ascii="宋体" w:hAnsi="宋体" w:eastAsia="宋体" w:cs="宋体"/>
                <w:i w:val="0"/>
                <w:caps w:val="0"/>
                <w:color w:val="000000"/>
                <w:spacing w:val="0"/>
                <w:sz w:val="31"/>
                <w:szCs w:val="31"/>
                <w:shd w:val="clear" w:color="auto" w:fill="FFFFFF"/>
                <w:lang w:val="en-US" w:eastAsia="zh-CN"/>
              </w:rPr>
            </w:pPr>
            <w:r>
              <w:rPr>
                <w:rFonts w:hint="eastAsia" w:ascii="宋体" w:hAnsi="宋体" w:cs="宋体"/>
                <w:i w:val="0"/>
                <w:caps w:val="0"/>
                <w:color w:val="000000"/>
                <w:spacing w:val="0"/>
                <w:sz w:val="31"/>
                <w:szCs w:val="31"/>
                <w:shd w:val="clear" w:color="auto" w:fill="FFFFFF"/>
                <w:lang w:val="en-US" w:eastAsia="zh-CN"/>
              </w:rPr>
              <w:t>22</w:t>
            </w:r>
          </w:p>
        </w:tc>
      </w:tr>
      <w:bookmarkEnd w:id="22"/>
    </w:tbl>
    <w:p>
      <w:pPr>
        <w:widowControl/>
        <w:jc w:val="left"/>
        <w:rPr>
          <w:rFonts w:ascii="仿宋" w:hAnsi="仿宋" w:eastAsia="仿宋"/>
          <w:color w:val="auto"/>
          <w:kern w:val="0"/>
          <w:sz w:val="32"/>
          <w:szCs w:val="32"/>
          <w:highlight w:val="none"/>
        </w:rPr>
      </w:pPr>
    </w:p>
    <w:p>
      <w:pPr>
        <w:pStyle w:val="3"/>
        <w:ind w:right="440"/>
        <w:jc w:val="both"/>
        <w:rPr>
          <w:rStyle w:val="29"/>
          <w:rFonts w:ascii="黑体" w:hAnsi="黑体" w:eastAsia="黑体"/>
          <w:b w:val="0"/>
          <w:bCs/>
          <w:color w:val="auto"/>
          <w:highlight w:val="none"/>
        </w:rPr>
      </w:pPr>
      <w:bookmarkStart w:id="23" w:name="_Toc15396602"/>
      <w:bookmarkStart w:id="24"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rPr>
        <w:t>部门决算情况说明</w:t>
      </w:r>
      <w:bookmarkEnd w:id="23"/>
      <w:bookmarkEnd w:id="24"/>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5" w:name="_Toc15377205"/>
      <w:bookmarkStart w:id="26"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35.46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rPr>
        <w:t>今年有人员工资变动，故有人员工资支出的增加。今年增加了基层武装维持经费和乡人大主席工作经费</w:t>
      </w:r>
      <w:r>
        <w:rPr>
          <w:rFonts w:hint="eastAsia" w:ascii="仿宋" w:hAnsi="仿宋" w:eastAsia="仿宋"/>
          <w:color w:val="000000"/>
          <w:sz w:val="32"/>
          <w:szCs w:val="32"/>
          <w:lang w:eastAsia="zh-CN"/>
        </w:rPr>
        <w:t>。</w:t>
      </w:r>
    </w:p>
    <w:p>
      <w:pPr>
        <w:spacing w:line="600" w:lineRule="exact"/>
        <w:ind w:firstLine="640" w:firstLineChars="200"/>
        <w:jc w:val="left"/>
        <w:rPr>
          <w:rFonts w:ascii="仿宋_GB2312" w:eastAsia="仿宋_GB2312"/>
          <w:color w:val="auto"/>
          <w:sz w:val="32"/>
          <w:szCs w:val="32"/>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7" w:name="_Toc15396604"/>
      <w:bookmarkStart w:id="28"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7"/>
      <w:bookmarkEnd w:id="28"/>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9" w:name="_Toc15396605"/>
      <w:bookmarkStart w:id="30"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9"/>
      <w:bookmarkEnd w:id="30"/>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rPr>
        <w:t>合计</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万元，其中：一一般公共服务支出</w:t>
      </w:r>
      <w:r>
        <w:rPr>
          <w:rFonts w:hint="eastAsia" w:ascii="仿宋" w:hAnsi="仿宋" w:eastAsia="仿宋"/>
          <w:color w:val="auto"/>
          <w:sz w:val="32"/>
          <w:szCs w:val="32"/>
          <w:highlight w:val="none"/>
          <w:lang w:val="en-US" w:eastAsia="zh-CN"/>
        </w:rPr>
        <w:t>427.96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68.94</w:t>
      </w:r>
      <w:r>
        <w:rPr>
          <w:rFonts w:ascii="仿宋" w:hAnsi="仿宋" w:eastAsia="仿宋"/>
          <w:color w:val="auto"/>
          <w:sz w:val="32"/>
          <w:szCs w:val="32"/>
          <w:highlight w:val="none"/>
        </w:rPr>
        <w:t>%</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61.71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卫生健康支出</w:t>
      </w:r>
      <w:r>
        <w:rPr>
          <w:rFonts w:hint="eastAsia" w:ascii="仿宋" w:hAnsi="仿宋" w:eastAsia="仿宋"/>
          <w:color w:val="auto"/>
          <w:sz w:val="32"/>
          <w:szCs w:val="32"/>
          <w:highlight w:val="none"/>
          <w:lang w:val="en-US" w:eastAsia="zh-CN"/>
        </w:rPr>
        <w:t>22.73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3.66</w:t>
      </w:r>
      <w:r>
        <w:rPr>
          <w:rFonts w:ascii="仿宋" w:hAnsi="仿宋" w:eastAsia="仿宋"/>
          <w:color w:val="auto"/>
          <w:sz w:val="32"/>
          <w:szCs w:val="32"/>
          <w:highlight w:val="none"/>
        </w:rPr>
        <w:t>%</w:t>
      </w:r>
      <w:r>
        <w:rPr>
          <w:rFonts w:hint="eastAsia" w:ascii="仿宋" w:hAnsi="仿宋" w:eastAsia="仿宋"/>
          <w:color w:val="auto"/>
          <w:sz w:val="32"/>
          <w:szCs w:val="32"/>
          <w:highlight w:val="none"/>
        </w:rPr>
        <w:t>；农林水支出</w:t>
      </w:r>
      <w:r>
        <w:rPr>
          <w:rFonts w:hint="eastAsia" w:ascii="仿宋" w:hAnsi="仿宋" w:eastAsia="仿宋"/>
          <w:color w:val="auto"/>
          <w:sz w:val="32"/>
          <w:szCs w:val="32"/>
          <w:highlight w:val="none"/>
          <w:lang w:val="en-US" w:eastAsia="zh-CN"/>
        </w:rPr>
        <w:t>66.00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10.63</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42.34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_GB2312" w:eastAsia="仿宋_GB2312"/>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pPr>
        <w:spacing w:line="600" w:lineRule="exact"/>
        <w:ind w:firstLine="640" w:firstLineChars="200"/>
        <w:outlineLvl w:val="1"/>
        <w:rPr>
          <w:rStyle w:val="30"/>
          <w:rFonts w:ascii="黑体" w:hAnsi="黑体" w:eastAsia="黑体"/>
          <w:b w:val="0"/>
          <w:color w:val="auto"/>
          <w:highlight w:val="none"/>
        </w:rPr>
      </w:pPr>
      <w:bookmarkStart w:id="31" w:name="_Toc15377208"/>
      <w:bookmarkStart w:id="32"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1"/>
      <w:bookmarkEnd w:id="32"/>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35.46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rPr>
        <w:t>今年有人员工资变动，故有人员工资支出的增加。今年增加了基层武装维持经费和乡人大主席工作经费。</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rPr>
          <w:rFonts w:ascii="仿宋" w:hAnsi="仿宋" w:eastAsia="仿宋"/>
          <w:b/>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33" w:name="_Toc15377209"/>
      <w:bookmarkStart w:id="34"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3"/>
      <w:bookmarkEnd w:id="34"/>
    </w:p>
    <w:p>
      <w:pPr>
        <w:spacing w:line="600" w:lineRule="exact"/>
        <w:ind w:firstLine="643" w:firstLineChars="200"/>
        <w:outlineLvl w:val="2"/>
        <w:rPr>
          <w:rFonts w:ascii="仿宋" w:hAnsi="仿宋" w:eastAsia="仿宋"/>
          <w:b/>
          <w:color w:val="auto"/>
          <w:sz w:val="32"/>
          <w:szCs w:val="32"/>
          <w:highlight w:val="none"/>
        </w:rPr>
      </w:pPr>
      <w:bookmarkStart w:id="35" w:name="_Toc15377210"/>
      <w:r>
        <w:rPr>
          <w:rFonts w:hint="eastAsia" w:ascii="仿宋" w:hAnsi="仿宋" w:eastAsia="仿宋"/>
          <w:b/>
          <w:color w:val="auto"/>
          <w:sz w:val="32"/>
          <w:szCs w:val="32"/>
          <w:highlight w:val="none"/>
        </w:rPr>
        <w:t>（一）一般公共预算财政拨款支出决算总体情况</w:t>
      </w:r>
      <w:bookmarkEnd w:id="35"/>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620.74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35.46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rPr>
        <w:t>今年有人员工资变动，故有人员工资支出的增加。今年增加了基层武装维持经费和乡人大主席工作经费。</w:t>
      </w:r>
    </w:p>
    <w:p>
      <w:pPr>
        <w:spacing w:line="600" w:lineRule="exact"/>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6" w:name="_Toc15377211"/>
      <w:r>
        <w:rPr>
          <w:rFonts w:hint="eastAsia" w:ascii="仿宋" w:hAnsi="仿宋" w:eastAsia="仿宋"/>
          <w:b/>
          <w:color w:val="auto"/>
          <w:sz w:val="32"/>
          <w:szCs w:val="32"/>
          <w:highlight w:val="none"/>
        </w:rPr>
        <w:t>（二）一般公共预算财政拨款支出决算结构情况</w:t>
      </w:r>
      <w:bookmarkEnd w:id="36"/>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620.74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427.96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68.94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61.71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9.94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22.73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42.34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6.82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66.00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pPr>
        <w:spacing w:line="600" w:lineRule="exact"/>
        <w:ind w:firstLine="643" w:firstLineChars="200"/>
        <w:outlineLvl w:val="2"/>
        <w:rPr>
          <w:rFonts w:ascii="仿宋" w:hAnsi="仿宋" w:eastAsia="仿宋"/>
          <w:b/>
          <w:color w:val="auto"/>
          <w:sz w:val="32"/>
          <w:szCs w:val="32"/>
          <w:highlight w:val="none"/>
        </w:rPr>
      </w:pPr>
      <w:bookmarkStart w:id="37" w:name="_Toc15377212"/>
      <w:r>
        <w:rPr>
          <w:rFonts w:hint="eastAsia" w:ascii="仿宋" w:hAnsi="仿宋" w:eastAsia="仿宋"/>
          <w:b/>
          <w:color w:val="auto"/>
          <w:sz w:val="32"/>
          <w:szCs w:val="32"/>
          <w:highlight w:val="none"/>
        </w:rPr>
        <w:t>（三）一般公共预算财政拨款支出决算具体情况</w:t>
      </w:r>
      <w:bookmarkEnd w:id="37"/>
    </w:p>
    <w:p>
      <w:pPr>
        <w:spacing w:line="600" w:lineRule="exact"/>
        <w:ind w:firstLine="643" w:firstLineChars="200"/>
        <w:outlineLvl w:val="2"/>
        <w:rPr>
          <w:rFonts w:ascii="仿宋" w:hAnsi="仿宋" w:eastAsia="仿宋"/>
          <w:color w:val="auto"/>
          <w:sz w:val="32"/>
          <w:szCs w:val="32"/>
          <w:highlight w:val="none"/>
        </w:rPr>
      </w:pPr>
      <w:bookmarkStart w:id="38" w:name="_Toc15378460"/>
      <w:bookmarkStart w:id="39" w:name="_Toc15377213"/>
      <w:bookmarkStart w:id="40"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620.74万元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8"/>
      <w:bookmarkEnd w:id="39"/>
      <w:bookmarkEnd w:id="40"/>
    </w:p>
    <w:p>
      <w:pPr>
        <w:numPr>
          <w:ilvl w:val="0"/>
          <w:numId w:val="3"/>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rPr>
        <w:t>一般公共服务（类）政府办公厅（室）及相关机构事务（款）行政运行（项）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427.96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numPr>
          <w:ilvl w:val="0"/>
          <w:numId w:val="3"/>
        </w:num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rPr>
        <w:t>一般公共服务（类）政府办公厅（室）及相关机构事务（款）其他政府办公厅（室）及相关机构事务支出（项）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3.00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  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37.58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19.01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社会保障和就业（类）残疾人事业（款）其他残疾人事业支出（项）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13.41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（类）行政事业单位医疗（款）事业单位医疗（项）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4.34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（类）行政事业单位医疗（款）公务员医疗补助（项）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4.98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农林水支出</w:t>
      </w:r>
      <w:r>
        <w:rPr>
          <w:rStyle w:val="19"/>
          <w:rFonts w:hint="eastAsia" w:ascii="仿宋" w:hAnsi="仿宋" w:eastAsia="仿宋"/>
          <w:bCs/>
          <w:color w:val="auto"/>
          <w:sz w:val="32"/>
          <w:szCs w:val="32"/>
          <w:highlight w:val="none"/>
        </w:rPr>
        <w:t>（类）农村综合改革（款）对村民委员会和村党支部的补助（项）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66.00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pPr>
      <w:r>
        <w:rPr>
          <w:rStyle w:val="19"/>
          <w:rFonts w:hint="eastAsia" w:ascii="仿宋" w:hAnsi="仿宋" w:eastAsia="仿宋"/>
          <w:bCs/>
          <w:color w:val="auto"/>
          <w:sz w:val="32"/>
          <w:szCs w:val="32"/>
          <w:highlight w:val="none"/>
          <w:lang w:val="en-US" w:eastAsia="zh-CN"/>
        </w:rPr>
        <w:t>10</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（类）住房改革支出（款）住房公积金（项）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42.34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30"/>
          <w:color w:val="auto"/>
          <w:highlight w:val="none"/>
        </w:rPr>
      </w:pPr>
      <w:bookmarkStart w:id="41" w:name="_Toc15396608"/>
      <w:bookmarkStart w:id="4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41"/>
      <w:bookmarkEnd w:id="42"/>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551.74</w:t>
      </w:r>
      <w:r>
        <w:rPr>
          <w:rFonts w:hint="eastAsia" w:ascii="仿宋" w:hAnsi="仿宋" w:eastAsia="仿宋"/>
          <w:color w:val="auto"/>
          <w:sz w:val="32"/>
          <w:szCs w:val="32"/>
          <w:highlight w:val="none"/>
        </w:rPr>
        <w:t>万元，其中：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left="15" w:right="0" w:firstLine="690"/>
        <w:jc w:val="left"/>
        <w:rPr>
          <w:rFonts w:hint="eastAsia" w:ascii="仿宋" w:hAnsi="仿宋" w:eastAsia="仿宋" w:cs="仿宋"/>
          <w:color w:val="000000"/>
          <w:kern w:val="2"/>
          <w:sz w:val="31"/>
          <w:szCs w:val="31"/>
          <w:shd w:val="clear" w:color="auto" w:fill="FFFFFF"/>
        </w:rPr>
      </w:pPr>
      <w:r>
        <w:rPr>
          <w:rFonts w:hint="eastAsia" w:ascii="仿宋" w:hAnsi="仿宋" w:eastAsia="仿宋" w:cs="仿宋"/>
          <w:i w:val="0"/>
          <w:caps w:val="0"/>
          <w:color w:val="000000"/>
          <w:spacing w:val="0"/>
          <w:kern w:val="2"/>
          <w:sz w:val="31"/>
          <w:szCs w:val="31"/>
          <w:u w:val="none"/>
          <w:shd w:val="clear" w:color="auto" w:fill="FFFFFF"/>
          <w:lang w:val="en-US" w:eastAsia="zh-CN" w:bidi="ar-SA"/>
        </w:rPr>
        <w:t>人员经费</w:t>
      </w:r>
      <w:r>
        <w:rPr>
          <w:rFonts w:hint="eastAsia" w:ascii="仿宋" w:hAnsi="仿宋" w:eastAsia="仿宋" w:cs="仿宋"/>
          <w:i w:val="0"/>
          <w:caps w:val="0"/>
          <w:color w:val="000000"/>
          <w:spacing w:val="0"/>
          <w:kern w:val="2"/>
          <w:sz w:val="31"/>
          <w:szCs w:val="31"/>
          <w:highlight w:val="none"/>
          <w:u w:val="none"/>
          <w:shd w:val="clear" w:color="auto" w:fill="FFFFFF"/>
          <w:lang w:val="en-US" w:eastAsia="zh-CN" w:bidi="ar-SA"/>
        </w:rPr>
        <w:t>399.37</w:t>
      </w:r>
      <w:r>
        <w:rPr>
          <w:rFonts w:hint="eastAsia" w:ascii="仿宋" w:hAnsi="仿宋" w:eastAsia="仿宋" w:cs="仿宋"/>
          <w:i w:val="0"/>
          <w:caps w:val="0"/>
          <w:color w:val="000000"/>
          <w:spacing w:val="0"/>
          <w:kern w:val="2"/>
          <w:sz w:val="31"/>
          <w:szCs w:val="31"/>
          <w:u w:val="none"/>
          <w:shd w:val="clear" w:color="auto" w:fill="FFFFFF"/>
          <w:lang w:val="en-US" w:eastAsia="zh-CN" w:bidi="ar-SA"/>
        </w:rPr>
        <w:t>万元，主要包括（单位支出涉及的款级科目）基本工资53.52万元、津贴补贴168.33万元、奖金48.00万元、伙食补助费0.00万元、绩效工资0.00万元、机关事业单位基本养老保险缴费37.58万元、职业年金缴费19.01万元、行政单位医疗保险缴费13.41万元、事业单位医疗保险缴费4.34万元、公务员医疗补助缴费17.15万元、其他社会保障缴费5.12万元、住房公积金42.34万元、医疗费0.00万元、其他工资福利支出2.94万元;对个人和家庭的补助133.56万元。</w:t>
      </w:r>
      <w:bookmarkStart w:id="58" w:name="_GoBack"/>
      <w:bookmarkEnd w:id="58"/>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left="15" w:right="0" w:firstLine="690"/>
        <w:jc w:val="left"/>
        <w:rPr>
          <w:rFonts w:hint="eastAsia" w:ascii="仿宋" w:hAnsi="仿宋" w:eastAsia="仿宋" w:cs="仿宋"/>
          <w:i w:val="0"/>
          <w:caps w:val="0"/>
          <w:color w:val="000000"/>
          <w:spacing w:val="0"/>
          <w:kern w:val="2"/>
          <w:sz w:val="31"/>
          <w:szCs w:val="31"/>
          <w:u w:val="none"/>
          <w:shd w:val="clear" w:color="auto" w:fill="FFFFFF"/>
          <w:lang w:val="en-US" w:eastAsia="zh-CN" w:bidi="ar-SA"/>
        </w:rPr>
      </w:pPr>
      <w:r>
        <w:rPr>
          <w:rFonts w:hint="eastAsia" w:ascii="仿宋" w:hAnsi="仿宋" w:eastAsia="仿宋" w:cs="仿宋"/>
          <w:i w:val="0"/>
          <w:caps w:val="0"/>
          <w:color w:val="000000"/>
          <w:spacing w:val="0"/>
          <w:kern w:val="2"/>
          <w:sz w:val="31"/>
          <w:szCs w:val="31"/>
          <w:u w:val="none"/>
          <w:shd w:val="clear" w:color="auto" w:fill="FFFFFF"/>
          <w:lang w:val="en-US" w:eastAsia="zh-CN" w:bidi="ar-SA"/>
        </w:rPr>
        <w:t>公用经费</w:t>
      </w:r>
      <w:r>
        <w:rPr>
          <w:rFonts w:hint="eastAsia" w:ascii="仿宋" w:hAnsi="仿宋" w:eastAsia="仿宋" w:cs="仿宋"/>
          <w:i w:val="0"/>
          <w:caps w:val="0"/>
          <w:color w:val="000000"/>
          <w:spacing w:val="0"/>
          <w:kern w:val="2"/>
          <w:sz w:val="31"/>
          <w:szCs w:val="31"/>
          <w:highlight w:val="none"/>
          <w:u w:val="none"/>
          <w:shd w:val="clear" w:color="auto" w:fill="FFFFFF"/>
          <w:lang w:val="en-US" w:eastAsia="zh-CN" w:bidi="ar-SA"/>
        </w:rPr>
        <w:t>18.81</w:t>
      </w:r>
      <w:r>
        <w:rPr>
          <w:rFonts w:hint="eastAsia" w:ascii="仿宋" w:hAnsi="仿宋" w:eastAsia="仿宋" w:cs="仿宋"/>
          <w:i w:val="0"/>
          <w:caps w:val="0"/>
          <w:color w:val="000000"/>
          <w:spacing w:val="0"/>
          <w:kern w:val="2"/>
          <w:sz w:val="31"/>
          <w:szCs w:val="31"/>
          <w:u w:val="none"/>
          <w:shd w:val="clear" w:color="auto" w:fill="FFFFFF"/>
          <w:lang w:val="en-US" w:eastAsia="zh-CN" w:bidi="ar-SA"/>
        </w:rPr>
        <w:t>万元，主要包括（单位支出涉及的款级科目）主要包括办公费32.18万元、印刷费23.05万元、咨询费0.00万元、手续费0.00万元、水费0.00万元、电费19.96万元、邮电费1.08万元、取暖费4.31万元、物业管理费0.00万元、差旅费3.46万元、因公出国（境）费用0.00万元、维修（护）费0。24万元、租赁费0.00万元、会议费0.00万元、培训费0.00万元、公务接待费0.40万元、专用材料费0.00万元、被装购置费0.00万元、专用燃料费0.00万元、劳务费0.00万元、委托业务费0.00万元、工会经费0.00万元、福利费0.00万元、公务用车运行维护费2.62万元、其他交通费用0.00万元、税金及附加费用0.00万元、其他商品和服务支出0.52万元。</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0"/>
          <w:rFonts w:ascii="黑体" w:hAnsi="黑体" w:eastAsia="黑体"/>
          <w:b w:val="0"/>
          <w:color w:val="auto"/>
          <w:highlight w:val="none"/>
        </w:rPr>
      </w:pPr>
      <w:bookmarkStart w:id="43" w:name="_Toc15396609"/>
      <w:bookmarkStart w:id="44" w:name="_Toc15377215"/>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43"/>
      <w:bookmarkEnd w:id="44"/>
    </w:p>
    <w:p>
      <w:pPr>
        <w:spacing w:line="600" w:lineRule="exact"/>
        <w:ind w:firstLine="640"/>
        <w:outlineLvl w:val="2"/>
        <w:rPr>
          <w:rFonts w:ascii="仿宋" w:hAnsi="仿宋" w:eastAsia="仿宋"/>
          <w:b/>
          <w:color w:val="auto"/>
          <w:sz w:val="32"/>
          <w:szCs w:val="32"/>
          <w:highlight w:val="none"/>
        </w:rPr>
      </w:pPr>
      <w:bookmarkStart w:id="45" w:name="_Toc15377216"/>
      <w:r>
        <w:rPr>
          <w:rFonts w:hint="eastAsia" w:ascii="仿宋" w:hAnsi="仿宋" w:eastAsia="仿宋"/>
          <w:b/>
          <w:color w:val="auto"/>
          <w:sz w:val="32"/>
          <w:szCs w:val="32"/>
          <w:highlight w:val="none"/>
        </w:rPr>
        <w:t>（一）“三公”经费财政拨款支出决算总体情况说明</w:t>
      </w:r>
      <w:bookmarkEnd w:id="4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3.01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与</w:t>
      </w:r>
      <w:r>
        <w:rPr>
          <w:rFonts w:hint="eastAsia" w:ascii="仿宋" w:hAnsi="仿宋" w:eastAsia="仿宋"/>
          <w:color w:val="000000"/>
          <w:sz w:val="32"/>
          <w:szCs w:val="32"/>
        </w:rPr>
        <w:t>预算数</w:t>
      </w:r>
      <w:r>
        <w:rPr>
          <w:rFonts w:hint="eastAsia" w:ascii="仿宋" w:hAnsi="仿宋" w:eastAsia="仿宋"/>
          <w:color w:val="000000"/>
          <w:sz w:val="32"/>
          <w:szCs w:val="32"/>
          <w:lang w:val="en-US" w:eastAsia="zh-CN"/>
        </w:rPr>
        <w:t>持平</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（注：上述“预算”口径为调整预算数。）</w:t>
      </w:r>
    </w:p>
    <w:p>
      <w:pPr>
        <w:spacing w:line="600" w:lineRule="exact"/>
        <w:ind w:firstLine="640"/>
        <w:outlineLvl w:val="2"/>
        <w:rPr>
          <w:rFonts w:ascii="仿宋" w:hAnsi="仿宋" w:eastAsia="仿宋"/>
          <w:b/>
          <w:color w:val="auto"/>
          <w:sz w:val="32"/>
          <w:szCs w:val="32"/>
          <w:highlight w:val="none"/>
        </w:rPr>
      </w:pPr>
      <w:bookmarkStart w:id="46" w:name="_Toc15377217"/>
      <w:r>
        <w:rPr>
          <w:rFonts w:hint="eastAsia" w:ascii="仿宋" w:hAnsi="仿宋" w:eastAsia="仿宋"/>
          <w:b/>
          <w:color w:val="auto"/>
          <w:sz w:val="32"/>
          <w:szCs w:val="32"/>
          <w:highlight w:val="none"/>
        </w:rPr>
        <w:t>（二）“三公”经费财政拨款支出决算具体情况说明</w:t>
      </w:r>
      <w:bookmarkEnd w:id="46"/>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0.00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2.62</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bCs/>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2.62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乡村振兴、走访慰问、防灾救灾、治安维稳、调查民情所需的公务用车</w:t>
      </w:r>
      <w:r>
        <w:rPr>
          <w:rFonts w:hint="eastAsia" w:ascii="仿宋" w:hAnsi="仿宋" w:eastAsia="仿宋" w:cs="仿宋"/>
          <w:i w:val="0"/>
          <w:caps w:val="0"/>
          <w:color w:val="000000"/>
          <w:spacing w:val="0"/>
          <w:kern w:val="2"/>
          <w:sz w:val="31"/>
          <w:szCs w:val="31"/>
          <w:u w:val="none"/>
          <w:shd w:val="clear" w:color="auto" w:fill="FFFFFF"/>
          <w:lang w:val="en-US" w:eastAsia="zh-CN" w:bidi="ar-SA"/>
        </w:rPr>
        <w:t>燃料费、维修费、过路过桥费、保险费等支出</w:t>
      </w:r>
      <w:r>
        <w:rPr>
          <w:rFonts w:hint="eastAsia" w:ascii="仿宋_GB2312" w:eastAsia="仿宋_GB2312"/>
          <w:color w:val="000000"/>
          <w:sz w:val="32"/>
          <w:szCs w:val="32"/>
        </w:rPr>
        <w:t>。</w:t>
      </w:r>
    </w:p>
    <w:p>
      <w:pPr>
        <w:numPr>
          <w:ilvl w:val="0"/>
          <w:numId w:val="4"/>
        </w:numPr>
        <w:spacing w:line="600" w:lineRule="exact"/>
        <w:ind w:firstLine="640"/>
        <w:outlineLvl w:val="1"/>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0.40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bookmarkStart w:id="47" w:name="_Toc15396610"/>
      <w:bookmarkStart w:id="48" w:name="_Toc15377218"/>
    </w:p>
    <w:p>
      <w:pPr>
        <w:numPr>
          <w:ilvl w:val="0"/>
          <w:numId w:val="0"/>
        </w:numPr>
        <w:spacing w:line="600" w:lineRule="exact"/>
        <w:ind w:firstLine="640" w:firstLineChars="20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7"/>
      <w:bookmarkEnd w:id="4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5"/>
        </w:numPr>
        <w:spacing w:line="600" w:lineRule="exact"/>
        <w:ind w:firstLine="640"/>
        <w:outlineLvl w:val="1"/>
        <w:rPr>
          <w:rStyle w:val="30"/>
          <w:rFonts w:ascii="黑体" w:hAnsi="黑体" w:eastAsia="黑体"/>
          <w:b w:val="0"/>
          <w:color w:val="auto"/>
          <w:highlight w:val="none"/>
        </w:rPr>
      </w:pPr>
      <w:bookmarkStart w:id="49" w:name="_Toc15377219"/>
      <w:bookmarkStart w:id="50" w:name="_Toc15396611"/>
      <w:r>
        <w:rPr>
          <w:rStyle w:val="30"/>
          <w:rFonts w:hint="eastAsia" w:ascii="黑体" w:hAnsi="黑体" w:eastAsia="黑体"/>
          <w:b w:val="0"/>
          <w:color w:val="auto"/>
          <w:highlight w:val="none"/>
        </w:rPr>
        <w:t>国有资本经营预算支出决算情况说明</w:t>
      </w:r>
      <w:bookmarkEnd w:id="49"/>
      <w:bookmarkEnd w:id="5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5"/>
        </w:numPr>
        <w:spacing w:line="600" w:lineRule="exact"/>
        <w:ind w:firstLine="640"/>
        <w:outlineLvl w:val="1"/>
        <w:rPr>
          <w:rStyle w:val="30"/>
          <w:rFonts w:hint="eastAsia" w:ascii="黑体" w:hAnsi="黑体" w:eastAsia="黑体"/>
          <w:b w:val="0"/>
          <w:color w:val="auto"/>
          <w:highlight w:val="none"/>
        </w:rPr>
      </w:pPr>
      <w:bookmarkStart w:id="51" w:name="_Toc15377221"/>
      <w:bookmarkStart w:id="52" w:name="_Toc15396612"/>
      <w:r>
        <w:rPr>
          <w:rStyle w:val="30"/>
          <w:rFonts w:hint="eastAsia" w:ascii="黑体" w:hAnsi="黑体" w:eastAsia="黑体"/>
          <w:b w:val="0"/>
          <w:color w:val="auto"/>
          <w:highlight w:val="none"/>
        </w:rPr>
        <w:t>其他重要事项的情况说明</w:t>
      </w:r>
      <w:bookmarkEnd w:id="51"/>
      <w:bookmarkEnd w:id="52"/>
    </w:p>
    <w:p>
      <w:pPr>
        <w:spacing w:line="600" w:lineRule="exact"/>
        <w:ind w:firstLine="643" w:firstLineChars="200"/>
        <w:outlineLvl w:val="2"/>
        <w:rPr>
          <w:rFonts w:ascii="仿宋" w:hAnsi="仿宋" w:eastAsia="仿宋"/>
          <w:color w:val="auto"/>
          <w:sz w:val="32"/>
          <w:szCs w:val="32"/>
          <w:highlight w:val="none"/>
        </w:rPr>
      </w:pPr>
      <w:bookmarkStart w:id="53" w:name="_Toc15377222"/>
      <w:r>
        <w:rPr>
          <w:rFonts w:hint="eastAsia" w:ascii="仿宋" w:hAnsi="仿宋" w:eastAsia="仿宋"/>
          <w:b/>
          <w:color w:val="auto"/>
          <w:sz w:val="32"/>
          <w:szCs w:val="32"/>
          <w:highlight w:val="none"/>
        </w:rPr>
        <w:t>（一）机关运行经费支出情况</w:t>
      </w:r>
      <w:bookmarkEnd w:id="53"/>
    </w:p>
    <w:p>
      <w:pPr>
        <w:spacing w:line="600" w:lineRule="exact"/>
        <w:ind w:firstLine="640" w:firstLineChars="200"/>
        <w:rPr>
          <w:rFonts w:hint="eastAsia" w:ascii="仿宋_GB2312" w:eastAsia="仿宋"/>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hAnsi="宋体" w:eastAsia="仿宋_GB2312"/>
          <w:sz w:val="32"/>
          <w:szCs w:val="32"/>
        </w:rPr>
        <w:t>石渠县起坞乡人民政府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18.81</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4.15</w:t>
      </w:r>
      <w:r>
        <w:rPr>
          <w:rFonts w:hint="eastAsia" w:ascii="仿宋_GB2312" w:eastAsia="仿宋_GB2312"/>
          <w:color w:val="000000"/>
          <w:sz w:val="32"/>
          <w:szCs w:val="32"/>
        </w:rPr>
        <w:t>万元，减少</w:t>
      </w:r>
      <w:r>
        <w:rPr>
          <w:rFonts w:hint="eastAsia" w:ascii="仿宋_GB2312" w:eastAsia="仿宋_GB2312"/>
          <w:color w:val="000000"/>
          <w:sz w:val="32"/>
          <w:szCs w:val="32"/>
          <w:lang w:val="en-US" w:eastAsia="zh-CN"/>
        </w:rPr>
        <w:t>18.09</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 w:hAnsi="仿宋" w:eastAsia="仿宋"/>
          <w:color w:val="000000"/>
          <w:sz w:val="32"/>
          <w:szCs w:val="32"/>
        </w:rPr>
        <w:t>今年公务运行开支减少及三公经费的减少</w:t>
      </w:r>
      <w:r>
        <w:rPr>
          <w:rFonts w:hint="eastAsia" w:ascii="仿宋" w:hAnsi="仿宋" w:eastAsia="仿宋"/>
          <w:color w:val="000000"/>
          <w:sz w:val="32"/>
          <w:szCs w:val="32"/>
          <w:lang w:eastAsia="zh-CN"/>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3"/>
      <w:r>
        <w:rPr>
          <w:rFonts w:hint="eastAsia" w:ascii="仿宋" w:hAnsi="仿宋" w:eastAsia="仿宋"/>
          <w:b/>
          <w:color w:val="auto"/>
          <w:sz w:val="32"/>
          <w:szCs w:val="32"/>
          <w:highlight w:val="none"/>
        </w:rPr>
        <w:t>（二）政府采购支出情况</w:t>
      </w:r>
      <w:bookmarkEnd w:id="54"/>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宋体" w:eastAsia="仿宋_GB2312"/>
          <w:sz w:val="32"/>
          <w:szCs w:val="32"/>
        </w:rPr>
        <w:t>石渠县起坞乡人民政府</w:t>
      </w:r>
      <w:r>
        <w:rPr>
          <w:rFonts w:hint="eastAsia" w:ascii="仿宋_GB2312" w:eastAsia="仿宋_GB2312"/>
          <w:color w:val="auto"/>
          <w:sz w:val="32"/>
          <w:szCs w:val="32"/>
          <w:highlight w:val="none"/>
        </w:rPr>
        <w:t>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5" w:name="_Toc15377224"/>
      <w:r>
        <w:rPr>
          <w:rFonts w:hint="eastAsia" w:ascii="仿宋" w:hAnsi="仿宋" w:eastAsia="仿宋"/>
          <w:b/>
          <w:color w:val="auto"/>
          <w:sz w:val="32"/>
          <w:szCs w:val="32"/>
          <w:highlight w:val="none"/>
        </w:rPr>
        <w:t>（三）国有资产占有使用情况</w:t>
      </w:r>
      <w:bookmarkEnd w:id="55"/>
    </w:p>
    <w:p>
      <w:pPr>
        <w:autoSpaceDE w:val="0"/>
        <w:autoSpaceDN w:val="0"/>
        <w:adjustRightInd w:val="0"/>
        <w:spacing w:line="60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宋体" w:eastAsia="仿宋_GB2312"/>
          <w:sz w:val="32"/>
          <w:szCs w:val="32"/>
        </w:rPr>
        <w:t>石渠县起坞乡人民政府</w:t>
      </w:r>
      <w:r>
        <w:rPr>
          <w:rFonts w:hint="eastAsia" w:ascii="仿宋_GB2312" w:eastAsia="仿宋_GB2312"/>
          <w:color w:val="000000"/>
          <w:sz w:val="32"/>
          <w:szCs w:val="32"/>
        </w:rPr>
        <w:t>共有车辆1辆，其中：其他用车</w:t>
      </w:r>
      <w:r>
        <w:rPr>
          <w:rFonts w:hint="eastAsia" w:ascii="仿宋_GB2312" w:eastAsia="仿宋_GB2312"/>
          <w:color w:val="000000"/>
          <w:sz w:val="32"/>
          <w:szCs w:val="32"/>
          <w:lang w:val="en-US" w:eastAsia="zh-CN"/>
        </w:rPr>
        <w:t>1辆。</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基层组织活动和公共服务运行专项经费</w:t>
      </w:r>
      <w:r>
        <w:rPr>
          <w:rFonts w:hint="eastAsia" w:ascii="仿宋_GB2312" w:hAnsi="仿宋_GB2312" w:eastAsia="仿宋_GB2312" w:cs="仿宋_GB2312"/>
          <w:sz w:val="32"/>
          <w:szCs w:val="32"/>
        </w:rPr>
        <w:t>项目开展了预算事前绩效评估，编制了绩效目标，预算执行过程中，选取项目开展绩效监控，年终执行完毕后，对项目开展了绩效目标完成情况自评。</w:t>
      </w: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Style w:val="29"/>
          <w:rFonts w:ascii="黑体" w:hAnsi="黑体" w:eastAsia="黑体"/>
          <w:b w:val="0"/>
          <w:color w:val="auto"/>
          <w:highlight w:val="none"/>
        </w:rPr>
      </w:pPr>
      <w:bookmarkStart w:id="56" w:name="_Toc15396613"/>
      <w:bookmarkStart w:id="57"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56"/>
      <w:bookmarkEnd w:id="57"/>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rPr>
        <w:t>医疗卫生与计划生育（类）…（款）…（项）：指……。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7"/>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widowControl/>
        <w:adjustRightInd w:val="0"/>
        <w:snapToGrid w:val="0"/>
        <w:spacing w:line="580" w:lineRule="exact"/>
        <w:contextualSpacing/>
        <w:jc w:val="left"/>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2312">
    <w:altName w:val="Times New Roman"/>
    <w:panose1 w:val="00000000000000000000"/>
    <w:charset w:val="00"/>
    <w:family w:val="auto"/>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4196221"/>
    <w:multiLevelType w:val="singleLevel"/>
    <w:tmpl w:val="D4196221"/>
    <w:lvl w:ilvl="0" w:tentative="0">
      <w:start w:val="3"/>
      <w:numFmt w:val="decimal"/>
      <w:lvlText w:val="%1."/>
      <w:lvlJc w:val="left"/>
      <w:pPr>
        <w:tabs>
          <w:tab w:val="left" w:pos="312"/>
        </w:tabs>
      </w:pPr>
    </w:lvl>
  </w:abstractNum>
  <w:abstractNum w:abstractNumId="2">
    <w:nsid w:val="DF909D5E"/>
    <w:multiLevelType w:val="singleLevel"/>
    <w:tmpl w:val="DF909D5E"/>
    <w:lvl w:ilvl="0" w:tentative="0">
      <w:start w:val="3"/>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771F8B3"/>
    <w:multiLevelType w:val="singleLevel"/>
    <w:tmpl w:val="3771F8B3"/>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NjY5YzA2YzdjYjEzZWM2NTlhNDE2NGFjY2U0Y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7E775D3"/>
    <w:rsid w:val="0A2032A3"/>
    <w:rsid w:val="101860EC"/>
    <w:rsid w:val="10C055FF"/>
    <w:rsid w:val="118107EC"/>
    <w:rsid w:val="13D50BC4"/>
    <w:rsid w:val="16BB723D"/>
    <w:rsid w:val="1BE8440E"/>
    <w:rsid w:val="1D155CEE"/>
    <w:rsid w:val="23860B96"/>
    <w:rsid w:val="240371BF"/>
    <w:rsid w:val="29FD04D3"/>
    <w:rsid w:val="2C8A61B5"/>
    <w:rsid w:val="2DF04E50"/>
    <w:rsid w:val="319F7F4E"/>
    <w:rsid w:val="36AA5135"/>
    <w:rsid w:val="36C72EAA"/>
    <w:rsid w:val="37E16F03"/>
    <w:rsid w:val="3AF13CEA"/>
    <w:rsid w:val="3D98207C"/>
    <w:rsid w:val="44E268DA"/>
    <w:rsid w:val="4A627F82"/>
    <w:rsid w:val="4B4F25DA"/>
    <w:rsid w:val="4BE068DB"/>
    <w:rsid w:val="4D577224"/>
    <w:rsid w:val="4EAB630A"/>
    <w:rsid w:val="4ECE2238"/>
    <w:rsid w:val="5AF92295"/>
    <w:rsid w:val="5CD71FC4"/>
    <w:rsid w:val="6350338E"/>
    <w:rsid w:val="6C4A05C8"/>
    <w:rsid w:val="6E7E3605"/>
    <w:rsid w:val="6FF5CC65"/>
    <w:rsid w:val="715C0E4B"/>
    <w:rsid w:val="72734D90"/>
    <w:rsid w:val="73AD73D5"/>
    <w:rsid w:val="73B6EB34"/>
    <w:rsid w:val="77476464"/>
    <w:rsid w:val="79EE5BA4"/>
    <w:rsid w:val="7A894339"/>
    <w:rsid w:val="7B3311D9"/>
    <w:rsid w:val="7CDB7454"/>
    <w:rsid w:val="7EEF11D3"/>
    <w:rsid w:val="7F69182F"/>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style>
  <w:style w:type="paragraph" w:styleId="7">
    <w:name w:val="Body Text Indent"/>
    <w:basedOn w:val="1"/>
    <w:qFormat/>
    <w:uiPriority w:val="0"/>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7"/>
    <w:next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9154</Words>
  <Characters>9848</Characters>
  <Lines>61</Lines>
  <Paragraphs>17</Paragraphs>
  <TotalTime>12</TotalTime>
  <ScaleCrop>false</ScaleCrop>
  <LinksUpToDate>false</LinksUpToDate>
  <CharactersWithSpaces>9907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李能(LVN)</cp:lastModifiedBy>
  <cp:lastPrinted>2022-08-08T09:11:00Z</cp:lastPrinted>
  <dcterms:modified xsi:type="dcterms:W3CDTF">2022-10-20T09:44:40Z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15CAAE3455574F07AC44E8C9C06C7776</vt:lpwstr>
  </property>
</Properties>
</file>