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石渠县色须镇人民政府</w:t>
      </w: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2019年度整体支出绩效评价自评报告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outlineLvl w:val="0"/>
        <w:rPr>
          <w:rFonts w:ascii="STFangsong" w:hAnsi="STFangsong" w:eastAsia="STFangsong"/>
          <w:sz w:val="32"/>
          <w:szCs w:val="32"/>
        </w:rPr>
      </w:pPr>
      <w:r>
        <w:rPr>
          <w:rFonts w:hint="eastAsia" w:ascii="STFangsong" w:hAnsi="STFangsong" w:eastAsia="STFangsong"/>
          <w:sz w:val="32"/>
          <w:szCs w:val="32"/>
        </w:rPr>
        <w:t>部门整体支出基本情况</w:t>
      </w:r>
    </w:p>
    <w:p>
      <w:pPr>
        <w:spacing w:line="600" w:lineRule="exact"/>
        <w:ind w:firstLine="640" w:firstLineChars="200"/>
        <w:rPr>
          <w:rFonts w:ascii="STFangsong" w:hAnsi="STFangsong" w:eastAsia="STFangsong"/>
          <w:sz w:val="32"/>
          <w:szCs w:val="32"/>
        </w:rPr>
      </w:pPr>
      <w:r>
        <w:rPr>
          <w:rFonts w:hint="eastAsia" w:ascii="STFangsong" w:hAnsi="STFangsong" w:eastAsia="STFangsong" w:cs="仿宋"/>
          <w:color w:val="333333"/>
          <w:sz w:val="32"/>
          <w:szCs w:val="32"/>
          <w:shd w:val="clear" w:color="auto" w:fill="FFFFFF"/>
        </w:rPr>
        <w:t>2019年全镇一般公共预算支出为623.19万元。其中：一般公共服务支出438.57万元；社会保障与就业支出76.54万元；医疗卫生与计划生育支出22.55万元；住房保障支出43.52万元；农林水事务支出42万元。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outlineLvl w:val="0"/>
        <w:rPr>
          <w:rFonts w:ascii="STFangsong" w:hAnsi="STFangsong" w:eastAsia="STFangsong"/>
          <w:sz w:val="32"/>
          <w:szCs w:val="32"/>
        </w:rPr>
      </w:pPr>
      <w:r>
        <w:rPr>
          <w:rFonts w:hint="eastAsia" w:ascii="STFangsong" w:hAnsi="STFangsong" w:eastAsia="STFangsong"/>
          <w:sz w:val="32"/>
          <w:szCs w:val="32"/>
        </w:rPr>
        <w:t>部门整体支出评价工作开展情况</w:t>
      </w:r>
    </w:p>
    <w:p>
      <w:pPr>
        <w:spacing w:line="600" w:lineRule="exact"/>
        <w:ind w:firstLine="640" w:firstLineChars="200"/>
        <w:rPr>
          <w:rFonts w:ascii="STFangsong" w:hAnsi="STFangsong" w:eastAsia="STFangsong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STFangsong" w:hAnsi="STFangsong" w:eastAsia="STFangsong" w:cs="仿宋"/>
          <w:color w:val="333333"/>
          <w:sz w:val="32"/>
          <w:szCs w:val="32"/>
          <w:shd w:val="clear" w:color="auto" w:fill="FFFFFF"/>
        </w:rPr>
        <w:t>按照石渠县财政局《关于做好2020年预算绩效管理工作的通知》（石财发〔2020〕60号）的文件要求。我镇高度重视绩效管理工作，成立了绩效评价管理工作小组，开展2019年度部门整体支出绩效评价。在收集了基础数据及资料的前提下开展绩效评价工作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outlineLvl w:val="0"/>
        <w:rPr>
          <w:rFonts w:ascii="STFangsong" w:hAnsi="STFangsong" w:eastAsia="STFangsong"/>
          <w:sz w:val="32"/>
          <w:szCs w:val="32"/>
        </w:rPr>
      </w:pPr>
      <w:r>
        <w:rPr>
          <w:rFonts w:hint="eastAsia" w:ascii="STFangsong" w:hAnsi="STFangsong" w:eastAsia="STFangsong"/>
          <w:sz w:val="32"/>
          <w:szCs w:val="32"/>
        </w:rPr>
        <w:t>评价结论及绩效分析</w:t>
      </w:r>
    </w:p>
    <w:p>
      <w:pPr>
        <w:pStyle w:val="6"/>
        <w:numPr>
          <w:ilvl w:val="0"/>
          <w:numId w:val="2"/>
        </w:numPr>
        <w:spacing w:line="600" w:lineRule="exact"/>
        <w:ind w:left="840" w:firstLineChars="0"/>
        <w:outlineLvl w:val="1"/>
        <w:rPr>
          <w:rFonts w:ascii="STFangsong" w:hAnsi="STFangsong" w:eastAsia="STFangsong"/>
          <w:sz w:val="32"/>
          <w:szCs w:val="32"/>
        </w:rPr>
      </w:pPr>
      <w:r>
        <w:rPr>
          <w:rFonts w:hint="eastAsia" w:ascii="STFangsong" w:hAnsi="STFangsong" w:eastAsia="STFangsong"/>
          <w:sz w:val="32"/>
          <w:szCs w:val="32"/>
        </w:rPr>
        <w:t>评价结论</w:t>
      </w:r>
    </w:p>
    <w:p>
      <w:pPr>
        <w:spacing w:line="600" w:lineRule="exact"/>
        <w:ind w:firstLine="640" w:firstLineChars="200"/>
        <w:rPr>
          <w:rFonts w:ascii="STFangsong" w:hAnsi="STFangsong" w:eastAsia="STFangsong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STFangsong" w:hAnsi="STFangsong" w:eastAsia="STFangsong" w:cs="仿宋"/>
          <w:color w:val="333333"/>
          <w:sz w:val="32"/>
          <w:szCs w:val="32"/>
          <w:shd w:val="clear" w:color="auto" w:fill="FFFFFF"/>
        </w:rPr>
        <w:t>我镇严格按照年初预算批复认真组织实施,严格执行财经纪律相关管理规定，做到各项收支安排使用符合事业发展计划和财政政策的要求，确保了单位正常运行和重大项目的实施，较好地完成了2019年部门预算编制和决算汇总工作,2019年目标任务基本完成，预算执行情况较好。但仍存在预算编制不够完善,绩效管理工作有待加强等问题。</w:t>
      </w:r>
    </w:p>
    <w:p>
      <w:pPr>
        <w:pStyle w:val="6"/>
        <w:numPr>
          <w:ilvl w:val="0"/>
          <w:numId w:val="2"/>
        </w:numPr>
        <w:spacing w:line="600" w:lineRule="exact"/>
        <w:ind w:left="840" w:firstLineChars="0"/>
        <w:outlineLvl w:val="1"/>
        <w:rPr>
          <w:rFonts w:ascii="STFangsong" w:hAnsi="STFangsong" w:eastAsia="STFangsong"/>
          <w:sz w:val="32"/>
          <w:szCs w:val="32"/>
        </w:rPr>
      </w:pPr>
      <w:r>
        <w:rPr>
          <w:rFonts w:hint="eastAsia" w:ascii="STFangsong" w:hAnsi="STFangsong" w:eastAsia="STFangsong"/>
          <w:sz w:val="32"/>
          <w:szCs w:val="32"/>
        </w:rPr>
        <w:t>绩效分析</w:t>
      </w:r>
    </w:p>
    <w:p>
      <w:pPr>
        <w:pStyle w:val="6"/>
        <w:numPr>
          <w:ilvl w:val="0"/>
          <w:numId w:val="3"/>
        </w:numPr>
        <w:spacing w:line="600" w:lineRule="exact"/>
        <w:ind w:left="840" w:firstLineChars="0"/>
        <w:outlineLvl w:val="2"/>
        <w:rPr>
          <w:rFonts w:ascii="STFangsong" w:hAnsi="STFangsong" w:eastAsia="STFangsong"/>
          <w:sz w:val="32"/>
          <w:szCs w:val="32"/>
        </w:rPr>
      </w:pPr>
      <w:r>
        <w:rPr>
          <w:rFonts w:hint="eastAsia" w:ascii="STFangsong" w:hAnsi="STFangsong" w:eastAsia="STFangsong"/>
          <w:sz w:val="32"/>
          <w:szCs w:val="32"/>
        </w:rPr>
        <w:t>预算编制情况</w:t>
      </w:r>
    </w:p>
    <w:p>
      <w:pPr>
        <w:spacing w:line="600" w:lineRule="exact"/>
        <w:ind w:firstLine="640" w:firstLineChars="200"/>
        <w:rPr>
          <w:rFonts w:ascii="STFangsong" w:hAnsi="STFangsong" w:eastAsia="STFangsong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STFangsong" w:hAnsi="STFangsong" w:eastAsia="STFangsong" w:cs="仿宋"/>
          <w:color w:val="333333"/>
          <w:sz w:val="32"/>
          <w:szCs w:val="32"/>
          <w:shd w:val="clear" w:color="auto" w:fill="FFFFFF"/>
        </w:rPr>
        <w:t>严格按照预算管理的相关规定和县级部门预算编制要求,科学合理编制预算,按时完成了2019年预算编制工作。2019年石渠县色须镇人民政府收入预算总额为623.19万元，均为财政拨款收入。相应安排支出预算623.19万元，其中一般公共服务支出438.57万元；社会保障与就业支出76.54万元；医疗卫生与计划生育支出22.55万元；住房保障支出43.52万元；农林水事务支出42万元。</w:t>
      </w:r>
    </w:p>
    <w:p>
      <w:pPr>
        <w:pStyle w:val="6"/>
        <w:numPr>
          <w:ilvl w:val="0"/>
          <w:numId w:val="3"/>
        </w:numPr>
        <w:spacing w:line="600" w:lineRule="exact"/>
        <w:ind w:left="840" w:firstLineChars="0"/>
        <w:outlineLvl w:val="2"/>
        <w:rPr>
          <w:rFonts w:ascii="STFangsong" w:hAnsi="STFangsong" w:eastAsia="STFangsong"/>
          <w:sz w:val="32"/>
          <w:szCs w:val="32"/>
        </w:rPr>
      </w:pPr>
      <w:r>
        <w:rPr>
          <w:rFonts w:hint="eastAsia" w:ascii="STFangsong" w:hAnsi="STFangsong" w:eastAsia="STFangsong"/>
          <w:sz w:val="32"/>
          <w:szCs w:val="32"/>
        </w:rPr>
        <w:t>执行管理情况</w:t>
      </w:r>
    </w:p>
    <w:p>
      <w:pPr>
        <w:spacing w:line="600" w:lineRule="exact"/>
        <w:ind w:firstLine="640" w:firstLineChars="200"/>
        <w:rPr>
          <w:rFonts w:ascii="STFangsong" w:hAnsi="STFangsong" w:eastAsia="STFangsong" w:cs="仿宋"/>
          <w:color w:val="333333"/>
          <w:sz w:val="32"/>
          <w:szCs w:val="32"/>
          <w:shd w:val="clear" w:color="auto" w:fill="FFFFFF"/>
        </w:rPr>
      </w:pPr>
      <w:r>
        <w:rPr>
          <w:rFonts w:ascii="STFangsong" w:hAnsi="STFangsong" w:eastAsia="STFangsong" w:cs="仿宋"/>
          <w:color w:val="333333"/>
          <w:sz w:val="32"/>
          <w:szCs w:val="32"/>
          <w:shd w:val="clear" w:color="auto" w:fill="FFFFFF"/>
        </w:rPr>
        <w:t>在镇党委、镇政府的正确领导下，我镇化压力为动力，迎难而上，着重做了以下几方面的工作：</w:t>
      </w:r>
    </w:p>
    <w:p>
      <w:pPr>
        <w:numPr>
          <w:ilvl w:val="0"/>
          <w:numId w:val="4"/>
        </w:numPr>
        <w:spacing w:line="600" w:lineRule="exact"/>
        <w:ind w:firstLine="640" w:firstLineChars="200"/>
        <w:rPr>
          <w:rFonts w:ascii="STFangsong" w:hAnsi="STFangsong" w:eastAsia="STFangsong" w:cs="仿宋"/>
          <w:color w:val="333333"/>
          <w:sz w:val="32"/>
          <w:szCs w:val="32"/>
          <w:shd w:val="clear" w:color="auto" w:fill="FFFFFF"/>
        </w:rPr>
      </w:pPr>
      <w:r>
        <w:rPr>
          <w:rFonts w:ascii="STFangsong" w:hAnsi="STFangsong" w:eastAsia="STFangsong" w:cs="仿宋"/>
          <w:color w:val="333333"/>
          <w:sz w:val="32"/>
          <w:szCs w:val="32"/>
          <w:shd w:val="clear" w:color="auto" w:fill="FFFFFF"/>
        </w:rPr>
        <w:t>优化支出结构，保障社会协调发展。围绕公共财政建设目标，不断调整优化支出结构，努力实现社会事业的全面协调发展。坚持“保工资、保运转、保民生、促发展”原则，统筹安排资金，优先安排人员经费，保证公共职能运转，保障民政优抚、尊老金、重残、五保低保等人员经费正常足额发放。统筹资金用于各村党员活动室维护活动室院坝硬化工作、所在镇辖区内道路扩建、卫生环境整治等基础建设，有效促进了生态环境改善，保证了社会事业发展。精准发力促脱贫，增活力，为镇村振兴建设奠定了良好的基础，持续加大对重点产业投入力度和特色建设上。有力的财力保障，提高了人民群众的获得感、幸福感、安全感。</w:t>
      </w:r>
    </w:p>
    <w:p>
      <w:pPr>
        <w:numPr>
          <w:ilvl w:val="0"/>
          <w:numId w:val="4"/>
        </w:numPr>
        <w:spacing w:line="600" w:lineRule="exact"/>
        <w:ind w:firstLine="640" w:firstLineChars="200"/>
        <w:rPr>
          <w:rFonts w:ascii="STFangsong" w:hAnsi="STFangsong" w:eastAsia="STFangsong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STFangsong" w:hAnsi="STFangsong" w:eastAsia="STFangsong" w:cs="仿宋"/>
          <w:color w:val="343434"/>
          <w:sz w:val="32"/>
          <w:szCs w:val="32"/>
          <w:lang w:bidi="ar"/>
        </w:rPr>
        <w:t>深化制度建设，提高财政管理效益。一是强化预算管理。从细化部门预算编制入手，提高部门预算编制的科学性、合理性，强化财政宏观调控职能，通过预算调整和优化财政支出结构，努力降低行政运行成本，压缩一般性支出，支持我镇经济平稳较快的发展。二是完善出台了《色须镇行政事业单位财务管理制度（试行）》、《色须镇村级财务管理制度（试行）》、《色须镇差旅费管理制度（试行）》等管理制度，以制度规范财务行为，切实提高财务管理水平。三是严格工程项目管理，全程参与立项、设计、预算、施工、验收、决算审计等环节，有效地节约财政资金。</w:t>
      </w:r>
    </w:p>
    <w:p>
      <w:pPr>
        <w:numPr>
          <w:ilvl w:val="0"/>
          <w:numId w:val="4"/>
        </w:numPr>
        <w:spacing w:line="600" w:lineRule="exact"/>
        <w:ind w:firstLine="640" w:firstLineChars="200"/>
        <w:rPr>
          <w:rFonts w:ascii="STFangsong" w:hAnsi="STFangsong" w:eastAsia="STFangsong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STFangsong" w:hAnsi="STFangsong" w:eastAsia="STFangsong" w:cs="仿宋"/>
          <w:color w:val="343434"/>
          <w:sz w:val="32"/>
          <w:szCs w:val="32"/>
          <w:lang w:bidi="ar"/>
        </w:rPr>
        <w:t>细化监管措施，提升依法理财水平。一是充分发挥财政监督检查职能，坚持日常监督和专项监督有机结合，进一步完善了财政监督体系，努力促进了理财水平提高。二是建立完善内部监督机制。对账户管理、财政资金管理、会计核算等日常工作实施进行内部联审，并开展了财政廉政风险防控和制度建设，财政监督警示和威慑作用明显增强，依法理财水平得以不断提升。</w:t>
      </w:r>
    </w:p>
    <w:p>
      <w:pPr>
        <w:pStyle w:val="6"/>
        <w:numPr>
          <w:ilvl w:val="0"/>
          <w:numId w:val="3"/>
        </w:numPr>
        <w:spacing w:line="600" w:lineRule="exact"/>
        <w:ind w:left="840" w:firstLineChars="0"/>
        <w:outlineLvl w:val="2"/>
        <w:rPr>
          <w:rFonts w:ascii="STFangsong" w:hAnsi="STFangsong" w:eastAsia="STFangsong"/>
          <w:sz w:val="32"/>
          <w:szCs w:val="32"/>
        </w:rPr>
      </w:pPr>
      <w:r>
        <w:rPr>
          <w:rFonts w:hint="eastAsia" w:ascii="STFangsong" w:hAnsi="STFangsong" w:eastAsia="STFangsong"/>
          <w:sz w:val="32"/>
          <w:szCs w:val="32"/>
        </w:rPr>
        <w:t>整体绩效</w:t>
      </w:r>
    </w:p>
    <w:p>
      <w:pPr>
        <w:spacing w:line="600" w:lineRule="exact"/>
        <w:ind w:firstLine="640" w:firstLineChars="200"/>
        <w:rPr>
          <w:rFonts w:ascii="STFangsong" w:hAnsi="STFangsong" w:eastAsia="STFangsong" w:cs="仿宋"/>
          <w:color w:val="343434"/>
          <w:sz w:val="32"/>
          <w:szCs w:val="32"/>
          <w:lang w:bidi="ar"/>
        </w:rPr>
      </w:pPr>
      <w:r>
        <w:rPr>
          <w:rFonts w:hint="eastAsia" w:ascii="STFangsong" w:hAnsi="STFangsong" w:eastAsia="STFangsong" w:cs="仿宋"/>
          <w:color w:val="343434"/>
          <w:sz w:val="32"/>
          <w:szCs w:val="32"/>
          <w:lang w:bidi="ar"/>
        </w:rPr>
        <w:t>我单位在2019年积极履职，强化管理，较好地完成了年度工作目标。通过加强预算收支管理，不断建立健全内部管理制度，梳理内部管理流程，部门整体支出管理水平得到提升。单位在日常管理中能做到各司其职，正常有序开展工作。专项资金的管理也是严格执行相关财务制度及上级要求，无不合理违规之处。资金管控严格，对于资金的收入、支出有主管和分管领导审核批准，不存在不合理开支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outlineLvl w:val="0"/>
        <w:rPr>
          <w:rFonts w:ascii="STFangsong" w:hAnsi="STFangsong" w:eastAsia="STFangsong"/>
          <w:sz w:val="32"/>
          <w:szCs w:val="32"/>
        </w:rPr>
      </w:pPr>
      <w:r>
        <w:rPr>
          <w:rFonts w:hint="eastAsia" w:ascii="STFangsong" w:hAnsi="STFangsong" w:eastAsia="STFangsong"/>
          <w:sz w:val="32"/>
          <w:szCs w:val="32"/>
        </w:rPr>
        <w:t>存在主要问题</w:t>
      </w:r>
    </w:p>
    <w:p>
      <w:pPr>
        <w:pStyle w:val="6"/>
        <w:spacing w:line="600" w:lineRule="exact"/>
        <w:ind w:firstLine="640"/>
        <w:rPr>
          <w:rFonts w:ascii="STFangsong" w:hAnsi="STFangsong" w:eastAsia="STFangsong" w:cs="仿宋"/>
          <w:color w:val="343434"/>
          <w:sz w:val="32"/>
          <w:szCs w:val="32"/>
          <w:lang w:bidi="ar"/>
        </w:rPr>
      </w:pPr>
      <w:r>
        <w:rPr>
          <w:rFonts w:ascii="STFangsong" w:hAnsi="STFangsong" w:eastAsia="STFangsong" w:cs="仿宋"/>
          <w:color w:val="343434"/>
          <w:sz w:val="32"/>
          <w:szCs w:val="32"/>
          <w:lang w:bidi="ar"/>
        </w:rPr>
        <w:t>预算编制工作有待细化。预算编制不够明确和细化，预算编制的合理性需要提高，预算执行力度还要进一步加强。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outlineLvl w:val="0"/>
        <w:rPr>
          <w:rFonts w:ascii="STFangsong" w:hAnsi="STFangsong" w:eastAsia="STFangsong"/>
          <w:sz w:val="32"/>
          <w:szCs w:val="32"/>
        </w:rPr>
      </w:pPr>
      <w:r>
        <w:rPr>
          <w:rFonts w:hint="eastAsia" w:ascii="STFangsong" w:hAnsi="STFangsong" w:eastAsia="STFangsong"/>
          <w:sz w:val="32"/>
          <w:szCs w:val="32"/>
        </w:rPr>
        <w:t>相关措施建议</w:t>
      </w:r>
    </w:p>
    <w:p>
      <w:pPr>
        <w:spacing w:line="600" w:lineRule="exact"/>
        <w:ind w:firstLine="640" w:firstLineChars="200"/>
        <w:rPr>
          <w:rFonts w:ascii="STFangsong" w:hAnsi="STFangsong" w:eastAsia="STFangsong" w:cs="仿宋"/>
          <w:color w:val="343434"/>
          <w:sz w:val="32"/>
          <w:szCs w:val="32"/>
          <w:lang w:bidi="ar"/>
        </w:rPr>
      </w:pPr>
      <w:r>
        <w:rPr>
          <w:rFonts w:hint="eastAsia" w:ascii="STFangsong" w:hAnsi="STFangsong" w:eastAsia="STFangsong" w:cs="仿宋"/>
          <w:color w:val="343434"/>
          <w:sz w:val="32"/>
          <w:szCs w:val="32"/>
          <w:lang w:bidi="ar"/>
        </w:rPr>
        <w:t>细化预算编制工作，认真做好预算的编制。进一步加强单位内部机构各股室的预算管理意识，严格按照预算编制的相关制度和要求进行预算编制；全面编制预算项目，优先保障固定性的、相对刚性的费用支出项目，尽量压缩变动性的、有控制空间的费用项目</w:t>
      </w:r>
      <w:bookmarkStart w:id="0" w:name="_GoBack"/>
      <w:bookmarkEnd w:id="0"/>
      <w:r>
        <w:rPr>
          <w:rFonts w:hint="eastAsia" w:ascii="STFangsong" w:hAnsi="STFangsong" w:eastAsia="STFangsong" w:cs="仿宋"/>
          <w:color w:val="343434"/>
          <w:sz w:val="32"/>
          <w:szCs w:val="32"/>
          <w:lang w:bidi="ar"/>
        </w:rPr>
        <w:t>，进一步提高预算编制的科学性、严谨性和可控性。加强内部预算编制的审核和预算控制指标的下达。</w:t>
      </w:r>
    </w:p>
    <w:p>
      <w:pPr>
        <w:spacing w:line="600" w:lineRule="exact"/>
        <w:jc w:val="right"/>
        <w:rPr>
          <w:rFonts w:ascii="STFangsong" w:hAnsi="STFangsong" w:eastAsia="STFangsong" w:cs="仿宋"/>
          <w:color w:val="343434"/>
          <w:sz w:val="32"/>
          <w:szCs w:val="32"/>
          <w:lang w:bidi="ar"/>
        </w:rPr>
      </w:pPr>
      <w:r>
        <w:rPr>
          <w:rFonts w:hint="eastAsia" w:ascii="STFangsong" w:hAnsi="STFangsong" w:eastAsia="STFangsong" w:cs="仿宋"/>
          <w:color w:val="343434"/>
          <w:sz w:val="32"/>
          <w:szCs w:val="32"/>
          <w:lang w:bidi="ar"/>
        </w:rPr>
        <w:t>石渠县色须镇人民政府</w:t>
      </w:r>
    </w:p>
    <w:p>
      <w:pPr>
        <w:spacing w:line="600" w:lineRule="exact"/>
        <w:jc w:val="right"/>
        <w:rPr>
          <w:rFonts w:ascii="STFangsong" w:hAnsi="STFangsong" w:eastAsia="STFangsong" w:cs="仿宋"/>
          <w:color w:val="343434"/>
          <w:sz w:val="32"/>
          <w:szCs w:val="32"/>
          <w:lang w:bidi="ar"/>
        </w:rPr>
      </w:pPr>
      <w:r>
        <w:rPr>
          <w:rFonts w:hint="eastAsia" w:ascii="STFangsong" w:hAnsi="STFangsong" w:eastAsia="STFangsong" w:cs="仿宋"/>
          <w:color w:val="343434"/>
          <w:sz w:val="32"/>
          <w:szCs w:val="32"/>
          <w:lang w:bidi="ar"/>
        </w:rPr>
        <w:t>2020年9月13日</w:t>
      </w:r>
    </w:p>
    <w:p>
      <w:pPr>
        <w:rPr>
          <w:rFonts w:ascii="仿宋" w:hAnsi="仿宋" w:eastAsia="仿宋" w:cs="仿宋"/>
          <w:color w:val="343434"/>
          <w:sz w:val="32"/>
          <w:szCs w:val="32"/>
          <w:lang w:bidi="ar"/>
        </w:rPr>
      </w:pPr>
    </w:p>
    <w:p>
      <w:pPr>
        <w:rPr>
          <w:rFonts w:ascii="仿宋" w:hAnsi="仿宋" w:eastAsia="仿宋" w:cs="仿宋"/>
          <w:color w:val="343434"/>
          <w:sz w:val="32"/>
          <w:szCs w:val="32"/>
          <w:lang w:bidi="ar"/>
        </w:rPr>
      </w:pPr>
    </w:p>
    <w:p>
      <w:pPr>
        <w:rPr>
          <w:rFonts w:ascii="仿宋" w:hAnsi="仿宋" w:eastAsia="仿宋" w:cs="仿宋"/>
          <w:color w:val="343434"/>
          <w:sz w:val="32"/>
          <w:szCs w:val="32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0EAA"/>
    <w:multiLevelType w:val="multilevel"/>
    <w:tmpl w:val="35EA0EAA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A31556"/>
    <w:multiLevelType w:val="multilevel"/>
    <w:tmpl w:val="46A31556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23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28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840"/>
        </w:tabs>
        <w:ind w:left="3240" w:hanging="420"/>
      </w:pPr>
    </w:lvl>
    <w:lvl w:ilvl="3" w:tentative="0">
      <w:start w:val="1"/>
      <w:numFmt w:val="decimal"/>
      <w:lvlText w:val="%4."/>
      <w:lvlJc w:val="left"/>
      <w:pPr>
        <w:tabs>
          <w:tab w:val="left" w:pos="840"/>
        </w:tabs>
        <w:ind w:left="36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840"/>
        </w:tabs>
        <w:ind w:left="40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840"/>
        </w:tabs>
        <w:ind w:left="4500" w:hanging="420"/>
      </w:pPr>
    </w:lvl>
    <w:lvl w:ilvl="6" w:tentative="0">
      <w:start w:val="1"/>
      <w:numFmt w:val="decimal"/>
      <w:lvlText w:val="%7."/>
      <w:lvlJc w:val="left"/>
      <w:pPr>
        <w:tabs>
          <w:tab w:val="left" w:pos="840"/>
        </w:tabs>
        <w:ind w:left="49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840"/>
        </w:tabs>
        <w:ind w:left="53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840"/>
        </w:tabs>
        <w:ind w:left="5760" w:hanging="420"/>
      </w:pPr>
    </w:lvl>
  </w:abstractNum>
  <w:abstractNum w:abstractNumId="2">
    <w:nsid w:val="4D97C625"/>
    <w:multiLevelType w:val="singleLevel"/>
    <w:tmpl w:val="4D97C625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3">
    <w:nsid w:val="5C7D6FF0"/>
    <w:multiLevelType w:val="multilevel"/>
    <w:tmpl w:val="5C7D6FF0"/>
    <w:lvl w:ilvl="0" w:tentative="0">
      <w:start w:val="1"/>
      <w:numFmt w:val="japaneseCounting"/>
      <w:lvlText w:val="（%1）"/>
      <w:lvlJc w:val="left"/>
      <w:pPr>
        <w:tabs>
          <w:tab w:val="left" w:pos="840"/>
        </w:tabs>
        <w:ind w:left="266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26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840"/>
        </w:tabs>
        <w:ind w:left="3080" w:hanging="420"/>
      </w:pPr>
    </w:lvl>
    <w:lvl w:ilvl="3" w:tentative="0">
      <w:start w:val="1"/>
      <w:numFmt w:val="decimal"/>
      <w:lvlText w:val="%4."/>
      <w:lvlJc w:val="left"/>
      <w:pPr>
        <w:tabs>
          <w:tab w:val="left" w:pos="840"/>
        </w:tabs>
        <w:ind w:left="35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840"/>
        </w:tabs>
        <w:ind w:left="39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840"/>
        </w:tabs>
        <w:ind w:left="4340" w:hanging="420"/>
      </w:pPr>
    </w:lvl>
    <w:lvl w:ilvl="6" w:tentative="0">
      <w:start w:val="1"/>
      <w:numFmt w:val="decimal"/>
      <w:lvlText w:val="%7."/>
      <w:lvlJc w:val="left"/>
      <w:pPr>
        <w:tabs>
          <w:tab w:val="left" w:pos="840"/>
        </w:tabs>
        <w:ind w:left="47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840"/>
        </w:tabs>
        <w:ind w:left="51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840"/>
        </w:tabs>
        <w:ind w:left="56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2C"/>
    <w:rsid w:val="0033370A"/>
    <w:rsid w:val="00A96B2C"/>
    <w:rsid w:val="00CE20B2"/>
    <w:rsid w:val="00D51143"/>
    <w:rsid w:val="00F4050F"/>
    <w:rsid w:val="0CD34E08"/>
    <w:rsid w:val="13D8531B"/>
    <w:rsid w:val="1CD00E5B"/>
    <w:rsid w:val="20F8208E"/>
    <w:rsid w:val="299B4A98"/>
    <w:rsid w:val="2FE327AF"/>
    <w:rsid w:val="423B584A"/>
    <w:rsid w:val="552A2E50"/>
    <w:rsid w:val="5E522E9E"/>
    <w:rsid w:val="63F1728F"/>
    <w:rsid w:val="65FA2AEF"/>
    <w:rsid w:val="672E4236"/>
    <w:rsid w:val="779D6290"/>
    <w:rsid w:val="7C3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273</Words>
  <Characters>1562</Characters>
  <Lines>13</Lines>
  <Paragraphs>3</Paragraphs>
  <TotalTime>20</TotalTime>
  <ScaleCrop>false</ScaleCrop>
  <LinksUpToDate>false</LinksUpToDate>
  <CharactersWithSpaces>1832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2020-09-08T06:10:00Z</dcterms:created>
  <dc:creator>19616</dc:creator>
  <cp:lastModifiedBy>墨眉</cp:lastModifiedBy>
  <dcterms:modified xsi:type="dcterms:W3CDTF">2020-09-15T03:19:53Z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