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-852170</wp:posOffset>
                </wp:positionV>
                <wp:extent cx="1791970" cy="855980"/>
                <wp:effectExtent l="5080" t="4445" r="1270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865" y="414020"/>
                          <a:ext cx="1791970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  <w:lang w:val="en-US" w:eastAsia="zh-CN"/>
                              </w:rPr>
                              <w:t>炉霍县第十四届人大常委会第11次会议材料2-1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-67.1pt;height:67.4pt;width:141.1pt;z-index:251659264;mso-width-relative:page;mso-height-relative:page;" fillcolor="#FFFFFF [3201]" filled="t" stroked="t" coordsize="21600,21600" o:gfxdata="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kZH/DWAAAACQEAAA8AAAAAAAAAAQAgAAAAIgAAAGRycy9kb3ducmV2LnhtbFBLAQIUABQA&#10;AAAIAIdO4kBVsA0dZAIAAME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  <w:lang w:val="en-US" w:eastAsia="zh-CN"/>
                        </w:rPr>
                        <w:t>炉霍县第十四届人大常委会第11次会议材料2-1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炉霍县人民政府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关于炉霍县20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决算情况的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napToGrid w:val="0"/>
        <w:spacing w:line="576" w:lineRule="exact"/>
        <w:ind w:right="0"/>
        <w:jc w:val="center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炉霍县人民政府常务副县长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 李峰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日炉霍县十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届人大常委会第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十一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次会议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76" w:lineRule="exact"/>
        <w:ind w:left="0" w:right="0"/>
        <w:jc w:val="both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76" w:lineRule="exact"/>
        <w:ind w:left="0" w:right="0"/>
        <w:jc w:val="both"/>
        <w:rPr>
          <w:rFonts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县第十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届人民代表大会第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次会议审查批准了《炉霍县20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年财政预算情况和20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年财政收支预算草案报告》，由于当时未年终决算，按照《中华人民共和国预算法》等法律规定和县人大常委会安排，现就我县20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年财政收支决算情况报告于后，请予审议。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67" w:firstLineChars="200"/>
        <w:jc w:val="both"/>
        <w:textAlignment w:val="baseline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pacing w:val="6"/>
          <w:sz w:val="32"/>
          <w:szCs w:val="32"/>
        </w:rPr>
        <w:t>一、2022年总预算执行情况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县财政局认真贯彻落实县委、县政府决策部署，严格执行县十四届人民代表大会第一次会议审查批准的预算，及时批复县级部门预算，积极争取上级转移支付，努力克服实施新的组合式税费支持政策，特别是实施大规模留抵退税、疫情冲击等减收因素影响，科学研判经济财政形势，沉着应对减收增支影响，前瞻谋划财税政策措施，千方百计组织收入，切实保证支出强度，圆满完成财政收支目标任务，为全力以赴稳住经济增长大盘提供了有力支撑。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（一）一般公共预算收支执行情况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2022年，一般公共预算收入完成 6，539万元(其中：留底退税533万元，实际完成6，006万元），完成目标任务的101%，同口径增长25%，加上上级补助收入161，204万元、调入预算稳定调节金3，119万元、国有资本经营预算调入资金363万元、政府性基金预算调入1,929万元、上年结转5，147万元、债务转贷收入620万元、接受其他地区援助收入4，549万元，收入总计182，937万元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一般公共预算支出完成171，931万元，加上上解支出3，033万元，安排预算稳定调节金5，003万元，支出总量结转下年支出2，970万元，支出总量为182，937万元。收支相抵，一般公共预算实现收支平衡。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（二）政府性基金预算执行情况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2022年，政府性基金预算收入完成5，660万元，加上上级补助收入542万元，其他资金调入761万元，上年结转1，431万元，收入总计8，394万元。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政府性基金预算支出完成3，194万元，加上债务还本支出1，573万元，调出资金1，929万元，政府性基金预算结转下年1，698万元，支出总量为8，394万元。收支相抵，政府性基金预算实现收支平衡。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（三）国有资本经营预算执行情况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2022年，国有资本经营预算收入完成968万元，完成年初预算的61%。国有资本经营预算调出363万元，国有资本经营预算结余605万元，支出总计968万元。收支相抵，当年国有资本经营预算实现收支平衡。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（四）社会保险基金执行情况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2022年，社会保险基金收入完成1，062万元，社会保险基金支出3，899万元，社会保险基金收支结余-2，837万元，年末滚存结余151万元。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en-US" w:bidi="ar-SA"/>
        </w:rPr>
        <w:t>部门预算执行情况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年全县共7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个决算单位，其中：县级单位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个、乡镇1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个、工委4个。202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年全县部门决算财政拨款总收入为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181,705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万元，其中：年初结转和结余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11,761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万元、一般公共预算财政拨款收入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166，872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万元（含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上年结转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5,668万元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）、政府性基金收入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3，072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万元。一般公共预算财政拨款支出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168，871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万元，其中：工资福利支出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55，066万元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、商品服务支出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15，178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万元、对个人和家庭的补助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18，615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万元、基本建设（资本性支出）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17，476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万元、资本性支出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62，086万元、对企业补助450万元。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政府基金预算财政支出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3，365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年末结转结余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9，469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（六）存量资金安排情况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年盘活存量资金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24，608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万元，共安排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个单位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809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个项目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24，608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(七）援建资金收支情况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2022年浙江援建资金共计收入5，825万元，安排用于10个项目；锦江援建资金共计收入2，337万元，安排用于27个项目。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(八）直达资金情况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截至2022年12月31日，我县直达资金到位40，462万元，分配了40，462万元，分配进度达到100%；支出金额为39，460万元，支出进度达到98%。其中:增值税留抵退税资金转移支付231万元、补充县级财力资金转移支付3，628万元、其他减税降费资金转移支付128万元、就业补助资金902万元、基本公共卫生服务补助资金525万元、困难群众救助补助经费1，207万元、林业改革发展资金4，924万元、林业草原生态保护恢复资金359万元、农业生产发展资金402万元、医疗服务与保障能力提升补助资金675万元、学生资助补助经费47万元、城乡义务教育补助经费2，379万元、残疾人事业发展补助经费34万元、计划生育转移支付资金105万元、城乡居民基本养老保险补助经费637万元、基本药物制度补助资金100万元、优抚对象医疗保障经费4万元、优抚对象补助经费105万元、财力保障资金8，108万元、中央财政衔接推进乡村振兴补助资金14，960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67" w:firstLineChars="200"/>
        <w:jc w:val="both"/>
        <w:textAlignment w:val="baseline"/>
        <w:rPr>
          <w:rFonts w:hint="eastAsia" w:ascii="黑体" w:hAnsi="黑体" w:eastAsia="黑体" w:cs="黑体"/>
          <w:b/>
          <w:bCs/>
          <w:color w:val="auto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6"/>
          <w:sz w:val="32"/>
          <w:szCs w:val="32"/>
        </w:rPr>
        <w:t>二、2022年主要财政工作</w:t>
      </w:r>
      <w:r>
        <w:rPr>
          <w:rFonts w:hint="eastAsia" w:ascii="黑体" w:hAnsi="黑体" w:eastAsia="黑体" w:cs="黑体"/>
          <w:b/>
          <w:bCs/>
          <w:color w:val="auto"/>
          <w:spacing w:val="6"/>
          <w:sz w:val="32"/>
          <w:szCs w:val="32"/>
          <w:lang w:eastAsia="zh-CN"/>
        </w:rPr>
        <w:t>情况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2022年，全县各级各部门尽心竭力、攻坚克难、精准施策，发挥财政稳定经济的关键作用，扎实做好“六稳”“ 六保”工作，持续深化以绩效为导向的预算管理制度改革，纵深推进财源建设，进一步提升财政资源配置效率和使用效益，推动经济稳中有进、社会安定和谐、民生改善有力（以下重点方面的财政投入统计，部分项目存在归类口径交叉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（一）坚持以人民为中心，着力提高民生事业保障水平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一是支持建设高质量教育体系。财政投入17，934万元，推进教育资源优质均衡配置，办好人民满意的教育。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二是支持提升就业和社会保障水平。财政投入6，758万元，支持实施稳社会行动，保障人民生活水平。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三是支持加快卫生健康事业发展。财政投入5，272万元，支持疫情防控和健康炉霍建设。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en-US" w:bidi="ar-SA"/>
        </w:rPr>
        <w:t>（二）致力创造高品质生活，加快</w:t>
      </w: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鲜水首城</w:t>
      </w: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en-US" w:bidi="ar-SA"/>
        </w:rPr>
        <w:t>建设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一是支持现代农业产业发展,财政投入23，697万元，推动产业园区建设及巩固拓展脱贫攻坚成果同乡村振兴有效衔接。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二是支持更新城乡基础设施,财政投入15，073万元，支持城乡基础设施建设及交通运输体系建设。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三是支持加强生态文明建设,财政投入7，397万元，支持打好污染防治攻坚战，营造美丽炉霍。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（三）提升积极财政政策，推进财政领域改革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一是有效强化财政保障能力。争取上级转移支付161，204万元，清理收缴县级财政存量资金24,608万元，统筹用于保障重大项目落地实施。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二是加强债券资金争取和使用。争取一般债券资金620万元，均为一般债券资金，主要用于自然灾害防治体系建设。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三是坚持政府“过紧日子”要求，压减一般性支出预算196万元，较上年减少15%。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四是持续推进绩效管理改革。对2022年76个部门的特定目标类项目开展预算绩效目标编制，开展自评项目全覆盖，全年财政统筹18，481万元，用于绩效目标支出涉及资金119，264万元,并重点监控15个部门，第三方重点评价项目25个，评价规模12，956万元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五是强化政府采购监管，规范采购行为。全年92个项目已完成采购，合同金额15，492万元，节约6，664万元。持续加大政府投资项目管理，开展财政评审项目133个，送审金额64，900万元，审定金额61，400万元，审减3，500万元，审减率5.37%。</w:t>
      </w:r>
    </w:p>
    <w:p>
      <w:pPr>
        <w:pStyle w:val="1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去年，财政工作的有效运转是县委、县政府正确领导的结果，县人大监督指导、县政协关心支持的结果，是全县各部门共同努力的结果。同时，我们也清醒认识到，当前财政运行还存在一些困难和问题，主要表现在：城市功能布局持续优化提升的需求带来财政支出刚性增强，预算收支平衡难度加大；部分领域资金固化和低效问题仍然存在，一些项目缺乏全周期筹划，财政支出效率仍需进一步优化；面对高质量发展要求，在构建“财政、金融、科技、产业”政策体系、支持推动创新作为第一动力方面还需更加精准有力。对此，恳请各位主任、各位委员提出宝贵意见建议，我们将认真研究，努力推动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以上报告，请予审议。</w:t>
      </w:r>
      <w:bookmarkStart w:id="0" w:name="_GoBack"/>
      <w:bookmarkEnd w:id="0"/>
    </w:p>
    <w:sectPr>
      <w:footerReference r:id="rId5" w:type="default"/>
      <w:pgSz w:w="11906" w:h="16839"/>
      <w:pgMar w:top="2098" w:right="1474" w:bottom="1984" w:left="1587" w:header="0" w:footer="831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OWJmZjE1NGRmNjk4YWNkN2NiMGY3ZjFiODhhNWMifQ=="/>
  </w:docVars>
  <w:rsids>
    <w:rsidRoot w:val="0B236096"/>
    <w:rsid w:val="00AC7BC9"/>
    <w:rsid w:val="05125056"/>
    <w:rsid w:val="074F630D"/>
    <w:rsid w:val="08274637"/>
    <w:rsid w:val="086C7F1E"/>
    <w:rsid w:val="08931C47"/>
    <w:rsid w:val="0AB100BF"/>
    <w:rsid w:val="0B236096"/>
    <w:rsid w:val="0DDB169C"/>
    <w:rsid w:val="10CF0016"/>
    <w:rsid w:val="11427717"/>
    <w:rsid w:val="114832C6"/>
    <w:rsid w:val="11BA7B07"/>
    <w:rsid w:val="11C26DD2"/>
    <w:rsid w:val="11DD059E"/>
    <w:rsid w:val="14A562EC"/>
    <w:rsid w:val="172A1B84"/>
    <w:rsid w:val="17E9711E"/>
    <w:rsid w:val="19941D5D"/>
    <w:rsid w:val="1C140C89"/>
    <w:rsid w:val="1D0A6852"/>
    <w:rsid w:val="1E3E0C85"/>
    <w:rsid w:val="1FF078DE"/>
    <w:rsid w:val="205378B2"/>
    <w:rsid w:val="205A06C7"/>
    <w:rsid w:val="2306196A"/>
    <w:rsid w:val="23121F41"/>
    <w:rsid w:val="25203CCD"/>
    <w:rsid w:val="28D10337"/>
    <w:rsid w:val="2A2150B1"/>
    <w:rsid w:val="2BF8080A"/>
    <w:rsid w:val="2C875FAC"/>
    <w:rsid w:val="2DEC419F"/>
    <w:rsid w:val="2F477B2C"/>
    <w:rsid w:val="3109463E"/>
    <w:rsid w:val="310A3EB1"/>
    <w:rsid w:val="32874F30"/>
    <w:rsid w:val="32A47CEB"/>
    <w:rsid w:val="32FA740F"/>
    <w:rsid w:val="332844C7"/>
    <w:rsid w:val="33C223DE"/>
    <w:rsid w:val="34E72B51"/>
    <w:rsid w:val="37F27C5B"/>
    <w:rsid w:val="38244C21"/>
    <w:rsid w:val="38257A48"/>
    <w:rsid w:val="3DA25E70"/>
    <w:rsid w:val="40642D60"/>
    <w:rsid w:val="48873AAA"/>
    <w:rsid w:val="48F2436C"/>
    <w:rsid w:val="49BD3C89"/>
    <w:rsid w:val="4CB22BE0"/>
    <w:rsid w:val="4CE01AB3"/>
    <w:rsid w:val="52712663"/>
    <w:rsid w:val="55655EFF"/>
    <w:rsid w:val="556803C5"/>
    <w:rsid w:val="55B601D1"/>
    <w:rsid w:val="56F559C8"/>
    <w:rsid w:val="57FC0725"/>
    <w:rsid w:val="58243ED0"/>
    <w:rsid w:val="5A2810BE"/>
    <w:rsid w:val="5BE577F8"/>
    <w:rsid w:val="5F3452BE"/>
    <w:rsid w:val="60617111"/>
    <w:rsid w:val="637B4E66"/>
    <w:rsid w:val="63D07D03"/>
    <w:rsid w:val="649431C3"/>
    <w:rsid w:val="689164D3"/>
    <w:rsid w:val="69D204B2"/>
    <w:rsid w:val="6A7D722B"/>
    <w:rsid w:val="6A8F0870"/>
    <w:rsid w:val="6E615222"/>
    <w:rsid w:val="6F403E44"/>
    <w:rsid w:val="6F657708"/>
    <w:rsid w:val="7137540E"/>
    <w:rsid w:val="7194384B"/>
    <w:rsid w:val="71DD06DF"/>
    <w:rsid w:val="726B3418"/>
    <w:rsid w:val="73006727"/>
    <w:rsid w:val="76364860"/>
    <w:rsid w:val="76900494"/>
    <w:rsid w:val="7936049C"/>
    <w:rsid w:val="794172A9"/>
    <w:rsid w:val="7B594603"/>
    <w:rsid w:val="7C136CE8"/>
    <w:rsid w:val="7C5E41DB"/>
    <w:rsid w:val="7D0F0121"/>
    <w:rsid w:val="7D13221D"/>
    <w:rsid w:val="7D3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12">
    <w:name w:val="Body Text"/>
    <w:basedOn w:val="1"/>
    <w:next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2859</Words>
  <Characters>3183</Characters>
  <Lines>0</Lines>
  <Paragraphs>0</Paragraphs>
  <TotalTime>10</TotalTime>
  <ScaleCrop>false</ScaleCrop>
  <LinksUpToDate>false</LinksUpToDate>
  <CharactersWithSpaces>3187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2023-07-04T05:58:00Z</dcterms:created>
  <dc:creator>Administrator</dc:creator>
  <cp:lastModifiedBy>WPS_1664443326</cp:lastModifiedBy>
  <cp:lastPrinted>2023-08-21T07:44:00Z</cp:lastPrinted>
  <dcterms:modified xsi:type="dcterms:W3CDTF">2023-10-07T09:11:57Z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ECD1310DE6844FD19185E531ABB0ACAA_13</vt:lpwstr>
  </property>
</Properties>
</file>