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339" w:name="_GoBack"/>
      <w:bookmarkEnd w:id="339"/>
    </w:p>
    <w:p>
      <w:pPr>
        <w:pStyle w:val="2"/>
      </w:pPr>
    </w:p>
    <w:p>
      <w:pPr>
        <w:spacing w:line="640" w:lineRule="exact"/>
        <w:ind w:firstLine="0" w:firstLineChars="0"/>
        <w:jc w:val="center"/>
        <w:rPr>
          <w:b/>
          <w:bCs/>
          <w:sz w:val="44"/>
          <w:szCs w:val="44"/>
        </w:rPr>
      </w:pPr>
      <w:r>
        <w:rPr>
          <w:rFonts w:hint="eastAsia"/>
          <w:b/>
          <w:bCs/>
          <w:sz w:val="44"/>
          <w:szCs w:val="44"/>
        </w:rPr>
        <w:t>丹巴县国民经济和社会发展第十四个五年规划和二</w:t>
      </w:r>
      <w:r>
        <w:rPr>
          <w:rFonts w:hint="eastAsia" w:cs="宋体"/>
          <w:b/>
          <w:bCs/>
          <w:sz w:val="44"/>
          <w:szCs w:val="44"/>
        </w:rPr>
        <w:t>〇</w:t>
      </w:r>
      <w:r>
        <w:rPr>
          <w:rFonts w:hint="eastAsia" w:cs="方正小标宋简体"/>
          <w:b/>
          <w:bCs/>
          <w:sz w:val="44"/>
          <w:szCs w:val="44"/>
        </w:rPr>
        <w:t>三五年远景目标纲要</w:t>
      </w:r>
    </w:p>
    <w:p>
      <w:pPr>
        <w:pStyle w:val="2"/>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spacing w:line="640" w:lineRule="exact"/>
        <w:jc w:val="center"/>
        <w:rPr>
          <w:b/>
          <w:bCs/>
          <w:sz w:val="44"/>
          <w:szCs w:val="44"/>
        </w:rPr>
      </w:pPr>
      <w:r>
        <w:rPr>
          <w:rFonts w:hint="eastAsia"/>
          <w:b/>
          <w:bCs/>
          <w:sz w:val="44"/>
          <w:szCs w:val="44"/>
        </w:rPr>
        <w:t>丹巴县人民政府</w:t>
      </w:r>
    </w:p>
    <w:p>
      <w:pPr>
        <w:spacing w:line="640" w:lineRule="exact"/>
        <w:jc w:val="center"/>
        <w:rPr>
          <w:b/>
          <w:bCs/>
          <w:sz w:val="44"/>
          <w:szCs w:val="44"/>
        </w:rPr>
      </w:pPr>
      <w:r>
        <w:rPr>
          <w:rFonts w:hint="eastAsia"/>
          <w:b/>
          <w:bCs/>
          <w:sz w:val="44"/>
          <w:szCs w:val="44"/>
        </w:rPr>
        <w:t>2020年12月</w:t>
      </w:r>
    </w:p>
    <w:p>
      <w:bookmarkStart w:id="0" w:name="_Toc18486"/>
    </w:p>
    <w:p>
      <w:pPr>
        <w:spacing w:after="187" w:afterLines="60"/>
        <w:ind w:firstLine="0" w:firstLineChars="0"/>
        <w:jc w:val="center"/>
        <w:rPr>
          <w:b/>
          <w:bCs/>
          <w:sz w:val="36"/>
          <w:szCs w:val="36"/>
        </w:rPr>
      </w:pPr>
      <w:r>
        <w:rPr>
          <w:rFonts w:hint="eastAsia"/>
          <w:b/>
          <w:bCs/>
          <w:sz w:val="36"/>
          <w:szCs w:val="36"/>
        </w:rPr>
        <w:t>序  言</w:t>
      </w:r>
      <w:bookmarkEnd w:id="0"/>
    </w:p>
    <w:p>
      <w:r>
        <w:t>《</w:t>
      </w:r>
      <w:r>
        <w:rPr>
          <w:rFonts w:hint="eastAsia"/>
        </w:rPr>
        <w:t>丹巴县</w:t>
      </w:r>
      <w:r>
        <w:t>国民经济和社会发展第十四个五年规划纲要</w:t>
      </w:r>
      <w:r>
        <w:rPr>
          <w:rFonts w:hint="eastAsia"/>
        </w:rPr>
        <w:t>和二〇三五年远景目标</w:t>
      </w:r>
      <w:r>
        <w:t>》</w:t>
      </w:r>
      <w:r>
        <w:rPr>
          <w:rFonts w:hint="eastAsia"/>
        </w:rPr>
        <w:t>（以下简称《规划》）</w:t>
      </w:r>
      <w:r>
        <w:t>根据党的十九届</w:t>
      </w:r>
      <w:r>
        <w:rPr>
          <w:rFonts w:hint="eastAsia"/>
        </w:rPr>
        <w:t>五</w:t>
      </w:r>
      <w:r>
        <w:t>中全会、</w:t>
      </w:r>
      <w:r>
        <w:rPr>
          <w:rFonts w:hint="eastAsia"/>
        </w:rPr>
        <w:t>中央第七次西藏工作座谈会、</w:t>
      </w:r>
      <w:r>
        <w:t>省委十一届</w:t>
      </w:r>
      <w:r>
        <w:rPr>
          <w:rFonts w:hint="eastAsia"/>
        </w:rPr>
        <w:t>八</w:t>
      </w:r>
      <w:r>
        <w:t>次全会</w:t>
      </w:r>
      <w:r>
        <w:rPr>
          <w:rFonts w:hint="eastAsia"/>
        </w:rPr>
        <w:t>、省委涉藏工作会议</w:t>
      </w:r>
      <w:r>
        <w:t>和</w:t>
      </w:r>
      <w:r>
        <w:rPr>
          <w:rFonts w:hint="eastAsia"/>
        </w:rPr>
        <w:t>州委第十一届委员会第十次全体会议精神，按照《中共丹巴县委关于制定国民经济和社会发展第十四个五年规划和二〇三五年远景目标的建议》</w:t>
      </w:r>
      <w:r>
        <w:t>编制</w:t>
      </w:r>
      <w:r>
        <w:rPr>
          <w:rFonts w:hint="eastAsia"/>
        </w:rPr>
        <w:t>。</w:t>
      </w:r>
    </w:p>
    <w:p>
      <w:r>
        <w:rPr>
          <w:rFonts w:hint="eastAsia"/>
        </w:rPr>
        <w:t>《规划》</w:t>
      </w:r>
      <w:r>
        <w:t>明确未来五年</w:t>
      </w:r>
      <w:r>
        <w:rPr>
          <w:rFonts w:hint="eastAsia"/>
        </w:rPr>
        <w:t>丹巴</w:t>
      </w:r>
      <w:r>
        <w:t>经济社会发展的总体要求、奋斗目标和主要任务，是政府履行职责的重要依据，是市场主体决策的重要参考，是全</w:t>
      </w:r>
      <w:r>
        <w:rPr>
          <w:rFonts w:hint="eastAsia"/>
        </w:rPr>
        <w:t>县</w:t>
      </w:r>
      <w:r>
        <w:t>人民共同奋斗、</w:t>
      </w:r>
      <w:r>
        <w:rPr>
          <w:rFonts w:hint="eastAsia"/>
        </w:rPr>
        <w:t>实现丹巴长治久安和绿色高质量发展</w:t>
      </w:r>
      <w:r>
        <w:t>的行动指南和宏伟蓝图。</w:t>
      </w:r>
    </w:p>
    <w:p>
      <w:pPr>
        <w:pStyle w:val="2"/>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widowControl/>
        <w:spacing w:line="240" w:lineRule="auto"/>
        <w:ind w:firstLine="0" w:firstLineChars="0"/>
        <w:jc w:val="left"/>
        <w:rPr>
          <w:rFonts w:ascii="Arial" w:hAnsi="Arial" w:eastAsia="华文中宋"/>
          <w:b/>
          <w:sz w:val="84"/>
        </w:rPr>
      </w:pPr>
      <w:r>
        <w:br w:type="page"/>
      </w:r>
    </w:p>
    <w:p>
      <w:pPr>
        <w:jc w:val="center"/>
        <w:rPr>
          <w:b/>
          <w:bCs/>
        </w:rPr>
      </w:pPr>
      <w:r>
        <w:rPr>
          <w:rFonts w:hint="eastAsia"/>
          <w:b/>
          <w:bCs/>
        </w:rPr>
        <w:t xml:space="preserve">目 </w:t>
      </w:r>
      <w:r>
        <w:rPr>
          <w:b/>
          <w:bCs/>
        </w:rPr>
        <w:t xml:space="preserve"> </w:t>
      </w:r>
      <w:r>
        <w:rPr>
          <w:rFonts w:hint="eastAsia"/>
          <w:b/>
          <w:bCs/>
        </w:rPr>
        <w:t>录</w:t>
      </w:r>
    </w:p>
    <w:p>
      <w:pPr>
        <w:pStyle w:val="2"/>
      </w:pPr>
    </w:p>
    <w:p>
      <w:pPr>
        <w:pStyle w:val="16"/>
        <w:tabs>
          <w:tab w:val="right" w:leader="dot" w:pos="8834"/>
        </w:tabs>
        <w:rPr>
          <w:rFonts w:ascii="Calibri" w:hAnsi="Calibri" w:eastAsia="宋体" w:cs="Arial"/>
          <w:kern w:val="2"/>
          <w:sz w:val="21"/>
          <w:szCs w:val="22"/>
        </w:rPr>
      </w:pPr>
      <w:r>
        <w:rPr>
          <w:rFonts w:hint="eastAsia" w:ascii="仿宋_GB2312" w:eastAsia="仿宋_GB2312"/>
          <w:sz w:val="28"/>
          <w:szCs w:val="28"/>
        </w:rPr>
        <w:fldChar w:fldCharType="begin"/>
      </w:r>
      <w:r>
        <w:rPr>
          <w:rFonts w:hint="eastAsia" w:ascii="仿宋_GB2312" w:eastAsia="仿宋_GB2312"/>
          <w:sz w:val="28"/>
          <w:szCs w:val="28"/>
        </w:rPr>
        <w:instrText xml:space="preserve"> TOC \o "1-3" \h \z \u </w:instrText>
      </w:r>
      <w:r>
        <w:rPr>
          <w:rFonts w:hint="eastAsia" w:ascii="仿宋_GB2312" w:eastAsia="仿宋_GB2312"/>
          <w:sz w:val="28"/>
          <w:szCs w:val="28"/>
        </w:rPr>
        <w:fldChar w:fldCharType="separate"/>
      </w:r>
      <w:r>
        <w:fldChar w:fldCharType="begin"/>
      </w:r>
      <w:r>
        <w:instrText xml:space="preserve">Hyperlink \l "_Toc65597908"</w:instrText>
      </w:r>
      <w:r>
        <w:fldChar w:fldCharType="separate"/>
      </w:r>
      <w:r>
        <w:rPr>
          <w:rFonts w:hint="eastAsia"/>
        </w:rPr>
        <w:t>第一篇</w:t>
      </w:r>
      <w:r>
        <w:t xml:space="preserve"> </w:t>
      </w:r>
      <w:r>
        <w:rPr>
          <w:rFonts w:hint="eastAsia"/>
        </w:rPr>
        <w:t>开启丹巴现代化建设新征程</w:t>
      </w:r>
      <w:r>
        <w:tab/>
      </w:r>
      <w:r>
        <w:fldChar w:fldCharType="begin"/>
      </w:r>
      <w:r>
        <w:instrText xml:space="preserve"> PAGEREF _Toc65597908 \h </w:instrText>
      </w:r>
      <w:r>
        <w:fldChar w:fldCharType="separate"/>
      </w:r>
      <w:r>
        <w:t>1</w:t>
      </w:r>
      <w:r>
        <w:fldChar w:fldCharType="end"/>
      </w:r>
      <w:r>
        <w:fldChar w:fldCharType="end"/>
      </w:r>
    </w:p>
    <w:p>
      <w:pPr>
        <w:pStyle w:val="19"/>
        <w:tabs>
          <w:tab w:val="left" w:pos="2520"/>
          <w:tab w:val="right" w:leader="dot" w:pos="8834"/>
        </w:tabs>
        <w:rPr>
          <w:rFonts w:ascii="Calibri" w:hAnsi="Calibri" w:eastAsia="宋体" w:cs="Arial"/>
          <w:kern w:val="2"/>
          <w:sz w:val="21"/>
          <w:szCs w:val="22"/>
        </w:rPr>
      </w:pPr>
      <w:r>
        <w:fldChar w:fldCharType="begin"/>
      </w:r>
      <w:r>
        <w:instrText xml:space="preserve">Hyperlink \l "_Toc65597909"</w:instrText>
      </w:r>
      <w:r>
        <w:fldChar w:fldCharType="separate"/>
      </w:r>
      <w:r>
        <w:rPr>
          <w:rFonts w:hint="eastAsia"/>
        </w:rPr>
        <w:t>第一章</w:t>
      </w:r>
      <w:r>
        <w:rPr>
          <w:rFonts w:ascii="Calibri" w:hAnsi="Calibri" w:eastAsia="宋体" w:cs="Arial"/>
          <w:kern w:val="2"/>
          <w:sz w:val="21"/>
          <w:szCs w:val="22"/>
        </w:rPr>
        <w:tab/>
      </w:r>
      <w:r>
        <w:rPr>
          <w:rFonts w:hint="eastAsia"/>
        </w:rPr>
        <w:t>站在历史新起点</w:t>
      </w:r>
      <w:r>
        <w:tab/>
      </w:r>
      <w:r>
        <w:fldChar w:fldCharType="begin"/>
      </w:r>
      <w:r>
        <w:instrText xml:space="preserve"> PAGEREF _Toc65597909 \h </w:instrText>
      </w:r>
      <w:r>
        <w:fldChar w:fldCharType="separate"/>
      </w:r>
      <w:r>
        <w:t>1</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"_Toc65597910"</w:instrText>
      </w:r>
      <w:r>
        <w:fldChar w:fldCharType="separate"/>
      </w:r>
      <w:r>
        <w:rPr>
          <w:rFonts w:hint="eastAsia"/>
        </w:rPr>
        <w:t>第一节</w:t>
      </w:r>
      <w:r>
        <w:t xml:space="preserve"> </w:t>
      </w:r>
      <w:r>
        <w:rPr>
          <w:rFonts w:hint="eastAsia"/>
        </w:rPr>
        <w:t>全面建成小康社会</w:t>
      </w:r>
      <w:r>
        <w:tab/>
      </w:r>
      <w:r>
        <w:fldChar w:fldCharType="begin"/>
      </w:r>
      <w:r>
        <w:instrText xml:space="preserve"> PAGEREF _Toc65597910 \h </w:instrText>
      </w:r>
      <w:r>
        <w:fldChar w:fldCharType="separate"/>
      </w:r>
      <w:r>
        <w:t>1</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"_Toc65597911"</w:instrText>
      </w:r>
      <w:r>
        <w:fldChar w:fldCharType="separate"/>
      </w:r>
      <w:r>
        <w:rPr>
          <w:rFonts w:hint="eastAsia"/>
        </w:rPr>
        <w:t>第二节</w:t>
      </w:r>
      <w:r>
        <w:t xml:space="preserve"> </w:t>
      </w:r>
      <w:r>
        <w:rPr>
          <w:rFonts w:hint="eastAsia"/>
        </w:rPr>
        <w:t>面临形势和发展态势</w:t>
      </w:r>
      <w:r>
        <w:tab/>
      </w:r>
      <w:r>
        <w:fldChar w:fldCharType="begin"/>
      </w:r>
      <w:r>
        <w:instrText xml:space="preserve"> PAGEREF _Toc65597911 \h </w:instrText>
      </w:r>
      <w:r>
        <w:fldChar w:fldCharType="separate"/>
      </w:r>
      <w:r>
        <w:t>10</w:t>
      </w:r>
      <w:r>
        <w:fldChar w:fldCharType="end"/>
      </w:r>
      <w:r>
        <w:fldChar w:fldCharType="end"/>
      </w:r>
    </w:p>
    <w:p>
      <w:pPr>
        <w:pStyle w:val="19"/>
        <w:tabs>
          <w:tab w:val="left" w:pos="2520"/>
          <w:tab w:val="right" w:leader="dot" w:pos="8834"/>
        </w:tabs>
        <w:rPr>
          <w:rFonts w:ascii="Calibri" w:hAnsi="Calibri" w:eastAsia="宋体" w:cs="Arial"/>
          <w:kern w:val="2"/>
          <w:sz w:val="21"/>
          <w:szCs w:val="22"/>
        </w:rPr>
      </w:pPr>
      <w:r>
        <w:fldChar w:fldCharType="begin"/>
      </w:r>
      <w:r>
        <w:instrText xml:space="preserve">Hyperlink \l "_Toc65597912"</w:instrText>
      </w:r>
      <w:r>
        <w:fldChar w:fldCharType="separate"/>
      </w:r>
      <w:r>
        <w:rPr>
          <w:rFonts w:hint="eastAsia"/>
        </w:rPr>
        <w:t>第二章</w:t>
      </w:r>
      <w:r>
        <w:rPr>
          <w:rFonts w:ascii="Calibri" w:hAnsi="Calibri" w:eastAsia="宋体" w:cs="Arial"/>
          <w:kern w:val="2"/>
          <w:sz w:val="21"/>
          <w:szCs w:val="22"/>
        </w:rPr>
        <w:tab/>
      </w:r>
      <w:r>
        <w:rPr>
          <w:rFonts w:hint="eastAsia"/>
        </w:rPr>
        <w:t xml:space="preserve">建设美丽生态安全和谐社会主义现代化新丹巴                       </w:t>
      </w:r>
      <w:r>
        <w:tab/>
      </w:r>
      <w:r>
        <w:fldChar w:fldCharType="begin"/>
      </w:r>
      <w:r>
        <w:instrText xml:space="preserve"> PAGEREF _Toc65597912 \h </w:instrText>
      </w:r>
      <w:r>
        <w:fldChar w:fldCharType="separate"/>
      </w:r>
      <w:r>
        <w:t>17</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"_Toc65597913"</w:instrText>
      </w:r>
      <w:r>
        <w:fldChar w:fldCharType="separate"/>
      </w:r>
      <w:r>
        <w:rPr>
          <w:rFonts w:hint="eastAsia"/>
        </w:rPr>
        <w:t>第一节</w:t>
      </w:r>
      <w:r>
        <w:t xml:space="preserve"> </w:t>
      </w:r>
      <w:r>
        <w:rPr>
          <w:rFonts w:hint="eastAsia"/>
        </w:rPr>
        <w:t>指导思想</w:t>
      </w:r>
      <w:r>
        <w:tab/>
      </w:r>
      <w:r>
        <w:fldChar w:fldCharType="begin"/>
      </w:r>
      <w:r>
        <w:instrText xml:space="preserve"> PAGEREF _Toc65597913 \h </w:instrText>
      </w:r>
      <w:r>
        <w:fldChar w:fldCharType="separate"/>
      </w:r>
      <w:r>
        <w:t>17</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"_Toc65597914"</w:instrText>
      </w:r>
      <w:r>
        <w:fldChar w:fldCharType="separate"/>
      </w:r>
      <w:r>
        <w:rPr>
          <w:rFonts w:hint="eastAsia"/>
        </w:rPr>
        <w:t>第二节</w:t>
      </w:r>
      <w:r>
        <w:t xml:space="preserve"> </w:t>
      </w:r>
      <w:r>
        <w:rPr>
          <w:rFonts w:hint="eastAsia"/>
        </w:rPr>
        <w:t>基本原则</w:t>
      </w:r>
      <w:r>
        <w:tab/>
      </w:r>
      <w:r>
        <w:fldChar w:fldCharType="begin"/>
      </w:r>
      <w:r>
        <w:instrText xml:space="preserve"> PAGEREF _Toc65597914 \h </w:instrText>
      </w:r>
      <w:r>
        <w:fldChar w:fldCharType="separate"/>
      </w:r>
      <w:r>
        <w:t>18</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"_Toc65597915"</w:instrText>
      </w:r>
      <w:r>
        <w:fldChar w:fldCharType="separate"/>
      </w:r>
      <w:r>
        <w:rPr>
          <w:rFonts w:hint="eastAsia"/>
        </w:rPr>
        <w:t>第三节</w:t>
      </w:r>
      <w:r>
        <w:t xml:space="preserve"> </w:t>
      </w:r>
      <w:r>
        <w:rPr>
          <w:rFonts w:hint="eastAsia"/>
        </w:rPr>
        <w:t>发展目标</w:t>
      </w:r>
      <w:r>
        <w:tab/>
      </w:r>
      <w:r>
        <w:fldChar w:fldCharType="begin"/>
      </w:r>
      <w:r>
        <w:instrText xml:space="preserve"> PAGEREF _Toc65597915 \h </w:instrText>
      </w:r>
      <w:r>
        <w:fldChar w:fldCharType="separate"/>
      </w:r>
      <w:r>
        <w:t>19</w:t>
      </w:r>
      <w:r>
        <w:fldChar w:fldCharType="end"/>
      </w:r>
      <w:r>
        <w:fldChar w:fldCharType="end"/>
      </w:r>
    </w:p>
    <w:p>
      <w:pPr>
        <w:pStyle w:val="16"/>
        <w:tabs>
          <w:tab w:val="right" w:leader="dot" w:pos="8834"/>
        </w:tabs>
        <w:rPr>
          <w:rFonts w:ascii="Calibri" w:hAnsi="Calibri" w:eastAsia="宋体" w:cs="Arial"/>
          <w:kern w:val="2"/>
          <w:sz w:val="21"/>
          <w:szCs w:val="22"/>
        </w:rPr>
      </w:pPr>
      <w:r>
        <w:fldChar w:fldCharType="begin"/>
      </w:r>
      <w:r>
        <w:instrText xml:space="preserve">Hyperlink \l "_Toc65597916"</w:instrText>
      </w:r>
      <w:r>
        <w:fldChar w:fldCharType="separate"/>
      </w:r>
      <w:r>
        <w:rPr>
          <w:rFonts w:hint="eastAsia"/>
        </w:rPr>
        <w:t>第二篇</w:t>
      </w:r>
      <w:r>
        <w:t xml:space="preserve"> </w:t>
      </w:r>
      <w:r>
        <w:rPr>
          <w:rFonts w:hint="eastAsia"/>
        </w:rPr>
        <w:t>提高应急管理能力，健全公共安全机制</w:t>
      </w:r>
      <w:r>
        <w:tab/>
      </w:r>
      <w:r>
        <w:fldChar w:fldCharType="begin"/>
      </w:r>
      <w:r>
        <w:instrText xml:space="preserve"> PAGEREF _Toc65597916 \h </w:instrText>
      </w:r>
      <w:r>
        <w:fldChar w:fldCharType="separate"/>
      </w:r>
      <w:r>
        <w:t>29</w:t>
      </w:r>
      <w:r>
        <w:fldChar w:fldCharType="end"/>
      </w:r>
      <w:r>
        <w:fldChar w:fldCharType="end"/>
      </w:r>
    </w:p>
    <w:p>
      <w:pPr>
        <w:pStyle w:val="19"/>
        <w:tabs>
          <w:tab w:val="left" w:pos="2520"/>
          <w:tab w:val="right" w:leader="dot" w:pos="8834"/>
        </w:tabs>
        <w:rPr>
          <w:rFonts w:ascii="Calibri" w:hAnsi="Calibri" w:eastAsia="宋体" w:cs="Arial"/>
          <w:kern w:val="2"/>
          <w:sz w:val="21"/>
          <w:szCs w:val="22"/>
        </w:rPr>
      </w:pPr>
      <w:r>
        <w:fldChar w:fldCharType="begin"/>
      </w:r>
      <w:r>
        <w:instrText xml:space="preserve">Hyperlink \l "_Toc65597917"</w:instrText>
      </w:r>
      <w:r>
        <w:fldChar w:fldCharType="separate"/>
      </w:r>
      <w:r>
        <w:rPr>
          <w:rFonts w:hint="eastAsia"/>
        </w:rPr>
        <w:t>第三章</w:t>
      </w:r>
      <w:r>
        <w:rPr>
          <w:rFonts w:ascii="Calibri" w:hAnsi="Calibri" w:eastAsia="宋体" w:cs="Arial"/>
          <w:kern w:val="2"/>
          <w:sz w:val="21"/>
          <w:szCs w:val="22"/>
        </w:rPr>
        <w:tab/>
      </w:r>
      <w:r>
        <w:rPr>
          <w:rFonts w:hint="eastAsia"/>
        </w:rPr>
        <w:t>强化灾害治理</w:t>
      </w:r>
      <w:r>
        <w:tab/>
      </w:r>
      <w:r>
        <w:fldChar w:fldCharType="begin"/>
      </w:r>
      <w:r>
        <w:instrText xml:space="preserve"> PAGEREF _Toc65597917 \h </w:instrText>
      </w:r>
      <w:r>
        <w:fldChar w:fldCharType="separate"/>
      </w:r>
      <w:r>
        <w:t>29</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"_Toc65597918"</w:instrText>
      </w:r>
      <w:r>
        <w:fldChar w:fldCharType="separate"/>
      </w:r>
      <w:r>
        <w:rPr>
          <w:rFonts w:hint="eastAsia"/>
        </w:rPr>
        <w:t>第一节</w:t>
      </w:r>
      <w:r>
        <w:t xml:space="preserve"> </w:t>
      </w:r>
      <w:r>
        <w:rPr>
          <w:rFonts w:hint="eastAsia"/>
        </w:rPr>
        <w:t>坚持预防为先的防灾理念</w:t>
      </w:r>
      <w:r>
        <w:tab/>
      </w:r>
      <w:r>
        <w:fldChar w:fldCharType="begin"/>
      </w:r>
      <w:r>
        <w:instrText xml:space="preserve"> PAGEREF _Toc65597918 \h </w:instrText>
      </w:r>
      <w:r>
        <w:fldChar w:fldCharType="separate"/>
      </w:r>
      <w:r>
        <w:t>29</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"_Toc65597919"</w:instrText>
      </w:r>
      <w:r>
        <w:fldChar w:fldCharType="separate"/>
      </w:r>
      <w:r>
        <w:rPr>
          <w:rFonts w:hint="eastAsia"/>
        </w:rPr>
        <w:t>第二节</w:t>
      </w:r>
      <w:r>
        <w:t xml:space="preserve"> </w:t>
      </w:r>
      <w:r>
        <w:rPr>
          <w:rFonts w:hint="eastAsia"/>
        </w:rPr>
        <w:t>坚持全域治理的工作思路</w:t>
      </w:r>
      <w:r>
        <w:tab/>
      </w:r>
      <w:r>
        <w:fldChar w:fldCharType="begin"/>
      </w:r>
      <w:r>
        <w:instrText xml:space="preserve"> PAGEREF _Toc65597919 \h </w:instrText>
      </w:r>
      <w:r>
        <w:fldChar w:fldCharType="separate"/>
      </w:r>
      <w:r>
        <w:t>30</w:t>
      </w:r>
      <w:r>
        <w:fldChar w:fldCharType="end"/>
      </w:r>
      <w:r>
        <w:fldChar w:fldCharType="end"/>
      </w:r>
    </w:p>
    <w:p>
      <w:pPr>
        <w:pStyle w:val="19"/>
        <w:tabs>
          <w:tab w:val="left" w:pos="2520"/>
          <w:tab w:val="right" w:leader="dot" w:pos="8834"/>
        </w:tabs>
        <w:rPr>
          <w:rFonts w:ascii="Calibri" w:hAnsi="Calibri" w:eastAsia="宋体" w:cs="Arial"/>
          <w:kern w:val="2"/>
          <w:sz w:val="21"/>
          <w:szCs w:val="22"/>
        </w:rPr>
      </w:pPr>
      <w:r>
        <w:fldChar w:fldCharType="begin"/>
      </w:r>
      <w:r>
        <w:instrText xml:space="preserve">Hyperlink \l "_Toc65597920"</w:instrText>
      </w:r>
      <w:r>
        <w:fldChar w:fldCharType="separate"/>
      </w:r>
      <w:r>
        <w:rPr>
          <w:rFonts w:hint="eastAsia"/>
        </w:rPr>
        <w:t>第四章</w:t>
      </w:r>
      <w:r>
        <w:rPr>
          <w:rFonts w:ascii="Calibri" w:hAnsi="Calibri" w:eastAsia="宋体" w:cs="Arial"/>
          <w:kern w:val="2"/>
          <w:sz w:val="21"/>
          <w:szCs w:val="22"/>
        </w:rPr>
        <w:tab/>
      </w:r>
      <w:r>
        <w:rPr>
          <w:rFonts w:hint="eastAsia"/>
        </w:rPr>
        <w:t>提升应对突发事件应急能力</w:t>
      </w:r>
      <w:r>
        <w:tab/>
      </w:r>
      <w:r>
        <w:fldChar w:fldCharType="begin"/>
      </w:r>
      <w:r>
        <w:instrText xml:space="preserve"> PAGEREF _Toc65597920 \h </w:instrText>
      </w:r>
      <w:r>
        <w:fldChar w:fldCharType="separate"/>
      </w:r>
      <w:r>
        <w:t>30</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"_Toc65597921"</w:instrText>
      </w:r>
      <w:r>
        <w:fldChar w:fldCharType="separate"/>
      </w:r>
      <w:r>
        <w:rPr>
          <w:rFonts w:hint="eastAsia"/>
        </w:rPr>
        <w:t>第一节</w:t>
      </w:r>
      <w:r>
        <w:t xml:space="preserve"> </w:t>
      </w:r>
      <w:r>
        <w:rPr>
          <w:rFonts w:hint="eastAsia"/>
        </w:rPr>
        <w:t>强化应急处置能力</w:t>
      </w:r>
      <w:r>
        <w:tab/>
      </w:r>
      <w:r>
        <w:fldChar w:fldCharType="begin"/>
      </w:r>
      <w:r>
        <w:instrText xml:space="preserve"> PAGEREF _Toc65597921 \h </w:instrText>
      </w:r>
      <w:r>
        <w:fldChar w:fldCharType="separate"/>
      </w:r>
      <w:r>
        <w:t>30</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"_Toc65597922"</w:instrText>
      </w:r>
      <w:r>
        <w:fldChar w:fldCharType="separate"/>
      </w:r>
      <w:r>
        <w:rPr>
          <w:rFonts w:hint="eastAsia"/>
        </w:rPr>
        <w:t>第二节</w:t>
      </w:r>
      <w:r>
        <w:t xml:space="preserve"> </w:t>
      </w:r>
      <w:r>
        <w:rPr>
          <w:rFonts w:hint="eastAsia"/>
        </w:rPr>
        <w:t>健全应急保障体系</w:t>
      </w:r>
      <w:r>
        <w:tab/>
      </w:r>
      <w:r>
        <w:fldChar w:fldCharType="begin"/>
      </w:r>
      <w:r>
        <w:instrText xml:space="preserve"> PAGEREF _Toc65597922 \h </w:instrText>
      </w:r>
      <w:r>
        <w:fldChar w:fldCharType="separate"/>
      </w:r>
      <w:r>
        <w:t>31</w:t>
      </w:r>
      <w:r>
        <w:fldChar w:fldCharType="end"/>
      </w:r>
      <w:r>
        <w:fldChar w:fldCharType="end"/>
      </w:r>
    </w:p>
    <w:p>
      <w:pPr>
        <w:pStyle w:val="19"/>
        <w:tabs>
          <w:tab w:val="left" w:pos="2520"/>
          <w:tab w:val="right" w:leader="dot" w:pos="8834"/>
        </w:tabs>
        <w:rPr>
          <w:rFonts w:ascii="Calibri" w:hAnsi="Calibri" w:eastAsia="宋体" w:cs="Arial"/>
          <w:kern w:val="2"/>
          <w:sz w:val="21"/>
          <w:szCs w:val="22"/>
        </w:rPr>
      </w:pPr>
      <w:r>
        <w:fldChar w:fldCharType="begin"/>
      </w:r>
      <w:r>
        <w:instrText xml:space="preserve">Hyperlink \l "_Toc65597923"</w:instrText>
      </w:r>
      <w:r>
        <w:fldChar w:fldCharType="separate"/>
      </w:r>
      <w:r>
        <w:rPr>
          <w:rFonts w:hint="eastAsia"/>
        </w:rPr>
        <w:t>第五章</w:t>
      </w:r>
      <w:r>
        <w:rPr>
          <w:rFonts w:ascii="Calibri" w:hAnsi="Calibri" w:eastAsia="宋体" w:cs="Arial"/>
          <w:kern w:val="2"/>
          <w:sz w:val="21"/>
          <w:szCs w:val="22"/>
        </w:rPr>
        <w:tab/>
      </w:r>
      <w:r>
        <w:rPr>
          <w:rFonts w:hint="eastAsia"/>
        </w:rPr>
        <w:t>加快灾后重建</w:t>
      </w:r>
      <w:r>
        <w:tab/>
      </w:r>
      <w:r>
        <w:fldChar w:fldCharType="begin"/>
      </w:r>
      <w:r>
        <w:instrText xml:space="preserve"> PAGEREF _Toc65597923 \h </w:instrText>
      </w:r>
      <w:r>
        <w:fldChar w:fldCharType="separate"/>
      </w:r>
      <w:r>
        <w:t>33</w:t>
      </w:r>
      <w:r>
        <w:fldChar w:fldCharType="end"/>
      </w:r>
      <w:r>
        <w:fldChar w:fldCharType="end"/>
      </w:r>
    </w:p>
    <w:p>
      <w:pPr>
        <w:pStyle w:val="11"/>
        <w:tabs>
          <w:tab w:val="left" w:pos="2940"/>
          <w:tab w:val="right" w:leader="dot" w:pos="8834"/>
        </w:tabs>
        <w:rPr>
          <w:rFonts w:ascii="Calibri" w:hAnsi="Calibri" w:eastAsia="宋体" w:cs="Arial"/>
          <w:kern w:val="2"/>
          <w:sz w:val="21"/>
          <w:szCs w:val="22"/>
        </w:rPr>
      </w:pPr>
      <w:r>
        <w:fldChar w:fldCharType="begin"/>
      </w:r>
      <w:r>
        <w:instrText xml:space="preserve">Hyperlink \l "_Toc65597924"</w:instrText>
      </w:r>
      <w:r>
        <w:fldChar w:fldCharType="separate"/>
      </w:r>
      <w:r>
        <w:rPr>
          <w:rFonts w:hint="eastAsia"/>
        </w:rPr>
        <w:t>第一节</w:t>
      </w:r>
      <w:r>
        <w:rPr>
          <w:rFonts w:ascii="Calibri" w:hAnsi="Calibri" w:eastAsia="宋体" w:cs="Arial"/>
          <w:kern w:val="2"/>
          <w:sz w:val="21"/>
          <w:szCs w:val="22"/>
        </w:rPr>
        <w:tab/>
      </w:r>
      <w:r>
        <w:rPr>
          <w:rFonts w:hint="eastAsia"/>
        </w:rPr>
        <w:t>加强统筹规划、有序推进重建工作</w:t>
      </w:r>
      <w:r>
        <w:tab/>
      </w:r>
      <w:r>
        <w:fldChar w:fldCharType="begin"/>
      </w:r>
      <w:r>
        <w:instrText xml:space="preserve"> PAGEREF _Toc65597924 \h </w:instrText>
      </w:r>
      <w:r>
        <w:fldChar w:fldCharType="separate"/>
      </w:r>
      <w:r>
        <w:t>33</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"_Toc65597925"</w:instrText>
      </w:r>
      <w:r>
        <w:fldChar w:fldCharType="separate"/>
      </w:r>
      <w:r>
        <w:rPr>
          <w:rFonts w:hint="eastAsia"/>
        </w:rPr>
        <w:t>第二节</w:t>
      </w:r>
      <w:r>
        <w:t xml:space="preserve"> </w:t>
      </w:r>
      <w:r>
        <w:rPr>
          <w:rFonts w:hint="eastAsia"/>
        </w:rPr>
        <w:t>全力抓好灾后重建</w:t>
      </w:r>
      <w:r>
        <w:tab/>
      </w:r>
      <w:r>
        <w:fldChar w:fldCharType="begin"/>
      </w:r>
      <w:r>
        <w:instrText xml:space="preserve"> PAGEREF _Toc65597925 \h </w:instrText>
      </w:r>
      <w:r>
        <w:fldChar w:fldCharType="separate"/>
      </w:r>
      <w:r>
        <w:t>34</w:t>
      </w:r>
      <w:r>
        <w:fldChar w:fldCharType="end"/>
      </w:r>
      <w:r>
        <w:fldChar w:fldCharType="end"/>
      </w:r>
    </w:p>
    <w:p>
      <w:pPr>
        <w:pStyle w:val="16"/>
        <w:tabs>
          <w:tab w:val="right" w:leader="dot" w:pos="8834"/>
        </w:tabs>
        <w:rPr>
          <w:rFonts w:ascii="Calibri" w:hAnsi="Calibri" w:eastAsia="宋体" w:cs="Arial"/>
          <w:kern w:val="2"/>
          <w:sz w:val="21"/>
          <w:szCs w:val="22"/>
        </w:rPr>
      </w:pPr>
      <w:r>
        <w:fldChar w:fldCharType="begin"/>
      </w:r>
      <w:r>
        <w:instrText xml:space="preserve">Hyperlink \l "_Toc65597926"</w:instrText>
      </w:r>
      <w:r>
        <w:fldChar w:fldCharType="separate"/>
      </w:r>
      <w:r>
        <w:rPr>
          <w:rFonts w:hint="eastAsia"/>
        </w:rPr>
        <w:t>第三篇</w:t>
      </w:r>
      <w:r>
        <w:t xml:space="preserve"> </w:t>
      </w:r>
      <w:r>
        <w:rPr>
          <w:rFonts w:hint="eastAsia"/>
        </w:rPr>
        <w:t>加强生态环境保护，构建生态文明体系</w:t>
      </w:r>
      <w:r>
        <w:tab/>
      </w:r>
      <w:r>
        <w:fldChar w:fldCharType="begin"/>
      </w:r>
      <w:r>
        <w:instrText xml:space="preserve"> PAGEREF _Toc65597926 \h </w:instrText>
      </w:r>
      <w:r>
        <w:fldChar w:fldCharType="separate"/>
      </w:r>
      <w:r>
        <w:t>42</w:t>
      </w:r>
      <w:r>
        <w:fldChar w:fldCharType="end"/>
      </w:r>
      <w:r>
        <w:fldChar w:fldCharType="end"/>
      </w:r>
    </w:p>
    <w:p>
      <w:pPr>
        <w:pStyle w:val="19"/>
        <w:tabs>
          <w:tab w:val="left" w:pos="2520"/>
          <w:tab w:val="right" w:leader="dot" w:pos="8834"/>
        </w:tabs>
        <w:rPr>
          <w:rFonts w:ascii="Calibri" w:hAnsi="Calibri" w:eastAsia="宋体" w:cs="Arial"/>
          <w:kern w:val="2"/>
          <w:sz w:val="21"/>
          <w:szCs w:val="22"/>
        </w:rPr>
      </w:pPr>
      <w:r>
        <w:fldChar w:fldCharType="begin"/>
      </w:r>
      <w:r>
        <w:instrText xml:space="preserve">Hyperlink \l "_Toc65597927"</w:instrText>
      </w:r>
      <w:r>
        <w:fldChar w:fldCharType="separate"/>
      </w:r>
      <w:r>
        <w:rPr>
          <w:rFonts w:hint="eastAsia"/>
        </w:rPr>
        <w:t>第六章</w:t>
      </w:r>
      <w:r>
        <w:rPr>
          <w:rFonts w:ascii="Calibri" w:hAnsi="Calibri" w:eastAsia="宋体" w:cs="Arial"/>
          <w:kern w:val="2"/>
          <w:sz w:val="21"/>
          <w:szCs w:val="22"/>
        </w:rPr>
        <w:tab/>
      </w:r>
      <w:r>
        <w:rPr>
          <w:rFonts w:hint="eastAsia"/>
        </w:rPr>
        <w:t>推进生态资源大保护</w:t>
      </w:r>
      <w:r>
        <w:tab/>
      </w:r>
      <w:r>
        <w:fldChar w:fldCharType="begin"/>
      </w:r>
      <w:r>
        <w:instrText xml:space="preserve"> PAGEREF _Toc65597927 \h </w:instrText>
      </w:r>
      <w:r>
        <w:fldChar w:fldCharType="separate"/>
      </w:r>
      <w:r>
        <w:t>42</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"_Toc65597928"</w:instrText>
      </w:r>
      <w:r>
        <w:fldChar w:fldCharType="separate"/>
      </w:r>
      <w:r>
        <w:rPr>
          <w:rFonts w:hint="eastAsia"/>
        </w:rPr>
        <w:t>第一节</w:t>
      </w:r>
      <w:r>
        <w:t xml:space="preserve"> </w:t>
      </w:r>
      <w:r>
        <w:rPr>
          <w:rFonts w:hint="eastAsia"/>
        </w:rPr>
        <w:t>构筑全域生态屏障</w:t>
      </w:r>
      <w:r>
        <w:tab/>
      </w:r>
      <w:r>
        <w:fldChar w:fldCharType="begin"/>
      </w:r>
      <w:r>
        <w:instrText xml:space="preserve"> PAGEREF _Toc65597928 \h </w:instrText>
      </w:r>
      <w:r>
        <w:fldChar w:fldCharType="separate"/>
      </w:r>
      <w:r>
        <w:t>42</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"_Toc65597929"</w:instrText>
      </w:r>
      <w:r>
        <w:fldChar w:fldCharType="separate"/>
      </w:r>
      <w:r>
        <w:rPr>
          <w:rFonts w:hint="eastAsia"/>
        </w:rPr>
        <w:t>第二节</w:t>
      </w:r>
      <w:r>
        <w:t xml:space="preserve"> </w:t>
      </w:r>
      <w:r>
        <w:rPr>
          <w:rFonts w:hint="eastAsia"/>
        </w:rPr>
        <w:t>开展森林草地守护行动</w:t>
      </w:r>
      <w:r>
        <w:tab/>
      </w:r>
      <w:r>
        <w:fldChar w:fldCharType="begin"/>
      </w:r>
      <w:r>
        <w:instrText xml:space="preserve"> PAGEREF _Toc65597929 \h </w:instrText>
      </w:r>
      <w:r>
        <w:fldChar w:fldCharType="separate"/>
      </w:r>
      <w:r>
        <w:t>43</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"_Toc65597930"</w:instrText>
      </w:r>
      <w:r>
        <w:fldChar w:fldCharType="separate"/>
      </w:r>
      <w:r>
        <w:rPr>
          <w:rFonts w:hint="eastAsia"/>
        </w:rPr>
        <w:t>第三节</w:t>
      </w:r>
      <w:r>
        <w:t xml:space="preserve">  </w:t>
      </w:r>
      <w:r>
        <w:rPr>
          <w:rFonts w:hint="eastAsia"/>
        </w:rPr>
        <w:t>推进生态工程大建设</w:t>
      </w:r>
      <w:r>
        <w:tab/>
      </w:r>
      <w:r>
        <w:fldChar w:fldCharType="begin"/>
      </w:r>
      <w:r>
        <w:instrText xml:space="preserve"> PAGEREF _Toc65597930 \h </w:instrText>
      </w:r>
      <w:r>
        <w:fldChar w:fldCharType="separate"/>
      </w:r>
      <w:r>
        <w:t>45</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"_Toc65597931"</w:instrText>
      </w:r>
      <w:r>
        <w:fldChar w:fldCharType="separate"/>
      </w:r>
      <w:r>
        <w:rPr>
          <w:rFonts w:hint="eastAsia"/>
        </w:rPr>
        <w:t>第四节</w:t>
      </w:r>
      <w:r>
        <w:t xml:space="preserve">  </w:t>
      </w:r>
      <w:r>
        <w:rPr>
          <w:rFonts w:hint="eastAsia"/>
        </w:rPr>
        <w:t>探索建立生态补偿机制</w:t>
      </w:r>
      <w:r>
        <w:tab/>
      </w:r>
      <w:r>
        <w:fldChar w:fldCharType="begin"/>
      </w:r>
      <w:r>
        <w:instrText xml:space="preserve"> PAGEREF _Toc65597931 \h </w:instrText>
      </w:r>
      <w:r>
        <w:fldChar w:fldCharType="separate"/>
      </w:r>
      <w:r>
        <w:t>46</w:t>
      </w:r>
      <w:r>
        <w:fldChar w:fldCharType="end"/>
      </w:r>
      <w:r>
        <w:fldChar w:fldCharType="end"/>
      </w:r>
    </w:p>
    <w:p>
      <w:pPr>
        <w:pStyle w:val="19"/>
        <w:tabs>
          <w:tab w:val="left" w:pos="2520"/>
          <w:tab w:val="right" w:leader="dot" w:pos="8834"/>
        </w:tabs>
        <w:rPr>
          <w:rFonts w:ascii="Calibri" w:hAnsi="Calibri" w:eastAsia="宋体" w:cs="Arial"/>
          <w:kern w:val="2"/>
          <w:sz w:val="21"/>
          <w:szCs w:val="22"/>
        </w:rPr>
      </w:pPr>
      <w:r>
        <w:fldChar w:fldCharType="begin"/>
      </w:r>
      <w:r>
        <w:instrText xml:space="preserve">Hyperlink \l "_Toc65597932"</w:instrText>
      </w:r>
      <w:r>
        <w:fldChar w:fldCharType="separate"/>
      </w:r>
      <w:r>
        <w:rPr>
          <w:rFonts w:hint="eastAsia"/>
        </w:rPr>
        <w:t>第七章</w:t>
      </w:r>
      <w:r>
        <w:rPr>
          <w:rFonts w:ascii="Calibri" w:hAnsi="Calibri" w:eastAsia="宋体" w:cs="Arial"/>
          <w:kern w:val="2"/>
          <w:sz w:val="21"/>
          <w:szCs w:val="22"/>
        </w:rPr>
        <w:tab/>
      </w:r>
      <w:r>
        <w:rPr>
          <w:rFonts w:hint="eastAsia"/>
        </w:rPr>
        <w:t>推进生态环境大治理</w:t>
      </w:r>
      <w:r>
        <w:tab/>
      </w:r>
      <w:r>
        <w:fldChar w:fldCharType="begin"/>
      </w:r>
      <w:r>
        <w:instrText xml:space="preserve"> PAGEREF _Toc65597932 \h </w:instrText>
      </w:r>
      <w:r>
        <w:fldChar w:fldCharType="separate"/>
      </w:r>
      <w:r>
        <w:t>47</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"_Toc65597933"</w:instrText>
      </w:r>
      <w:r>
        <w:fldChar w:fldCharType="separate"/>
      </w:r>
      <w:r>
        <w:rPr>
          <w:rFonts w:hint="eastAsia"/>
        </w:rPr>
        <w:t>第一节</w:t>
      </w:r>
      <w:r>
        <w:t xml:space="preserve"> </w:t>
      </w:r>
      <w:r>
        <w:rPr>
          <w:rFonts w:hint="eastAsia"/>
        </w:rPr>
        <w:t>加强大气污染防治</w:t>
      </w:r>
      <w:r>
        <w:tab/>
      </w:r>
      <w:r>
        <w:fldChar w:fldCharType="begin"/>
      </w:r>
      <w:r>
        <w:instrText xml:space="preserve"> PAGEREF _Toc65597933 \h </w:instrText>
      </w:r>
      <w:r>
        <w:fldChar w:fldCharType="separate"/>
      </w:r>
      <w:r>
        <w:t>47</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"_Toc65597934"</w:instrText>
      </w:r>
      <w:r>
        <w:fldChar w:fldCharType="separate"/>
      </w:r>
      <w:r>
        <w:rPr>
          <w:rFonts w:hint="eastAsia"/>
        </w:rPr>
        <w:t>第二节</w:t>
      </w:r>
      <w:r>
        <w:t xml:space="preserve"> </w:t>
      </w:r>
      <w:r>
        <w:rPr>
          <w:rFonts w:hint="eastAsia"/>
        </w:rPr>
        <w:t>加强水污染防治</w:t>
      </w:r>
      <w:r>
        <w:tab/>
      </w:r>
      <w:r>
        <w:fldChar w:fldCharType="begin"/>
      </w:r>
      <w:r>
        <w:instrText xml:space="preserve"> PAGEREF _Toc65597934 \h </w:instrText>
      </w:r>
      <w:r>
        <w:fldChar w:fldCharType="separate"/>
      </w:r>
      <w:r>
        <w:t>47</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"_Toc65597935"</w:instrText>
      </w:r>
      <w:r>
        <w:fldChar w:fldCharType="separate"/>
      </w:r>
      <w:r>
        <w:rPr>
          <w:rFonts w:hint="eastAsia"/>
        </w:rPr>
        <w:t>第三节</w:t>
      </w:r>
      <w:r>
        <w:t xml:space="preserve"> </w:t>
      </w:r>
      <w:r>
        <w:rPr>
          <w:rFonts w:hint="eastAsia"/>
        </w:rPr>
        <w:t>加强土壤污染防治</w:t>
      </w:r>
      <w:r>
        <w:tab/>
      </w:r>
      <w:r>
        <w:fldChar w:fldCharType="begin"/>
      </w:r>
      <w:r>
        <w:instrText xml:space="preserve"> PAGEREF _Toc65597935 \h </w:instrText>
      </w:r>
      <w:r>
        <w:fldChar w:fldCharType="separate"/>
      </w:r>
      <w:r>
        <w:t>48</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"_Toc65597936"</w:instrText>
      </w:r>
      <w:r>
        <w:fldChar w:fldCharType="separate"/>
      </w:r>
      <w:r>
        <w:rPr>
          <w:rFonts w:hint="eastAsia"/>
        </w:rPr>
        <w:t>第四节</w:t>
      </w:r>
      <w:r>
        <w:t xml:space="preserve"> </w:t>
      </w:r>
      <w:r>
        <w:rPr>
          <w:rFonts w:hint="eastAsia"/>
        </w:rPr>
        <w:t>加强农业农村污染治理</w:t>
      </w:r>
      <w:r>
        <w:tab/>
      </w:r>
      <w:r>
        <w:fldChar w:fldCharType="begin"/>
      </w:r>
      <w:r>
        <w:instrText xml:space="preserve"> PAGEREF _Toc65597936 \h </w:instrText>
      </w:r>
      <w:r>
        <w:fldChar w:fldCharType="separate"/>
      </w:r>
      <w:r>
        <w:t>49</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"_Toc65597937"</w:instrText>
      </w:r>
      <w:r>
        <w:fldChar w:fldCharType="separate"/>
      </w:r>
      <w:r>
        <w:rPr>
          <w:rFonts w:hint="eastAsia"/>
        </w:rPr>
        <w:t>第五节</w:t>
      </w:r>
      <w:r>
        <w:t xml:space="preserve"> </w:t>
      </w:r>
      <w:r>
        <w:rPr>
          <w:rFonts w:hint="eastAsia"/>
        </w:rPr>
        <w:t>加强环境风险防控</w:t>
      </w:r>
      <w:r>
        <w:tab/>
      </w:r>
      <w:r>
        <w:fldChar w:fldCharType="begin"/>
      </w:r>
      <w:r>
        <w:instrText xml:space="preserve"> PAGEREF _Toc65597937 \h </w:instrText>
      </w:r>
      <w:r>
        <w:fldChar w:fldCharType="separate"/>
      </w:r>
      <w:r>
        <w:t>49</w:t>
      </w:r>
      <w:r>
        <w:fldChar w:fldCharType="end"/>
      </w:r>
      <w:r>
        <w:fldChar w:fldCharType="end"/>
      </w:r>
    </w:p>
    <w:p>
      <w:pPr>
        <w:pStyle w:val="19"/>
        <w:tabs>
          <w:tab w:val="left" w:pos="2520"/>
          <w:tab w:val="right" w:leader="dot" w:pos="8834"/>
        </w:tabs>
        <w:rPr>
          <w:rFonts w:ascii="Calibri" w:hAnsi="Calibri" w:eastAsia="宋体" w:cs="Arial"/>
          <w:kern w:val="2"/>
          <w:sz w:val="21"/>
          <w:szCs w:val="22"/>
        </w:rPr>
      </w:pPr>
      <w:r>
        <w:fldChar w:fldCharType="begin"/>
      </w:r>
      <w:r>
        <w:instrText xml:space="preserve">Hyperlink \l "_Toc65597938"</w:instrText>
      </w:r>
      <w:r>
        <w:fldChar w:fldCharType="separate"/>
      </w:r>
      <w:r>
        <w:rPr>
          <w:rFonts w:hint="eastAsia"/>
        </w:rPr>
        <w:t>第八章</w:t>
      </w:r>
      <w:r>
        <w:rPr>
          <w:rFonts w:ascii="Calibri" w:hAnsi="Calibri" w:eastAsia="宋体" w:cs="Arial"/>
          <w:kern w:val="2"/>
          <w:sz w:val="21"/>
          <w:szCs w:val="22"/>
        </w:rPr>
        <w:tab/>
      </w:r>
      <w:r>
        <w:rPr>
          <w:rFonts w:hint="eastAsia"/>
        </w:rPr>
        <w:t>推进绿色低碳大发展</w:t>
      </w:r>
      <w:r>
        <w:tab/>
      </w:r>
      <w:r>
        <w:fldChar w:fldCharType="begin"/>
      </w:r>
      <w:r>
        <w:instrText xml:space="preserve"> PAGEREF _Toc65597938 \h </w:instrText>
      </w:r>
      <w:r>
        <w:fldChar w:fldCharType="separate"/>
      </w:r>
      <w:r>
        <w:t>50</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"_Toc65597939"</w:instrText>
      </w:r>
      <w:r>
        <w:fldChar w:fldCharType="separate"/>
      </w:r>
      <w:r>
        <w:rPr>
          <w:rFonts w:hint="eastAsia"/>
        </w:rPr>
        <w:t>第一节</w:t>
      </w:r>
      <w:r>
        <w:t xml:space="preserve"> </w:t>
      </w:r>
      <w:r>
        <w:rPr>
          <w:rFonts w:hint="eastAsia"/>
        </w:rPr>
        <w:t>推进产业绿色升级改造</w:t>
      </w:r>
      <w:r>
        <w:tab/>
      </w:r>
      <w:r>
        <w:fldChar w:fldCharType="begin"/>
      </w:r>
      <w:r>
        <w:instrText xml:space="preserve"> PAGEREF _Toc65597939 \h </w:instrText>
      </w:r>
      <w:r>
        <w:fldChar w:fldCharType="separate"/>
      </w:r>
      <w:r>
        <w:t>50</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"_Toc65597940"</w:instrText>
      </w:r>
      <w:r>
        <w:fldChar w:fldCharType="separate"/>
      </w:r>
      <w:r>
        <w:rPr>
          <w:rFonts w:hint="eastAsia"/>
        </w:rPr>
        <w:t>第二节</w:t>
      </w:r>
      <w:r>
        <w:t xml:space="preserve"> </w:t>
      </w:r>
      <w:r>
        <w:rPr>
          <w:rFonts w:hint="eastAsia"/>
        </w:rPr>
        <w:t>发展农业循环经济</w:t>
      </w:r>
      <w:r>
        <w:tab/>
      </w:r>
      <w:r>
        <w:fldChar w:fldCharType="begin"/>
      </w:r>
      <w:r>
        <w:instrText xml:space="preserve"> PAGEREF _Toc65597940 \h </w:instrText>
      </w:r>
      <w:r>
        <w:fldChar w:fldCharType="separate"/>
      </w:r>
      <w:r>
        <w:t>51</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"_Toc65597941"</w:instrText>
      </w:r>
      <w:r>
        <w:fldChar w:fldCharType="separate"/>
      </w:r>
      <w:r>
        <w:rPr>
          <w:rFonts w:hint="eastAsia"/>
        </w:rPr>
        <w:t>第三节</w:t>
      </w:r>
      <w:r>
        <w:t xml:space="preserve"> </w:t>
      </w:r>
      <w:r>
        <w:rPr>
          <w:rFonts w:hint="eastAsia"/>
        </w:rPr>
        <w:t>建立资源高效利用制度</w:t>
      </w:r>
      <w:r>
        <w:tab/>
      </w:r>
      <w:r>
        <w:fldChar w:fldCharType="begin"/>
      </w:r>
      <w:r>
        <w:instrText xml:space="preserve"> PAGEREF _Toc65597941 \h </w:instrText>
      </w:r>
      <w:r>
        <w:fldChar w:fldCharType="separate"/>
      </w:r>
      <w:r>
        <w:t>51</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"_Toc65597942"</w:instrText>
      </w:r>
      <w:r>
        <w:fldChar w:fldCharType="separate"/>
      </w:r>
      <w:r>
        <w:rPr>
          <w:rFonts w:hint="eastAsia"/>
        </w:rPr>
        <w:t>第四节</w:t>
      </w:r>
      <w:r>
        <w:t xml:space="preserve"> </w:t>
      </w:r>
      <w:r>
        <w:rPr>
          <w:rFonts w:hint="eastAsia"/>
        </w:rPr>
        <w:t>探索绿色生活试点示范</w:t>
      </w:r>
      <w:r>
        <w:tab/>
      </w:r>
      <w:r>
        <w:fldChar w:fldCharType="begin"/>
      </w:r>
      <w:r>
        <w:instrText xml:space="preserve"> PAGEREF _Toc65597942 \h </w:instrText>
      </w:r>
      <w:r>
        <w:fldChar w:fldCharType="separate"/>
      </w:r>
      <w:r>
        <w:t>52</w:t>
      </w:r>
      <w:r>
        <w:fldChar w:fldCharType="end"/>
      </w:r>
      <w:r>
        <w:fldChar w:fldCharType="end"/>
      </w:r>
    </w:p>
    <w:p>
      <w:pPr>
        <w:pStyle w:val="16"/>
        <w:tabs>
          <w:tab w:val="right" w:leader="dot" w:pos="8834"/>
        </w:tabs>
        <w:rPr>
          <w:rFonts w:ascii="Calibri" w:hAnsi="Calibri" w:eastAsia="宋体" w:cs="Arial"/>
          <w:kern w:val="2"/>
          <w:sz w:val="21"/>
          <w:szCs w:val="22"/>
        </w:rPr>
      </w:pPr>
      <w:r>
        <w:fldChar w:fldCharType="begin"/>
      </w:r>
      <w:r>
        <w:instrText xml:space="preserve">Hyperlink \l "_Toc65597943"</w:instrText>
      </w:r>
      <w:r>
        <w:fldChar w:fldCharType="separate"/>
      </w:r>
      <w:r>
        <w:rPr>
          <w:rFonts w:hint="eastAsia"/>
        </w:rPr>
        <w:t>第四篇</w:t>
      </w:r>
      <w:r>
        <w:t xml:space="preserve"> </w:t>
      </w:r>
      <w:r>
        <w:rPr>
          <w:rFonts w:hint="eastAsia"/>
        </w:rPr>
        <w:t>加快生态产品价值转化，助推经济健康发展</w:t>
      </w:r>
      <w:r>
        <w:tab/>
      </w:r>
      <w:r>
        <w:fldChar w:fldCharType="begin"/>
      </w:r>
      <w:r>
        <w:instrText xml:space="preserve"> PAGEREF _Toc65597943 \h </w:instrText>
      </w:r>
      <w:r>
        <w:fldChar w:fldCharType="separate"/>
      </w:r>
      <w:r>
        <w:t>53</w:t>
      </w:r>
      <w:r>
        <w:fldChar w:fldCharType="end"/>
      </w:r>
      <w:r>
        <w:fldChar w:fldCharType="end"/>
      </w:r>
    </w:p>
    <w:p>
      <w:pPr>
        <w:pStyle w:val="19"/>
        <w:tabs>
          <w:tab w:val="left" w:pos="2520"/>
          <w:tab w:val="right" w:leader="dot" w:pos="8834"/>
        </w:tabs>
        <w:rPr>
          <w:rFonts w:ascii="Calibri" w:hAnsi="Calibri" w:eastAsia="宋体" w:cs="Arial"/>
          <w:kern w:val="2"/>
          <w:sz w:val="21"/>
          <w:szCs w:val="22"/>
        </w:rPr>
      </w:pPr>
      <w:r>
        <w:fldChar w:fldCharType="begin"/>
      </w:r>
      <w:r>
        <w:instrText xml:space="preserve">Hyperlink \l "_Toc65597944"</w:instrText>
      </w:r>
      <w:r>
        <w:fldChar w:fldCharType="separate"/>
      </w:r>
      <w:r>
        <w:rPr>
          <w:rFonts w:hint="eastAsia"/>
        </w:rPr>
        <w:t>第九章</w:t>
      </w:r>
      <w:r>
        <w:rPr>
          <w:rFonts w:ascii="Calibri" w:hAnsi="Calibri" w:eastAsia="宋体" w:cs="Arial"/>
          <w:kern w:val="2"/>
          <w:sz w:val="21"/>
          <w:szCs w:val="22"/>
        </w:rPr>
        <w:tab/>
      </w:r>
      <w:r>
        <w:rPr>
          <w:rFonts w:hint="eastAsia"/>
        </w:rPr>
        <w:t>推动生态特色文化旅游高端发展</w:t>
      </w:r>
      <w:r>
        <w:tab/>
      </w:r>
      <w:r>
        <w:fldChar w:fldCharType="begin"/>
      </w:r>
      <w:r>
        <w:instrText xml:space="preserve"> PAGEREF _Toc65597944 \h </w:instrText>
      </w:r>
      <w:r>
        <w:fldChar w:fldCharType="separate"/>
      </w:r>
      <w:r>
        <w:t>53</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"_Toc65597945"</w:instrText>
      </w:r>
      <w:r>
        <w:fldChar w:fldCharType="separate"/>
      </w:r>
      <w:r>
        <w:rPr>
          <w:rFonts w:hint="eastAsia"/>
        </w:rPr>
        <w:t>第一节</w:t>
      </w:r>
      <w:r>
        <w:t xml:space="preserve"> </w:t>
      </w:r>
      <w:r>
        <w:rPr>
          <w:rFonts w:hint="eastAsia"/>
        </w:rPr>
        <w:t>优化全域旅游发展</w:t>
      </w:r>
      <w:r>
        <w:tab/>
      </w:r>
      <w:r>
        <w:fldChar w:fldCharType="begin"/>
      </w:r>
      <w:r>
        <w:instrText xml:space="preserve"> PAGEREF _Toc65597945 \h </w:instrText>
      </w:r>
      <w:r>
        <w:fldChar w:fldCharType="separate"/>
      </w:r>
      <w:r>
        <w:t>53</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"_Toc65597946"</w:instrText>
      </w:r>
      <w:r>
        <w:fldChar w:fldCharType="separate"/>
      </w:r>
      <w:r>
        <w:rPr>
          <w:rFonts w:hint="eastAsia"/>
        </w:rPr>
        <w:t>第二节</w:t>
      </w:r>
      <w:r>
        <w:t xml:space="preserve"> </w:t>
      </w:r>
      <w:r>
        <w:rPr>
          <w:rFonts w:hint="eastAsia"/>
        </w:rPr>
        <w:t>打造特色旅游产品体系</w:t>
      </w:r>
      <w:r>
        <w:tab/>
      </w:r>
      <w:r>
        <w:fldChar w:fldCharType="begin"/>
      </w:r>
      <w:r>
        <w:instrText xml:space="preserve"> PAGEREF _Toc65597946 \h </w:instrText>
      </w:r>
      <w:r>
        <w:fldChar w:fldCharType="separate"/>
      </w:r>
      <w:r>
        <w:t>54</w:t>
      </w:r>
      <w:r>
        <w:fldChar w:fldCharType="end"/>
      </w:r>
      <w:r>
        <w:fldChar w:fldCharType="end"/>
      </w:r>
    </w:p>
    <w:p>
      <w:pPr>
        <w:pStyle w:val="19"/>
        <w:tabs>
          <w:tab w:val="left" w:pos="2520"/>
          <w:tab w:val="right" w:leader="dot" w:pos="8834"/>
        </w:tabs>
        <w:rPr>
          <w:rFonts w:ascii="Calibri" w:hAnsi="Calibri" w:eastAsia="宋体" w:cs="Arial"/>
          <w:kern w:val="2"/>
          <w:sz w:val="21"/>
          <w:szCs w:val="22"/>
        </w:rPr>
      </w:pPr>
      <w:r>
        <w:fldChar w:fldCharType="begin"/>
      </w:r>
      <w:r>
        <w:instrText xml:space="preserve">Hyperlink \l "_Toc65597947"</w:instrText>
      </w:r>
      <w:r>
        <w:fldChar w:fldCharType="separate"/>
      </w:r>
      <w:r>
        <w:rPr>
          <w:rFonts w:hint="eastAsia"/>
        </w:rPr>
        <w:t>第十章</w:t>
      </w:r>
      <w:r>
        <w:rPr>
          <w:rFonts w:ascii="Calibri" w:hAnsi="Calibri" w:eastAsia="宋体" w:cs="Arial"/>
          <w:kern w:val="2"/>
          <w:sz w:val="21"/>
          <w:szCs w:val="22"/>
        </w:rPr>
        <w:tab/>
      </w:r>
      <w:r>
        <w:rPr>
          <w:rFonts w:hint="eastAsia"/>
        </w:rPr>
        <w:t>做大做强现代特色农牧业</w:t>
      </w:r>
      <w:r>
        <w:tab/>
      </w:r>
      <w:r>
        <w:fldChar w:fldCharType="begin"/>
      </w:r>
      <w:r>
        <w:instrText xml:space="preserve"> PAGEREF _Toc65597947 \h </w:instrText>
      </w:r>
      <w:r>
        <w:fldChar w:fldCharType="separate"/>
      </w:r>
      <w:r>
        <w:t>57</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"_Toc65597948"</w:instrText>
      </w:r>
      <w:r>
        <w:fldChar w:fldCharType="separate"/>
      </w:r>
      <w:r>
        <w:rPr>
          <w:rFonts w:hint="eastAsia"/>
        </w:rPr>
        <w:t>第一节</w:t>
      </w:r>
      <w:r>
        <w:t xml:space="preserve"> </w:t>
      </w:r>
      <w:r>
        <w:rPr>
          <w:rFonts w:hint="eastAsia"/>
        </w:rPr>
        <w:t>打造现代农业</w:t>
      </w:r>
      <w:r>
        <w:tab/>
      </w:r>
      <w:r>
        <w:fldChar w:fldCharType="begin"/>
      </w:r>
      <w:r>
        <w:instrText xml:space="preserve"> PAGEREF _Toc65597948 \h </w:instrText>
      </w:r>
      <w:r>
        <w:fldChar w:fldCharType="separate"/>
      </w:r>
      <w:r>
        <w:t>57</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"_Toc65597949"</w:instrText>
      </w:r>
      <w:r>
        <w:fldChar w:fldCharType="separate"/>
      </w:r>
      <w:r>
        <w:rPr>
          <w:rFonts w:hint="eastAsia"/>
        </w:rPr>
        <w:t>第二节</w:t>
      </w:r>
      <w:r>
        <w:t xml:space="preserve"> </w:t>
      </w:r>
      <w:r>
        <w:rPr>
          <w:rFonts w:hint="eastAsia"/>
        </w:rPr>
        <w:t>实施品牌丹巴战略</w:t>
      </w:r>
      <w:r>
        <w:tab/>
      </w:r>
      <w:r>
        <w:fldChar w:fldCharType="begin"/>
      </w:r>
      <w:r>
        <w:instrText xml:space="preserve"> PAGEREF _Toc65597949 \h </w:instrText>
      </w:r>
      <w:r>
        <w:fldChar w:fldCharType="separate"/>
      </w:r>
      <w:r>
        <w:t>58</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"_Toc65597950"</w:instrText>
      </w:r>
      <w:r>
        <w:fldChar w:fldCharType="separate"/>
      </w:r>
      <w:r>
        <w:rPr>
          <w:rFonts w:hint="eastAsia"/>
        </w:rPr>
        <w:t>第十一章</w:t>
      </w:r>
      <w:r>
        <w:rPr>
          <w:rFonts w:ascii="Calibri" w:hAnsi="Calibri" w:eastAsia="宋体" w:cs="Arial"/>
          <w:kern w:val="2"/>
          <w:sz w:val="21"/>
          <w:szCs w:val="22"/>
        </w:rPr>
        <w:tab/>
      </w:r>
      <w:r>
        <w:rPr>
          <w:rFonts w:hint="eastAsia"/>
        </w:rPr>
        <w:t>多举措发展现代服务业</w:t>
      </w:r>
      <w:r>
        <w:tab/>
      </w:r>
      <w:r>
        <w:fldChar w:fldCharType="begin"/>
      </w:r>
      <w:r>
        <w:instrText xml:space="preserve"> PAGEREF _Toc65597950 \h </w:instrText>
      </w:r>
      <w:r>
        <w:fldChar w:fldCharType="separate"/>
      </w:r>
      <w:r>
        <w:t>58</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"_Toc65597951"</w:instrText>
      </w:r>
      <w:r>
        <w:fldChar w:fldCharType="separate"/>
      </w:r>
      <w:r>
        <w:rPr>
          <w:rFonts w:hint="eastAsia"/>
        </w:rPr>
        <w:t>第一节</w:t>
      </w:r>
      <w:r>
        <w:t xml:space="preserve"> </w:t>
      </w:r>
      <w:r>
        <w:rPr>
          <w:rFonts w:hint="eastAsia"/>
        </w:rPr>
        <w:t>完善现代服务业保障体系建设</w:t>
      </w:r>
      <w:r>
        <w:tab/>
      </w:r>
      <w:r>
        <w:fldChar w:fldCharType="begin"/>
      </w:r>
      <w:r>
        <w:instrText xml:space="preserve"> PAGEREF _Toc65597951 \h </w:instrText>
      </w:r>
      <w:r>
        <w:fldChar w:fldCharType="separate"/>
      </w:r>
      <w:r>
        <w:t>59</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"_Toc65597952"</w:instrText>
      </w:r>
      <w:r>
        <w:fldChar w:fldCharType="separate"/>
      </w:r>
      <w:r>
        <w:rPr>
          <w:rFonts w:hint="eastAsia"/>
        </w:rPr>
        <w:t>第二节</w:t>
      </w:r>
      <w:r>
        <w:t xml:space="preserve"> </w:t>
      </w:r>
      <w:r>
        <w:rPr>
          <w:rFonts w:hint="eastAsia"/>
        </w:rPr>
        <w:t>推动一二三产业融合</w:t>
      </w:r>
      <w:r>
        <w:tab/>
      </w:r>
      <w:r>
        <w:fldChar w:fldCharType="begin"/>
      </w:r>
      <w:r>
        <w:instrText xml:space="preserve"> PAGEREF _Toc65597952 \h </w:instrText>
      </w:r>
      <w:r>
        <w:fldChar w:fldCharType="separate"/>
      </w:r>
      <w:r>
        <w:t>59</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"_Toc65597953"</w:instrText>
      </w:r>
      <w:r>
        <w:fldChar w:fldCharType="separate"/>
      </w:r>
      <w:r>
        <w:rPr>
          <w:rFonts w:hint="eastAsia"/>
        </w:rPr>
        <w:t>第十二章</w:t>
      </w:r>
      <w:r>
        <w:rPr>
          <w:rFonts w:ascii="Calibri" w:hAnsi="Calibri" w:eastAsia="宋体" w:cs="Arial"/>
          <w:kern w:val="2"/>
          <w:sz w:val="21"/>
          <w:szCs w:val="22"/>
        </w:rPr>
        <w:tab/>
      </w:r>
      <w:r>
        <w:rPr>
          <w:rFonts w:hint="eastAsia"/>
        </w:rPr>
        <w:t>有序开展生态工业</w:t>
      </w:r>
      <w:r>
        <w:tab/>
      </w:r>
      <w:r>
        <w:fldChar w:fldCharType="begin"/>
      </w:r>
      <w:r>
        <w:instrText xml:space="preserve"> PAGEREF _Toc65597953 \h </w:instrText>
      </w:r>
      <w:r>
        <w:fldChar w:fldCharType="separate"/>
      </w:r>
      <w:r>
        <w:t>61</w:t>
      </w:r>
      <w:r>
        <w:fldChar w:fldCharType="end"/>
      </w:r>
      <w:r>
        <w:fldChar w:fldCharType="end"/>
      </w:r>
    </w:p>
    <w:p>
      <w:pPr>
        <w:pStyle w:val="16"/>
        <w:tabs>
          <w:tab w:val="right" w:leader="dot" w:pos="8834"/>
        </w:tabs>
        <w:rPr>
          <w:rFonts w:ascii="Calibri" w:hAnsi="Calibri" w:eastAsia="宋体" w:cs="Arial"/>
          <w:kern w:val="2"/>
          <w:sz w:val="21"/>
          <w:szCs w:val="22"/>
        </w:rPr>
      </w:pPr>
      <w:r>
        <w:fldChar w:fldCharType="begin"/>
      </w:r>
      <w:r>
        <w:instrText xml:space="preserve">Hyperlink \l "_Toc65597954"</w:instrText>
      </w:r>
      <w:r>
        <w:fldChar w:fldCharType="separate"/>
      </w:r>
      <w:r>
        <w:rPr>
          <w:rFonts w:hint="eastAsia"/>
        </w:rPr>
        <w:t>第五篇</w:t>
      </w:r>
      <w:r>
        <w:t xml:space="preserve"> </w:t>
      </w:r>
      <w:r>
        <w:rPr>
          <w:rFonts w:hint="eastAsia"/>
        </w:rPr>
        <w:t>加强基础设施建设，提供发展强力支撑</w:t>
      </w:r>
      <w:r>
        <w:tab/>
      </w:r>
      <w:r>
        <w:fldChar w:fldCharType="begin"/>
      </w:r>
      <w:r>
        <w:instrText xml:space="preserve"> PAGEREF _Toc65597954 \h </w:instrText>
      </w:r>
      <w:r>
        <w:fldChar w:fldCharType="separate"/>
      </w:r>
      <w:r>
        <w:t>65</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"_Toc65597955"</w:instrText>
      </w:r>
      <w:r>
        <w:fldChar w:fldCharType="separate"/>
      </w:r>
      <w:r>
        <w:rPr>
          <w:rFonts w:hint="eastAsia"/>
        </w:rPr>
        <w:t>第十三章</w:t>
      </w:r>
      <w:r>
        <w:rPr>
          <w:rFonts w:ascii="Calibri" w:hAnsi="Calibri" w:eastAsia="宋体" w:cs="Arial"/>
          <w:kern w:val="2"/>
          <w:sz w:val="21"/>
          <w:szCs w:val="22"/>
        </w:rPr>
        <w:tab/>
      </w:r>
      <w:r>
        <w:rPr>
          <w:rFonts w:hint="eastAsia"/>
        </w:rPr>
        <w:t>完善综合交通运输体系</w:t>
      </w:r>
      <w:r>
        <w:tab/>
      </w:r>
      <w:r>
        <w:fldChar w:fldCharType="begin"/>
      </w:r>
      <w:r>
        <w:instrText xml:space="preserve"> PAGEREF _Toc65597955 \h </w:instrText>
      </w:r>
      <w:r>
        <w:fldChar w:fldCharType="separate"/>
      </w:r>
      <w:r>
        <w:t>65</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"_Toc65597956"</w:instrText>
      </w:r>
      <w:r>
        <w:fldChar w:fldCharType="separate"/>
      </w:r>
      <w:r>
        <w:rPr>
          <w:rFonts w:hint="eastAsia"/>
        </w:rPr>
        <w:t>第一节</w:t>
      </w:r>
      <w:r>
        <w:t xml:space="preserve"> </w:t>
      </w:r>
      <w:r>
        <w:rPr>
          <w:rFonts w:hint="eastAsia"/>
        </w:rPr>
        <w:t>畅通丹巴对外通道</w:t>
      </w:r>
      <w:r>
        <w:tab/>
      </w:r>
      <w:r>
        <w:fldChar w:fldCharType="begin"/>
      </w:r>
      <w:r>
        <w:instrText xml:space="preserve"> PAGEREF _Toc65597956 \h </w:instrText>
      </w:r>
      <w:r>
        <w:fldChar w:fldCharType="separate"/>
      </w:r>
      <w:r>
        <w:t>65</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"_Toc65597957"</w:instrText>
      </w:r>
      <w:r>
        <w:fldChar w:fldCharType="separate"/>
      </w:r>
      <w:r>
        <w:rPr>
          <w:rFonts w:hint="eastAsia"/>
        </w:rPr>
        <w:t>第二节</w:t>
      </w:r>
      <w:r>
        <w:t xml:space="preserve"> </w:t>
      </w:r>
      <w:r>
        <w:rPr>
          <w:rFonts w:hint="eastAsia"/>
        </w:rPr>
        <w:t>完善内部网络</w:t>
      </w:r>
      <w:r>
        <w:tab/>
      </w:r>
      <w:r>
        <w:fldChar w:fldCharType="begin"/>
      </w:r>
      <w:r>
        <w:instrText xml:space="preserve"> PAGEREF _Toc65597957 \h </w:instrText>
      </w:r>
      <w:r>
        <w:fldChar w:fldCharType="separate"/>
      </w:r>
      <w:r>
        <w:t>66</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"_Toc65597958"</w:instrText>
      </w:r>
      <w:r>
        <w:fldChar w:fldCharType="separate"/>
      </w:r>
      <w:r>
        <w:rPr>
          <w:rFonts w:hint="eastAsia"/>
        </w:rPr>
        <w:t>第三节</w:t>
      </w:r>
      <w:r>
        <w:t xml:space="preserve"> </w:t>
      </w:r>
      <w:r>
        <w:rPr>
          <w:rFonts w:hint="eastAsia"/>
        </w:rPr>
        <w:t>提高运输效率</w:t>
      </w:r>
      <w:r>
        <w:tab/>
      </w:r>
      <w:r>
        <w:fldChar w:fldCharType="begin"/>
      </w:r>
      <w:r>
        <w:instrText xml:space="preserve"> PAGEREF _Toc65597958 \h </w:instrText>
      </w:r>
      <w:r>
        <w:fldChar w:fldCharType="separate"/>
      </w:r>
      <w:r>
        <w:t>66</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"_Toc65597959"</w:instrText>
      </w:r>
      <w:r>
        <w:fldChar w:fldCharType="separate"/>
      </w:r>
      <w:r>
        <w:rPr>
          <w:rFonts w:hint="eastAsia"/>
        </w:rPr>
        <w:t>第四节</w:t>
      </w:r>
      <w:r>
        <w:t xml:space="preserve"> </w:t>
      </w:r>
      <w:r>
        <w:rPr>
          <w:rFonts w:hint="eastAsia"/>
        </w:rPr>
        <w:t>夯实保障基础</w:t>
      </w:r>
      <w:r>
        <w:tab/>
      </w:r>
      <w:r>
        <w:fldChar w:fldCharType="begin"/>
      </w:r>
      <w:r>
        <w:instrText xml:space="preserve"> PAGEREF _Toc65597959 \h </w:instrText>
      </w:r>
      <w:r>
        <w:fldChar w:fldCharType="separate"/>
      </w:r>
      <w:r>
        <w:t>67</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"_Toc65597960"</w:instrText>
      </w:r>
      <w:r>
        <w:fldChar w:fldCharType="separate"/>
      </w:r>
      <w:r>
        <w:rPr>
          <w:rFonts w:hint="eastAsia"/>
        </w:rPr>
        <w:t>第十四章</w:t>
      </w:r>
      <w:r>
        <w:rPr>
          <w:rFonts w:ascii="Calibri" w:hAnsi="Calibri" w:eastAsia="宋体" w:cs="Arial"/>
          <w:kern w:val="2"/>
          <w:sz w:val="21"/>
          <w:szCs w:val="22"/>
        </w:rPr>
        <w:tab/>
      </w:r>
      <w:r>
        <w:rPr>
          <w:rFonts w:hint="eastAsia"/>
        </w:rPr>
        <w:t>加强能源基础设施建设</w:t>
      </w:r>
      <w:r>
        <w:tab/>
      </w:r>
      <w:r>
        <w:fldChar w:fldCharType="begin"/>
      </w:r>
      <w:r>
        <w:instrText xml:space="preserve"> PAGEREF _Toc65597960 \h </w:instrText>
      </w:r>
      <w:r>
        <w:fldChar w:fldCharType="separate"/>
      </w:r>
      <w:r>
        <w:t>68</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"_Toc65597961"</w:instrText>
      </w:r>
      <w:r>
        <w:fldChar w:fldCharType="separate"/>
      </w:r>
      <w:r>
        <w:rPr>
          <w:rFonts w:hint="eastAsia"/>
        </w:rPr>
        <w:t>第一节</w:t>
      </w:r>
      <w:r>
        <w:t xml:space="preserve"> </w:t>
      </w:r>
      <w:r>
        <w:rPr>
          <w:rFonts w:hint="eastAsia"/>
        </w:rPr>
        <w:t>强化能源通道建设</w:t>
      </w:r>
      <w:r>
        <w:tab/>
      </w:r>
      <w:r>
        <w:fldChar w:fldCharType="begin"/>
      </w:r>
      <w:r>
        <w:instrText xml:space="preserve"> PAGEREF _Toc65597961 \h </w:instrText>
      </w:r>
      <w:r>
        <w:fldChar w:fldCharType="separate"/>
      </w:r>
      <w:r>
        <w:t>68</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"_Toc65597962"</w:instrText>
      </w:r>
      <w:r>
        <w:fldChar w:fldCharType="separate"/>
      </w:r>
      <w:r>
        <w:rPr>
          <w:rFonts w:hint="eastAsia"/>
        </w:rPr>
        <w:t>第二节</w:t>
      </w:r>
      <w:r>
        <w:t xml:space="preserve"> </w:t>
      </w:r>
      <w:r>
        <w:rPr>
          <w:rFonts w:hint="eastAsia"/>
        </w:rPr>
        <w:t>推进清洁能源替代工程</w:t>
      </w:r>
      <w:r>
        <w:tab/>
      </w:r>
      <w:r>
        <w:fldChar w:fldCharType="begin"/>
      </w:r>
      <w:r>
        <w:instrText xml:space="preserve"> PAGEREF _Toc65597962 \h </w:instrText>
      </w:r>
      <w:r>
        <w:fldChar w:fldCharType="separate"/>
      </w:r>
      <w:r>
        <w:t>68</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"_Toc65597963"</w:instrText>
      </w:r>
      <w:r>
        <w:fldChar w:fldCharType="separate"/>
      </w:r>
      <w:r>
        <w:rPr>
          <w:rFonts w:hint="eastAsia"/>
        </w:rPr>
        <w:t>第十五章</w:t>
      </w:r>
      <w:r>
        <w:rPr>
          <w:rFonts w:ascii="Calibri" w:hAnsi="Calibri" w:eastAsia="宋体" w:cs="Arial"/>
          <w:kern w:val="2"/>
          <w:sz w:val="21"/>
          <w:szCs w:val="22"/>
        </w:rPr>
        <w:tab/>
      </w:r>
      <w:r>
        <w:rPr>
          <w:rFonts w:hint="eastAsia"/>
        </w:rPr>
        <w:t>加强水利基础设施建设</w:t>
      </w:r>
      <w:r>
        <w:tab/>
      </w:r>
      <w:r>
        <w:fldChar w:fldCharType="begin"/>
      </w:r>
      <w:r>
        <w:instrText xml:space="preserve"> PAGEREF _Toc65597963 \h </w:instrText>
      </w:r>
      <w:r>
        <w:fldChar w:fldCharType="separate"/>
      </w:r>
      <w:r>
        <w:t>69</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"_Toc65597964"</w:instrText>
      </w:r>
      <w:r>
        <w:fldChar w:fldCharType="separate"/>
      </w:r>
      <w:r>
        <w:rPr>
          <w:rFonts w:hint="eastAsia"/>
        </w:rPr>
        <w:t>第一节</w:t>
      </w:r>
      <w:r>
        <w:t xml:space="preserve"> </w:t>
      </w:r>
      <w:r>
        <w:rPr>
          <w:rFonts w:hint="eastAsia"/>
        </w:rPr>
        <w:t>加强引水灌溉工程建设</w:t>
      </w:r>
      <w:r>
        <w:tab/>
      </w:r>
      <w:r>
        <w:fldChar w:fldCharType="begin"/>
      </w:r>
      <w:r>
        <w:instrText xml:space="preserve"> PAGEREF _Toc65597964 \h </w:instrText>
      </w:r>
      <w:r>
        <w:fldChar w:fldCharType="separate"/>
      </w:r>
      <w:r>
        <w:t>69</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"_Toc65597965"</w:instrText>
      </w:r>
      <w:r>
        <w:fldChar w:fldCharType="separate"/>
      </w:r>
      <w:r>
        <w:rPr>
          <w:rFonts w:hint="eastAsia"/>
        </w:rPr>
        <w:t>第二节</w:t>
      </w:r>
      <w:r>
        <w:t xml:space="preserve"> </w:t>
      </w:r>
      <w:r>
        <w:rPr>
          <w:rFonts w:hint="eastAsia"/>
        </w:rPr>
        <w:t>提高城乡供水保障能力</w:t>
      </w:r>
      <w:r>
        <w:tab/>
      </w:r>
      <w:r>
        <w:fldChar w:fldCharType="begin"/>
      </w:r>
      <w:r>
        <w:instrText xml:space="preserve"> PAGEREF _Toc65597965 \h </w:instrText>
      </w:r>
      <w:r>
        <w:fldChar w:fldCharType="separate"/>
      </w:r>
      <w:r>
        <w:t>70</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"_Toc65597966"</w:instrText>
      </w:r>
      <w:r>
        <w:fldChar w:fldCharType="separate"/>
      </w:r>
      <w:r>
        <w:rPr>
          <w:rFonts w:hint="eastAsia"/>
        </w:rPr>
        <w:t>第三节</w:t>
      </w:r>
      <w:r>
        <w:t xml:space="preserve"> </w:t>
      </w:r>
      <w:r>
        <w:rPr>
          <w:rFonts w:hint="eastAsia"/>
        </w:rPr>
        <w:t>增强防洪减灾能力</w:t>
      </w:r>
      <w:r>
        <w:tab/>
      </w:r>
      <w:r>
        <w:fldChar w:fldCharType="begin"/>
      </w:r>
      <w:r>
        <w:instrText xml:space="preserve"> PAGEREF _Toc65597966 \h </w:instrText>
      </w:r>
      <w:r>
        <w:fldChar w:fldCharType="separate"/>
      </w:r>
      <w:r>
        <w:t>70</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"_Toc65597967"</w:instrText>
      </w:r>
      <w:r>
        <w:fldChar w:fldCharType="separate"/>
      </w:r>
      <w:r>
        <w:rPr>
          <w:rFonts w:hint="eastAsia"/>
        </w:rPr>
        <w:t>第四节</w:t>
      </w:r>
      <w:r>
        <w:t xml:space="preserve"> </w:t>
      </w:r>
      <w:r>
        <w:rPr>
          <w:rFonts w:hint="eastAsia"/>
        </w:rPr>
        <w:t>促进水能资源可持续发展</w:t>
      </w:r>
      <w:r>
        <w:tab/>
      </w:r>
      <w:r>
        <w:fldChar w:fldCharType="begin"/>
      </w:r>
      <w:r>
        <w:instrText xml:space="preserve"> PAGEREF _Toc65597967 \h </w:instrText>
      </w:r>
      <w:r>
        <w:fldChar w:fldCharType="separate"/>
      </w:r>
      <w:r>
        <w:t>71</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"_Toc65597968"</w:instrText>
      </w:r>
      <w:r>
        <w:fldChar w:fldCharType="separate"/>
      </w:r>
      <w:r>
        <w:rPr>
          <w:rFonts w:hint="eastAsia"/>
        </w:rPr>
        <w:t>第十六章</w:t>
      </w:r>
      <w:r>
        <w:rPr>
          <w:rFonts w:ascii="Calibri" w:hAnsi="Calibri" w:eastAsia="宋体" w:cs="Arial"/>
          <w:kern w:val="2"/>
          <w:sz w:val="21"/>
          <w:szCs w:val="22"/>
        </w:rPr>
        <w:tab/>
      </w:r>
      <w:r>
        <w:rPr>
          <w:rFonts w:hint="eastAsia"/>
        </w:rPr>
        <w:t>加强人居环境基础设施建设</w:t>
      </w:r>
      <w:r>
        <w:tab/>
      </w:r>
      <w:r>
        <w:fldChar w:fldCharType="begin"/>
      </w:r>
      <w:r>
        <w:instrText xml:space="preserve"> PAGEREF _Toc65597968 \h </w:instrText>
      </w:r>
      <w:r>
        <w:fldChar w:fldCharType="separate"/>
      </w:r>
      <w:r>
        <w:t>72</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"_Toc65597969"</w:instrText>
      </w:r>
      <w:r>
        <w:fldChar w:fldCharType="separate"/>
      </w:r>
      <w:r>
        <w:rPr>
          <w:rFonts w:hint="eastAsia"/>
        </w:rPr>
        <w:t>第一节</w:t>
      </w:r>
      <w:r>
        <w:t xml:space="preserve"> </w:t>
      </w:r>
      <w:r>
        <w:rPr>
          <w:rFonts w:hint="eastAsia"/>
        </w:rPr>
        <w:t>加强生活垃圾治理</w:t>
      </w:r>
      <w:r>
        <w:tab/>
      </w:r>
      <w:r>
        <w:fldChar w:fldCharType="begin"/>
      </w:r>
      <w:r>
        <w:instrText xml:space="preserve"> PAGEREF _Toc65597969 \h </w:instrText>
      </w:r>
      <w:r>
        <w:fldChar w:fldCharType="separate"/>
      </w:r>
      <w:r>
        <w:t>72</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"_Toc65597970"</w:instrText>
      </w:r>
      <w:r>
        <w:fldChar w:fldCharType="separate"/>
      </w:r>
      <w:r>
        <w:rPr>
          <w:rFonts w:hint="eastAsia"/>
        </w:rPr>
        <w:t>第二节</w:t>
      </w:r>
      <w:r>
        <w:t xml:space="preserve"> </w:t>
      </w:r>
      <w:r>
        <w:rPr>
          <w:rFonts w:hint="eastAsia"/>
        </w:rPr>
        <w:t>提高污水治理能力</w:t>
      </w:r>
      <w:r>
        <w:tab/>
      </w:r>
      <w:r>
        <w:fldChar w:fldCharType="begin"/>
      </w:r>
      <w:r>
        <w:instrText xml:space="preserve"> PAGEREF _Toc65597970 \h </w:instrText>
      </w:r>
      <w:r>
        <w:fldChar w:fldCharType="separate"/>
      </w:r>
      <w:r>
        <w:t>72</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"_Toc65597971"</w:instrText>
      </w:r>
      <w:r>
        <w:fldChar w:fldCharType="separate"/>
      </w:r>
      <w:r>
        <w:rPr>
          <w:rFonts w:hint="eastAsia"/>
        </w:rPr>
        <w:t>第三节</w:t>
      </w:r>
      <w:r>
        <w:t xml:space="preserve"> </w:t>
      </w:r>
      <w:r>
        <w:rPr>
          <w:rFonts w:hint="eastAsia"/>
        </w:rPr>
        <w:t>推进“厕所革命”</w:t>
      </w:r>
      <w:r>
        <w:tab/>
      </w:r>
      <w:r>
        <w:fldChar w:fldCharType="begin"/>
      </w:r>
      <w:r>
        <w:instrText xml:space="preserve"> PAGEREF _Toc65597971 \h </w:instrText>
      </w:r>
      <w:r>
        <w:fldChar w:fldCharType="separate"/>
      </w:r>
      <w:r>
        <w:t>73</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"_Toc65597972"</w:instrText>
      </w:r>
      <w:r>
        <w:fldChar w:fldCharType="separate"/>
      </w:r>
      <w:r>
        <w:rPr>
          <w:rFonts w:hint="eastAsia"/>
        </w:rPr>
        <w:t>第十七章</w:t>
      </w:r>
      <w:r>
        <w:rPr>
          <w:rFonts w:ascii="Calibri" w:hAnsi="Calibri" w:eastAsia="宋体" w:cs="Arial"/>
          <w:kern w:val="2"/>
          <w:sz w:val="21"/>
          <w:szCs w:val="22"/>
        </w:rPr>
        <w:tab/>
      </w:r>
      <w:r>
        <w:rPr>
          <w:rFonts w:hint="eastAsia"/>
        </w:rPr>
        <w:t>加快新型基础设施建设</w:t>
      </w:r>
      <w:r>
        <w:tab/>
      </w:r>
      <w:r>
        <w:fldChar w:fldCharType="begin"/>
      </w:r>
      <w:r>
        <w:instrText xml:space="preserve"> PAGEREF _Toc65597972 \h </w:instrText>
      </w:r>
      <w:r>
        <w:fldChar w:fldCharType="separate"/>
      </w:r>
      <w:r>
        <w:t>73</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"_Toc65597973"</w:instrText>
      </w:r>
      <w:r>
        <w:fldChar w:fldCharType="separate"/>
      </w:r>
      <w:r>
        <w:rPr>
          <w:rFonts w:hint="eastAsia"/>
        </w:rPr>
        <w:t>第一节</w:t>
      </w:r>
      <w:r>
        <w:t xml:space="preserve"> </w:t>
      </w:r>
      <w:r>
        <w:rPr>
          <w:rFonts w:hint="eastAsia"/>
        </w:rPr>
        <w:t>强化网络设施建设</w:t>
      </w:r>
      <w:r>
        <w:tab/>
      </w:r>
      <w:r>
        <w:fldChar w:fldCharType="begin"/>
      </w:r>
      <w:r>
        <w:instrText xml:space="preserve"> PAGEREF _Toc65597973 \h </w:instrText>
      </w:r>
      <w:r>
        <w:fldChar w:fldCharType="separate"/>
      </w:r>
      <w:r>
        <w:t>73</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"_Toc65597974"</w:instrText>
      </w:r>
      <w:r>
        <w:fldChar w:fldCharType="separate"/>
      </w:r>
      <w:r>
        <w:rPr>
          <w:rFonts w:hint="eastAsia"/>
        </w:rPr>
        <w:t>第二节</w:t>
      </w:r>
      <w:r>
        <w:t xml:space="preserve"> </w:t>
      </w:r>
      <w:r>
        <w:rPr>
          <w:rFonts w:hint="eastAsia"/>
        </w:rPr>
        <w:t>提升农村及偏远地区信息通信水平</w:t>
      </w:r>
      <w:r>
        <w:tab/>
      </w:r>
      <w:r>
        <w:fldChar w:fldCharType="begin"/>
      </w:r>
      <w:r>
        <w:instrText xml:space="preserve"> PAGEREF _Toc65597974 \h </w:instrText>
      </w:r>
      <w:r>
        <w:fldChar w:fldCharType="separate"/>
      </w:r>
      <w:r>
        <w:t>74</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"_Toc65597975"</w:instrText>
      </w:r>
      <w:r>
        <w:fldChar w:fldCharType="separate"/>
      </w:r>
      <w:r>
        <w:rPr>
          <w:rFonts w:hint="eastAsia"/>
        </w:rPr>
        <w:t>第三节</w:t>
      </w:r>
      <w:r>
        <w:t xml:space="preserve"> </w:t>
      </w:r>
      <w:r>
        <w:rPr>
          <w:rFonts w:hint="eastAsia"/>
        </w:rPr>
        <w:t>提高网络与信息安全保障能力</w:t>
      </w:r>
      <w:r>
        <w:tab/>
      </w:r>
      <w:r>
        <w:fldChar w:fldCharType="begin"/>
      </w:r>
      <w:r>
        <w:instrText xml:space="preserve"> PAGEREF _Toc65597975 \h </w:instrText>
      </w:r>
      <w:r>
        <w:fldChar w:fldCharType="separate"/>
      </w:r>
      <w:r>
        <w:t>74</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"_Toc65597976"</w:instrText>
      </w:r>
      <w:r>
        <w:fldChar w:fldCharType="separate"/>
      </w:r>
      <w:r>
        <w:rPr>
          <w:rFonts w:hint="eastAsia"/>
        </w:rPr>
        <w:t>第四节</w:t>
      </w:r>
      <w:r>
        <w:t xml:space="preserve"> </w:t>
      </w:r>
      <w:r>
        <w:rPr>
          <w:rFonts w:hint="eastAsia"/>
        </w:rPr>
        <w:t>加快智慧城市功能平台建设</w:t>
      </w:r>
      <w:r>
        <w:tab/>
      </w:r>
      <w:r>
        <w:fldChar w:fldCharType="begin"/>
      </w:r>
      <w:r>
        <w:instrText xml:space="preserve"> PAGEREF _Toc65597976 \h </w:instrText>
      </w:r>
      <w:r>
        <w:fldChar w:fldCharType="separate"/>
      </w:r>
      <w:r>
        <w:t>75</w:t>
      </w:r>
      <w:r>
        <w:fldChar w:fldCharType="end"/>
      </w:r>
      <w:r>
        <w:fldChar w:fldCharType="end"/>
      </w:r>
    </w:p>
    <w:p>
      <w:pPr>
        <w:pStyle w:val="16"/>
        <w:tabs>
          <w:tab w:val="right" w:leader="dot" w:pos="8834"/>
        </w:tabs>
        <w:rPr>
          <w:rFonts w:ascii="Calibri" w:hAnsi="Calibri" w:eastAsia="宋体" w:cs="Arial"/>
          <w:kern w:val="2"/>
          <w:sz w:val="21"/>
          <w:szCs w:val="22"/>
        </w:rPr>
      </w:pPr>
      <w:r>
        <w:fldChar w:fldCharType="begin"/>
      </w:r>
      <w:r>
        <w:instrText xml:space="preserve">Hyperlink \l "_Toc65597977"</w:instrText>
      </w:r>
      <w:r>
        <w:fldChar w:fldCharType="separate"/>
      </w:r>
      <w:r>
        <w:rPr>
          <w:rFonts w:hint="eastAsia"/>
        </w:rPr>
        <w:t>第六篇</w:t>
      </w:r>
      <w:r>
        <w:t xml:space="preserve"> </w:t>
      </w:r>
      <w:r>
        <w:rPr>
          <w:rFonts w:hint="eastAsia"/>
        </w:rPr>
        <w:t>提高空间聚集水平，优化城乡发展格局</w:t>
      </w:r>
      <w:r>
        <w:tab/>
      </w:r>
      <w:r>
        <w:fldChar w:fldCharType="begin"/>
      </w:r>
      <w:r>
        <w:instrText xml:space="preserve"> PAGEREF _Toc65597977 \h </w:instrText>
      </w:r>
      <w:r>
        <w:fldChar w:fldCharType="separate"/>
      </w:r>
      <w:r>
        <w:t>77</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"_Toc65597978"</w:instrText>
      </w:r>
      <w:r>
        <w:fldChar w:fldCharType="separate"/>
      </w:r>
      <w:r>
        <w:rPr>
          <w:rFonts w:hint="eastAsia"/>
        </w:rPr>
        <w:t>第十八章</w:t>
      </w:r>
      <w:r>
        <w:rPr>
          <w:rFonts w:ascii="Calibri" w:hAnsi="Calibri" w:eastAsia="宋体" w:cs="Arial"/>
          <w:kern w:val="2"/>
          <w:sz w:val="21"/>
          <w:szCs w:val="22"/>
        </w:rPr>
        <w:tab/>
      </w:r>
      <w:r>
        <w:rPr>
          <w:rFonts w:hint="eastAsia"/>
        </w:rPr>
        <w:t>统筹国土空间格局</w:t>
      </w:r>
      <w:r>
        <w:tab/>
      </w:r>
      <w:r>
        <w:fldChar w:fldCharType="begin"/>
      </w:r>
      <w:r>
        <w:instrText xml:space="preserve"> PAGEREF _Toc65597978 \h </w:instrText>
      </w:r>
      <w:r>
        <w:fldChar w:fldCharType="separate"/>
      </w:r>
      <w:r>
        <w:t>77</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"_Toc65597979"</w:instrText>
      </w:r>
      <w:r>
        <w:fldChar w:fldCharType="separate"/>
      </w:r>
      <w:r>
        <w:rPr>
          <w:rFonts w:hint="eastAsia"/>
        </w:rPr>
        <w:t>第一节</w:t>
      </w:r>
      <w:r>
        <w:t xml:space="preserve"> </w:t>
      </w:r>
      <w:r>
        <w:rPr>
          <w:rFonts w:hint="eastAsia"/>
        </w:rPr>
        <w:t>优化国土空间开发与总体格局</w:t>
      </w:r>
      <w:r>
        <w:tab/>
      </w:r>
      <w:r>
        <w:fldChar w:fldCharType="begin"/>
      </w:r>
      <w:r>
        <w:instrText xml:space="preserve"> PAGEREF _Toc65597979 \h </w:instrText>
      </w:r>
      <w:r>
        <w:fldChar w:fldCharType="separate"/>
      </w:r>
      <w:r>
        <w:t>77</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"_Toc65597980"</w:instrText>
      </w:r>
      <w:r>
        <w:fldChar w:fldCharType="separate"/>
      </w:r>
      <w:r>
        <w:rPr>
          <w:rFonts w:hint="eastAsia"/>
        </w:rPr>
        <w:t>第二节</w:t>
      </w:r>
      <w:r>
        <w:t xml:space="preserve"> </w:t>
      </w:r>
      <w:r>
        <w:rPr>
          <w:rFonts w:hint="eastAsia"/>
        </w:rPr>
        <w:t>提高国土空间管控能力</w:t>
      </w:r>
      <w:r>
        <w:tab/>
      </w:r>
      <w:r>
        <w:fldChar w:fldCharType="begin"/>
      </w:r>
      <w:r>
        <w:instrText xml:space="preserve"> PAGEREF _Toc65597980 \h </w:instrText>
      </w:r>
      <w:r>
        <w:fldChar w:fldCharType="separate"/>
      </w:r>
      <w:r>
        <w:t>78</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"_Toc65597981"</w:instrText>
      </w:r>
      <w:r>
        <w:fldChar w:fldCharType="separate"/>
      </w:r>
      <w:r>
        <w:rPr>
          <w:rFonts w:hint="eastAsia"/>
        </w:rPr>
        <w:t>第三节</w:t>
      </w:r>
      <w:r>
        <w:t xml:space="preserve"> </w:t>
      </w:r>
      <w:r>
        <w:rPr>
          <w:rFonts w:hint="eastAsia"/>
        </w:rPr>
        <w:t>提升国土空间治理能力</w:t>
      </w:r>
      <w:r>
        <w:tab/>
      </w:r>
      <w:r>
        <w:fldChar w:fldCharType="begin"/>
      </w:r>
      <w:r>
        <w:instrText xml:space="preserve"> PAGEREF _Toc65597981 \h </w:instrText>
      </w:r>
      <w:r>
        <w:fldChar w:fldCharType="separate"/>
      </w:r>
      <w:r>
        <w:t>78</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"_Toc65597982"</w:instrText>
      </w:r>
      <w:r>
        <w:fldChar w:fldCharType="separate"/>
      </w:r>
      <w:r>
        <w:rPr>
          <w:rFonts w:hint="eastAsia"/>
        </w:rPr>
        <w:t>第十九章</w:t>
      </w:r>
      <w:r>
        <w:rPr>
          <w:rFonts w:ascii="Calibri" w:hAnsi="Calibri" w:eastAsia="宋体" w:cs="Arial"/>
          <w:kern w:val="2"/>
          <w:sz w:val="21"/>
          <w:szCs w:val="22"/>
        </w:rPr>
        <w:tab/>
      </w:r>
      <w:r>
        <w:rPr>
          <w:rFonts w:hint="eastAsia"/>
        </w:rPr>
        <w:t>实施乡村振兴战略</w:t>
      </w:r>
      <w:r>
        <w:tab/>
      </w:r>
      <w:r>
        <w:fldChar w:fldCharType="begin"/>
      </w:r>
      <w:r>
        <w:instrText xml:space="preserve"> PAGEREF _Toc65597982 \h </w:instrText>
      </w:r>
      <w:r>
        <w:fldChar w:fldCharType="separate"/>
      </w:r>
      <w:r>
        <w:t>79</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"_Toc65597983"</w:instrText>
      </w:r>
      <w:r>
        <w:fldChar w:fldCharType="separate"/>
      </w:r>
      <w:r>
        <w:rPr>
          <w:rFonts w:hint="eastAsia"/>
        </w:rPr>
        <w:t>第一节</w:t>
      </w:r>
      <w:r>
        <w:t xml:space="preserve"> </w:t>
      </w:r>
      <w:r>
        <w:rPr>
          <w:rFonts w:hint="eastAsia"/>
        </w:rPr>
        <w:t>巩固脱贫攻坚成果</w:t>
      </w:r>
      <w:r>
        <w:tab/>
      </w:r>
      <w:r>
        <w:fldChar w:fldCharType="begin"/>
      </w:r>
      <w:r>
        <w:instrText xml:space="preserve"> PAGEREF _Toc65597983 \h </w:instrText>
      </w:r>
      <w:r>
        <w:fldChar w:fldCharType="separate"/>
      </w:r>
      <w:r>
        <w:t>79</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"_Toc65597984"</w:instrText>
      </w:r>
      <w:r>
        <w:fldChar w:fldCharType="separate"/>
      </w:r>
      <w:r>
        <w:rPr>
          <w:rFonts w:hint="eastAsia"/>
        </w:rPr>
        <w:t>第二节</w:t>
      </w:r>
      <w:r>
        <w:t xml:space="preserve"> </w:t>
      </w:r>
      <w:r>
        <w:rPr>
          <w:rFonts w:hint="eastAsia"/>
        </w:rPr>
        <w:t>提高农牧民收入水平</w:t>
      </w:r>
      <w:r>
        <w:tab/>
      </w:r>
      <w:r>
        <w:fldChar w:fldCharType="begin"/>
      </w:r>
      <w:r>
        <w:instrText xml:space="preserve"> PAGEREF _Toc65597984 \h </w:instrText>
      </w:r>
      <w:r>
        <w:fldChar w:fldCharType="separate"/>
      </w:r>
      <w:r>
        <w:t>81</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"_Toc65597985"</w:instrText>
      </w:r>
      <w:r>
        <w:fldChar w:fldCharType="separate"/>
      </w:r>
      <w:r>
        <w:rPr>
          <w:rFonts w:hint="eastAsia"/>
        </w:rPr>
        <w:t>第三节</w:t>
      </w:r>
      <w:r>
        <w:t xml:space="preserve"> </w:t>
      </w:r>
      <w:r>
        <w:rPr>
          <w:rFonts w:hint="eastAsia"/>
        </w:rPr>
        <w:t>分类实施乡村建设行动</w:t>
      </w:r>
      <w:r>
        <w:tab/>
      </w:r>
      <w:r>
        <w:fldChar w:fldCharType="begin"/>
      </w:r>
      <w:r>
        <w:instrText xml:space="preserve"> PAGEREF _Toc65597985 \h </w:instrText>
      </w:r>
      <w:r>
        <w:fldChar w:fldCharType="separate"/>
      </w:r>
      <w:r>
        <w:t>81</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"_Toc65597986"</w:instrText>
      </w:r>
      <w:r>
        <w:fldChar w:fldCharType="separate"/>
      </w:r>
      <w:r>
        <w:rPr>
          <w:rFonts w:hint="eastAsia"/>
        </w:rPr>
        <w:t>第四节</w:t>
      </w:r>
      <w:r>
        <w:t xml:space="preserve"> </w:t>
      </w:r>
      <w:r>
        <w:rPr>
          <w:rFonts w:hint="eastAsia"/>
        </w:rPr>
        <w:t>完善农村公共服务体系</w:t>
      </w:r>
      <w:r>
        <w:tab/>
      </w:r>
      <w:r>
        <w:fldChar w:fldCharType="begin"/>
      </w:r>
      <w:r>
        <w:instrText xml:space="preserve"> PAGEREF _Toc65597986 \h </w:instrText>
      </w:r>
      <w:r>
        <w:fldChar w:fldCharType="separate"/>
      </w:r>
      <w:r>
        <w:t>88</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"_Toc65597987"</w:instrText>
      </w:r>
      <w:r>
        <w:fldChar w:fldCharType="separate"/>
      </w:r>
      <w:r>
        <w:rPr>
          <w:rFonts w:hint="eastAsia"/>
        </w:rPr>
        <w:t>第五节</w:t>
      </w:r>
      <w:r>
        <w:t xml:space="preserve"> </w:t>
      </w:r>
      <w:r>
        <w:rPr>
          <w:rFonts w:hint="eastAsia"/>
        </w:rPr>
        <w:t>深化农牧区改革</w:t>
      </w:r>
      <w:r>
        <w:tab/>
      </w:r>
      <w:r>
        <w:fldChar w:fldCharType="begin"/>
      </w:r>
      <w:r>
        <w:instrText xml:space="preserve"> PAGEREF _Toc65597987 \h </w:instrText>
      </w:r>
      <w:r>
        <w:fldChar w:fldCharType="separate"/>
      </w:r>
      <w:r>
        <w:t>89</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"_Toc65597988"</w:instrText>
      </w:r>
      <w:r>
        <w:fldChar w:fldCharType="separate"/>
      </w:r>
      <w:r>
        <w:rPr>
          <w:rFonts w:hint="eastAsia"/>
        </w:rPr>
        <w:t>第二十章</w:t>
      </w:r>
      <w:r>
        <w:rPr>
          <w:rFonts w:ascii="Calibri" w:hAnsi="Calibri" w:eastAsia="宋体" w:cs="Arial"/>
          <w:kern w:val="2"/>
          <w:sz w:val="21"/>
          <w:szCs w:val="22"/>
        </w:rPr>
        <w:tab/>
      </w:r>
      <w:r>
        <w:rPr>
          <w:rFonts w:hint="eastAsia"/>
        </w:rPr>
        <w:t>实施新型城镇化战略</w:t>
      </w:r>
      <w:r>
        <w:tab/>
      </w:r>
      <w:r>
        <w:fldChar w:fldCharType="begin"/>
      </w:r>
      <w:r>
        <w:instrText xml:space="preserve"> PAGEREF _Toc65597988 \h </w:instrText>
      </w:r>
      <w:r>
        <w:fldChar w:fldCharType="separate"/>
      </w:r>
      <w:r>
        <w:t>89</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"_Toc65597989"</w:instrText>
      </w:r>
      <w:r>
        <w:fldChar w:fldCharType="separate"/>
      </w:r>
      <w:r>
        <w:rPr>
          <w:rFonts w:hint="eastAsia"/>
        </w:rPr>
        <w:t>第一节</w:t>
      </w:r>
      <w:r>
        <w:t xml:space="preserve"> </w:t>
      </w:r>
      <w:r>
        <w:rPr>
          <w:rFonts w:hint="eastAsia"/>
        </w:rPr>
        <w:t>构建特色新型城镇体系</w:t>
      </w:r>
      <w:r>
        <w:tab/>
      </w:r>
      <w:r>
        <w:fldChar w:fldCharType="begin"/>
      </w:r>
      <w:r>
        <w:instrText xml:space="preserve"> PAGEREF _Toc65597989 \h </w:instrText>
      </w:r>
      <w:r>
        <w:fldChar w:fldCharType="separate"/>
      </w:r>
      <w:r>
        <w:t>90</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"_Toc65597990"</w:instrText>
      </w:r>
      <w:r>
        <w:fldChar w:fldCharType="separate"/>
      </w:r>
      <w:r>
        <w:rPr>
          <w:rFonts w:hint="eastAsia"/>
        </w:rPr>
        <w:t>第二节</w:t>
      </w:r>
      <w:r>
        <w:t xml:space="preserve"> </w:t>
      </w:r>
      <w:r>
        <w:rPr>
          <w:rFonts w:hint="eastAsia"/>
        </w:rPr>
        <w:t>推进城镇建设</w:t>
      </w:r>
      <w:r>
        <w:tab/>
      </w:r>
      <w:r>
        <w:fldChar w:fldCharType="begin"/>
      </w:r>
      <w:r>
        <w:instrText xml:space="preserve"> PAGEREF _Toc65597990 \h </w:instrText>
      </w:r>
      <w:r>
        <w:fldChar w:fldCharType="separate"/>
      </w:r>
      <w:r>
        <w:t>96</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"_Toc65597991"</w:instrText>
      </w:r>
      <w:r>
        <w:fldChar w:fldCharType="separate"/>
      </w:r>
      <w:r>
        <w:rPr>
          <w:rFonts w:hint="eastAsia"/>
        </w:rPr>
        <w:t>第三节</w:t>
      </w:r>
      <w:r>
        <w:t xml:space="preserve"> </w:t>
      </w:r>
      <w:r>
        <w:rPr>
          <w:rFonts w:hint="eastAsia"/>
        </w:rPr>
        <w:t>推进城乡协调发展</w:t>
      </w:r>
      <w:r>
        <w:tab/>
      </w:r>
      <w:r>
        <w:fldChar w:fldCharType="begin"/>
      </w:r>
      <w:r>
        <w:instrText xml:space="preserve"> PAGEREF _Toc65597991 \h </w:instrText>
      </w:r>
      <w:r>
        <w:fldChar w:fldCharType="separate"/>
      </w:r>
      <w:r>
        <w:t>99</w:t>
      </w:r>
      <w:r>
        <w:fldChar w:fldCharType="end"/>
      </w:r>
      <w:r>
        <w:fldChar w:fldCharType="end"/>
      </w:r>
    </w:p>
    <w:p>
      <w:pPr>
        <w:pStyle w:val="16"/>
        <w:tabs>
          <w:tab w:val="right" w:leader="dot" w:pos="8834"/>
        </w:tabs>
        <w:rPr>
          <w:rFonts w:ascii="Calibri" w:hAnsi="Calibri" w:eastAsia="宋体" w:cs="Arial"/>
          <w:kern w:val="2"/>
          <w:sz w:val="21"/>
          <w:szCs w:val="22"/>
        </w:rPr>
      </w:pPr>
      <w:r>
        <w:fldChar w:fldCharType="begin"/>
      </w:r>
      <w:r>
        <w:instrText xml:space="preserve">Hyperlink \l "_Toc65597992"</w:instrText>
      </w:r>
      <w:r>
        <w:fldChar w:fldCharType="separate"/>
      </w:r>
      <w:r>
        <w:rPr>
          <w:rFonts w:hint="eastAsia"/>
        </w:rPr>
        <w:t>第七篇</w:t>
      </w:r>
      <w:r>
        <w:t xml:space="preserve"> </w:t>
      </w:r>
      <w:r>
        <w:rPr>
          <w:rFonts w:hint="eastAsia"/>
        </w:rPr>
        <w:t>完善社会保障体系，提高民生福祉水平</w:t>
      </w:r>
      <w:r>
        <w:tab/>
      </w:r>
      <w:r>
        <w:fldChar w:fldCharType="begin"/>
      </w:r>
      <w:r>
        <w:instrText xml:space="preserve"> PAGEREF _Toc65597992 \h </w:instrText>
      </w:r>
      <w:r>
        <w:fldChar w:fldCharType="separate"/>
      </w:r>
      <w:r>
        <w:t>101</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"_Toc65597993"</w:instrText>
      </w:r>
      <w:r>
        <w:fldChar w:fldCharType="separate"/>
      </w:r>
      <w:r>
        <w:rPr>
          <w:rFonts w:hint="eastAsia"/>
        </w:rPr>
        <w:t>第二十一章</w:t>
      </w:r>
      <w:r>
        <w:rPr>
          <w:rFonts w:ascii="Calibri" w:hAnsi="Calibri" w:eastAsia="宋体" w:cs="Arial"/>
          <w:kern w:val="2"/>
          <w:sz w:val="21"/>
          <w:szCs w:val="22"/>
        </w:rPr>
        <w:tab/>
      </w:r>
      <w:r>
        <w:rPr>
          <w:rFonts w:hint="eastAsia"/>
        </w:rPr>
        <w:t>推动更高质量更充分就业</w:t>
      </w:r>
      <w:r>
        <w:tab/>
      </w:r>
      <w:r>
        <w:fldChar w:fldCharType="begin"/>
      </w:r>
      <w:r>
        <w:instrText xml:space="preserve"> PAGEREF _Toc65597993 \h </w:instrText>
      </w:r>
      <w:r>
        <w:fldChar w:fldCharType="separate"/>
      </w:r>
      <w:r>
        <w:t>101</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"_Toc65597994"</w:instrText>
      </w:r>
      <w:r>
        <w:fldChar w:fldCharType="separate"/>
      </w:r>
      <w:r>
        <w:rPr>
          <w:rFonts w:hint="eastAsia"/>
        </w:rPr>
        <w:t>第一节</w:t>
      </w:r>
      <w:r>
        <w:t xml:space="preserve"> </w:t>
      </w:r>
      <w:r>
        <w:rPr>
          <w:rFonts w:hint="eastAsia"/>
        </w:rPr>
        <w:t>拓宽居民就业渠道</w:t>
      </w:r>
      <w:r>
        <w:tab/>
      </w:r>
      <w:r>
        <w:fldChar w:fldCharType="begin"/>
      </w:r>
      <w:r>
        <w:instrText xml:space="preserve"> PAGEREF _Toc65597994 \h </w:instrText>
      </w:r>
      <w:r>
        <w:fldChar w:fldCharType="separate"/>
      </w:r>
      <w:r>
        <w:t>101</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"_Toc65597995"</w:instrText>
      </w:r>
      <w:r>
        <w:fldChar w:fldCharType="separate"/>
      </w:r>
      <w:r>
        <w:rPr>
          <w:rFonts w:hint="eastAsia"/>
        </w:rPr>
        <w:t>第二节</w:t>
      </w:r>
      <w:r>
        <w:t xml:space="preserve"> </w:t>
      </w:r>
      <w:r>
        <w:rPr>
          <w:rFonts w:hint="eastAsia"/>
        </w:rPr>
        <w:t>完善就业服务体系</w:t>
      </w:r>
      <w:r>
        <w:tab/>
      </w:r>
      <w:r>
        <w:fldChar w:fldCharType="begin"/>
      </w:r>
      <w:r>
        <w:instrText xml:space="preserve"> PAGEREF _Toc65597995 \h </w:instrText>
      </w:r>
      <w:r>
        <w:fldChar w:fldCharType="separate"/>
      </w:r>
      <w:r>
        <w:t>101</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"_Toc65597996"</w:instrText>
      </w:r>
      <w:r>
        <w:fldChar w:fldCharType="separate"/>
      </w:r>
      <w:r>
        <w:rPr>
          <w:rFonts w:hint="eastAsia"/>
        </w:rPr>
        <w:t>第二十二章</w:t>
      </w:r>
      <w:r>
        <w:rPr>
          <w:rFonts w:ascii="Calibri" w:hAnsi="Calibri" w:eastAsia="宋体" w:cs="Arial"/>
          <w:kern w:val="2"/>
          <w:sz w:val="21"/>
          <w:szCs w:val="22"/>
        </w:rPr>
        <w:tab/>
      </w:r>
      <w:r>
        <w:rPr>
          <w:rFonts w:hint="eastAsia"/>
        </w:rPr>
        <w:t>办好人民满意文体教育</w:t>
      </w:r>
      <w:r>
        <w:tab/>
      </w:r>
      <w:r>
        <w:fldChar w:fldCharType="begin"/>
      </w:r>
      <w:r>
        <w:instrText xml:space="preserve"> PAGEREF _Toc65597996 \h </w:instrText>
      </w:r>
      <w:r>
        <w:fldChar w:fldCharType="separate"/>
      </w:r>
      <w:r>
        <w:t>102</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"_Toc65597997"</w:instrText>
      </w:r>
      <w:r>
        <w:fldChar w:fldCharType="separate"/>
      </w:r>
      <w:r>
        <w:rPr>
          <w:rFonts w:hint="eastAsia"/>
        </w:rPr>
        <w:t>第一节</w:t>
      </w:r>
      <w:r>
        <w:t xml:space="preserve"> </w:t>
      </w:r>
      <w:r>
        <w:rPr>
          <w:rFonts w:hint="eastAsia"/>
        </w:rPr>
        <w:t>推动教育优质均衡发展</w:t>
      </w:r>
      <w:r>
        <w:tab/>
      </w:r>
      <w:r>
        <w:fldChar w:fldCharType="begin"/>
      </w:r>
      <w:r>
        <w:instrText xml:space="preserve"> PAGEREF _Toc65597997 \h </w:instrText>
      </w:r>
      <w:r>
        <w:fldChar w:fldCharType="separate"/>
      </w:r>
      <w:r>
        <w:t>102</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"_Toc65597998"</w:instrText>
      </w:r>
      <w:r>
        <w:fldChar w:fldCharType="separate"/>
      </w:r>
      <w:r>
        <w:rPr>
          <w:rFonts w:hint="eastAsia"/>
        </w:rPr>
        <w:t>第二节</w:t>
      </w:r>
      <w:r>
        <w:t xml:space="preserve"> </w:t>
      </w:r>
      <w:r>
        <w:rPr>
          <w:rFonts w:hint="eastAsia"/>
        </w:rPr>
        <w:t>全面提升教育水平</w:t>
      </w:r>
      <w:r>
        <w:tab/>
      </w:r>
      <w:r>
        <w:fldChar w:fldCharType="begin"/>
      </w:r>
      <w:r>
        <w:instrText xml:space="preserve"> PAGEREF _Toc65597998 \h </w:instrText>
      </w:r>
      <w:r>
        <w:fldChar w:fldCharType="separate"/>
      </w:r>
      <w:r>
        <w:t>104</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"_Toc65597999"</w:instrText>
      </w:r>
      <w:r>
        <w:fldChar w:fldCharType="separate"/>
      </w:r>
      <w:r>
        <w:rPr>
          <w:rFonts w:hint="eastAsia"/>
        </w:rPr>
        <w:t>第三节</w:t>
      </w:r>
      <w:r>
        <w:t xml:space="preserve"> </w:t>
      </w:r>
      <w:r>
        <w:rPr>
          <w:rFonts w:hint="eastAsia"/>
        </w:rPr>
        <w:t>深化教育体制改革</w:t>
      </w:r>
      <w:r>
        <w:tab/>
      </w:r>
      <w:r>
        <w:fldChar w:fldCharType="begin"/>
      </w:r>
      <w:r>
        <w:instrText xml:space="preserve"> PAGEREF _Toc65597999 \h </w:instrText>
      </w:r>
      <w:r>
        <w:fldChar w:fldCharType="separate"/>
      </w:r>
      <w:r>
        <w:t>105</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"_Toc65598000"</w:instrText>
      </w:r>
      <w:r>
        <w:fldChar w:fldCharType="separate"/>
      </w:r>
      <w:r>
        <w:rPr>
          <w:rFonts w:hint="eastAsia"/>
        </w:rPr>
        <w:t>第四节</w:t>
      </w:r>
      <w:r>
        <w:t xml:space="preserve"> </w:t>
      </w:r>
      <w:r>
        <w:rPr>
          <w:rFonts w:hint="eastAsia"/>
        </w:rPr>
        <w:t>促进教育公平发展</w:t>
      </w:r>
      <w:r>
        <w:tab/>
      </w:r>
      <w:r>
        <w:fldChar w:fldCharType="begin"/>
      </w:r>
      <w:r>
        <w:instrText xml:space="preserve"> PAGEREF _Toc65598000 \h </w:instrText>
      </w:r>
      <w:r>
        <w:fldChar w:fldCharType="separate"/>
      </w:r>
      <w:r>
        <w:t>106</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"_Toc65598001"</w:instrText>
      </w:r>
      <w:r>
        <w:fldChar w:fldCharType="separate"/>
      </w:r>
      <w:r>
        <w:rPr>
          <w:rFonts w:hint="eastAsia"/>
        </w:rPr>
        <w:t>第五节</w:t>
      </w:r>
      <w:r>
        <w:t xml:space="preserve"> </w:t>
      </w:r>
      <w:r>
        <w:rPr>
          <w:rFonts w:hint="eastAsia"/>
        </w:rPr>
        <w:t>发展全民体育事业</w:t>
      </w:r>
      <w:r>
        <w:tab/>
      </w:r>
      <w:r>
        <w:fldChar w:fldCharType="begin"/>
      </w:r>
      <w:r>
        <w:instrText xml:space="preserve"> PAGEREF _Toc65598001 \h </w:instrText>
      </w:r>
      <w:r>
        <w:fldChar w:fldCharType="separate"/>
      </w:r>
      <w:r>
        <w:t>106</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"_Toc65598002"</w:instrText>
      </w:r>
      <w:r>
        <w:fldChar w:fldCharType="separate"/>
      </w:r>
      <w:r>
        <w:rPr>
          <w:rFonts w:hint="eastAsia"/>
        </w:rPr>
        <w:t>第二十三章</w:t>
      </w:r>
      <w:r>
        <w:rPr>
          <w:rFonts w:ascii="Calibri" w:hAnsi="Calibri" w:eastAsia="宋体" w:cs="Arial"/>
          <w:kern w:val="2"/>
          <w:sz w:val="21"/>
          <w:szCs w:val="22"/>
        </w:rPr>
        <w:tab/>
      </w:r>
      <w:r>
        <w:rPr>
          <w:rFonts w:hint="eastAsia"/>
        </w:rPr>
        <w:t>加快建设“健康丹巴”</w:t>
      </w:r>
      <w:r>
        <w:tab/>
      </w:r>
      <w:r>
        <w:fldChar w:fldCharType="begin"/>
      </w:r>
      <w:r>
        <w:instrText xml:space="preserve"> PAGEREF _Toc65598002 \h </w:instrText>
      </w:r>
      <w:r>
        <w:fldChar w:fldCharType="separate"/>
      </w:r>
      <w:r>
        <w:t>107</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"_Toc65598003"</w:instrText>
      </w:r>
      <w:r>
        <w:fldChar w:fldCharType="separate"/>
      </w:r>
      <w:r>
        <w:rPr>
          <w:rFonts w:hint="eastAsia"/>
        </w:rPr>
        <w:t>第一节</w:t>
      </w:r>
      <w:r>
        <w:t xml:space="preserve"> </w:t>
      </w:r>
      <w:r>
        <w:rPr>
          <w:rFonts w:hint="eastAsia"/>
        </w:rPr>
        <w:t>提升医疗服务体系服务能力</w:t>
      </w:r>
      <w:r>
        <w:tab/>
      </w:r>
      <w:r>
        <w:fldChar w:fldCharType="begin"/>
      </w:r>
      <w:r>
        <w:instrText xml:space="preserve"> PAGEREF _Toc65598003 \h </w:instrText>
      </w:r>
      <w:r>
        <w:fldChar w:fldCharType="separate"/>
      </w:r>
      <w:r>
        <w:t>108</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"_Toc65598004"</w:instrText>
      </w:r>
      <w:r>
        <w:fldChar w:fldCharType="separate"/>
      </w:r>
      <w:r>
        <w:rPr>
          <w:rFonts w:hint="eastAsia"/>
        </w:rPr>
        <w:t>第二节</w:t>
      </w:r>
      <w:r>
        <w:t xml:space="preserve"> </w:t>
      </w:r>
      <w:r>
        <w:rPr>
          <w:rFonts w:hint="eastAsia"/>
        </w:rPr>
        <w:t>加强公共卫生服务</w:t>
      </w:r>
      <w:r>
        <w:tab/>
      </w:r>
      <w:r>
        <w:fldChar w:fldCharType="begin"/>
      </w:r>
      <w:r>
        <w:instrText xml:space="preserve"> PAGEREF _Toc65598004 \h </w:instrText>
      </w:r>
      <w:r>
        <w:fldChar w:fldCharType="separate"/>
      </w:r>
      <w:r>
        <w:t>109</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"_Toc65598005"</w:instrText>
      </w:r>
      <w:r>
        <w:fldChar w:fldCharType="separate"/>
      </w:r>
      <w:r>
        <w:rPr>
          <w:rFonts w:hint="eastAsia"/>
        </w:rPr>
        <w:t>第三节</w:t>
      </w:r>
      <w:r>
        <w:t xml:space="preserve"> </w:t>
      </w:r>
      <w:r>
        <w:rPr>
          <w:rFonts w:hint="eastAsia"/>
        </w:rPr>
        <w:t>传承创新发展中藏医药事业</w:t>
      </w:r>
      <w:r>
        <w:tab/>
      </w:r>
      <w:r>
        <w:fldChar w:fldCharType="begin"/>
      </w:r>
      <w:r>
        <w:instrText xml:space="preserve"> PAGEREF _Toc65598005 \h </w:instrText>
      </w:r>
      <w:r>
        <w:fldChar w:fldCharType="separate"/>
      </w:r>
      <w:r>
        <w:t>109</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"_Toc65598006"</w:instrText>
      </w:r>
      <w:r>
        <w:fldChar w:fldCharType="separate"/>
      </w:r>
      <w:r>
        <w:rPr>
          <w:rFonts w:hint="eastAsia"/>
        </w:rPr>
        <w:t>第二十四章</w:t>
      </w:r>
      <w:r>
        <w:rPr>
          <w:rFonts w:ascii="Calibri" w:hAnsi="Calibri" w:eastAsia="宋体" w:cs="Arial"/>
          <w:kern w:val="2"/>
          <w:sz w:val="21"/>
          <w:szCs w:val="22"/>
        </w:rPr>
        <w:tab/>
      </w:r>
      <w:r>
        <w:rPr>
          <w:rFonts w:hint="eastAsia"/>
        </w:rPr>
        <w:t>全面提高社会保障水平</w:t>
      </w:r>
      <w:r>
        <w:tab/>
      </w:r>
      <w:r>
        <w:fldChar w:fldCharType="begin"/>
      </w:r>
      <w:r>
        <w:instrText xml:space="preserve"> PAGEREF _Toc65598006 \h </w:instrText>
      </w:r>
      <w:r>
        <w:fldChar w:fldCharType="separate"/>
      </w:r>
      <w:r>
        <w:t>112</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"_Toc65598007"</w:instrText>
      </w:r>
      <w:r>
        <w:fldChar w:fldCharType="separate"/>
      </w:r>
      <w:r>
        <w:rPr>
          <w:rFonts w:hint="eastAsia"/>
        </w:rPr>
        <w:t>第一节</w:t>
      </w:r>
      <w:r>
        <w:t xml:space="preserve"> </w:t>
      </w:r>
      <w:r>
        <w:rPr>
          <w:rFonts w:hint="eastAsia"/>
        </w:rPr>
        <w:t>健全多层次社会保障体系</w:t>
      </w:r>
      <w:r>
        <w:tab/>
      </w:r>
      <w:r>
        <w:fldChar w:fldCharType="begin"/>
      </w:r>
      <w:r>
        <w:instrText xml:space="preserve"> PAGEREF _Toc65598007 \h </w:instrText>
      </w:r>
      <w:r>
        <w:fldChar w:fldCharType="separate"/>
      </w:r>
      <w:r>
        <w:t>112</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"_Toc65598008"</w:instrText>
      </w:r>
      <w:r>
        <w:fldChar w:fldCharType="separate"/>
      </w:r>
      <w:r>
        <w:rPr>
          <w:rFonts w:hint="eastAsia"/>
        </w:rPr>
        <w:t>第二节</w:t>
      </w:r>
      <w:r>
        <w:t xml:space="preserve"> </w:t>
      </w:r>
      <w:r>
        <w:rPr>
          <w:rFonts w:hint="eastAsia"/>
        </w:rPr>
        <w:t>加大重点群体服务保障</w:t>
      </w:r>
      <w:r>
        <w:tab/>
      </w:r>
      <w:r>
        <w:fldChar w:fldCharType="begin"/>
      </w:r>
      <w:r>
        <w:instrText xml:space="preserve"> PAGEREF _Toc65598008 \h </w:instrText>
      </w:r>
      <w:r>
        <w:fldChar w:fldCharType="separate"/>
      </w:r>
      <w:r>
        <w:t>112</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"_Toc65598009"</w:instrText>
      </w:r>
      <w:r>
        <w:fldChar w:fldCharType="separate"/>
      </w:r>
      <w:r>
        <w:rPr>
          <w:rFonts w:hint="eastAsia"/>
        </w:rPr>
        <w:t>第三节</w:t>
      </w:r>
      <w:r>
        <w:t xml:space="preserve"> </w:t>
      </w:r>
      <w:r>
        <w:rPr>
          <w:rFonts w:hint="eastAsia"/>
        </w:rPr>
        <w:t>积极应对人口老龄化</w:t>
      </w:r>
      <w:r>
        <w:tab/>
      </w:r>
      <w:r>
        <w:fldChar w:fldCharType="begin"/>
      </w:r>
      <w:r>
        <w:instrText xml:space="preserve"> PAGEREF _Toc65598009 \h </w:instrText>
      </w:r>
      <w:r>
        <w:fldChar w:fldCharType="separate"/>
      </w:r>
      <w:r>
        <w:t>113</w:t>
      </w:r>
      <w:r>
        <w:fldChar w:fldCharType="end"/>
      </w:r>
      <w:r>
        <w:fldChar w:fldCharType="end"/>
      </w:r>
    </w:p>
    <w:p>
      <w:pPr>
        <w:pStyle w:val="16"/>
        <w:tabs>
          <w:tab w:val="right" w:leader="dot" w:pos="8834"/>
        </w:tabs>
        <w:rPr>
          <w:rFonts w:ascii="Calibri" w:hAnsi="Calibri" w:eastAsia="宋体" w:cs="Arial"/>
          <w:kern w:val="2"/>
          <w:sz w:val="21"/>
          <w:szCs w:val="22"/>
        </w:rPr>
      </w:pPr>
      <w:r>
        <w:fldChar w:fldCharType="begin"/>
      </w:r>
      <w:r>
        <w:instrText xml:space="preserve">Hyperlink \l "_Toc65598010"</w:instrText>
      </w:r>
      <w:r>
        <w:fldChar w:fldCharType="separate"/>
      </w:r>
      <w:r>
        <w:rPr>
          <w:rFonts w:hint="eastAsia"/>
        </w:rPr>
        <w:t>第八篇</w:t>
      </w:r>
      <w:r>
        <w:t xml:space="preserve"> </w:t>
      </w:r>
      <w:r>
        <w:rPr>
          <w:rFonts w:hint="eastAsia"/>
        </w:rPr>
        <w:t>加强精神文明建设，丰富群众文化生活</w:t>
      </w:r>
      <w:r>
        <w:tab/>
      </w:r>
      <w:r>
        <w:fldChar w:fldCharType="begin"/>
      </w:r>
      <w:r>
        <w:instrText xml:space="preserve"> PAGEREF _Toc65598010 \h </w:instrText>
      </w:r>
      <w:r>
        <w:fldChar w:fldCharType="separate"/>
      </w:r>
      <w:r>
        <w:t>115</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"_Toc65598011"</w:instrText>
      </w:r>
      <w:r>
        <w:fldChar w:fldCharType="separate"/>
      </w:r>
      <w:r>
        <w:rPr>
          <w:rFonts w:hint="eastAsia"/>
        </w:rPr>
        <w:t>第二十五章</w:t>
      </w:r>
      <w:r>
        <w:rPr>
          <w:rFonts w:ascii="Calibri" w:hAnsi="Calibri" w:eastAsia="宋体" w:cs="Arial"/>
          <w:kern w:val="2"/>
          <w:sz w:val="21"/>
          <w:szCs w:val="22"/>
        </w:rPr>
        <w:tab/>
      </w:r>
      <w:r>
        <w:rPr>
          <w:rFonts w:hint="eastAsia"/>
        </w:rPr>
        <w:t>推进文化繁荣发展</w:t>
      </w:r>
      <w:r>
        <w:tab/>
      </w:r>
      <w:r>
        <w:fldChar w:fldCharType="begin"/>
      </w:r>
      <w:r>
        <w:instrText xml:space="preserve"> PAGEREF _Toc65598011 \h </w:instrText>
      </w:r>
      <w:r>
        <w:fldChar w:fldCharType="separate"/>
      </w:r>
      <w:r>
        <w:t>115</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"_Toc65598012"</w:instrText>
      </w:r>
      <w:r>
        <w:fldChar w:fldCharType="separate"/>
      </w:r>
      <w:r>
        <w:rPr>
          <w:rFonts w:hint="eastAsia"/>
        </w:rPr>
        <w:t>第一节</w:t>
      </w:r>
      <w:r>
        <w:t xml:space="preserve"> </w:t>
      </w:r>
      <w:r>
        <w:rPr>
          <w:rFonts w:hint="eastAsia"/>
        </w:rPr>
        <w:t>铸牢中华民族共同体意识</w:t>
      </w:r>
      <w:r>
        <w:tab/>
      </w:r>
      <w:r>
        <w:fldChar w:fldCharType="begin"/>
      </w:r>
      <w:r>
        <w:instrText xml:space="preserve"> PAGEREF _Toc65598012 \h </w:instrText>
      </w:r>
      <w:r>
        <w:fldChar w:fldCharType="separate"/>
      </w:r>
      <w:r>
        <w:t>115</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"_Toc65598013"</w:instrText>
      </w:r>
      <w:r>
        <w:fldChar w:fldCharType="separate"/>
      </w:r>
      <w:r>
        <w:rPr>
          <w:rFonts w:hint="eastAsia"/>
        </w:rPr>
        <w:t>第二节</w:t>
      </w:r>
      <w:r>
        <w:t xml:space="preserve"> </w:t>
      </w:r>
      <w:r>
        <w:rPr>
          <w:rFonts w:hint="eastAsia"/>
        </w:rPr>
        <w:t>提升公共文化服务水平</w:t>
      </w:r>
      <w:r>
        <w:tab/>
      </w:r>
      <w:r>
        <w:fldChar w:fldCharType="begin"/>
      </w:r>
      <w:r>
        <w:instrText xml:space="preserve"> PAGEREF _Toc65598013 \h </w:instrText>
      </w:r>
      <w:r>
        <w:fldChar w:fldCharType="separate"/>
      </w:r>
      <w:r>
        <w:t>116</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"_Toc65598014"</w:instrText>
      </w:r>
      <w:r>
        <w:fldChar w:fldCharType="separate"/>
      </w:r>
      <w:r>
        <w:rPr>
          <w:rFonts w:hint="eastAsia"/>
        </w:rPr>
        <w:t>第三节</w:t>
      </w:r>
      <w:r>
        <w:t xml:space="preserve"> </w:t>
      </w:r>
      <w:r>
        <w:rPr>
          <w:rFonts w:hint="eastAsia"/>
        </w:rPr>
        <w:t>健全现代文化产业体系</w:t>
      </w:r>
      <w:r>
        <w:tab/>
      </w:r>
      <w:r>
        <w:fldChar w:fldCharType="begin"/>
      </w:r>
      <w:r>
        <w:instrText xml:space="preserve"> PAGEREF _Toc65598014 \h </w:instrText>
      </w:r>
      <w:r>
        <w:fldChar w:fldCharType="separate"/>
      </w:r>
      <w:r>
        <w:t>116</w:t>
      </w:r>
      <w:r>
        <w:fldChar w:fldCharType="end"/>
      </w:r>
      <w:r>
        <w:fldChar w:fldCharType="end"/>
      </w:r>
    </w:p>
    <w:p>
      <w:pPr>
        <w:pStyle w:val="16"/>
        <w:tabs>
          <w:tab w:val="right" w:leader="dot" w:pos="8834"/>
        </w:tabs>
        <w:rPr>
          <w:rFonts w:ascii="Calibri" w:hAnsi="Calibri" w:eastAsia="宋体" w:cs="Arial"/>
          <w:kern w:val="2"/>
          <w:sz w:val="21"/>
          <w:szCs w:val="22"/>
        </w:rPr>
      </w:pPr>
      <w:r>
        <w:fldChar w:fldCharType="begin"/>
      </w:r>
      <w:r>
        <w:instrText xml:space="preserve">Hyperlink \l "_Toc65598015"</w:instrText>
      </w:r>
      <w:r>
        <w:fldChar w:fldCharType="separate"/>
      </w:r>
      <w:r>
        <w:rPr>
          <w:rFonts w:hint="eastAsia"/>
        </w:rPr>
        <w:t>第九篇</w:t>
      </w:r>
      <w:r>
        <w:t xml:space="preserve"> </w:t>
      </w:r>
      <w:r>
        <w:rPr>
          <w:rFonts w:hint="eastAsia"/>
        </w:rPr>
        <w:t>深化改革攻坚，提升对外开放水平</w:t>
      </w:r>
      <w:r>
        <w:tab/>
      </w:r>
      <w:r>
        <w:fldChar w:fldCharType="begin"/>
      </w:r>
      <w:r>
        <w:instrText xml:space="preserve"> PAGEREF _Toc65598015 \h </w:instrText>
      </w:r>
      <w:r>
        <w:fldChar w:fldCharType="separate"/>
      </w:r>
      <w:r>
        <w:t>119</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"_Toc65598016"</w:instrText>
      </w:r>
      <w:r>
        <w:fldChar w:fldCharType="separate"/>
      </w:r>
      <w:r>
        <w:rPr>
          <w:rFonts w:hint="eastAsia"/>
        </w:rPr>
        <w:t>第二十六章</w:t>
      </w:r>
      <w:r>
        <w:rPr>
          <w:rFonts w:ascii="Calibri" w:hAnsi="Calibri" w:eastAsia="宋体" w:cs="Arial"/>
          <w:kern w:val="2"/>
          <w:sz w:val="21"/>
          <w:szCs w:val="22"/>
        </w:rPr>
        <w:tab/>
      </w:r>
      <w:r>
        <w:rPr>
          <w:rFonts w:hint="eastAsia"/>
        </w:rPr>
        <w:t>深化重点领域和关键环节改革</w:t>
      </w:r>
      <w:r>
        <w:tab/>
      </w:r>
      <w:r>
        <w:fldChar w:fldCharType="begin"/>
      </w:r>
      <w:r>
        <w:instrText xml:space="preserve"> PAGEREF _Toc65598016 \h </w:instrText>
      </w:r>
      <w:r>
        <w:fldChar w:fldCharType="separate"/>
      </w:r>
      <w:r>
        <w:t>119</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"_Toc65598017"</w:instrText>
      </w:r>
      <w:r>
        <w:fldChar w:fldCharType="separate"/>
      </w:r>
      <w:r>
        <w:rPr>
          <w:rFonts w:hint="eastAsia"/>
        </w:rPr>
        <w:t>第一节</w:t>
      </w:r>
      <w:r>
        <w:t xml:space="preserve"> </w:t>
      </w:r>
      <w:r>
        <w:rPr>
          <w:rFonts w:hint="eastAsia"/>
        </w:rPr>
        <w:t>创新机制改革</w:t>
      </w:r>
      <w:r>
        <w:tab/>
      </w:r>
      <w:r>
        <w:fldChar w:fldCharType="begin"/>
      </w:r>
      <w:r>
        <w:instrText xml:space="preserve"> PAGEREF _Toc65598017 \h </w:instrText>
      </w:r>
      <w:r>
        <w:fldChar w:fldCharType="separate"/>
      </w:r>
      <w:r>
        <w:t>119</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"_Toc65598018"</w:instrText>
      </w:r>
      <w:r>
        <w:fldChar w:fldCharType="separate"/>
      </w:r>
      <w:r>
        <w:rPr>
          <w:rFonts w:hint="eastAsia"/>
        </w:rPr>
        <w:t>第二节</w:t>
      </w:r>
      <w:r>
        <w:t xml:space="preserve"> </w:t>
      </w:r>
      <w:r>
        <w:rPr>
          <w:rFonts w:hint="eastAsia"/>
        </w:rPr>
        <w:t>深化土地关键环节改革</w:t>
      </w:r>
      <w:r>
        <w:tab/>
      </w:r>
      <w:r>
        <w:fldChar w:fldCharType="begin"/>
      </w:r>
      <w:r>
        <w:instrText xml:space="preserve"> PAGEREF _Toc65598018 \h </w:instrText>
      </w:r>
      <w:r>
        <w:fldChar w:fldCharType="separate"/>
      </w:r>
      <w:r>
        <w:t>120</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"_Toc65598019"</w:instrText>
      </w:r>
      <w:r>
        <w:fldChar w:fldCharType="separate"/>
      </w:r>
      <w:r>
        <w:rPr>
          <w:rFonts w:hint="eastAsia"/>
        </w:rPr>
        <w:t>第三节</w:t>
      </w:r>
      <w:r>
        <w:t xml:space="preserve"> </w:t>
      </w:r>
      <w:r>
        <w:rPr>
          <w:rFonts w:hint="eastAsia"/>
        </w:rPr>
        <w:t>强化要素支撑能力</w:t>
      </w:r>
      <w:r>
        <w:tab/>
      </w:r>
      <w:r>
        <w:fldChar w:fldCharType="begin"/>
      </w:r>
      <w:r>
        <w:instrText xml:space="preserve"> PAGEREF _Toc65598019 \h </w:instrText>
      </w:r>
      <w:r>
        <w:fldChar w:fldCharType="separate"/>
      </w:r>
      <w:r>
        <w:t>120</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"_Toc65598020"</w:instrText>
      </w:r>
      <w:r>
        <w:fldChar w:fldCharType="separate"/>
      </w:r>
      <w:r>
        <w:rPr>
          <w:rFonts w:hint="eastAsia"/>
        </w:rPr>
        <w:t>第四节</w:t>
      </w:r>
      <w:r>
        <w:t xml:space="preserve"> </w:t>
      </w:r>
      <w:r>
        <w:rPr>
          <w:rFonts w:hint="eastAsia"/>
        </w:rPr>
        <w:t>提升科技创新能力</w:t>
      </w:r>
      <w:r>
        <w:tab/>
      </w:r>
      <w:r>
        <w:fldChar w:fldCharType="begin"/>
      </w:r>
      <w:r>
        <w:instrText xml:space="preserve"> PAGEREF _Toc65598020 \h </w:instrText>
      </w:r>
      <w:r>
        <w:fldChar w:fldCharType="separate"/>
      </w:r>
      <w:r>
        <w:t>121</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"_Toc65598021"</w:instrText>
      </w:r>
      <w:r>
        <w:fldChar w:fldCharType="separate"/>
      </w:r>
      <w:r>
        <w:rPr>
          <w:rFonts w:hint="eastAsia"/>
        </w:rPr>
        <w:t>第五节</w:t>
      </w:r>
      <w:r>
        <w:t xml:space="preserve"> </w:t>
      </w:r>
      <w:r>
        <w:rPr>
          <w:rFonts w:hint="eastAsia"/>
        </w:rPr>
        <w:t>打造一流营商环境</w:t>
      </w:r>
      <w:r>
        <w:tab/>
      </w:r>
      <w:r>
        <w:fldChar w:fldCharType="begin"/>
      </w:r>
      <w:r>
        <w:instrText xml:space="preserve"> PAGEREF _Toc65598021 \h </w:instrText>
      </w:r>
      <w:r>
        <w:fldChar w:fldCharType="separate"/>
      </w:r>
      <w:r>
        <w:t>121</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"_Toc65598022"</w:instrText>
      </w:r>
      <w:r>
        <w:fldChar w:fldCharType="separate"/>
      </w:r>
      <w:r>
        <w:rPr>
          <w:rFonts w:hint="eastAsia"/>
        </w:rPr>
        <w:t>第二十七章</w:t>
      </w:r>
      <w:r>
        <w:rPr>
          <w:rFonts w:ascii="Calibri" w:hAnsi="Calibri" w:eastAsia="宋体" w:cs="Arial"/>
          <w:kern w:val="2"/>
          <w:sz w:val="21"/>
          <w:szCs w:val="22"/>
        </w:rPr>
        <w:tab/>
      </w:r>
      <w:r>
        <w:rPr>
          <w:rFonts w:hint="eastAsia"/>
        </w:rPr>
        <w:t>加强区域交流与合作</w:t>
      </w:r>
      <w:r>
        <w:tab/>
      </w:r>
      <w:r>
        <w:fldChar w:fldCharType="begin"/>
      </w:r>
      <w:r>
        <w:instrText xml:space="preserve"> PAGEREF _Toc65598022 \h </w:instrText>
      </w:r>
      <w:r>
        <w:fldChar w:fldCharType="separate"/>
      </w:r>
      <w:r>
        <w:t>122</w:t>
      </w:r>
      <w:r>
        <w:fldChar w:fldCharType="end"/>
      </w:r>
      <w:r>
        <w:fldChar w:fldCharType="end"/>
      </w:r>
    </w:p>
    <w:p>
      <w:pPr>
        <w:pStyle w:val="11"/>
        <w:tabs>
          <w:tab w:val="left" w:pos="2940"/>
          <w:tab w:val="right" w:leader="dot" w:pos="8834"/>
        </w:tabs>
        <w:rPr>
          <w:rFonts w:ascii="Calibri" w:hAnsi="Calibri" w:eastAsia="宋体" w:cs="Arial"/>
          <w:kern w:val="2"/>
          <w:sz w:val="21"/>
          <w:szCs w:val="22"/>
        </w:rPr>
      </w:pPr>
      <w:r>
        <w:fldChar w:fldCharType="begin"/>
      </w:r>
      <w:r>
        <w:instrText xml:space="preserve">Hyperlink \l "_Toc65598023"</w:instrText>
      </w:r>
      <w:r>
        <w:fldChar w:fldCharType="separate"/>
      </w:r>
      <w:r>
        <w:rPr>
          <w:rFonts w:hint="eastAsia"/>
        </w:rPr>
        <w:t>第一节</w:t>
      </w:r>
      <w:r>
        <w:rPr>
          <w:rFonts w:ascii="Calibri" w:hAnsi="Calibri" w:eastAsia="宋体" w:cs="Arial"/>
          <w:kern w:val="2"/>
          <w:sz w:val="21"/>
          <w:szCs w:val="22"/>
        </w:rPr>
        <w:tab/>
      </w:r>
      <w:r>
        <w:rPr>
          <w:rFonts w:hint="eastAsia"/>
        </w:rPr>
        <w:t>主动打造康东地区核心增长极</w:t>
      </w:r>
      <w:r>
        <w:tab/>
      </w:r>
      <w:r>
        <w:fldChar w:fldCharType="begin"/>
      </w:r>
      <w:r>
        <w:instrText xml:space="preserve"> PAGEREF _Toc65598023 \h </w:instrText>
      </w:r>
      <w:r>
        <w:fldChar w:fldCharType="separate"/>
      </w:r>
      <w:r>
        <w:t>122</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"_Toc65598024"</w:instrText>
      </w:r>
      <w:r>
        <w:fldChar w:fldCharType="separate"/>
      </w:r>
      <w:r>
        <w:rPr>
          <w:rFonts w:hint="eastAsia"/>
        </w:rPr>
        <w:t>第二节</w:t>
      </w:r>
      <w:r>
        <w:t xml:space="preserve"> </w:t>
      </w:r>
      <w:r>
        <w:rPr>
          <w:rFonts w:hint="eastAsia"/>
        </w:rPr>
        <w:t>发展壮大通道经济和流域经济</w:t>
      </w:r>
      <w:r>
        <w:tab/>
      </w:r>
      <w:r>
        <w:fldChar w:fldCharType="begin"/>
      </w:r>
      <w:r>
        <w:instrText xml:space="preserve"> PAGEREF _Toc65598024 \h </w:instrText>
      </w:r>
      <w:r>
        <w:fldChar w:fldCharType="separate"/>
      </w:r>
      <w:r>
        <w:t>123</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"_Toc65598025"</w:instrText>
      </w:r>
      <w:r>
        <w:fldChar w:fldCharType="separate"/>
      </w:r>
      <w:r>
        <w:rPr>
          <w:rFonts w:hint="eastAsia"/>
        </w:rPr>
        <w:t>第三节</w:t>
      </w:r>
      <w:r>
        <w:t xml:space="preserve"> </w:t>
      </w:r>
      <w:r>
        <w:rPr>
          <w:rFonts w:hint="eastAsia"/>
        </w:rPr>
        <w:t>深化拓展对口支援工作</w:t>
      </w:r>
      <w:r>
        <w:tab/>
      </w:r>
      <w:r>
        <w:fldChar w:fldCharType="begin"/>
      </w:r>
      <w:r>
        <w:instrText xml:space="preserve"> PAGEREF _Toc65598025 \h </w:instrText>
      </w:r>
      <w:r>
        <w:fldChar w:fldCharType="separate"/>
      </w:r>
      <w:r>
        <w:t>124</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"_Toc65598026"</w:instrText>
      </w:r>
      <w:r>
        <w:fldChar w:fldCharType="separate"/>
      </w:r>
      <w:r>
        <w:rPr>
          <w:rFonts w:hint="eastAsia"/>
        </w:rPr>
        <w:t>第二十八章</w:t>
      </w:r>
      <w:r>
        <w:rPr>
          <w:rFonts w:ascii="Calibri" w:hAnsi="Calibri" w:eastAsia="宋体" w:cs="Arial"/>
          <w:kern w:val="2"/>
          <w:sz w:val="21"/>
          <w:szCs w:val="22"/>
        </w:rPr>
        <w:tab/>
      </w:r>
      <w:r>
        <w:rPr>
          <w:rFonts w:hint="eastAsia"/>
        </w:rPr>
        <w:t>提高对外开放合作水平</w:t>
      </w:r>
      <w:r>
        <w:tab/>
      </w:r>
      <w:r>
        <w:fldChar w:fldCharType="begin"/>
      </w:r>
      <w:r>
        <w:instrText xml:space="preserve"> PAGEREF _Toc65598026 \h </w:instrText>
      </w:r>
      <w:r>
        <w:fldChar w:fldCharType="separate"/>
      </w:r>
      <w:r>
        <w:t>125</w:t>
      </w:r>
      <w:r>
        <w:fldChar w:fldCharType="end"/>
      </w:r>
      <w:r>
        <w:fldChar w:fldCharType="end"/>
      </w:r>
    </w:p>
    <w:p>
      <w:pPr>
        <w:pStyle w:val="16"/>
        <w:tabs>
          <w:tab w:val="right" w:leader="dot" w:pos="8834"/>
        </w:tabs>
        <w:rPr>
          <w:rFonts w:ascii="Calibri" w:hAnsi="Calibri" w:eastAsia="宋体" w:cs="Arial"/>
          <w:kern w:val="2"/>
          <w:sz w:val="21"/>
          <w:szCs w:val="22"/>
        </w:rPr>
      </w:pPr>
      <w:r>
        <w:fldChar w:fldCharType="begin"/>
      </w:r>
      <w:r>
        <w:instrText xml:space="preserve">Hyperlink \l "_Toc65598027"</w:instrText>
      </w:r>
      <w:r>
        <w:fldChar w:fldCharType="separate"/>
      </w:r>
      <w:r>
        <w:rPr>
          <w:rFonts w:hint="eastAsia"/>
        </w:rPr>
        <w:t>第十篇</w:t>
      </w:r>
      <w:r>
        <w:t xml:space="preserve"> </w:t>
      </w:r>
      <w:r>
        <w:rPr>
          <w:rFonts w:hint="eastAsia"/>
        </w:rPr>
        <w:t>提升综合治理水平，促进社会长治久安</w:t>
      </w:r>
      <w:r>
        <w:tab/>
      </w:r>
      <w:r>
        <w:fldChar w:fldCharType="begin"/>
      </w:r>
      <w:r>
        <w:instrText xml:space="preserve"> PAGEREF _Toc65598027 \h </w:instrText>
      </w:r>
      <w:r>
        <w:fldChar w:fldCharType="separate"/>
      </w:r>
      <w:r>
        <w:t>127</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"_Toc65598028"</w:instrText>
      </w:r>
      <w:r>
        <w:fldChar w:fldCharType="separate"/>
      </w:r>
      <w:r>
        <w:rPr>
          <w:rFonts w:hint="eastAsia"/>
        </w:rPr>
        <w:t>第二十九章</w:t>
      </w:r>
      <w:r>
        <w:rPr>
          <w:rFonts w:ascii="Calibri" w:hAnsi="Calibri" w:eastAsia="宋体" w:cs="Arial"/>
          <w:kern w:val="2"/>
          <w:sz w:val="21"/>
          <w:szCs w:val="22"/>
        </w:rPr>
        <w:tab/>
      </w:r>
      <w:r>
        <w:rPr>
          <w:rFonts w:hint="eastAsia"/>
        </w:rPr>
        <w:t>加快推进市域社会治理现代化</w:t>
      </w:r>
      <w:r>
        <w:tab/>
      </w:r>
      <w:r>
        <w:fldChar w:fldCharType="begin"/>
      </w:r>
      <w:r>
        <w:instrText xml:space="preserve"> PAGEREF _Toc65598028 \h </w:instrText>
      </w:r>
      <w:r>
        <w:fldChar w:fldCharType="separate"/>
      </w:r>
      <w:r>
        <w:t>127</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"_Toc65598029"</w:instrText>
      </w:r>
      <w:r>
        <w:fldChar w:fldCharType="separate"/>
      </w:r>
      <w:r>
        <w:rPr>
          <w:rFonts w:hint="eastAsia"/>
        </w:rPr>
        <w:t>第三十章</w:t>
      </w:r>
      <w:r>
        <w:rPr>
          <w:rFonts w:ascii="Calibri" w:hAnsi="Calibri" w:eastAsia="宋体" w:cs="Arial"/>
          <w:kern w:val="2"/>
          <w:sz w:val="21"/>
          <w:szCs w:val="22"/>
        </w:rPr>
        <w:tab/>
      </w:r>
      <w:r>
        <w:rPr>
          <w:rFonts w:hint="eastAsia"/>
        </w:rPr>
        <w:t>深入实施依法治县战略</w:t>
      </w:r>
      <w:r>
        <w:tab/>
      </w:r>
      <w:r>
        <w:fldChar w:fldCharType="begin"/>
      </w:r>
      <w:r>
        <w:instrText xml:space="preserve"> PAGEREF _Toc65598029 \h </w:instrText>
      </w:r>
      <w:r>
        <w:fldChar w:fldCharType="separate"/>
      </w:r>
      <w:r>
        <w:t>128</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"_Toc65598030"</w:instrText>
      </w:r>
      <w:r>
        <w:fldChar w:fldCharType="separate"/>
      </w:r>
      <w:r>
        <w:rPr>
          <w:rFonts w:hint="eastAsia"/>
        </w:rPr>
        <w:t>第一节</w:t>
      </w:r>
      <w:r>
        <w:t xml:space="preserve"> </w:t>
      </w:r>
      <w:r>
        <w:rPr>
          <w:rFonts w:hint="eastAsia"/>
        </w:rPr>
        <w:t>加强民主政治建设</w:t>
      </w:r>
      <w:r>
        <w:tab/>
      </w:r>
      <w:r>
        <w:fldChar w:fldCharType="begin"/>
      </w:r>
      <w:r>
        <w:instrText xml:space="preserve"> PAGEREF _Toc65598030 \h </w:instrText>
      </w:r>
      <w:r>
        <w:fldChar w:fldCharType="separate"/>
      </w:r>
      <w:r>
        <w:t>129</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"_Toc65598031"</w:instrText>
      </w:r>
      <w:r>
        <w:fldChar w:fldCharType="separate"/>
      </w:r>
      <w:r>
        <w:rPr>
          <w:rFonts w:hint="eastAsia"/>
        </w:rPr>
        <w:t>第二节</w:t>
      </w:r>
      <w:r>
        <w:t xml:space="preserve"> </w:t>
      </w:r>
      <w:r>
        <w:rPr>
          <w:rFonts w:hint="eastAsia"/>
        </w:rPr>
        <w:t>持续推进依法行政</w:t>
      </w:r>
      <w:r>
        <w:tab/>
      </w:r>
      <w:r>
        <w:fldChar w:fldCharType="begin"/>
      </w:r>
      <w:r>
        <w:instrText xml:space="preserve"> PAGEREF _Toc65598031 \h </w:instrText>
      </w:r>
      <w:r>
        <w:fldChar w:fldCharType="separate"/>
      </w:r>
      <w:r>
        <w:t>129</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"_Toc65598032"</w:instrText>
      </w:r>
      <w:r>
        <w:fldChar w:fldCharType="separate"/>
      </w:r>
      <w:r>
        <w:rPr>
          <w:rFonts w:hint="eastAsia"/>
        </w:rPr>
        <w:t>第三节</w:t>
      </w:r>
      <w:r>
        <w:t xml:space="preserve"> </w:t>
      </w:r>
      <w:r>
        <w:rPr>
          <w:rFonts w:hint="eastAsia"/>
        </w:rPr>
        <w:t>深入推进司法公正</w:t>
      </w:r>
      <w:r>
        <w:tab/>
      </w:r>
      <w:r>
        <w:fldChar w:fldCharType="begin"/>
      </w:r>
      <w:r>
        <w:instrText xml:space="preserve"> PAGEREF _Toc65598032 \h </w:instrText>
      </w:r>
      <w:r>
        <w:fldChar w:fldCharType="separate"/>
      </w:r>
      <w:r>
        <w:t>130</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"_Toc65598033"</w:instrText>
      </w:r>
      <w:r>
        <w:fldChar w:fldCharType="separate"/>
      </w:r>
      <w:r>
        <w:rPr>
          <w:rFonts w:hint="eastAsia"/>
        </w:rPr>
        <w:t>第三十一章</w:t>
      </w:r>
      <w:r>
        <w:rPr>
          <w:rFonts w:ascii="Calibri" w:hAnsi="Calibri" w:eastAsia="宋体" w:cs="Arial"/>
          <w:kern w:val="2"/>
          <w:sz w:val="21"/>
          <w:szCs w:val="22"/>
        </w:rPr>
        <w:tab/>
      </w:r>
      <w:r>
        <w:rPr>
          <w:rFonts w:hint="eastAsia"/>
        </w:rPr>
        <w:t>全力维护社会稳定</w:t>
      </w:r>
      <w:r>
        <w:tab/>
      </w:r>
      <w:r>
        <w:fldChar w:fldCharType="begin"/>
      </w:r>
      <w:r>
        <w:instrText xml:space="preserve"> PAGEREF _Toc65598033 \h </w:instrText>
      </w:r>
      <w:r>
        <w:fldChar w:fldCharType="separate"/>
      </w:r>
      <w:r>
        <w:t>130</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"_Toc65598034"</w:instrText>
      </w:r>
      <w:r>
        <w:fldChar w:fldCharType="separate"/>
      </w:r>
      <w:r>
        <w:rPr>
          <w:rFonts w:hint="eastAsia"/>
        </w:rPr>
        <w:t>第一节</w:t>
      </w:r>
      <w:r>
        <w:t xml:space="preserve"> </w:t>
      </w:r>
      <w:r>
        <w:rPr>
          <w:rFonts w:hint="eastAsia"/>
        </w:rPr>
        <w:t>全力维护国家安全</w:t>
      </w:r>
      <w:r>
        <w:tab/>
      </w:r>
      <w:r>
        <w:fldChar w:fldCharType="begin"/>
      </w:r>
      <w:r>
        <w:instrText xml:space="preserve"> PAGEREF _Toc65598034 \h </w:instrText>
      </w:r>
      <w:r>
        <w:fldChar w:fldCharType="separate"/>
      </w:r>
      <w:r>
        <w:t>130</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"_Toc65598035"</w:instrText>
      </w:r>
      <w:r>
        <w:fldChar w:fldCharType="separate"/>
      </w:r>
      <w:r>
        <w:rPr>
          <w:rFonts w:hint="eastAsia"/>
        </w:rPr>
        <w:t>第二节</w:t>
      </w:r>
      <w:r>
        <w:t xml:space="preserve"> </w:t>
      </w:r>
      <w:r>
        <w:rPr>
          <w:rFonts w:hint="eastAsia"/>
        </w:rPr>
        <w:t>加强宗教管理、促进各民族和谐共融</w:t>
      </w:r>
      <w:r>
        <w:tab/>
      </w:r>
      <w:r>
        <w:fldChar w:fldCharType="begin"/>
      </w:r>
      <w:r>
        <w:instrText xml:space="preserve"> PAGEREF _Toc65598035 \h </w:instrText>
      </w:r>
      <w:r>
        <w:fldChar w:fldCharType="separate"/>
      </w:r>
      <w:r>
        <w:t>131</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"_Toc65598036"</w:instrText>
      </w:r>
      <w:r>
        <w:fldChar w:fldCharType="separate"/>
      </w:r>
      <w:r>
        <w:rPr>
          <w:rFonts w:hint="eastAsia"/>
        </w:rPr>
        <w:t>第三十二章</w:t>
      </w:r>
      <w:r>
        <w:rPr>
          <w:rFonts w:ascii="Calibri" w:hAnsi="Calibri" w:eastAsia="宋体" w:cs="Arial"/>
          <w:kern w:val="2"/>
          <w:sz w:val="21"/>
          <w:szCs w:val="22"/>
        </w:rPr>
        <w:tab/>
      </w:r>
      <w:r>
        <w:rPr>
          <w:rFonts w:hint="eastAsia"/>
        </w:rPr>
        <w:t>深化社会治安综合治理</w:t>
      </w:r>
      <w:r>
        <w:tab/>
      </w:r>
      <w:r>
        <w:fldChar w:fldCharType="begin"/>
      </w:r>
      <w:r>
        <w:instrText xml:space="preserve"> PAGEREF _Toc65598036 \h </w:instrText>
      </w:r>
      <w:r>
        <w:fldChar w:fldCharType="separate"/>
      </w:r>
      <w:r>
        <w:t>133</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"_Toc65598037"</w:instrText>
      </w:r>
      <w:r>
        <w:fldChar w:fldCharType="separate"/>
      </w:r>
      <w:r>
        <w:rPr>
          <w:rFonts w:hint="eastAsia"/>
        </w:rPr>
        <w:t>第一节</w:t>
      </w:r>
      <w:r>
        <w:t xml:space="preserve"> </w:t>
      </w:r>
      <w:r>
        <w:rPr>
          <w:rFonts w:hint="eastAsia"/>
        </w:rPr>
        <w:t>构建立体化社会治安体系</w:t>
      </w:r>
      <w:r>
        <w:tab/>
      </w:r>
      <w:r>
        <w:fldChar w:fldCharType="begin"/>
      </w:r>
      <w:r>
        <w:instrText xml:space="preserve"> PAGEREF _Toc65598037 \h </w:instrText>
      </w:r>
      <w:r>
        <w:fldChar w:fldCharType="separate"/>
      </w:r>
      <w:r>
        <w:t>133</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"_Toc65598038"</w:instrText>
      </w:r>
      <w:r>
        <w:fldChar w:fldCharType="separate"/>
      </w:r>
      <w:r>
        <w:rPr>
          <w:rFonts w:hint="eastAsia"/>
        </w:rPr>
        <w:t>第二节</w:t>
      </w:r>
      <w:r>
        <w:t xml:space="preserve"> </w:t>
      </w:r>
      <w:r>
        <w:rPr>
          <w:rFonts w:hint="eastAsia"/>
        </w:rPr>
        <w:t>加强治安信息化建设</w:t>
      </w:r>
      <w:r>
        <w:tab/>
      </w:r>
      <w:r>
        <w:fldChar w:fldCharType="begin"/>
      </w:r>
      <w:r>
        <w:instrText xml:space="preserve"> PAGEREF _Toc65598038 \h </w:instrText>
      </w:r>
      <w:r>
        <w:fldChar w:fldCharType="separate"/>
      </w:r>
      <w:r>
        <w:t>134</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"_Toc65598039"</w:instrText>
      </w:r>
      <w:r>
        <w:fldChar w:fldCharType="separate"/>
      </w:r>
      <w:r>
        <w:rPr>
          <w:rFonts w:hint="eastAsia"/>
        </w:rPr>
        <w:t>第三节</w:t>
      </w:r>
      <w:r>
        <w:t xml:space="preserve"> </w:t>
      </w:r>
      <w:r>
        <w:rPr>
          <w:rFonts w:hint="eastAsia"/>
        </w:rPr>
        <w:t>深化社会治安综合治理</w:t>
      </w:r>
      <w:r>
        <w:tab/>
      </w:r>
      <w:r>
        <w:fldChar w:fldCharType="begin"/>
      </w:r>
      <w:r>
        <w:instrText xml:space="preserve"> PAGEREF _Toc65598039 \h </w:instrText>
      </w:r>
      <w:r>
        <w:fldChar w:fldCharType="separate"/>
      </w:r>
      <w:r>
        <w:t>134</w:t>
      </w:r>
      <w:r>
        <w:fldChar w:fldCharType="end"/>
      </w:r>
      <w:r>
        <w:fldChar w:fldCharType="end"/>
      </w:r>
    </w:p>
    <w:p>
      <w:pPr>
        <w:pStyle w:val="16"/>
        <w:tabs>
          <w:tab w:val="right" w:leader="dot" w:pos="8834"/>
        </w:tabs>
        <w:rPr>
          <w:rFonts w:ascii="Calibri" w:hAnsi="Calibri" w:eastAsia="宋体" w:cs="Arial"/>
          <w:kern w:val="2"/>
          <w:sz w:val="21"/>
          <w:szCs w:val="22"/>
        </w:rPr>
      </w:pPr>
      <w:r>
        <w:fldChar w:fldCharType="begin"/>
      </w:r>
      <w:r>
        <w:instrText xml:space="preserve">Hyperlink \l "_Toc65598040"</w:instrText>
      </w:r>
      <w:r>
        <w:fldChar w:fldCharType="separate"/>
      </w:r>
      <w:r>
        <w:rPr>
          <w:rFonts w:hint="eastAsia"/>
        </w:rPr>
        <w:t>第十一篇</w:t>
      </w:r>
      <w:r>
        <w:t xml:space="preserve"> </w:t>
      </w:r>
      <w:r>
        <w:rPr>
          <w:rFonts w:hint="eastAsia"/>
        </w:rPr>
        <w:t>强化规划实施保障</w:t>
      </w:r>
      <w:r>
        <w:tab/>
      </w:r>
      <w:r>
        <w:fldChar w:fldCharType="begin"/>
      </w:r>
      <w:r>
        <w:instrText xml:space="preserve"> PAGEREF _Toc65598040 \h </w:instrText>
      </w:r>
      <w:r>
        <w:fldChar w:fldCharType="separate"/>
      </w:r>
      <w:r>
        <w:t>137</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"_Toc65598041"</w:instrText>
      </w:r>
      <w:r>
        <w:fldChar w:fldCharType="separate"/>
      </w:r>
      <w:r>
        <w:rPr>
          <w:rFonts w:hint="eastAsia"/>
        </w:rPr>
        <w:t>第三十三章</w:t>
      </w:r>
      <w:r>
        <w:rPr>
          <w:rFonts w:ascii="Calibri" w:hAnsi="Calibri" w:eastAsia="宋体" w:cs="Arial"/>
          <w:kern w:val="2"/>
          <w:sz w:val="21"/>
          <w:szCs w:val="22"/>
        </w:rPr>
        <w:tab/>
      </w:r>
      <w:r>
        <w:rPr>
          <w:rFonts w:hint="eastAsia"/>
        </w:rPr>
        <w:t>加强党的全面领导</w:t>
      </w:r>
      <w:r>
        <w:tab/>
      </w:r>
      <w:r>
        <w:fldChar w:fldCharType="begin"/>
      </w:r>
      <w:r>
        <w:instrText xml:space="preserve"> PAGEREF _Toc65598041 \h </w:instrText>
      </w:r>
      <w:r>
        <w:fldChar w:fldCharType="separate"/>
      </w:r>
      <w:r>
        <w:t>137</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"_Toc65598042"</w:instrText>
      </w:r>
      <w:r>
        <w:fldChar w:fldCharType="separate"/>
      </w:r>
      <w:r>
        <w:rPr>
          <w:rFonts w:hint="eastAsia"/>
        </w:rPr>
        <w:t>第一节</w:t>
      </w:r>
      <w:r>
        <w:t xml:space="preserve"> </w:t>
      </w:r>
      <w:r>
        <w:rPr>
          <w:rFonts w:hint="eastAsia"/>
        </w:rPr>
        <w:t>加强党的核心领导作用</w:t>
      </w:r>
      <w:r>
        <w:tab/>
      </w:r>
      <w:r>
        <w:fldChar w:fldCharType="begin"/>
      </w:r>
      <w:r>
        <w:instrText xml:space="preserve"> PAGEREF _Toc65598042 \h </w:instrText>
      </w:r>
      <w:r>
        <w:fldChar w:fldCharType="separate"/>
      </w:r>
      <w:r>
        <w:t>137</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"_Toc65598043"</w:instrText>
      </w:r>
      <w:r>
        <w:fldChar w:fldCharType="separate"/>
      </w:r>
      <w:r>
        <w:rPr>
          <w:rFonts w:hint="eastAsia"/>
        </w:rPr>
        <w:t>第二节</w:t>
      </w:r>
      <w:r>
        <w:t xml:space="preserve"> </w:t>
      </w:r>
      <w:r>
        <w:rPr>
          <w:rFonts w:hint="eastAsia"/>
        </w:rPr>
        <w:t>完善党和国家监督体系</w:t>
      </w:r>
      <w:r>
        <w:tab/>
      </w:r>
      <w:r>
        <w:fldChar w:fldCharType="begin"/>
      </w:r>
      <w:r>
        <w:instrText xml:space="preserve"> PAGEREF _Toc65598043 \h </w:instrText>
      </w:r>
      <w:r>
        <w:fldChar w:fldCharType="separate"/>
      </w:r>
      <w:r>
        <w:t>138</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"_Toc65598044"</w:instrText>
      </w:r>
      <w:r>
        <w:fldChar w:fldCharType="separate"/>
      </w:r>
      <w:r>
        <w:rPr>
          <w:rFonts w:hint="eastAsia"/>
        </w:rPr>
        <w:t>第三十四章</w:t>
      </w:r>
      <w:r>
        <w:rPr>
          <w:rFonts w:ascii="Calibri" w:hAnsi="Calibri" w:eastAsia="宋体" w:cs="Arial"/>
          <w:kern w:val="2"/>
          <w:sz w:val="21"/>
          <w:szCs w:val="22"/>
        </w:rPr>
        <w:tab/>
      </w:r>
      <w:r>
        <w:rPr>
          <w:rFonts w:hint="eastAsia"/>
        </w:rPr>
        <w:t>完善人才队伍支撑体系</w:t>
      </w:r>
      <w:r>
        <w:tab/>
      </w:r>
      <w:r>
        <w:fldChar w:fldCharType="begin"/>
      </w:r>
      <w:r>
        <w:instrText xml:space="preserve"> PAGEREF _Toc65598044 \h </w:instrText>
      </w:r>
      <w:r>
        <w:fldChar w:fldCharType="separate"/>
      </w:r>
      <w:r>
        <w:t>141</w:t>
      </w:r>
      <w:r>
        <w:fldChar w:fldCharType="end"/>
      </w:r>
      <w:r>
        <w:fldChar w:fldCharType="end"/>
      </w:r>
    </w:p>
    <w:p>
      <w:pPr>
        <w:pStyle w:val="19"/>
        <w:tabs>
          <w:tab w:val="left" w:pos="2940"/>
          <w:tab w:val="right" w:leader="dot" w:pos="8834"/>
        </w:tabs>
        <w:rPr>
          <w:rFonts w:ascii="Calibri" w:hAnsi="Calibri" w:eastAsia="宋体" w:cs="Arial"/>
          <w:kern w:val="2"/>
          <w:sz w:val="21"/>
          <w:szCs w:val="22"/>
        </w:rPr>
      </w:pPr>
      <w:r>
        <w:fldChar w:fldCharType="begin"/>
      </w:r>
      <w:r>
        <w:instrText xml:space="preserve">Hyperlink \l "_Toc65598045"</w:instrText>
      </w:r>
      <w:r>
        <w:fldChar w:fldCharType="separate"/>
      </w:r>
      <w:r>
        <w:rPr>
          <w:rFonts w:hint="eastAsia"/>
        </w:rPr>
        <w:t>第三十五章</w:t>
      </w:r>
      <w:r>
        <w:rPr>
          <w:rFonts w:ascii="Calibri" w:hAnsi="Calibri" w:eastAsia="宋体" w:cs="Arial"/>
          <w:kern w:val="2"/>
          <w:sz w:val="21"/>
          <w:szCs w:val="22"/>
        </w:rPr>
        <w:tab/>
      </w:r>
      <w:r>
        <w:rPr>
          <w:rFonts w:hint="eastAsia"/>
        </w:rPr>
        <w:t>保障规划实施</w:t>
      </w:r>
      <w:r>
        <w:tab/>
      </w:r>
      <w:r>
        <w:fldChar w:fldCharType="begin"/>
      </w:r>
      <w:r>
        <w:instrText xml:space="preserve"> PAGEREF _Toc65598045 \h </w:instrText>
      </w:r>
      <w:r>
        <w:fldChar w:fldCharType="separate"/>
      </w:r>
      <w:r>
        <w:t>142</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"_Toc65598046"</w:instrText>
      </w:r>
      <w:r>
        <w:fldChar w:fldCharType="separate"/>
      </w:r>
      <w:r>
        <w:rPr>
          <w:rFonts w:hint="eastAsia"/>
        </w:rPr>
        <w:t>第一节</w:t>
      </w:r>
      <w:r>
        <w:t xml:space="preserve"> </w:t>
      </w:r>
      <w:r>
        <w:rPr>
          <w:rFonts w:hint="eastAsia"/>
        </w:rPr>
        <w:t>加强规划衔接</w:t>
      </w:r>
      <w:r>
        <w:tab/>
      </w:r>
      <w:r>
        <w:fldChar w:fldCharType="begin"/>
      </w:r>
      <w:r>
        <w:instrText xml:space="preserve"> PAGEREF _Toc65598046 \h </w:instrText>
      </w:r>
      <w:r>
        <w:fldChar w:fldCharType="separate"/>
      </w:r>
      <w:r>
        <w:t>142</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"_Toc65598047"</w:instrText>
      </w:r>
      <w:r>
        <w:fldChar w:fldCharType="separate"/>
      </w:r>
      <w:r>
        <w:rPr>
          <w:rFonts w:hint="eastAsia"/>
        </w:rPr>
        <w:t>第二节</w:t>
      </w:r>
      <w:r>
        <w:t xml:space="preserve"> </w:t>
      </w:r>
      <w:r>
        <w:rPr>
          <w:rFonts w:hint="eastAsia"/>
        </w:rPr>
        <w:t>健全目标考核机制</w:t>
      </w:r>
      <w:r>
        <w:tab/>
      </w:r>
      <w:r>
        <w:fldChar w:fldCharType="begin"/>
      </w:r>
      <w:r>
        <w:instrText xml:space="preserve"> PAGEREF _Toc65598047 \h </w:instrText>
      </w:r>
      <w:r>
        <w:fldChar w:fldCharType="separate"/>
      </w:r>
      <w:r>
        <w:t>142</w:t>
      </w:r>
      <w:r>
        <w:fldChar w:fldCharType="end"/>
      </w:r>
      <w:r>
        <w:fldChar w:fldCharType="end"/>
      </w:r>
    </w:p>
    <w:p>
      <w:pPr>
        <w:pStyle w:val="11"/>
        <w:tabs>
          <w:tab w:val="right" w:leader="dot" w:pos="8834"/>
        </w:tabs>
        <w:rPr>
          <w:rFonts w:ascii="Calibri" w:hAnsi="Calibri" w:eastAsia="宋体" w:cs="Arial"/>
          <w:kern w:val="2"/>
          <w:sz w:val="21"/>
          <w:szCs w:val="22"/>
        </w:rPr>
      </w:pPr>
      <w:r>
        <w:fldChar w:fldCharType="begin"/>
      </w:r>
      <w:r>
        <w:instrText xml:space="preserve">Hyperlink \l "_Toc65598048"</w:instrText>
      </w:r>
      <w:r>
        <w:fldChar w:fldCharType="separate"/>
      </w:r>
      <w:r>
        <w:rPr>
          <w:rFonts w:hint="eastAsia"/>
        </w:rPr>
        <w:t>第三节</w:t>
      </w:r>
      <w:r>
        <w:t xml:space="preserve"> </w:t>
      </w:r>
      <w:r>
        <w:rPr>
          <w:rFonts w:hint="eastAsia"/>
        </w:rPr>
        <w:t>强化监督管理</w:t>
      </w:r>
      <w:r>
        <w:tab/>
      </w:r>
      <w:r>
        <w:fldChar w:fldCharType="begin"/>
      </w:r>
      <w:r>
        <w:instrText xml:space="preserve"> PAGEREF _Toc65598048 \h </w:instrText>
      </w:r>
      <w:r>
        <w:fldChar w:fldCharType="separate"/>
      </w:r>
      <w:r>
        <w:t>143</w:t>
      </w:r>
      <w:r>
        <w:fldChar w:fldCharType="end"/>
      </w:r>
      <w:r>
        <w:fldChar w:fldCharType="end"/>
      </w:r>
    </w:p>
    <w:p>
      <w:pPr>
        <w:rPr>
          <w:sz w:val="28"/>
          <w:szCs w:val="28"/>
        </w:rPr>
        <w:sectPr>
          <w:footerReference r:id="rId5" w:type="default"/>
          <w:pgSz w:w="11906" w:h="16838"/>
          <w:pgMar w:top="1928" w:right="1474" w:bottom="1588" w:left="1588" w:header="851" w:footer="1361" w:gutter="0"/>
          <w:pgNumType w:fmt="upperRoman" w:start="4"/>
          <w:cols w:space="720" w:num="1"/>
          <w:docGrid w:type="lines" w:linePitch="312" w:charSpace="0"/>
        </w:sectPr>
      </w:pPr>
      <w:r>
        <w:rPr>
          <w:rFonts w:hint="eastAsia"/>
          <w:sz w:val="28"/>
          <w:szCs w:val="28"/>
        </w:rPr>
        <w:fldChar w:fldCharType="end"/>
      </w:r>
    </w:p>
    <w:p>
      <w:pPr>
        <w:pStyle w:val="4"/>
      </w:pPr>
      <w:bookmarkStart w:id="1" w:name="_Toc438137464"/>
      <w:bookmarkStart w:id="2" w:name="_Toc60172767"/>
      <w:bookmarkStart w:id="3" w:name="_Toc65597908"/>
      <w:r>
        <w:rPr>
          <w:rFonts w:hint="eastAsia"/>
        </w:rPr>
        <w:t>第一篇</w:t>
      </w:r>
      <w:r>
        <w:t xml:space="preserve"> </w:t>
      </w:r>
      <w:bookmarkEnd w:id="1"/>
      <w:bookmarkEnd w:id="2"/>
      <w:r>
        <w:rPr>
          <w:rFonts w:hint="eastAsia"/>
        </w:rPr>
        <w:t>开启丹巴现代化建设新征程</w:t>
      </w:r>
      <w:bookmarkEnd w:id="3"/>
    </w:p>
    <w:p>
      <w:pPr>
        <w:pStyle w:val="6"/>
        <w:numPr>
          <w:ilvl w:val="0"/>
          <w:numId w:val="1"/>
        </w:numPr>
        <w:ind w:firstLineChars="0"/>
      </w:pPr>
      <w:bookmarkStart w:id="4" w:name="_Toc65597909"/>
      <w:bookmarkStart w:id="5" w:name="_Toc60172768"/>
      <w:r>
        <w:rPr>
          <w:rFonts w:hint="eastAsia"/>
        </w:rPr>
        <w:t>站在历史新起点</w:t>
      </w:r>
      <w:bookmarkEnd w:id="4"/>
      <w:bookmarkEnd w:id="5"/>
    </w:p>
    <w:p>
      <w:pPr>
        <w:pStyle w:val="7"/>
      </w:pPr>
      <w:bookmarkStart w:id="6" w:name="_Toc65597910"/>
      <w:bookmarkStart w:id="7" w:name="_Toc60172769"/>
      <w:r>
        <w:rPr>
          <w:rFonts w:hint="eastAsia"/>
        </w:rPr>
        <w:t>第一节 全面建成小康社会</w:t>
      </w:r>
      <w:bookmarkEnd w:id="6"/>
      <w:bookmarkEnd w:id="7"/>
    </w:p>
    <w:p>
      <w:r>
        <w:rPr>
          <w:rFonts w:hint="eastAsia"/>
        </w:rPr>
        <w:t>“十三五”以来，面对错综复杂的外部环境、新冠疫情和各类自然灾害的形势，丹巴县委、县政府坚持以习近平新时代中国特色社会主义思想为指导，认真贯彻习近平总书记对四川工作系列重要指示精神和省州重大决策部署，主动适应经济发展新常态要求，团结带领全县各族人民，牢牢把握稳中求进总基调，积极应对新挑战，有效化解新矛盾，统筹推进改革、发展、民生、稳定等各项工作，基本完成“十三五”规划《纲要》确定的主要指标，历史性消除现行标准下的绝对贫困，与全国同步实现全面建成小康社会的宏伟目标。全县呈现经济较快增长、民生全面提升、生态持续改善、社会和谐稳定的良好局面，为新时代建设社会主义现代化丹巴奠定了坚实基础。</w:t>
      </w:r>
    </w:p>
    <w:p>
      <w:r>
        <w:rPr>
          <w:rFonts w:hint="eastAsia"/>
        </w:rPr>
        <w:t>一、历史性消除绝对贫困，脱贫攻坚取得决定性胜利</w:t>
      </w:r>
    </w:p>
    <w:p>
      <w:r>
        <w:rPr>
          <w:rFonts w:hint="eastAsia"/>
        </w:rPr>
        <w:t>丹巴县始终把脱贫攻坚作为最大政治责任、最大发展机遇、最大民生工程，确保脱贫路上不落一户、不落一人，深入实施民生工程，统筹整合涉农资金10.42亿元，实施1</w:t>
      </w:r>
      <w:r>
        <w:t>9</w:t>
      </w:r>
      <w:r>
        <w:rPr>
          <w:rFonts w:hint="eastAsia"/>
        </w:rPr>
        <w:t>个专项扶贫行动，高质量完成减贫任务，脱贫攻坚取得阶段性胜利。2</w:t>
      </w:r>
      <w:r>
        <w:t>019</w:t>
      </w:r>
      <w:r>
        <w:rPr>
          <w:rFonts w:hint="eastAsia"/>
        </w:rPr>
        <w:t>年，全面消除绝对贫困，全县2245户8564名农村贫困人口全部脱贫，54个贫困村全部“摘帽”，正式退出贫困县序列；稳定实现扶贫对象不愁吃、不愁穿，保障其义务教育、基本医疗和住房；农牧民人均可支配收入比 2010年翻一番以上；实现基本公共服务均等化、社会保障全覆盖，乡乡有油路水泥路、有标准中心校、有达标卫生院、有便民服务中心，村村有硬化路、有卫生室、有文化室、有宽带网，户户有安全饮用水、有生活用电、有广播电视，贫困地区群众住上好房子、过上好日子、养成好习惯、形成好风气，加快建成美丽生态和谐小康丹巴。</w:t>
      </w:r>
    </w:p>
    <w:p>
      <w:r>
        <w:rPr>
          <w:rFonts w:hint="eastAsia"/>
        </w:rPr>
        <w:t>二、经济平稳健康发展，综合实力稳步提升</w:t>
      </w:r>
    </w:p>
    <w:p>
      <w:r>
        <w:rPr>
          <w:rFonts w:hint="eastAsia"/>
        </w:rPr>
        <w:t>“十三五”</w:t>
      </w:r>
      <w:r>
        <w:t>以来，全县围绕加快县域经济发展、增强自我发展能力，经济</w:t>
      </w:r>
      <w:r>
        <w:rPr>
          <w:rFonts w:hint="eastAsia"/>
        </w:rPr>
        <w:t>综合</w:t>
      </w:r>
      <w:r>
        <w:t>实力显著增强。</w:t>
      </w:r>
      <w:r>
        <w:rPr>
          <w:rFonts w:hint="eastAsia"/>
        </w:rPr>
        <w:t>2020年，实现地区生产总值21.21亿元，是2015年的1.6倍，较“十二五”末增长4</w:t>
      </w:r>
      <w:r>
        <w:t>4.9</w:t>
      </w:r>
      <w:r>
        <w:rPr>
          <w:rFonts w:hint="eastAsia"/>
        </w:rPr>
        <w:t>%，完成规划目标的10</w:t>
      </w:r>
      <w:r>
        <w:t>5.89</w:t>
      </w:r>
      <w:r>
        <w:rPr>
          <w:rFonts w:hint="eastAsia"/>
        </w:rPr>
        <w:t>%，经济总量在甘孜州18个市县中居于前列。其中：第一产业增加值</w:t>
      </w:r>
      <w:r>
        <w:t>3.55</w:t>
      </w:r>
      <w:r>
        <w:rPr>
          <w:rFonts w:hint="eastAsia"/>
        </w:rPr>
        <w:t>亿元，</w:t>
      </w:r>
      <w:r>
        <w:t>同比增</w:t>
      </w:r>
      <w:r>
        <w:rPr>
          <w:rFonts w:hint="eastAsia"/>
        </w:rPr>
        <w:t>长</w:t>
      </w:r>
      <w:r>
        <w:t>2%</w:t>
      </w:r>
      <w:r>
        <w:rPr>
          <w:rFonts w:hint="eastAsia"/>
        </w:rPr>
        <w:t>；</w:t>
      </w:r>
      <w:r>
        <w:t>第二产业增加值5.65</w:t>
      </w:r>
      <w:r>
        <w:rPr>
          <w:rFonts w:hint="eastAsia"/>
        </w:rPr>
        <w:t>亿元，同比增长</w:t>
      </w:r>
      <w:r>
        <w:t>5</w:t>
      </w:r>
      <w:r>
        <w:rPr>
          <w:rFonts w:hint="eastAsia"/>
        </w:rPr>
        <w:t>%；第三产业增加值</w:t>
      </w:r>
      <w:r>
        <w:t>12.01</w:t>
      </w:r>
      <w:r>
        <w:rPr>
          <w:rFonts w:hint="eastAsia"/>
        </w:rPr>
        <w:t>亿元，同比</w:t>
      </w:r>
      <w:r>
        <w:t>增</w:t>
      </w:r>
      <w:r>
        <w:rPr>
          <w:rFonts w:hint="eastAsia"/>
        </w:rPr>
        <w:t>长</w:t>
      </w:r>
      <w:r>
        <w:t>1.5</w:t>
      </w:r>
      <w:r>
        <w:rPr>
          <w:rFonts w:hint="eastAsia"/>
        </w:rPr>
        <w:t>%。五年累计完成全社会固定资产投资60.8亿元，其增速位居全州第一。地方一般公共预算收入</w:t>
      </w:r>
      <w:r>
        <w:t>1.</w:t>
      </w:r>
      <w:r>
        <w:rPr>
          <w:rFonts w:hint="eastAsia"/>
        </w:rPr>
        <w:t>88亿元，同比增长5</w:t>
      </w:r>
      <w:r>
        <w:t>8.6</w:t>
      </w:r>
      <w:r>
        <w:rPr>
          <w:rFonts w:hint="eastAsia"/>
        </w:rPr>
        <w:t>%。社会消费品零售总额7.02亿元，年均增长8.9%，达到2</w:t>
      </w:r>
      <w:r>
        <w:t>015</w:t>
      </w:r>
      <w:r>
        <w:rPr>
          <w:rFonts w:hint="eastAsia"/>
        </w:rPr>
        <w:t>年的1</w:t>
      </w:r>
      <w:r>
        <w:t>.57</w:t>
      </w:r>
      <w:r>
        <w:rPr>
          <w:rFonts w:hint="eastAsia"/>
        </w:rPr>
        <w:t>倍。水电装机容量达到7</w:t>
      </w:r>
      <w:r>
        <w:t>7.5</w:t>
      </w:r>
      <w:r>
        <w:rPr>
          <w:rFonts w:hint="eastAsia"/>
        </w:rPr>
        <w:t>万千瓦，年均增长7</w:t>
      </w:r>
      <w:r>
        <w:t xml:space="preserve">.9 </w:t>
      </w:r>
      <w:r>
        <w:rPr>
          <w:rFonts w:hint="eastAsia"/>
        </w:rPr>
        <w:t>%，三次产业结构调整优化为16.74:26.64：56.62。</w:t>
      </w:r>
    </w:p>
    <w:p>
      <w:pPr>
        <w:rPr>
          <w:rFonts w:ascii="楷体_GB2312" w:hAnsi="楷体_GB2312" w:eastAsia="楷体"/>
        </w:rPr>
      </w:pPr>
      <w:r>
        <w:rPr>
          <w:rFonts w:hint="eastAsia"/>
        </w:rPr>
        <w:drawing>
          <wp:anchor distT="0" distB="0" distL="114300" distR="114300" simplePos="0" relativeHeight="1024" behindDoc="1" locked="0" layoutInCell="1" allowOverlap="1">
            <wp:simplePos x="0" y="0"/>
            <wp:positionH relativeFrom="column">
              <wp:posOffset>1270</wp:posOffset>
            </wp:positionH>
            <wp:positionV relativeFrom="paragraph">
              <wp:posOffset>-1800860</wp:posOffset>
            </wp:positionV>
            <wp:extent cx="5634990" cy="3786505"/>
            <wp:effectExtent l="0" t="0" r="0" b="0"/>
            <wp:wrapTopAndBottom/>
            <wp:docPr id="1" name="图表 3"/>
            <wp:cNvGraphicFramePr/>
            <a:graphic xmlns:a="http://schemas.openxmlformats.org/drawingml/2006/main">
              <a:graphicData uri="http://schemas.openxmlformats.org/drawingml/2006/picture">
                <pic:pic xmlns:pic="http://schemas.openxmlformats.org/drawingml/2006/picture">
                  <pic:nvPicPr>
                    <pic:cNvPr id="1" name="图表 3"/>
                    <pic:cNvPicPr/>
                  </pic:nvPicPr>
                  <pic:blipFill>
                    <a:blip r:embed="rId8"/>
                    <a:stretch>
                      <a:fillRect/>
                    </a:stretch>
                  </pic:blipFill>
                  <pic:spPr>
                    <a:xfrm>
                      <a:off x="0" y="0"/>
                      <a:ext cx="5634990" cy="3786504"/>
                    </a:xfrm>
                    <a:prstGeom prst="rect">
                      <a:avLst/>
                    </a:prstGeom>
                    <a:noFill/>
                    <a:ln w="9525" cap="flat" cmpd="sng">
                      <a:solidFill>
                        <a:srgbClr val="000000"/>
                      </a:solidFill>
                      <a:prstDash val="solid"/>
                      <a:miter/>
                    </a:ln>
                  </pic:spPr>
                </pic:pic>
              </a:graphicData>
            </a:graphic>
          </wp:anchor>
        </w:drawing>
      </w:r>
      <w:r>
        <w:rPr>
          <w:rFonts w:hint="eastAsia"/>
        </w:rPr>
        <w:t>三、生态文明建设扎实推进，人居环境持续改善</w:t>
      </w:r>
    </w:p>
    <w:p>
      <w:r>
        <w:t>持续推进幸福美丽新村建设和县城整体风貌升级改造，</w:t>
      </w:r>
      <w:r>
        <w:rPr>
          <w:rFonts w:hint="eastAsia"/>
        </w:rPr>
        <w:t>人居环境质量大幅提升。</w:t>
      </w:r>
      <w:r>
        <w:rPr>
          <w:rFonts w:hint="eastAsia" w:cs="仿宋"/>
        </w:rPr>
        <w:t>完成巩固退耕还林成果7.9万亩；兑现退耕还林为661.7亩</w:t>
      </w:r>
      <w:r>
        <w:rPr>
          <w:rFonts w:cs="仿宋"/>
        </w:rPr>
        <w:t>。</w:t>
      </w:r>
      <w:r>
        <w:rPr>
          <w:rFonts w:hint="eastAsia"/>
        </w:rPr>
        <w:t>划定生态红线面积163</w:t>
      </w:r>
      <w:r>
        <w:t>8</w:t>
      </w:r>
      <w:r>
        <w:rPr>
          <w:rFonts w:hint="eastAsia"/>
        </w:rPr>
        <w:t>.</w:t>
      </w:r>
      <w:r>
        <w:t>78</w:t>
      </w:r>
      <w:r>
        <w:rPr>
          <w:rFonts w:hint="eastAsia"/>
        </w:rPr>
        <w:t>平方公里，占县域总面积的36.36%，比原生态红线多划定了2.37平方公里；</w:t>
      </w:r>
      <w:r>
        <w:t>全县森林管护面积达到</w:t>
      </w:r>
      <w:r>
        <w:rPr>
          <w:rFonts w:hint="eastAsia"/>
        </w:rPr>
        <w:t>281</w:t>
      </w:r>
      <w:r>
        <w:t>万亩，湿地保有量达到</w:t>
      </w:r>
      <w:r>
        <w:rPr>
          <w:rFonts w:hint="eastAsia"/>
        </w:rPr>
        <w:t>3050</w:t>
      </w:r>
      <w:r>
        <w:t>公顷，耕地保有量</w:t>
      </w:r>
      <w:r>
        <w:rPr>
          <w:rFonts w:hint="eastAsia"/>
        </w:rPr>
        <w:t>3.95</w:t>
      </w:r>
      <w:r>
        <w:t>万亩，永久基本农田面积保持7.84万亩</w:t>
      </w:r>
      <w:r>
        <w:rPr>
          <w:rFonts w:hint="eastAsia"/>
        </w:rPr>
        <w:t>，</w:t>
      </w:r>
      <w:r>
        <w:t>自然保护区保有量达到</w:t>
      </w:r>
      <w:r>
        <w:rPr>
          <w:rFonts w:hint="eastAsia"/>
        </w:rPr>
        <w:t>938.61</w:t>
      </w:r>
      <w:r>
        <w:t>平方公里，</w:t>
      </w:r>
      <w:r>
        <w:rPr>
          <w:rFonts w:hint="eastAsia"/>
        </w:rPr>
        <w:t>草原综合植被覆盖度达到8</w:t>
      </w:r>
      <w:r>
        <w:t>5.6</w:t>
      </w:r>
      <w:r>
        <w:rPr>
          <w:rFonts w:hint="eastAsia"/>
        </w:rPr>
        <w:t>%</w:t>
      </w:r>
      <w:r>
        <w:t>，森林覆盖率达到</w:t>
      </w:r>
      <w:r>
        <w:rPr>
          <w:rFonts w:hint="eastAsia"/>
        </w:rPr>
        <w:t>57.29</w:t>
      </w:r>
      <w:r>
        <w:t>%。</w:t>
      </w:r>
      <w:r>
        <w:rPr>
          <w:rFonts w:hint="eastAsia"/>
        </w:rPr>
        <w:t>污染防治攻坚战全面推进，散乱污企业得到大力整治，落后产能不断清退和淘汰。聚焦“做强县城、做优乡镇、做美村寨”目标，高起点编制《丹巴县国家生态文明建设示范县规划》，成功创建省级生态乡镇1个、州级生态村2个。</w:t>
      </w:r>
    </w:p>
    <w:p>
      <w:r>
        <w:rPr>
          <w:rFonts w:hint="eastAsia"/>
        </w:rPr>
        <w:t>四、基础设施不断完善，瓶颈制约逐步缓解</w:t>
      </w:r>
    </w:p>
    <w:p>
      <w:r>
        <w:rPr>
          <w:rFonts w:hint="eastAsia"/>
        </w:rPr>
        <w:t>交通、电力、水利、信息等方面建设稳步推进，基础设施持续改善。交通先行成效显著，交通瓶颈制约明显改善，完成一批重大公路、桥梁等交通建设，实现国省干线面貌大改观，乡乡通油路、村村通硬化路、建制村通客运车辆实现1</w:t>
      </w:r>
      <w:r>
        <w:t>00%</w:t>
      </w:r>
      <w:r>
        <w:rPr>
          <w:rFonts w:hint="eastAsia"/>
        </w:rPr>
        <w:t xml:space="preserve">；水电能源建设深入开展，能源基础设施建设加快，电力输出通道建设加快推进，地方配网逐步完善，城乡供电问题得到极大缓解；以水利为主的农业基础设施建设加快推进，嘉绒水利及渠系配套工程全面竣工投用，农业生产条件显著改善，安全饮水问题基本解决，城乡居民用水质量有效提升，水土流失治理进一步加强；信息化建设全面增强，通讯网络覆盖面进一步扩大，信息服务质量不断提高，信息化应用水平显著提升。 </w:t>
      </w:r>
    </w:p>
    <w:p>
      <w:r>
        <w:rPr>
          <w:rFonts w:hint="eastAsia"/>
        </w:rPr>
        <w:t>五、城乡区域更加协调，城乡融合发展水平逐步提高</w:t>
      </w:r>
    </w:p>
    <w:p>
      <w:r>
        <w:t>城镇综合承载能力和吸附能力明显增强</w:t>
      </w:r>
      <w:r>
        <w:rPr>
          <w:rFonts w:hint="eastAsia"/>
        </w:rPr>
        <w:t>，城市功能日趋完善，嘉绒新区建设取得突破，</w:t>
      </w:r>
      <w:r>
        <w:t>城乡建设水平进一步提升，</w:t>
      </w:r>
      <w:r>
        <w:rPr>
          <w:rFonts w:hint="eastAsia"/>
        </w:rPr>
        <w:t>城乡融合发展水平逐步提高，城镇化率2</w:t>
      </w:r>
      <w:r>
        <w:t>020</w:t>
      </w:r>
      <w:r>
        <w:rPr>
          <w:rFonts w:hint="eastAsia"/>
        </w:rPr>
        <w:t>年达到35.08</w:t>
      </w:r>
      <w:r>
        <w:t xml:space="preserve"> </w:t>
      </w:r>
      <w:r>
        <w:rPr>
          <w:rFonts w:hint="eastAsia"/>
        </w:rPr>
        <w:t>%。全面启动并完成魅力县城建设并荣获2</w:t>
      </w:r>
      <w:r>
        <w:t>018</w:t>
      </w:r>
      <w:r>
        <w:rPr>
          <w:rFonts w:hint="eastAsia"/>
        </w:rPr>
        <w:t>年城乡提升战略全州第一名。完善城市基础设施建设，完成旅游集散中心和镇村街道整治，完成部分村生活垃圾收运和乡（镇）饮用水源地保护工程，持续加大城乡结合部环境整治和行政综合执法力度。大力实施城市美化、绿化、亮化、净化提升工程，实行城镇建管分离，城市管理质量有效提升。加快</w:t>
      </w:r>
      <w:r>
        <w:t>实施家园美化、道路硬化、村庄绿化、照明亮化、环境净化、保护利用乡土文化等村容村貌提升</w:t>
      </w:r>
      <w:r>
        <w:rPr>
          <w:rFonts w:hint="eastAsia"/>
        </w:rPr>
        <w:t>工程，持续推进农村垃圾、污水、厕所三大“革命”，宜居乡村建设取得显著成效，莫斯卡、大桑等13个村入围第五批全国传统村落名录，数量居全省第一。</w:t>
      </w:r>
    </w:p>
    <w:p>
      <w:r>
        <w:rPr>
          <w:rFonts w:hint="eastAsia"/>
        </w:rPr>
        <w:t>六、社会事业全面发展，民生福祉得到大幅增进</w:t>
      </w:r>
    </w:p>
    <w:p>
      <w:r>
        <w:rPr>
          <w:rFonts w:hint="eastAsia"/>
        </w:rPr>
        <w:t>大力实施民生工程建设，实现各项社会事业同步发展，城乡居民人均可支配收入2</w:t>
      </w:r>
      <w:r>
        <w:t>020</w:t>
      </w:r>
      <w:r>
        <w:rPr>
          <w:rFonts w:hint="eastAsia"/>
        </w:rPr>
        <w:t>年分别达到36678元、15790元，同比增长分别为5.2%、8.8%，居民收入快于经济增长，群众获得感幸福感显著增强。“十三五”以来，丹巴县积极推进教育事业优先发展，全面</w:t>
      </w:r>
      <w:r>
        <w:t>落实义务教育阶段</w:t>
      </w:r>
      <w:r>
        <w:rPr>
          <w:rFonts w:hint="eastAsia"/>
        </w:rPr>
        <w:t>“</w:t>
      </w:r>
      <w:r>
        <w:t>三免一补</w:t>
      </w:r>
      <w:r>
        <w:rPr>
          <w:rFonts w:hint="eastAsia"/>
        </w:rPr>
        <w:t>”</w:t>
      </w:r>
      <w:r>
        <w:t>和</w:t>
      </w:r>
      <w:r>
        <w:rPr>
          <w:rFonts w:hint="eastAsia"/>
        </w:rPr>
        <w:t>“学前午餐营养、义务教育营养改善计划”等各项</w:t>
      </w:r>
      <w:r>
        <w:t>政策</w:t>
      </w:r>
      <w:r>
        <w:rPr>
          <w:rFonts w:hint="eastAsia"/>
        </w:rPr>
        <w:t>，教学质量稳步提升，义务教育阶段入学率、巩固率均达100%，中考成绩连续六年全州第一。全面深化医药卫生体制改革，持续推进健康扶贫“五大行动”，落实贫困人口“十免四补助”“两保三救助三基金”等医疗扶持政策。强化包虫病、艾滋病、结核病等防治工作，不断完善基本公共卫生服务。建成县医院、县中藏医医院、县妇幼保健院、县疾控中心业务综合楼，15个乡镇标准化卫生院和54个贫困村标准化卫生室；完成县乡医疗机构创等达标任务，成功创建省级卫生县城和一个国家级卫生乡镇。新冠疫情发生后，按照“6+4+2”联防联控措施和“10+7+6”方案，常态化推进疫情防控工作。实施县医院发热门诊、核酸检测实验室等改建项目，购置负压救护车，启动县疾病预防控制中心实验室能力提升建设项</w:t>
      </w:r>
      <w:r>
        <w:rPr>
          <w:rFonts w:hint="eastAsia" w:ascii="仿宋_GB2312" w:eastAsia="仿宋_GB2312"/>
          <w:sz w:val="28"/>
          <w:szCs w:val="28"/>
        </w:rPr>
        <w:t>目。</w:t>
      </w:r>
      <w:r>
        <w:rPr>
          <w:rFonts w:hint="eastAsia"/>
        </w:rPr>
        <w:t>民生保障更加有力，</w:t>
      </w:r>
      <w:r>
        <w:t>强化就业扶贫、特殊困难群体帮扶、医疗救助等，城乡居民医疗保险和养老保险参保率</w:t>
      </w:r>
      <w:r>
        <w:rPr>
          <w:rFonts w:hint="eastAsia"/>
        </w:rPr>
        <w:t>稳步提升，城镇登记失业率控制在4.2%内。文体事业蓬勃发展，公共文化服务事业日趋完善，</w:t>
      </w:r>
      <w:r>
        <w:t>三级现代公共文化服务体系加快构建，公共服务产品供给能力和水平有效提升</w:t>
      </w:r>
      <w:r>
        <w:rPr>
          <w:rFonts w:hint="eastAsia"/>
        </w:rPr>
        <w:t>。灾害防治有序推进，应急管理全面加强。</w:t>
      </w:r>
    </w:p>
    <w:p>
      <w:pPr>
        <w:pStyle w:val="2"/>
      </w:pPr>
      <w:r>
        <w:br w:type="page"/>
      </w:r>
    </w:p>
    <w:p>
      <w:r>
        <w:rPr>
          <w:rFonts w:hint="eastAsia"/>
        </w:rPr>
        <w:t>七、改革开放持续深化，发展活力动力增强</w:t>
      </w:r>
    </w:p>
    <w:p>
      <w:r>
        <w:rPr>
          <w:rFonts w:hint="eastAsia"/>
        </w:rPr>
        <w:drawing>
          <wp:anchor distT="0" distB="0" distL="114300" distR="114300" simplePos="0" relativeHeight="1024" behindDoc="1" locked="0" layoutInCell="1" allowOverlap="1">
            <wp:simplePos x="0" y="0"/>
            <wp:positionH relativeFrom="column">
              <wp:posOffset>466725</wp:posOffset>
            </wp:positionH>
            <wp:positionV relativeFrom="page">
              <wp:posOffset>1767840</wp:posOffset>
            </wp:positionV>
            <wp:extent cx="5080000" cy="3810000"/>
            <wp:effectExtent l="0" t="0" r="0" b="0"/>
            <wp:wrapTopAndBottom/>
            <wp:docPr id="4" name="图表 4"/>
            <wp:cNvGraphicFramePr/>
            <a:graphic xmlns:a="http://schemas.openxmlformats.org/drawingml/2006/main">
              <a:graphicData uri="http://schemas.openxmlformats.org/drawingml/2006/picture">
                <pic:pic xmlns:pic="http://schemas.openxmlformats.org/drawingml/2006/picture">
                  <pic:nvPicPr>
                    <pic:cNvPr id="4" name="图表 4"/>
                    <pic:cNvPicPr/>
                  </pic:nvPicPr>
                  <pic:blipFill>
                    <a:blip r:embed="rId9"/>
                    <a:stretch>
                      <a:fillRect/>
                    </a:stretch>
                  </pic:blipFill>
                  <pic:spPr>
                    <a:xfrm>
                      <a:off x="0" y="0"/>
                      <a:ext cx="5079998" cy="3810000"/>
                    </a:xfrm>
                    <a:prstGeom prst="rect">
                      <a:avLst/>
                    </a:prstGeom>
                    <a:noFill/>
                    <a:ln w="9525" cap="flat" cmpd="sng">
                      <a:solidFill>
                        <a:srgbClr val="000000"/>
                      </a:solidFill>
                      <a:prstDash val="solid"/>
                      <a:miter/>
                    </a:ln>
                  </pic:spPr>
                </pic:pic>
              </a:graphicData>
            </a:graphic>
          </wp:anchor>
        </w:drawing>
      </w:r>
      <w:r>
        <w:rPr>
          <w:rFonts w:hint="eastAsia"/>
        </w:rPr>
        <w:t>各项改革蹄急步稳，</w:t>
      </w:r>
      <w:r>
        <w:t>重点领域</w:t>
      </w:r>
      <w:r>
        <w:rPr>
          <w:rFonts w:hint="eastAsia"/>
        </w:rPr>
        <w:t>和关键环节</w:t>
      </w:r>
      <w:r>
        <w:t>改革</w:t>
      </w:r>
      <w:r>
        <w:rPr>
          <w:rFonts w:hint="eastAsia"/>
        </w:rPr>
        <w:t>取得重大突破，全方位开放合作格局加快形成，经济社会发展动力活力显著增强。</w:t>
      </w:r>
      <w:r>
        <w:t>27</w:t>
      </w:r>
      <w:r>
        <w:rPr>
          <w:rFonts w:hint="eastAsia"/>
        </w:rPr>
        <w:t>个政府部门全面完成机构挂牌和职能职责划转，全面完成乡镇行政区划调整改革。“</w:t>
      </w:r>
      <w:r>
        <w:t>放管服</w:t>
      </w:r>
      <w:r>
        <w:rPr>
          <w:rFonts w:hint="eastAsia"/>
        </w:rPr>
        <w:t>”</w:t>
      </w:r>
      <w:r>
        <w:t>各项改革措施深入推进</w:t>
      </w:r>
      <w:r>
        <w:rPr>
          <w:rFonts w:hint="eastAsia"/>
        </w:rPr>
        <w:t>，全面推行“一窗受理、全程网办”，扎实推进“一卡通”专项治理和便民服务工程，基本实现社保卡全覆盖和“一卡通”到“一卡统”的转变。严格落实减税降费政策，强化预算绩效管理。开放合作效果显著，以对口援建、经贸协作、区域合作为主的多层次开放合作格局基本形成，发展空间进一步拓展。加强与成华区、省外地区等在智力支持、政策争取、市场开拓等领域合作，厅县、院县、政银企合作持续深化。积极参加西博会、农博会等推介活动，不断扩大对外宣传力度，提高招商引资质量，丹巴对外影响力进一步提升。</w:t>
      </w:r>
    </w:p>
    <w:p>
      <w:r>
        <w:rPr>
          <w:rFonts w:hint="eastAsia"/>
        </w:rPr>
        <w:t>八、基层治理持续深入，社会保持和谐稳定</w:t>
      </w:r>
    </w:p>
    <w:p>
      <w:r>
        <w:t>依法治县方略全面落实，</w:t>
      </w:r>
      <w:r>
        <w:rPr>
          <w:rFonts w:hint="eastAsia"/>
        </w:rPr>
        <w:t>全面依法治县取得重大进展，</w:t>
      </w:r>
      <w:r>
        <w:t>法治政府建设不断加强</w:t>
      </w:r>
      <w:r>
        <w:rPr>
          <w:rFonts w:hint="eastAsia"/>
        </w:rPr>
        <w:t>，治理能力和治理体系现代化水平不断提高。“七五”普法、法律援助、特殊人群柔性管理等工作积极展开，</w:t>
      </w:r>
      <w:r>
        <w:t>接访群众办结率</w:t>
      </w:r>
      <w:r>
        <w:rPr>
          <w:rFonts w:hint="eastAsia"/>
        </w:rPr>
        <w:t>达</w:t>
      </w:r>
      <w:r>
        <w:t>100%，矛盾纠纷化解率超过98%，</w:t>
      </w:r>
      <w:r>
        <w:rPr>
          <w:rFonts w:hint="eastAsia"/>
        </w:rPr>
        <w:t>社会</w:t>
      </w:r>
      <w:r>
        <w:t>和谐</w:t>
      </w:r>
      <w:r>
        <w:rPr>
          <w:rFonts w:hint="eastAsia"/>
        </w:rPr>
        <w:t>建设不断得到巩固</w:t>
      </w:r>
      <w:r>
        <w:t>。社会治安防控体系建设和网格化服务管理工作得到加强</w:t>
      </w:r>
      <w:r>
        <w:rPr>
          <w:rFonts w:hint="eastAsia"/>
        </w:rPr>
        <w:t>，社会治安保持良好。持续深化寺庙法治宣传教育，依法管理宗教事务，民族宗教和顺团结，寺庙基础设施明显改善。安全生产形势持续向好，安全监管得力。</w:t>
      </w:r>
    </w:p>
    <w:p>
      <w:r>
        <w:rPr>
          <w:rFonts w:hint="eastAsia"/>
        </w:rPr>
        <w:t>九、民族共同体意识更加牢固，</w:t>
      </w:r>
      <w:r>
        <w:t xml:space="preserve"> </w:t>
      </w:r>
      <w:r>
        <w:rPr>
          <w:rFonts w:hint="eastAsia"/>
        </w:rPr>
        <w:t>民族团结基础不断夯实</w:t>
      </w:r>
    </w:p>
    <w:p>
      <w:r>
        <w:rPr>
          <w:rFonts w:hint="eastAsia"/>
        </w:rPr>
        <w:t>牢牢把握“两个共同”“三个离不开”“五个认同”主题，各族人民中华民族共同体意识显著增强。尊重差异、保护和传承各民族优秀文化，促进各民族交流交往交融，搭建各民族交流沟通的文化桥梁，民族团结进步示范县创建工作有序推进。党的民族宗教政策法规全面落实，爱国主义和感恩奋进教育积极开展，稳定和谐的社会根基不断夯实。</w:t>
      </w:r>
    </w:p>
    <w:p>
      <w:r>
        <w:rPr>
          <w:rFonts w:hint="eastAsia"/>
        </w:rPr>
        <w:br w:type="page"/>
      </w:r>
    </w:p>
    <w:p>
      <w:pPr>
        <w:pStyle w:val="7"/>
      </w:pPr>
      <w:bookmarkStart w:id="8" w:name="_Toc60172770"/>
      <w:bookmarkStart w:id="9" w:name="_Toc65597911"/>
      <w:r>
        <w:rPr>
          <w:rFonts w:hint="eastAsia"/>
        </w:rPr>
        <w:t>第二节 面临形势和发展态势</w:t>
      </w:r>
      <w:bookmarkEnd w:id="8"/>
      <w:bookmarkEnd w:id="9"/>
    </w:p>
    <w:p>
      <w:r>
        <w:rPr>
          <w:rFonts w:hint="eastAsia"/>
        </w:rPr>
        <w:t>一、国内外环境发生深刻变化</w:t>
      </w:r>
    </w:p>
    <w:p>
      <w:r>
        <w:rPr>
          <w:rFonts w:hint="eastAsia"/>
          <w:b/>
          <w:bCs/>
        </w:rPr>
        <w:t>一是世界面临百年未有之大变局。</w:t>
      </w:r>
      <w:r>
        <w:rPr>
          <w:rFonts w:hint="eastAsia"/>
        </w:rPr>
        <w:t>从全球国际形势上看，当今世界再工业化与去工业化两种倾向相互交锋，制造业重新成为大国角力的主战场，“互联网+”和“+互联网”殊途同归，硬科技决定着强国兴衰更替；全球化和逆全球化两股力量博弈加剧，中美战略博弈成为主导全球格局的最大变量，世界面临科技、文化、安全、经济、治理巨变，世界政治经济呈现出更多不确定性和不稳定性，全球动荡和风险点显著增多。尤其是受人口增长放缓和老龄化加速、债务规模攀升、发达国家结构性改革滞后等因素影响，世界经济增长动能减弱，全球经济走势可能呈现低增长、低通胀、低利率、高债务、高风险“三低两高”特征。新冠肺炎疫情等突发公共事件对全球产业链供应链造成巨大冲击，世界经济贸易增长受到严重挑战，经济运行风险和不确定性上升，全球经济陷入深度衰退。此外，全球多边贸易体系受到保护主义和单边主义严重冲击，地缘政治冲突风险增大，国际能源和金融市场剧烈波动，也为世界经济增长带来重大挑战。</w:t>
      </w:r>
      <w:r>
        <w:rPr>
          <w:rFonts w:hint="eastAsia"/>
          <w:b/>
          <w:bCs/>
        </w:rPr>
        <w:t>二是我国已进入社会主义现代化建设新阶段。</w:t>
      </w:r>
      <w:r>
        <w:rPr>
          <w:rFonts w:hint="eastAsia"/>
        </w:rPr>
        <w:t>从国内看，“十四五”时期是“两个百年交汇期”，我国将在全面建成小康社会、实现第一个百年奋斗目标的基础上，</w:t>
      </w:r>
      <w:r>
        <w:t>乘势而上开启全面建设社会主义现代化国家新征程。</w:t>
      </w:r>
      <w:r>
        <w:rPr>
          <w:rFonts w:hint="eastAsia"/>
        </w:rPr>
        <w:t>经济正处于转变发展方式、优化经济结构、转化增长动力的攻坚期，经济潜力足、韧性强、回旋空间大、政策工具多的基本特点没有改变，具有全球最完整、规模最大的工业体系和强大的生产能力、完善的配套能力，拥有4亿多中等收入群体在内的1</w:t>
      </w:r>
      <w:r>
        <w:t>4</w:t>
      </w:r>
      <w:r>
        <w:rPr>
          <w:rFonts w:hint="eastAsia"/>
        </w:rPr>
        <w:t>亿人口所形成的超大规模内需市场，新经济、新技术、新模式、新产业蓬勃发展引领经济社会不断创新发展，中心城市和城市群成为要素聚集和经济增长的主要载体，生态地区创造生态产品和维护生态安全作用更加突出，我国经济稳中向好、长期向好的基本面和大趋势没有改变，仍将处于重要战略机遇期。但是中美战略博弈使我国外部环境急剧恶化，内需市场潜力仍未有效发挥，构建以国内大循环为主体、国内国际双循环的相互促进的新发展格局面临重大挑战；我国低成本优势明显减弱，新要素短期难以弥补增长缺口，面临产业、资本外流的巨大压力；就业总量压力和结构性矛盾并存，宏观杠杆率居高不下，地方债务负担较大，各类风险进入高发易发阶段；城镇化进入后期，但城乡要素流动不畅，农业人口市民化进城缓慢，农村空心化问题突出，城乡融合任重道远。</w:t>
      </w:r>
    </w:p>
    <w:p>
      <w:r>
        <w:rPr>
          <w:rFonts w:hint="eastAsia"/>
        </w:rPr>
        <w:t>二、甘孜州发展呈现“五期叠加”的新态势</w:t>
      </w:r>
    </w:p>
    <w:p>
      <w:r>
        <w:rPr>
          <w:rFonts w:hint="eastAsia"/>
        </w:rPr>
        <w:t>随着全域旅游深入推进、城镇化进程加快和交通条件显著改善，区位关系、供求关系、城乡关系、生产关系发生深刻变化，融入区域协同发展和开放合作大格局、构建特色生态产业体系、重塑新型城乡融合发展格局的基础不断夯实，将有力推动经济社会发展由量变到质变、质变推动量变，经济社会发展呈现新的阶段性特征。</w:t>
      </w:r>
      <w:r>
        <w:rPr>
          <w:rFonts w:hint="eastAsia"/>
          <w:b/>
          <w:bCs/>
        </w:rPr>
        <w:t>一是战略位势进入加速提升期。</w:t>
      </w:r>
      <w:r>
        <w:rPr>
          <w:rFonts w:hint="eastAsia"/>
        </w:rPr>
        <w:t>国家大力推进“一带一路”建设，随着雅康高速建成、川藏铁路加快建设，甘孜州区位条件显著改善，在我省融入“一带一路”发展中承担愈发重要的使命。</w:t>
      </w:r>
      <w:r>
        <w:rPr>
          <w:rFonts w:hint="eastAsia"/>
          <w:b/>
          <w:bCs/>
        </w:rPr>
        <w:t>二是生态产品价值加速转化期。</w:t>
      </w:r>
      <w:r>
        <w:rPr>
          <w:rFonts w:hint="eastAsia"/>
        </w:rPr>
        <w:t>随着消费升级加快，居民对生态产品和服务需求不断增加，生态产业发展具有广阔市场空间，甘孜州绿水青山正加快变为金山银山，生态经济迎来快速发展期。</w:t>
      </w:r>
      <w:r>
        <w:rPr>
          <w:rFonts w:hint="eastAsia"/>
          <w:b/>
          <w:bCs/>
        </w:rPr>
        <w:t>三是新旧动能进入加快转换期。</w:t>
      </w:r>
      <w:r>
        <w:rPr>
          <w:rFonts w:hint="eastAsia"/>
        </w:rPr>
        <w:t>全域旅游引领作用增强，三次产业融合发展，生态经济、创新经济、跨界经济成为推动高质量发展的动力源。</w:t>
      </w:r>
      <w:r>
        <w:rPr>
          <w:rFonts w:hint="eastAsia"/>
          <w:b/>
          <w:bCs/>
        </w:rPr>
        <w:t>四是城乡发展进入深度融合期。</w:t>
      </w:r>
      <w:r>
        <w:rPr>
          <w:rFonts w:hint="eastAsia"/>
        </w:rPr>
        <w:t>随着乡村振兴战略深入实施，城乡改革不断深化，以城带乡能力显著增强，农业农村对资本吸引力持续增强，农村劳动力向非农产业转移就业趋势明显，发展要素在城乡间双向流动加快，城乡共促共荣态势加快形成。</w:t>
      </w:r>
      <w:r>
        <w:rPr>
          <w:rFonts w:hint="eastAsia"/>
          <w:b/>
          <w:bCs/>
        </w:rPr>
        <w:t>五是民生进入全面提质期。</w:t>
      </w:r>
      <w:r>
        <w:rPr>
          <w:rFonts w:hint="eastAsia"/>
        </w:rPr>
        <w:t>在历史性消除绝对贫困基础上，民生支出占比持续提高，城乡居民消费快速升级，现代生产生活方式加快普及，基本公共服务均等化水平逐步提高，人民群众对美好生活的需要在不同层次、不同领域得到满足。</w:t>
      </w:r>
    </w:p>
    <w:p>
      <w:r>
        <w:rPr>
          <w:rFonts w:hint="eastAsia"/>
        </w:rPr>
        <w:t>三、丹巴县发展迎来重大历史机遇</w:t>
      </w:r>
    </w:p>
    <w:p>
      <w:r>
        <w:rPr>
          <w:rFonts w:hint="eastAsia"/>
        </w:rPr>
        <w:t>“十四五”时期，多重重大战略在甘孜交汇叠加，为丹巴县进一步发展创造了良好外部条件。</w:t>
      </w:r>
      <w:r>
        <w:rPr>
          <w:rFonts w:hint="eastAsia"/>
          <w:b/>
          <w:bCs/>
        </w:rPr>
        <w:t>一是国家“五大战略”的实施将为丹巴县发展提供政策推动力。</w:t>
      </w:r>
      <w:r>
        <w:rPr>
          <w:rFonts w:hint="eastAsia"/>
        </w:rPr>
        <w:t>国家“一带一路”建设、长江经济带发展、新时代推进西部大开发形成新格局、乡村振兴、黄河流域生态保护和高质量发展战略和应对新冠肺炎疫情政策的实施，加上中央召开第七次西藏工作座谈会和省委涉藏工作会议为丹巴指明前进方向，国家、省将继续加大对藏区特殊政策支持，将为丹巴县发展注入强大动力。</w:t>
      </w:r>
      <w:r>
        <w:rPr>
          <w:rFonts w:hint="eastAsia"/>
          <w:b/>
          <w:bCs/>
        </w:rPr>
        <w:t>二是加快融入国内国际双循环新发展格局，积极融入全省经济文化体系，将为丹巴县跨越式发展提供支撑力。</w:t>
      </w:r>
      <w:r>
        <w:rPr>
          <w:rFonts w:hint="eastAsia"/>
        </w:rPr>
        <w:t>“两康高速”“雅马高速”的规划和川藏铁路的启动建设，将强化东联成渝的交通能力，促进丹巴积极融入全省经济文化体系和新发展格局，起到少走弯路、借帆出海作用，为吸引更多人流、物流、信息流、资金流汇聚丹巴创造有利条件。丹巴将紧抓通道建设机遇，凸显高质量发展的战略位势，促进相关产业发展、城乡建设、交通建设、社会事业进步等。</w:t>
      </w:r>
      <w:r>
        <w:rPr>
          <w:rFonts w:hint="eastAsia"/>
          <w:b/>
          <w:bCs/>
        </w:rPr>
        <w:t>三是推进成渝地区双城经济圈建设的国家重大区域发展战略，将成为促进丹巴县高质量发展的战略牵引力。</w:t>
      </w:r>
      <w:r>
        <w:rPr>
          <w:rFonts w:hint="eastAsia"/>
        </w:rPr>
        <w:t>随着建设成渝地区双城经济圈战略的实施，丹巴将立足自身比较优势，坚持生态优先、绿色发展，打造成渝双城经济圈战略资源保障、休闲旅游度假、绿色产品供应、宜居生活圈延伸的“大后方”，筑牢长江黄河上游生态屏障，把生态优势变成发展优势、产业优势，更好融入和服务川渝大市场发展。</w:t>
      </w:r>
      <w:r>
        <w:rPr>
          <w:rFonts w:hint="eastAsia"/>
          <w:b/>
          <w:bCs/>
        </w:rPr>
        <w:t>四是省委把川西北生态示范区定位为国际生态文化旅游目的地将提升丹巴县全域旅游发展影响力。</w:t>
      </w:r>
      <w:r>
        <w:rPr>
          <w:rFonts w:hint="eastAsia"/>
        </w:rPr>
        <w:t>省委明确支持甘孜大力发展生态经济，打造国家全域旅游示范区和国际生态文化旅游目的地，丹巴县地处大渡河流域最美乡村康养休闲游、“大贡嘎”文化旅游发展联盟、川西旅游环线游、大东女国阳光休闲度假游、春季赏花烂漫之旅五条旅游环线，是川西旅游线路的重要“枢纽”，有利于丹巴县借助优越地理位置与周边优质旅游资源融入川西旅游板块，为加快发展旅游业及相关配套产业创造有利条件。</w:t>
      </w:r>
      <w:r>
        <w:rPr>
          <w:rFonts w:hint="eastAsia"/>
          <w:b/>
          <w:bCs/>
        </w:rPr>
        <w:t>五是省外地区对口支援、省直部门定点帮扶、省内对口帮扶政策持续落实将为丹巴县发展提供不竭动力。</w:t>
      </w:r>
      <w:r>
        <w:rPr>
          <w:rFonts w:hint="eastAsia"/>
        </w:rPr>
        <w:t>随着这些帮扶政策的持续落实，丹巴县高质量发展的动力和活力将更加强劲。</w:t>
      </w:r>
    </w:p>
    <w:p>
      <w:r>
        <w:rPr>
          <w:rFonts w:hint="eastAsia"/>
        </w:rPr>
        <w:t>四、丹巴县发展仍面临多重困难和挑战</w:t>
      </w:r>
    </w:p>
    <w:p>
      <w:r>
        <w:rPr>
          <w:rFonts w:hint="eastAsia"/>
        </w:rPr>
        <w:t>在深刻认识复杂的国际国内形势和丹巴县发展的有利外部环境条件的同时，也必须正视丹巴县情，清醒地看到丹巴县仍处于工业化、城镇化起步阶段，基础差、底子薄、总量小的县情还没有根本改变，发展不平衡不充分仍是最大发展实际，产业支撑不足、基础设施滞后、公共服务不优、生态环境脆弱、巩固拓展脱贫攻坚任务艰巨等问题较为突出，在迈向基本实现社会主义现代化道路上仍面临多重挑战。</w:t>
      </w:r>
    </w:p>
    <w:p>
      <w:r>
        <w:rPr>
          <w:rFonts w:hint="eastAsia"/>
          <w:b/>
          <w:bCs/>
        </w:rPr>
        <w:t>一是自我造血功能仍然不强。</w:t>
      </w:r>
      <w:r>
        <w:rPr>
          <w:rFonts w:hint="eastAsia"/>
        </w:rPr>
        <w:t>由于经济发展长期滞后，人均G</w:t>
      </w:r>
      <w:r>
        <w:t>DP</w:t>
      </w:r>
      <w:r>
        <w:rPr>
          <w:rFonts w:hint="eastAsia"/>
        </w:rPr>
        <w:t>较低，无支柱产业带动，产业结构不合理问题仍然较为突出。丹巴县的农牧业生产效率不高、产业化程度低；工业结构单一、资源型经济特征显著，缺乏经济效益好的大型企业；第三产业总体规模小、区域发展不平衡，旅游综合带动作用尚未有效发挥；产业发展融合程度低、品牌产品少、综合效益低，导致地方财政增收渠道少，自我造血功能不足，仍处于粗放型发展阶段。</w:t>
      </w:r>
      <w:r>
        <w:rPr>
          <w:rFonts w:hint="eastAsia"/>
          <w:b/>
          <w:bCs/>
        </w:rPr>
        <w:t>二是基础设施建设仍然滞后。</w:t>
      </w:r>
      <w:r>
        <w:rPr>
          <w:rFonts w:hint="eastAsia"/>
        </w:rPr>
        <w:t>基础设施建设长期滞后，严重制约丹巴县发展。全县公路等级偏低，断头路较多、交通安全隐患大，主干道交通受自然灾害和建设影响通畅性较差，对旅游、运输行业发展带来不利影响；农村公路覆盖面不够、物流基础设施建设滞后，偏远乡村出行难、可进入性差；县内至今未通铁路，对外快速通道严重缺乏，高速公路、国省干道路网覆盖严重不足。电力基础设施薄弱，电网配套建设滞后，水电丰富而外输内供能力不足。信息网络、旅游基础设施等建设滞后，非贫困村基础设施亟待改造升级。</w:t>
      </w:r>
      <w:r>
        <w:rPr>
          <w:rFonts w:hint="eastAsia"/>
          <w:b/>
          <w:bCs/>
        </w:rPr>
        <w:t>三是生态环境仍然脆弱。</w:t>
      </w:r>
      <w:r>
        <w:rPr>
          <w:rFonts w:hint="eastAsia"/>
        </w:rPr>
        <w:t>丹巴县地貌多为高山峡谷，地质结构极不稳定，岩土松散破碎，水土极易流失，生态系统恢复能力差，全县沙化面积20万亩，草原退化面积达190万亩。受气候和自然条件的影响，滑坡、泥石流、崩塌、洪涝和生物灾害等自然灾害频发，其中地质灾害尤为突出（全县已查明地质灾害隐患点达891处），严重影响丹巴县经济发展。</w:t>
      </w:r>
      <w:r>
        <w:rPr>
          <w:rFonts w:hint="eastAsia"/>
          <w:b/>
          <w:bCs/>
        </w:rPr>
        <w:t>四是巩固拓展脱贫攻坚成果任务仍然艰巨</w:t>
      </w:r>
      <w:r>
        <w:rPr>
          <w:rFonts w:hint="eastAsia"/>
        </w:rPr>
        <w:t>。丹巴县是四川经济欠发达的民族地区县，也是集中连片深度贫困地区，自我发展能力不强，在脱贫攻坚工作中对国省倾斜性资金投入、“保姆式”政策呵护及对口帮扶单位力量形成了一定程度的依赖，存在较强的路径依赖惯性，脱贫攻坚取得阶段性胜利后，来自国家、省级层面大量的政策扶持和资金支持将会逐渐撤退，部分刚消除绝对贫困的已脱贫户仍面临较大返贫风险，巩固拓展脱贫攻坚成果的任务非常艰巨。</w:t>
      </w:r>
      <w:r>
        <w:rPr>
          <w:rFonts w:hint="eastAsia"/>
          <w:b/>
          <w:bCs/>
        </w:rPr>
        <w:t>五是关键要素仍然短缺。</w:t>
      </w:r>
      <w:r>
        <w:rPr>
          <w:rFonts w:hint="eastAsia"/>
        </w:rPr>
        <w:t>人才发展环境不优，人才“引进难、留住难”问题突出，懂经营、善管理、技术强的高层次人才严重缺乏。“吃饭财政”特征明显，过度依赖中、省（州）资金，地方财力无力承担发展需求，保民生、保运转任务重；金融体系不健全，资本市场发展滞后，市场融资渠道窄，民间资金投资意愿不强，建设发展资金严重短缺。资源环境约束增强，县域发展空间趋于饱和，环境容量有限，产业发展和项目建设用地面临刚性约束。</w:t>
      </w:r>
    </w:p>
    <w:p>
      <w:r>
        <w:rPr>
          <w:rFonts w:hint="eastAsia"/>
        </w:rPr>
        <w:t>总体而言，丹巴县发展迎来重大历史机遇，谋划“十四五”和未来一个更长时期发展的方向将更加明确；推动高质量的战略定位和目标任务将更加清晰；推动高质量发展的空间和机遇将更加广阔；推动高质量发展的路径和载体将更加清楚；推动高质量发展的战略位势将更加凸显；推动高质量发展的动力和活力将更加强劲。同时，丹巴县也呈现的阶段性特征，经济社会发展滞后、生态环境脆弱、基层社会治理薄弱、自然灾害多发，社会大局进入实现长治久安推进期、经济社会进入高质量发展转型期、生态保护进入生态文明建设深化期、脱贫攻坚进入巩固拓展期。</w:t>
      </w:r>
    </w:p>
    <w:p>
      <w:pPr>
        <w:pStyle w:val="6"/>
        <w:numPr>
          <w:ilvl w:val="0"/>
          <w:numId w:val="1"/>
        </w:numPr>
        <w:ind w:firstLineChars="0"/>
      </w:pPr>
      <w:bookmarkStart w:id="10" w:name="_Toc60172771"/>
      <w:bookmarkStart w:id="11" w:name="_Toc65597912"/>
      <w:r>
        <w:rPr>
          <w:rFonts w:hint="eastAsia"/>
        </w:rPr>
        <w:t>建设美丽生态安全和谐社会主义现代化新丹巴</w:t>
      </w:r>
      <w:bookmarkEnd w:id="10"/>
      <w:bookmarkEnd w:id="11"/>
    </w:p>
    <w:p>
      <w:pPr>
        <w:pStyle w:val="7"/>
      </w:pPr>
      <w:bookmarkStart w:id="12" w:name="_Toc65597913"/>
      <w:bookmarkStart w:id="13" w:name="_Toc60172772"/>
      <w:r>
        <w:rPr>
          <w:rFonts w:hint="eastAsia"/>
        </w:rPr>
        <w:t>第一节 指导思想</w:t>
      </w:r>
      <w:bookmarkEnd w:id="12"/>
      <w:bookmarkEnd w:id="13"/>
    </w:p>
    <w:p>
      <w:pPr>
        <w:adjustRightInd w:val="0"/>
        <w:snapToGrid w:val="0"/>
        <w:spacing w:line="580" w:lineRule="exact"/>
        <w:rPr>
          <w:sz w:val="28"/>
        </w:rPr>
      </w:pPr>
      <w:bookmarkStart w:id="14" w:name="_Toc60172773"/>
      <w:r>
        <w:rPr>
          <w:rFonts w:hint="eastAsia"/>
          <w:sz w:val="28"/>
        </w:rPr>
        <w:t>高举中国特色社会主义伟大旗帜，坚持以马克思列宁主义、毛泽东思想、邓小平理论、“三个代表”重要思想、科学发展观、习近平新时代中国特色社会主义思想为指导，全面贯彻党的基本理论、基本路线、基本方略，深入贯彻党的十九大和十九届二中、三中、四中、五中全会精神，深刻把握中央第七次西藏工作座谈会、省委涉藏工作会议精神和州委各项决策部署，统筹推进“五位一体”总体布局，协调推进“四个全面”战略布局，坚定不移贯彻新发展理念，坚持稳中求进工作总基调，以推动绿色高质量发展为主题，以加快融入全省经济文化体系为方向，以深化供给侧结构性改革为主线，以改革创新为根本动力，以满足人民日益增长的美好生活需要为根本目的，以社会稳定、生态安全为根本保障，</w:t>
      </w:r>
      <w:r>
        <w:rPr>
          <w:rFonts w:hint="eastAsia"/>
          <w:b/>
          <w:bCs/>
          <w:sz w:val="28"/>
        </w:rPr>
        <w:t>围绕建设美丽生态安全和谐社会主义现代化新丹巴“一个目标”，突出长治久安和高质量发展“两个关键”，统筹推进创建国家全域旅游示范区、国家生态文明建设示范区、全国市域社会治理现代化示范区“三创联动”，切实抓好稳定、发展、生态、民生“四件大事”，大力实施依法治县、生态建设、乡村振兴、交通先行、产业富民、民生改善、新型城镇化“七大战略”，</w:t>
      </w:r>
      <w:r>
        <w:rPr>
          <w:rFonts w:hint="eastAsia"/>
          <w:sz w:val="28"/>
        </w:rPr>
        <w:t>推进治理体系和治理能力现代化，实现经济行稳致远、社会和谐稳定，确保人民生活水平不断提高，确保生态环境持续改善，为全面建设社会主义现代化新丹巴开好局、起好步。</w:t>
      </w:r>
    </w:p>
    <w:p>
      <w:pPr>
        <w:pStyle w:val="7"/>
      </w:pPr>
      <w:bookmarkStart w:id="15" w:name="_Toc65597914"/>
      <w:r>
        <w:rPr>
          <w:rFonts w:hint="eastAsia"/>
        </w:rPr>
        <w:t>第二节 基本原则</w:t>
      </w:r>
      <w:bookmarkEnd w:id="14"/>
      <w:bookmarkEnd w:id="15"/>
    </w:p>
    <w:p>
      <w:r>
        <w:rPr>
          <w:rFonts w:hint="eastAsia"/>
        </w:rPr>
        <w:t>——坚持党的全面领导。把加强党的领导作为实现高质量发展的根本保证，坚持中央治藏方略和省委涉藏工作部署要求，坚持和完善党领导经济社会发展的体制机制，增强把方向、管大局、作决策、保落实的能力定力，提高贯彻新发展理念、融入新发展格局的能力水平，为实现绿色高质量发展提供根本保证。</w:t>
      </w:r>
    </w:p>
    <w:p>
      <w:r>
        <w:rPr>
          <w:rFonts w:hint="eastAsia"/>
        </w:rPr>
        <w:t>——坚持以人民为中心。把不断满足人民日益增长的美好生活需要作为出发点和落脚点，坚持共同富裕方向，维护人民根本利益，激发群众内生动力，提高发展质量，增进民生福祉，促进社会和谐稳定，始终做到发展为了人民、发展依靠人民、发展成果由人民共享，增强各族人民群众获得感、幸福感和安全感。</w:t>
      </w:r>
    </w:p>
    <w:p>
      <w:r>
        <w:rPr>
          <w:rFonts w:hint="eastAsia"/>
        </w:rPr>
        <w:t>——坚持生态优先、绿色发展。把生态建设摆在更加突出位置，坚持绿水青山就是金山银山理念，坚持尊重自然、顺应自然、保护自然，坚持保护生态、修复生态、建设生态，坚持共抓大保护、不搞大开发要求，立足川西北生态示范区定位，大力发展绿色经济、打造绿色品牌</w:t>
      </w:r>
      <w:r>
        <w:t>，</w:t>
      </w:r>
      <w:r>
        <w:rPr>
          <w:rFonts w:hint="eastAsia"/>
        </w:rPr>
        <w:t>坚持走生态优先、绿色发展的高质量之路</w:t>
      </w:r>
      <w:r>
        <w:t>。</w:t>
      </w:r>
    </w:p>
    <w:p>
      <w:r>
        <w:rPr>
          <w:rFonts w:hint="eastAsia"/>
        </w:rPr>
        <w:t>——坚持深化改革开放。把改革开放作为发展的根本动力，充分发挥市场在资源配置中的决定性作用，融入双循环新发展格局、成渝地区双城经济圈建设等国家战略，融入</w:t>
      </w:r>
      <w:r>
        <w:t>省委</w:t>
      </w:r>
      <w:r>
        <w:rPr>
          <w:rFonts w:hint="eastAsia"/>
        </w:rPr>
        <w:t>“</w:t>
      </w:r>
      <w:r>
        <w:t>一干多支、五区协同</w:t>
      </w:r>
      <w:r>
        <w:rPr>
          <w:rFonts w:hint="eastAsia"/>
        </w:rPr>
        <w:t>”“</w:t>
      </w:r>
      <w:r>
        <w:t>四项拓展、全域开放</w:t>
      </w:r>
      <w:r>
        <w:rPr>
          <w:rFonts w:hint="eastAsia"/>
        </w:rPr>
        <w:t>”战略部署，融入</w:t>
      </w:r>
      <w:r>
        <w:t>州委</w:t>
      </w:r>
      <w:r>
        <w:rPr>
          <w:rFonts w:hint="eastAsia"/>
        </w:rPr>
        <w:t>“东部率先、南部崛起、北部加快”区域协调</w:t>
      </w:r>
      <w:r>
        <w:t>发展</w:t>
      </w:r>
      <w:r>
        <w:rPr>
          <w:rFonts w:hint="eastAsia"/>
        </w:rPr>
        <w:t>格局，实现更高质量、更有效率、更加公平、更可持续、更为安全的发展。</w:t>
      </w:r>
    </w:p>
    <w:p>
      <w:r>
        <w:rPr>
          <w:rFonts w:hint="eastAsia"/>
        </w:rPr>
        <w:t>——坚持法治思维。深入贯彻落实习近平法治思想，增强忧患意识，树立底线思维，把维护祖国统一、加强民族团结作为着眼点和着力点，把铸牢中华民族共同体意识和依法治理作为维护政治安全、经济安全、社会安全的重要抓手，加快社会治理现代化进程，不断提升维护稳定、寺庙管理、经济竞争、市场监管、应急管理、防灾减灾等能力，有效应对各类风险挑战，为经济社会发展筑牢安全保障。</w:t>
      </w:r>
    </w:p>
    <w:p>
      <w:r>
        <w:rPr>
          <w:rFonts w:hint="eastAsia"/>
        </w:rPr>
        <w:t>——坚持系统观念。统筹推进稳定、发展、生态、民生各项工作。坚持稳定为第一位的任务，确保经济社会安全发展；坚持发展第一要务，夯实长治久安的物质基础；坚持生态为最大价值、最大潜力、最大责任，发展生态经济、维护生态安全；坚持民生为本为重为要，厚植民利、惠及于民，实现社会高效能治理、生态高水平保护、经济高质量发展、群众高品质生活相得益彰。</w:t>
      </w:r>
    </w:p>
    <w:p>
      <w:pPr>
        <w:pStyle w:val="2"/>
      </w:pPr>
    </w:p>
    <w:p>
      <w:pPr>
        <w:pStyle w:val="7"/>
      </w:pPr>
      <w:bookmarkStart w:id="16" w:name="_Toc60172774"/>
      <w:bookmarkStart w:id="17" w:name="_Toc65597915"/>
      <w:r>
        <w:rPr>
          <w:rFonts w:hint="eastAsia"/>
        </w:rPr>
        <w:t>第三节 发展目标</w:t>
      </w:r>
      <w:bookmarkEnd w:id="16"/>
      <w:bookmarkEnd w:id="17"/>
    </w:p>
    <w:p>
      <w:r>
        <w:rPr>
          <w:rFonts w:hint="eastAsia"/>
        </w:rPr>
        <w:t>“十四五”时期，丹巴县经济社会发展的总体目标：经济总量迈上新台阶，发展质量和效益显著提升，公共服务体系更加完善，人民生活水平大幅提高，生态环境持续改善，社会保持和谐稳定，“十四五”期间加快建成美丽生态安全和谐社会主义现代化新丹巴。</w:t>
      </w:r>
    </w:p>
    <w:p>
      <w:r>
        <w:rPr>
          <w:rFonts w:hint="eastAsia"/>
          <w:b/>
          <w:bCs/>
        </w:rPr>
        <w:t>——建成安全丹巴，灾害防治成效更加显著。</w:t>
      </w:r>
      <w:r>
        <w:rPr>
          <w:rFonts w:hint="eastAsia"/>
        </w:rPr>
        <w:t>覆盖城乡的全域灾害防治持续推进，山洪泥石流、滑坡、危岩崩塌、洪涝、气象和生物灾害等自然灾害的监测预警、排查整治有力有效，科学预防的工作体系和工作机制建立健全，人民群众生命财产安全得到有效保障。</w:t>
      </w:r>
    </w:p>
    <w:p>
      <w:r>
        <w:rPr>
          <w:rFonts w:hint="eastAsia"/>
          <w:b/>
          <w:bCs/>
        </w:rPr>
        <w:t>——建成绿色丹巴，生态文明建设持续深化。</w:t>
      </w:r>
      <w:r>
        <w:rPr>
          <w:rFonts w:hint="eastAsia"/>
        </w:rPr>
        <w:t>进一步巩固天然林保护、退耕还林、退牧还草成果，森林蓄积量达到2925万立方米，综合植被覆盖度达到86.5％以上。开展大规模绿化全县行动，实施道路绿化、城区绿化美化、庭院节点绿化项目。国土空间开发科学有效，开发强度保持合理水平，耕地得到有效保护，耕地保有量达到3.95万亩。大力实施农村人居环境整治行动，持续推进农村垃圾、污水、厕所三大“革命”，农村环境治理持续改善，生态环境更加优美。城镇生活垃圾无害化处理率达到90％以上，空气环境质量优良等级达到330天以上，大渡河上游水质等级达到国家水功能区划Ⅱ类标准。绿色低碳循环发展体系基本形成，单位GDP能耗控制在0.6吨标煤/万元以下，二氧化碳和主要污染物指标达标排放，绿色低碳生活方式深入人心。</w:t>
      </w:r>
    </w:p>
    <w:p>
      <w:r>
        <w:rPr>
          <w:rFonts w:hint="eastAsia"/>
          <w:b/>
          <w:bCs/>
        </w:rPr>
        <w:t>——建成繁荣丹巴，经济综合实力水平显著增强。</w:t>
      </w:r>
      <w:r>
        <w:rPr>
          <w:rFonts w:hint="eastAsia"/>
        </w:rPr>
        <w:t>围绕加快县域经济发展，充分发挥资源优势，大力发展生态产业，构建以全域旅游、生态农业、清洁能源业和民族文化产业为支撑的生态产业体系，产业结构布局明显优化，经济实力显著增强，地区生产总值、地方公共财政收入、社会消费品零售总额、全社会固定资产投资增速等指标年均增速快于全州平均水平。交通、电力、水利、通信等</w:t>
      </w:r>
      <w:r>
        <w:t>基础设施</w:t>
      </w:r>
      <w:r>
        <w:rPr>
          <w:rFonts w:hint="eastAsia"/>
        </w:rPr>
        <w:t>有效提升，制约发展的“瓶颈”全面消除。“十四五”期末，地区生产总值达到30亿元，年均增速7.2％，继续保持在全州GDP排名中的领先地位。全社会固定资产投资累计完成总额达到65亿元；社会消费品零售总额达到1</w:t>
      </w:r>
      <w:r>
        <w:t>0</w:t>
      </w:r>
      <w:r>
        <w:rPr>
          <w:rFonts w:hint="eastAsia"/>
        </w:rPr>
        <w:t>亿元，增速达到7</w:t>
      </w:r>
      <w:r>
        <w:t>.</w:t>
      </w:r>
      <w:r>
        <w:rPr>
          <w:rFonts w:hint="eastAsia"/>
        </w:rPr>
        <w:t>3％；地方财政一般预算收入达到2.2亿元左右。到2025年，累计接待国内外游人达到1500万人次，累计旅游综合收入达到132亿元。农牧业总产值达到4.8亿元左右，增速达到5.3％。全县电力总装机容量达到96.8万千瓦，实现工业增加值7.8亿元，增速达到10.2％。文化产业实现产值1.1亿元，成为丹巴县经济新的增长点。全县经济发展保持全州领先地位。</w:t>
      </w:r>
    </w:p>
    <w:p>
      <w:r>
        <w:rPr>
          <w:rFonts w:hint="eastAsia"/>
          <w:b/>
          <w:bCs/>
        </w:rPr>
        <w:t>——建成畅通丹巴，基础设施建设日益完善。</w:t>
      </w:r>
      <w:r>
        <w:rPr>
          <w:rFonts w:hint="eastAsia"/>
        </w:rPr>
        <w:t>围绕改善民生、发展产业，推进交通先行战略，以提升乡村道路等级和交通安全为重点，大力开展交通路网基础设施建设，推进综合交通发展。到“十四五”期末，县域交通通行能力和交通安全全面提升，公路通车总里程达到</w:t>
      </w:r>
      <w:r>
        <w:t>1982.24</w:t>
      </w:r>
      <w:r>
        <w:rPr>
          <w:rFonts w:hint="eastAsia"/>
        </w:rPr>
        <w:t>公里，等级公路里程占比达到85％，形成以县城为中心、乡镇为节点、联通建制村组的内联外畅交通网络体系。加快推进电网成套建设，打造丹巴坚强电网。农业水利等基础设施建设持续推进，农业生产条件显著改善，城乡居民用水质量显著提升。信息网络覆盖不断扩大，农村互联网络覆盖率达到90%。</w:t>
      </w:r>
    </w:p>
    <w:p>
      <w:r>
        <w:rPr>
          <w:rFonts w:hint="eastAsia"/>
          <w:b/>
          <w:bCs/>
        </w:rPr>
        <w:t>——建成宜居丹巴，城乡区域发展更加协调。</w:t>
      </w:r>
      <w:r>
        <w:rPr>
          <w:rFonts w:hint="eastAsia"/>
        </w:rPr>
        <w:t>持续推进乡村振兴，坚持把实施乡村振兴战略作为“三农”工作的总抓手，加快大渡河流域乡村振兴示范区建设。县城建设和9个镇的建设大力推进，边远乡（镇）基础设施和公共服务更加完善，沿河、半高山、高山协同发展。城乡融合发展水平进一步提升，城镇综合承载能力和吸附能力明显增强，城镇化率达到50％。居民消费加快升级，城乡居民恩格尔系数明显降低，城乡差距进一步缩小。</w:t>
      </w:r>
    </w:p>
    <w:p>
      <w:r>
        <w:rPr>
          <w:rFonts w:hint="eastAsia"/>
          <w:b/>
          <w:bCs/>
        </w:rPr>
        <w:t>——建成幸福丹巴，民生保障更加安全可靠。</w:t>
      </w:r>
      <w:r>
        <w:rPr>
          <w:rFonts w:hint="eastAsia"/>
        </w:rPr>
        <w:t>认真落实各项惠民政策，促进群众就业增收，改善干部群众生活条件，城乡居民收入快于经济增长，收入结构不断优化，城镇登记失业率控制在4</w:t>
      </w:r>
      <w:r>
        <w:t>.2</w:t>
      </w:r>
      <w:r>
        <w:rPr>
          <w:rFonts w:hint="eastAsia"/>
        </w:rPr>
        <w:t>％以内。“十四五”期末，城镇居民人均可支配收入达到5</w:t>
      </w:r>
      <w:r>
        <w:t>7800</w:t>
      </w:r>
      <w:r>
        <w:rPr>
          <w:rFonts w:hint="eastAsia"/>
        </w:rPr>
        <w:t>元左右，年均增长9.5％；农牧民人均可支配收入达到</w:t>
      </w:r>
      <w:r>
        <w:t>25000</w:t>
      </w:r>
      <w:r>
        <w:rPr>
          <w:rFonts w:hint="eastAsia"/>
        </w:rPr>
        <w:t>元左右，年均增长9.6%，城乡居民收入差距进一步缩小，群众生活水平与质量全面提升。坚持民生支出占财政总支出的60%以上，教育办学条件和教学质量明显提高，教育发展主要指标达到全省平均水平，医疗卫生条件和服务水平有效提高，基本公共服务体系和社会保障体系更加健全，群众精神文化生活更加丰富，全县人民幸福感、获得感不断提升。脱贫攻坚成果有效巩固，相对贫困问题持续缓解，脱贫人口可持续发展能力明显提高。</w:t>
      </w:r>
      <w:bookmarkStart w:id="18" w:name="_Toc55486692"/>
      <w:r>
        <w:rPr>
          <w:rFonts w:hint="eastAsia"/>
        </w:rPr>
        <w:t>到2</w:t>
      </w:r>
      <w:r>
        <w:t>025</w:t>
      </w:r>
      <w:r>
        <w:rPr>
          <w:rFonts w:hint="eastAsia"/>
        </w:rPr>
        <w:t>年，九年义务教育巩固率达到97%以上，新增劳动力人口平均受教育年限达到1</w:t>
      </w:r>
      <w:r>
        <w:t>5</w:t>
      </w:r>
      <w:r>
        <w:rPr>
          <w:rFonts w:hint="eastAsia"/>
        </w:rPr>
        <w:t>年，基本社会保障覆盖率达到100%，农村五保老人集中供养率达到9</w:t>
      </w:r>
      <w:r>
        <w:t>8</w:t>
      </w:r>
      <w:r>
        <w:rPr>
          <w:rFonts w:hint="eastAsia"/>
        </w:rPr>
        <w:t>％。</w:t>
      </w:r>
      <w:bookmarkEnd w:id="18"/>
    </w:p>
    <w:p>
      <w:r>
        <w:rPr>
          <w:rFonts w:hint="eastAsia"/>
          <w:b/>
          <w:bCs/>
        </w:rPr>
        <w:t>——建成人文丹巴，社会文明程度巩固提升。</w:t>
      </w:r>
      <w:r>
        <w:rPr>
          <w:rFonts w:hint="eastAsia"/>
        </w:rPr>
        <w:t>中华民族共同体意识更加牢固，中国梦和社会主义核心价值观更加深入人心，爱国主义、集体主义、社会主义思想广泛弘扬，向上向善、诚信互助的社会风尚更加浓厚，干部群众思想道德素质、科学文化素质、健康素质明显提高。深入挖掘和谐文化传统，全面推进和谐文化建设，道德诚信、礼仪友善、互助和睦、遵纪守法的社会文化环境逐步形成。公共文化服务体系和文化产业体系更加健全，以嘉绒藏族风情为主的各民族文化影响力持续扩大，群众的精神文化生活更加丰富多彩。</w:t>
      </w:r>
    </w:p>
    <w:p>
      <w:r>
        <w:rPr>
          <w:rFonts w:hint="eastAsia"/>
          <w:b/>
          <w:bCs/>
        </w:rPr>
        <w:t>——建成活力丹巴，改革开放步伐不断扩大。</w:t>
      </w:r>
      <w:r>
        <w:t>全面深化改革</w:t>
      </w:r>
      <w:r>
        <w:rPr>
          <w:rFonts w:hint="eastAsia"/>
        </w:rPr>
        <w:t>，市场在资源配置中的决定性作用得到有效发挥，开放型经济新体制基本形成。重点领域、关键环节改革和体制机制改革取得进展，</w:t>
      </w:r>
      <w:r>
        <w:t>土地、劳动力、资金、技术、数据等</w:t>
      </w:r>
      <w:r>
        <w:rPr>
          <w:rFonts w:hint="eastAsia"/>
        </w:rPr>
        <w:t>等</w:t>
      </w:r>
      <w:r>
        <w:t>各类要素自由流动的体制机制障碍</w:t>
      </w:r>
      <w:r>
        <w:rPr>
          <w:rFonts w:hint="eastAsia"/>
        </w:rPr>
        <w:t>破除，非公有制经济比重明显提高，政府行政效能明显提升。</w:t>
      </w:r>
      <w:r>
        <w:t>进一步深化放管服改革</w:t>
      </w:r>
      <w:r>
        <w:rPr>
          <w:rFonts w:hint="eastAsia"/>
        </w:rPr>
        <w:t>，</w:t>
      </w:r>
      <w:r>
        <w:t>优化营商环境</w:t>
      </w:r>
      <w:r>
        <w:rPr>
          <w:rFonts w:hint="eastAsia"/>
        </w:rPr>
        <w:t>；</w:t>
      </w:r>
      <w:r>
        <w:t>进一步激发市场活力</w:t>
      </w:r>
      <w:r>
        <w:rPr>
          <w:rFonts w:hint="eastAsia"/>
        </w:rPr>
        <w:t>，</w:t>
      </w:r>
      <w:r>
        <w:t>全面提升全要素生产率。</w:t>
      </w:r>
      <w:r>
        <w:rPr>
          <w:rFonts w:hint="eastAsia"/>
        </w:rPr>
        <w:t>开放合作的广度和深度不断拓展，全方位开放合作格局基本形成，融入区域经济一体化程度明显提高。</w:t>
      </w:r>
    </w:p>
    <w:p>
      <w:pPr>
        <w:rPr>
          <w:szCs w:val="28"/>
        </w:rPr>
      </w:pPr>
      <w:r>
        <w:rPr>
          <w:rFonts w:hint="eastAsia"/>
          <w:b/>
          <w:bCs/>
        </w:rPr>
        <w:t>——建成平安丹巴，社会治理能力显著提升。</w:t>
      </w:r>
      <w:r>
        <w:rPr>
          <w:rFonts w:hint="eastAsia"/>
        </w:rPr>
        <w:t>党的领导全面加强，城乡基层治理制度创新和能力建设取得新成效，社会大局持续稳定，宗教事务管理水平不断提高，民族团结进步事业不断发展，防范化解重大风险体制机制不断健全，更高水平的法治丹巴、平安丹巴建设扎实推进，发展安全保障更加有力。</w:t>
      </w:r>
      <w:r>
        <w:rPr>
          <w:szCs w:val="28"/>
        </w:rPr>
        <w:t xml:space="preserve"> </w:t>
      </w:r>
    </w:p>
    <w:p>
      <w:r>
        <w:rPr>
          <w:rFonts w:hint="eastAsia"/>
        </w:rPr>
        <w:t>展望二〇三五年，丹巴将与全国全省全州同步基本实现社会主义现代化。经济实力大幅提升，基本实现信息化、城镇化、农业现代化，地区生产总值在二〇二〇年基础上翻一番以上，基本公共服务、人民生活水平接近全国平均水平。治理体系和治理能力现代化基本实现，法治丹巴、法治政府、法治社会基本建成，平安丹巴建设达到更高水平。国民素质和社会文明程度达到新高度，中华民族共同体意识深入人心，团结文明目标基本实现。广泛形成绿色生产生活方式，生态环境持续良好，生态安全屏障更加稳固，美丽生态丹巴目标基本实现。社会事业发展水平显著提升，基本公共服务实现均等化，城乡区域发展差距显著缩小，人民生活水平更加美好，人的全面发展、全体人民共同富裕取得更为明显的实质性进展。</w:t>
      </w:r>
    </w:p>
    <w:p>
      <w:pPr>
        <w:widowControl/>
        <w:spacing w:line="240" w:lineRule="auto"/>
        <w:ind w:firstLine="0" w:firstLineChars="0"/>
        <w:jc w:val="left"/>
      </w:pPr>
      <w:r>
        <w:br w:type="page"/>
      </w:r>
    </w:p>
    <w:p>
      <w:pPr>
        <w:jc w:val="left"/>
      </w:pPr>
      <w:r>
        <w:rPr>
          <w:rFonts w:hint="eastAsia"/>
        </w:rPr>
        <w:t>表1 《丹巴县国民经济和社会发展第十四个五年规划纲要》指标体系表</w:t>
      </w:r>
    </w:p>
    <w:tbl>
      <w:tblPr>
        <w:tblStyle w:val="23"/>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2835"/>
        <w:gridCol w:w="924"/>
        <w:gridCol w:w="1486"/>
        <w:gridCol w:w="1134"/>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307" w:type="dxa"/>
            <w:vAlign w:val="center"/>
          </w:tcPr>
          <w:p>
            <w:pPr>
              <w:jc w:val="center"/>
              <w:rPr>
                <w:sz w:val="24"/>
                <w:szCs w:val="24"/>
              </w:rPr>
            </w:pPr>
          </w:p>
        </w:tc>
        <w:tc>
          <w:tcPr>
            <w:tcW w:w="2835" w:type="dxa"/>
            <w:vAlign w:val="center"/>
          </w:tcPr>
          <w:p>
            <w:pPr>
              <w:ind w:firstLine="0" w:firstLineChars="0"/>
              <w:jc w:val="center"/>
              <w:rPr>
                <w:sz w:val="24"/>
                <w:szCs w:val="24"/>
              </w:rPr>
            </w:pPr>
            <w:r>
              <w:rPr>
                <w:rFonts w:hint="eastAsia"/>
                <w:sz w:val="24"/>
                <w:szCs w:val="24"/>
              </w:rPr>
              <w:t>监测指标</w:t>
            </w:r>
          </w:p>
        </w:tc>
        <w:tc>
          <w:tcPr>
            <w:tcW w:w="924" w:type="dxa"/>
            <w:vAlign w:val="center"/>
          </w:tcPr>
          <w:p>
            <w:pPr>
              <w:ind w:firstLine="0" w:firstLineChars="0"/>
              <w:jc w:val="center"/>
              <w:rPr>
                <w:sz w:val="24"/>
                <w:szCs w:val="24"/>
              </w:rPr>
            </w:pPr>
            <w:r>
              <w:rPr>
                <w:rFonts w:hint="eastAsia"/>
                <w:sz w:val="24"/>
                <w:szCs w:val="24"/>
              </w:rPr>
              <w:t>单位</w:t>
            </w:r>
          </w:p>
        </w:tc>
        <w:tc>
          <w:tcPr>
            <w:tcW w:w="1486" w:type="dxa"/>
            <w:vAlign w:val="center"/>
          </w:tcPr>
          <w:p>
            <w:pPr>
              <w:ind w:firstLine="0" w:firstLineChars="0"/>
              <w:jc w:val="center"/>
              <w:rPr>
                <w:sz w:val="24"/>
                <w:szCs w:val="24"/>
              </w:rPr>
            </w:pPr>
            <w:r>
              <w:rPr>
                <w:sz w:val="24"/>
                <w:szCs w:val="24"/>
              </w:rPr>
              <w:t>2020</w:t>
            </w:r>
            <w:r>
              <w:rPr>
                <w:rFonts w:hint="eastAsia"/>
                <w:sz w:val="24"/>
                <w:szCs w:val="24"/>
              </w:rPr>
              <w:t>年</w:t>
            </w:r>
          </w:p>
        </w:tc>
        <w:tc>
          <w:tcPr>
            <w:tcW w:w="1134" w:type="dxa"/>
            <w:vAlign w:val="center"/>
          </w:tcPr>
          <w:p>
            <w:pPr>
              <w:ind w:firstLine="0" w:firstLineChars="0"/>
              <w:jc w:val="center"/>
              <w:rPr>
                <w:sz w:val="24"/>
                <w:szCs w:val="24"/>
              </w:rPr>
            </w:pPr>
            <w:r>
              <w:rPr>
                <w:sz w:val="24"/>
                <w:szCs w:val="24"/>
              </w:rPr>
              <w:t>2025</w:t>
            </w:r>
            <w:r>
              <w:rPr>
                <w:rFonts w:hint="eastAsia"/>
                <w:sz w:val="24"/>
                <w:szCs w:val="24"/>
              </w:rPr>
              <w:t>年</w:t>
            </w:r>
          </w:p>
        </w:tc>
        <w:tc>
          <w:tcPr>
            <w:tcW w:w="1220" w:type="dxa"/>
            <w:vAlign w:val="center"/>
          </w:tcPr>
          <w:p>
            <w:pPr>
              <w:ind w:firstLine="0" w:firstLineChars="0"/>
              <w:jc w:val="center"/>
              <w:rPr>
                <w:sz w:val="24"/>
                <w:szCs w:val="24"/>
              </w:rPr>
            </w:pPr>
            <w:r>
              <w:rPr>
                <w:rFonts w:hint="eastAsia"/>
                <w:sz w:val="24"/>
                <w:szCs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07" w:type="dxa"/>
            <w:vMerge w:val="restart"/>
            <w:vAlign w:val="center"/>
          </w:tcPr>
          <w:p>
            <w:pPr>
              <w:ind w:firstLine="0" w:firstLineChars="0"/>
              <w:jc w:val="center"/>
              <w:rPr>
                <w:sz w:val="24"/>
                <w:szCs w:val="24"/>
              </w:rPr>
            </w:pPr>
            <w:r>
              <w:rPr>
                <w:rFonts w:hint="eastAsia"/>
                <w:sz w:val="24"/>
                <w:szCs w:val="24"/>
              </w:rPr>
              <w:t>经济发展</w:t>
            </w:r>
          </w:p>
        </w:tc>
        <w:tc>
          <w:tcPr>
            <w:tcW w:w="2835" w:type="dxa"/>
            <w:vAlign w:val="center"/>
          </w:tcPr>
          <w:p>
            <w:pPr>
              <w:ind w:firstLine="0" w:firstLineChars="0"/>
              <w:rPr>
                <w:sz w:val="24"/>
                <w:szCs w:val="24"/>
              </w:rPr>
            </w:pPr>
            <w:r>
              <w:rPr>
                <w:sz w:val="24"/>
                <w:szCs w:val="24"/>
              </w:rPr>
              <w:t>1.</w:t>
            </w:r>
            <w:r>
              <w:rPr>
                <w:rFonts w:hint="eastAsia"/>
                <w:sz w:val="24"/>
                <w:szCs w:val="24"/>
              </w:rPr>
              <w:t>地区生产总值</w:t>
            </w:r>
          </w:p>
        </w:tc>
        <w:tc>
          <w:tcPr>
            <w:tcW w:w="924" w:type="dxa"/>
            <w:vAlign w:val="center"/>
          </w:tcPr>
          <w:p>
            <w:pPr>
              <w:ind w:firstLine="0" w:firstLineChars="0"/>
              <w:jc w:val="center"/>
              <w:rPr>
                <w:sz w:val="24"/>
                <w:szCs w:val="24"/>
              </w:rPr>
            </w:pPr>
            <w:r>
              <w:rPr>
                <w:rFonts w:hint="eastAsia"/>
                <w:sz w:val="24"/>
                <w:szCs w:val="24"/>
              </w:rPr>
              <w:t>亿元</w:t>
            </w:r>
          </w:p>
        </w:tc>
        <w:tc>
          <w:tcPr>
            <w:tcW w:w="1486" w:type="dxa"/>
            <w:vAlign w:val="center"/>
          </w:tcPr>
          <w:p>
            <w:pPr>
              <w:ind w:firstLine="0" w:firstLineChars="0"/>
              <w:jc w:val="center"/>
              <w:rPr>
                <w:sz w:val="24"/>
                <w:szCs w:val="24"/>
              </w:rPr>
            </w:pPr>
            <w:r>
              <w:rPr>
                <w:rFonts w:hint="eastAsia"/>
                <w:sz w:val="24"/>
                <w:szCs w:val="24"/>
              </w:rPr>
              <w:t>2</w:t>
            </w:r>
            <w:r>
              <w:rPr>
                <w:sz w:val="24"/>
                <w:szCs w:val="24"/>
              </w:rPr>
              <w:t>1.21</w:t>
            </w:r>
          </w:p>
        </w:tc>
        <w:tc>
          <w:tcPr>
            <w:tcW w:w="1134" w:type="dxa"/>
            <w:vAlign w:val="center"/>
          </w:tcPr>
          <w:p>
            <w:pPr>
              <w:ind w:firstLine="0" w:firstLineChars="0"/>
              <w:jc w:val="center"/>
              <w:rPr>
                <w:sz w:val="24"/>
                <w:szCs w:val="24"/>
              </w:rPr>
            </w:pPr>
            <w:r>
              <w:rPr>
                <w:rFonts w:hint="eastAsia"/>
                <w:sz w:val="24"/>
                <w:szCs w:val="24"/>
              </w:rPr>
              <w:t>30</w:t>
            </w:r>
          </w:p>
        </w:tc>
        <w:tc>
          <w:tcPr>
            <w:tcW w:w="1220" w:type="dxa"/>
            <w:vAlign w:val="center"/>
          </w:tcPr>
          <w:p>
            <w:pPr>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307" w:type="dxa"/>
            <w:vMerge w:val="continue"/>
            <w:vAlign w:val="center"/>
          </w:tcPr>
          <w:p/>
        </w:tc>
        <w:tc>
          <w:tcPr>
            <w:tcW w:w="2835" w:type="dxa"/>
            <w:vAlign w:val="center"/>
          </w:tcPr>
          <w:p>
            <w:pPr>
              <w:ind w:firstLine="0" w:firstLineChars="0"/>
              <w:rPr>
                <w:sz w:val="24"/>
                <w:szCs w:val="24"/>
              </w:rPr>
            </w:pPr>
            <w:r>
              <w:rPr>
                <w:sz w:val="24"/>
                <w:szCs w:val="24"/>
              </w:rPr>
              <w:t>2.</w:t>
            </w:r>
            <w:r>
              <w:rPr>
                <w:rFonts w:hint="eastAsia"/>
                <w:sz w:val="24"/>
                <w:szCs w:val="24"/>
              </w:rPr>
              <w:t>五年地区生产总值增速</w:t>
            </w:r>
          </w:p>
        </w:tc>
        <w:tc>
          <w:tcPr>
            <w:tcW w:w="924" w:type="dxa"/>
            <w:vAlign w:val="center"/>
          </w:tcPr>
          <w:p>
            <w:pPr>
              <w:ind w:firstLine="0" w:firstLineChars="0"/>
              <w:jc w:val="center"/>
              <w:rPr>
                <w:sz w:val="24"/>
                <w:szCs w:val="24"/>
              </w:rPr>
            </w:pPr>
            <w:r>
              <w:rPr>
                <w:sz w:val="24"/>
                <w:szCs w:val="24"/>
              </w:rPr>
              <w:t>%</w:t>
            </w:r>
          </w:p>
        </w:tc>
        <w:tc>
          <w:tcPr>
            <w:tcW w:w="1486" w:type="dxa"/>
            <w:vAlign w:val="center"/>
          </w:tcPr>
          <w:p>
            <w:pPr>
              <w:ind w:firstLine="0" w:firstLineChars="0"/>
              <w:jc w:val="center"/>
              <w:rPr>
                <w:sz w:val="24"/>
                <w:szCs w:val="24"/>
              </w:rPr>
            </w:pPr>
            <w:r>
              <w:rPr>
                <w:sz w:val="24"/>
                <w:szCs w:val="24"/>
              </w:rPr>
              <w:t>7.02</w:t>
            </w:r>
          </w:p>
        </w:tc>
        <w:tc>
          <w:tcPr>
            <w:tcW w:w="1134" w:type="dxa"/>
            <w:vAlign w:val="center"/>
          </w:tcPr>
          <w:p>
            <w:pPr>
              <w:ind w:firstLine="0" w:firstLineChars="0"/>
              <w:jc w:val="center"/>
              <w:rPr>
                <w:sz w:val="24"/>
                <w:szCs w:val="24"/>
              </w:rPr>
            </w:pPr>
            <w:r>
              <w:rPr>
                <w:rFonts w:hint="eastAsia"/>
                <w:sz w:val="24"/>
                <w:szCs w:val="24"/>
              </w:rPr>
              <w:t>7.2</w:t>
            </w:r>
          </w:p>
        </w:tc>
        <w:tc>
          <w:tcPr>
            <w:tcW w:w="1220" w:type="dxa"/>
            <w:vAlign w:val="center"/>
          </w:tcPr>
          <w:p>
            <w:pPr>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307" w:type="dxa"/>
            <w:vMerge w:val="continue"/>
            <w:vAlign w:val="center"/>
          </w:tcPr>
          <w:p/>
        </w:tc>
        <w:tc>
          <w:tcPr>
            <w:tcW w:w="2835" w:type="dxa"/>
            <w:vAlign w:val="center"/>
          </w:tcPr>
          <w:p>
            <w:pPr>
              <w:ind w:firstLine="0" w:firstLineChars="0"/>
              <w:rPr>
                <w:sz w:val="24"/>
                <w:szCs w:val="24"/>
              </w:rPr>
            </w:pPr>
            <w:r>
              <w:rPr>
                <w:sz w:val="24"/>
                <w:szCs w:val="24"/>
              </w:rPr>
              <w:t>3.</w:t>
            </w:r>
            <w:r>
              <w:rPr>
                <w:rFonts w:hint="eastAsia"/>
                <w:sz w:val="24"/>
                <w:szCs w:val="24"/>
              </w:rPr>
              <w:t>全社会固定资产投资累计完成总额</w:t>
            </w:r>
          </w:p>
        </w:tc>
        <w:tc>
          <w:tcPr>
            <w:tcW w:w="924" w:type="dxa"/>
            <w:vAlign w:val="center"/>
          </w:tcPr>
          <w:p>
            <w:pPr>
              <w:ind w:firstLine="0" w:firstLineChars="0"/>
              <w:jc w:val="center"/>
              <w:rPr>
                <w:sz w:val="24"/>
                <w:szCs w:val="24"/>
              </w:rPr>
            </w:pPr>
            <w:r>
              <w:rPr>
                <w:rFonts w:hint="eastAsia"/>
                <w:sz w:val="24"/>
                <w:szCs w:val="24"/>
              </w:rPr>
              <w:t>亿元</w:t>
            </w:r>
          </w:p>
        </w:tc>
        <w:tc>
          <w:tcPr>
            <w:tcW w:w="1486" w:type="dxa"/>
            <w:vAlign w:val="center"/>
          </w:tcPr>
          <w:p>
            <w:pPr>
              <w:ind w:firstLine="0" w:firstLineChars="0"/>
              <w:jc w:val="center"/>
              <w:rPr>
                <w:sz w:val="24"/>
                <w:szCs w:val="24"/>
              </w:rPr>
            </w:pPr>
            <w:r>
              <w:rPr>
                <w:rFonts w:hint="eastAsia"/>
                <w:sz w:val="24"/>
                <w:szCs w:val="24"/>
              </w:rPr>
              <w:t>60.8</w:t>
            </w:r>
          </w:p>
        </w:tc>
        <w:tc>
          <w:tcPr>
            <w:tcW w:w="1134" w:type="dxa"/>
            <w:vAlign w:val="center"/>
          </w:tcPr>
          <w:p>
            <w:pPr>
              <w:ind w:firstLine="0" w:firstLineChars="0"/>
              <w:jc w:val="center"/>
              <w:rPr>
                <w:sz w:val="24"/>
                <w:szCs w:val="24"/>
              </w:rPr>
            </w:pPr>
            <w:r>
              <w:rPr>
                <w:rFonts w:hint="eastAsia"/>
                <w:sz w:val="24"/>
                <w:szCs w:val="24"/>
              </w:rPr>
              <w:t>65</w:t>
            </w:r>
          </w:p>
        </w:tc>
        <w:tc>
          <w:tcPr>
            <w:tcW w:w="1220" w:type="dxa"/>
            <w:vAlign w:val="center"/>
          </w:tcPr>
          <w:p>
            <w:pPr>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07" w:type="dxa"/>
            <w:vMerge w:val="continue"/>
            <w:vAlign w:val="center"/>
          </w:tcPr>
          <w:p/>
        </w:tc>
        <w:tc>
          <w:tcPr>
            <w:tcW w:w="2835" w:type="dxa"/>
            <w:vAlign w:val="center"/>
          </w:tcPr>
          <w:p>
            <w:pPr>
              <w:ind w:firstLine="0" w:firstLineChars="0"/>
              <w:rPr>
                <w:sz w:val="24"/>
                <w:szCs w:val="24"/>
              </w:rPr>
            </w:pPr>
            <w:r>
              <w:rPr>
                <w:sz w:val="24"/>
                <w:szCs w:val="24"/>
              </w:rPr>
              <w:t>4.全社会消费品零售总额</w:t>
            </w:r>
          </w:p>
        </w:tc>
        <w:tc>
          <w:tcPr>
            <w:tcW w:w="924" w:type="dxa"/>
            <w:vAlign w:val="center"/>
          </w:tcPr>
          <w:p>
            <w:pPr>
              <w:ind w:firstLine="0" w:firstLineChars="0"/>
              <w:jc w:val="center"/>
              <w:rPr>
                <w:sz w:val="24"/>
                <w:szCs w:val="24"/>
              </w:rPr>
            </w:pPr>
            <w:r>
              <w:rPr>
                <w:rFonts w:hint="eastAsia"/>
                <w:sz w:val="24"/>
                <w:szCs w:val="24"/>
              </w:rPr>
              <w:t>亿元</w:t>
            </w:r>
          </w:p>
        </w:tc>
        <w:tc>
          <w:tcPr>
            <w:tcW w:w="1486" w:type="dxa"/>
            <w:vAlign w:val="center"/>
          </w:tcPr>
          <w:p>
            <w:pPr>
              <w:ind w:firstLine="0" w:firstLineChars="0"/>
              <w:jc w:val="center"/>
              <w:rPr>
                <w:sz w:val="24"/>
                <w:szCs w:val="24"/>
              </w:rPr>
            </w:pPr>
            <w:r>
              <w:rPr>
                <w:sz w:val="24"/>
                <w:szCs w:val="24"/>
              </w:rPr>
              <w:t>7.02</w:t>
            </w:r>
          </w:p>
        </w:tc>
        <w:tc>
          <w:tcPr>
            <w:tcW w:w="1134" w:type="dxa"/>
            <w:vAlign w:val="center"/>
          </w:tcPr>
          <w:p>
            <w:pPr>
              <w:ind w:firstLine="0" w:firstLineChars="0"/>
              <w:jc w:val="center"/>
              <w:rPr>
                <w:sz w:val="24"/>
                <w:szCs w:val="24"/>
              </w:rPr>
            </w:pPr>
            <w:r>
              <w:rPr>
                <w:rFonts w:hint="eastAsia"/>
                <w:sz w:val="24"/>
                <w:szCs w:val="24"/>
              </w:rPr>
              <w:t>1</w:t>
            </w:r>
            <w:r>
              <w:rPr>
                <w:sz w:val="24"/>
                <w:szCs w:val="24"/>
              </w:rPr>
              <w:t>0</w:t>
            </w:r>
          </w:p>
        </w:tc>
        <w:tc>
          <w:tcPr>
            <w:tcW w:w="1220" w:type="dxa"/>
            <w:vAlign w:val="center"/>
          </w:tcPr>
          <w:p>
            <w:pPr>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07" w:type="dxa"/>
            <w:vMerge w:val="continue"/>
            <w:vAlign w:val="center"/>
          </w:tcPr>
          <w:p/>
        </w:tc>
        <w:tc>
          <w:tcPr>
            <w:tcW w:w="2835" w:type="dxa"/>
            <w:vAlign w:val="center"/>
          </w:tcPr>
          <w:p>
            <w:pPr>
              <w:ind w:firstLine="0" w:firstLineChars="0"/>
              <w:rPr>
                <w:sz w:val="24"/>
                <w:szCs w:val="24"/>
              </w:rPr>
            </w:pPr>
            <w:r>
              <w:rPr>
                <w:sz w:val="24"/>
                <w:szCs w:val="24"/>
              </w:rPr>
              <w:t>5.</w:t>
            </w:r>
            <w:r>
              <w:rPr>
                <w:rFonts w:hint="eastAsia"/>
                <w:sz w:val="24"/>
                <w:szCs w:val="24"/>
              </w:rPr>
              <w:t>地方公共财政收入</w:t>
            </w:r>
          </w:p>
        </w:tc>
        <w:tc>
          <w:tcPr>
            <w:tcW w:w="924" w:type="dxa"/>
            <w:vAlign w:val="center"/>
          </w:tcPr>
          <w:p>
            <w:pPr>
              <w:ind w:firstLine="0" w:firstLineChars="0"/>
              <w:jc w:val="center"/>
              <w:rPr>
                <w:sz w:val="24"/>
                <w:szCs w:val="24"/>
              </w:rPr>
            </w:pPr>
            <w:r>
              <w:rPr>
                <w:rFonts w:hint="eastAsia"/>
                <w:sz w:val="24"/>
                <w:szCs w:val="24"/>
              </w:rPr>
              <w:t>亿元</w:t>
            </w:r>
          </w:p>
        </w:tc>
        <w:tc>
          <w:tcPr>
            <w:tcW w:w="1486" w:type="dxa"/>
            <w:vAlign w:val="center"/>
          </w:tcPr>
          <w:p>
            <w:pPr>
              <w:ind w:firstLine="0" w:firstLineChars="0"/>
              <w:jc w:val="center"/>
              <w:rPr>
                <w:sz w:val="24"/>
                <w:szCs w:val="24"/>
              </w:rPr>
            </w:pPr>
            <w:r>
              <w:rPr>
                <w:rFonts w:hint="eastAsia"/>
                <w:sz w:val="24"/>
                <w:szCs w:val="24"/>
              </w:rPr>
              <w:t>1.8823</w:t>
            </w:r>
          </w:p>
        </w:tc>
        <w:tc>
          <w:tcPr>
            <w:tcW w:w="1134" w:type="dxa"/>
            <w:vAlign w:val="center"/>
          </w:tcPr>
          <w:p>
            <w:pPr>
              <w:ind w:firstLine="0" w:firstLineChars="0"/>
              <w:jc w:val="center"/>
              <w:rPr>
                <w:sz w:val="24"/>
                <w:szCs w:val="24"/>
              </w:rPr>
            </w:pPr>
            <w:r>
              <w:rPr>
                <w:rFonts w:hint="eastAsia"/>
                <w:sz w:val="24"/>
                <w:szCs w:val="24"/>
              </w:rPr>
              <w:t>2</w:t>
            </w:r>
            <w:r>
              <w:rPr>
                <w:sz w:val="24"/>
                <w:szCs w:val="24"/>
              </w:rPr>
              <w:t>.2</w:t>
            </w:r>
          </w:p>
        </w:tc>
        <w:tc>
          <w:tcPr>
            <w:tcW w:w="1220" w:type="dxa"/>
            <w:vAlign w:val="center"/>
          </w:tcPr>
          <w:p>
            <w:pPr>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307" w:type="dxa"/>
            <w:vMerge w:val="continue"/>
            <w:vAlign w:val="center"/>
          </w:tcPr>
          <w:p/>
        </w:tc>
        <w:tc>
          <w:tcPr>
            <w:tcW w:w="2835" w:type="dxa"/>
            <w:vAlign w:val="center"/>
          </w:tcPr>
          <w:p>
            <w:pPr>
              <w:ind w:firstLine="0" w:firstLineChars="0"/>
              <w:rPr>
                <w:sz w:val="24"/>
                <w:szCs w:val="24"/>
              </w:rPr>
            </w:pPr>
            <w:r>
              <w:rPr>
                <w:sz w:val="24"/>
                <w:szCs w:val="24"/>
              </w:rPr>
              <w:t>6.</w:t>
            </w:r>
            <w:r>
              <w:rPr>
                <w:rFonts w:hint="eastAsia"/>
                <w:sz w:val="24"/>
                <w:szCs w:val="24"/>
              </w:rPr>
              <w:t>旅游总收入</w:t>
            </w:r>
          </w:p>
        </w:tc>
        <w:tc>
          <w:tcPr>
            <w:tcW w:w="924" w:type="dxa"/>
            <w:vAlign w:val="center"/>
          </w:tcPr>
          <w:p>
            <w:pPr>
              <w:ind w:firstLine="0" w:firstLineChars="0"/>
              <w:jc w:val="center"/>
              <w:rPr>
                <w:sz w:val="24"/>
                <w:szCs w:val="24"/>
              </w:rPr>
            </w:pPr>
            <w:r>
              <w:rPr>
                <w:rFonts w:hint="eastAsia"/>
                <w:sz w:val="24"/>
                <w:szCs w:val="24"/>
              </w:rPr>
              <w:t>亿元</w:t>
            </w:r>
          </w:p>
        </w:tc>
        <w:tc>
          <w:tcPr>
            <w:tcW w:w="1486" w:type="dxa"/>
            <w:vAlign w:val="center"/>
          </w:tcPr>
          <w:p>
            <w:pPr>
              <w:ind w:firstLine="0" w:firstLineChars="0"/>
              <w:jc w:val="center"/>
              <w:rPr>
                <w:sz w:val="24"/>
                <w:szCs w:val="24"/>
              </w:rPr>
            </w:pPr>
            <w:r>
              <w:rPr>
                <w:sz w:val="24"/>
                <w:szCs w:val="24"/>
              </w:rPr>
              <w:t>94.4</w:t>
            </w:r>
            <w:r>
              <w:rPr>
                <w:rFonts w:hint="eastAsia"/>
                <w:sz w:val="24"/>
                <w:szCs w:val="24"/>
              </w:rPr>
              <w:t>（五年累计）</w:t>
            </w:r>
          </w:p>
        </w:tc>
        <w:tc>
          <w:tcPr>
            <w:tcW w:w="1134" w:type="dxa"/>
            <w:vAlign w:val="center"/>
          </w:tcPr>
          <w:p>
            <w:pPr>
              <w:ind w:firstLine="0" w:firstLineChars="0"/>
              <w:jc w:val="center"/>
              <w:rPr>
                <w:sz w:val="24"/>
                <w:szCs w:val="24"/>
              </w:rPr>
            </w:pPr>
            <w:r>
              <w:rPr>
                <w:rFonts w:hint="eastAsia"/>
                <w:sz w:val="24"/>
                <w:szCs w:val="24"/>
              </w:rPr>
              <w:t>1</w:t>
            </w:r>
            <w:r>
              <w:rPr>
                <w:sz w:val="24"/>
                <w:szCs w:val="24"/>
              </w:rPr>
              <w:t>32</w:t>
            </w:r>
            <w:r>
              <w:rPr>
                <w:rFonts w:hint="eastAsia"/>
                <w:sz w:val="24"/>
                <w:szCs w:val="24"/>
              </w:rPr>
              <w:t>（五年累计）</w:t>
            </w:r>
          </w:p>
        </w:tc>
        <w:tc>
          <w:tcPr>
            <w:tcW w:w="1220" w:type="dxa"/>
            <w:vAlign w:val="center"/>
          </w:tcPr>
          <w:p>
            <w:pPr>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307" w:type="dxa"/>
            <w:vMerge w:val="continue"/>
            <w:vAlign w:val="center"/>
          </w:tcPr>
          <w:p/>
        </w:tc>
        <w:tc>
          <w:tcPr>
            <w:tcW w:w="2835" w:type="dxa"/>
            <w:vAlign w:val="center"/>
          </w:tcPr>
          <w:p>
            <w:pPr>
              <w:ind w:firstLine="0" w:firstLineChars="0"/>
              <w:rPr>
                <w:sz w:val="24"/>
                <w:szCs w:val="24"/>
              </w:rPr>
            </w:pPr>
            <w:r>
              <w:rPr>
                <w:rFonts w:hint="eastAsia"/>
                <w:sz w:val="24"/>
                <w:szCs w:val="24"/>
              </w:rPr>
              <w:t>7</w:t>
            </w:r>
            <w:r>
              <w:rPr>
                <w:sz w:val="24"/>
                <w:szCs w:val="24"/>
              </w:rPr>
              <w:t>.</w:t>
            </w:r>
            <w:r>
              <w:rPr>
                <w:rFonts w:hint="eastAsia"/>
                <w:sz w:val="24"/>
                <w:szCs w:val="24"/>
              </w:rPr>
              <w:t>游客总人次</w:t>
            </w:r>
          </w:p>
        </w:tc>
        <w:tc>
          <w:tcPr>
            <w:tcW w:w="924" w:type="dxa"/>
            <w:vAlign w:val="center"/>
          </w:tcPr>
          <w:p>
            <w:pPr>
              <w:ind w:firstLine="0" w:firstLineChars="0"/>
              <w:jc w:val="center"/>
              <w:rPr>
                <w:sz w:val="24"/>
                <w:szCs w:val="24"/>
              </w:rPr>
            </w:pPr>
            <w:r>
              <w:rPr>
                <w:rFonts w:hint="eastAsia"/>
                <w:sz w:val="24"/>
                <w:szCs w:val="24"/>
              </w:rPr>
              <w:t>万人次</w:t>
            </w:r>
          </w:p>
        </w:tc>
        <w:tc>
          <w:tcPr>
            <w:tcW w:w="1486" w:type="dxa"/>
            <w:vAlign w:val="center"/>
          </w:tcPr>
          <w:p>
            <w:pPr>
              <w:ind w:firstLine="0" w:firstLineChars="0"/>
              <w:jc w:val="center"/>
              <w:rPr>
                <w:sz w:val="24"/>
                <w:szCs w:val="24"/>
              </w:rPr>
            </w:pPr>
            <w:r>
              <w:rPr>
                <w:rFonts w:hint="eastAsia"/>
                <w:sz w:val="24"/>
                <w:szCs w:val="24"/>
              </w:rPr>
              <w:t>893.4（五年累计）</w:t>
            </w:r>
          </w:p>
        </w:tc>
        <w:tc>
          <w:tcPr>
            <w:tcW w:w="1134" w:type="dxa"/>
            <w:vAlign w:val="center"/>
          </w:tcPr>
          <w:p>
            <w:pPr>
              <w:ind w:firstLine="0" w:firstLineChars="0"/>
              <w:jc w:val="center"/>
              <w:rPr>
                <w:sz w:val="24"/>
                <w:szCs w:val="24"/>
              </w:rPr>
            </w:pPr>
            <w:r>
              <w:rPr>
                <w:rFonts w:hint="eastAsia"/>
                <w:sz w:val="24"/>
                <w:szCs w:val="24"/>
              </w:rPr>
              <w:t>1500（五年累计）</w:t>
            </w:r>
          </w:p>
        </w:tc>
        <w:tc>
          <w:tcPr>
            <w:tcW w:w="1220" w:type="dxa"/>
            <w:vAlign w:val="center"/>
          </w:tcPr>
          <w:p>
            <w:pPr>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07" w:type="dxa"/>
            <w:vMerge w:val="continue"/>
            <w:vAlign w:val="center"/>
          </w:tcPr>
          <w:p/>
        </w:tc>
        <w:tc>
          <w:tcPr>
            <w:tcW w:w="2835" w:type="dxa"/>
            <w:vAlign w:val="center"/>
          </w:tcPr>
          <w:p>
            <w:pPr>
              <w:ind w:firstLine="0" w:firstLineChars="0"/>
              <w:rPr>
                <w:sz w:val="24"/>
                <w:szCs w:val="24"/>
              </w:rPr>
            </w:pPr>
            <w:r>
              <w:rPr>
                <w:sz w:val="24"/>
                <w:szCs w:val="24"/>
              </w:rPr>
              <w:t>8.</w:t>
            </w:r>
            <w:r>
              <w:rPr>
                <w:rFonts w:hint="eastAsia"/>
                <w:sz w:val="24"/>
                <w:szCs w:val="24"/>
              </w:rPr>
              <w:t>农牧业增加值</w:t>
            </w:r>
          </w:p>
        </w:tc>
        <w:tc>
          <w:tcPr>
            <w:tcW w:w="924" w:type="dxa"/>
            <w:vAlign w:val="center"/>
          </w:tcPr>
          <w:p>
            <w:pPr>
              <w:ind w:firstLine="0" w:firstLineChars="0"/>
              <w:jc w:val="center"/>
              <w:rPr>
                <w:sz w:val="24"/>
                <w:szCs w:val="24"/>
              </w:rPr>
            </w:pPr>
            <w:r>
              <w:rPr>
                <w:rFonts w:hint="eastAsia"/>
                <w:sz w:val="24"/>
                <w:szCs w:val="24"/>
              </w:rPr>
              <w:t>亿元</w:t>
            </w:r>
          </w:p>
        </w:tc>
        <w:tc>
          <w:tcPr>
            <w:tcW w:w="1486" w:type="dxa"/>
            <w:vAlign w:val="center"/>
          </w:tcPr>
          <w:p>
            <w:pPr>
              <w:ind w:firstLine="0" w:firstLineChars="0"/>
              <w:jc w:val="center"/>
              <w:rPr>
                <w:sz w:val="24"/>
                <w:szCs w:val="24"/>
              </w:rPr>
            </w:pPr>
            <w:r>
              <w:rPr>
                <w:rFonts w:hint="eastAsia"/>
                <w:sz w:val="24"/>
                <w:szCs w:val="24"/>
              </w:rPr>
              <w:t>3</w:t>
            </w:r>
            <w:r>
              <w:rPr>
                <w:sz w:val="24"/>
                <w:szCs w:val="24"/>
              </w:rPr>
              <w:t>.55</w:t>
            </w:r>
          </w:p>
        </w:tc>
        <w:tc>
          <w:tcPr>
            <w:tcW w:w="1134" w:type="dxa"/>
            <w:vAlign w:val="center"/>
          </w:tcPr>
          <w:p>
            <w:pPr>
              <w:ind w:firstLine="0" w:firstLineChars="0"/>
              <w:jc w:val="center"/>
              <w:rPr>
                <w:sz w:val="24"/>
                <w:szCs w:val="24"/>
              </w:rPr>
            </w:pPr>
            <w:r>
              <w:rPr>
                <w:rFonts w:hint="eastAsia"/>
                <w:sz w:val="24"/>
                <w:szCs w:val="24"/>
              </w:rPr>
              <w:t>4</w:t>
            </w:r>
            <w:r>
              <w:rPr>
                <w:sz w:val="24"/>
                <w:szCs w:val="24"/>
              </w:rPr>
              <w:t>.8</w:t>
            </w:r>
          </w:p>
        </w:tc>
        <w:tc>
          <w:tcPr>
            <w:tcW w:w="1220" w:type="dxa"/>
            <w:vAlign w:val="center"/>
          </w:tcPr>
          <w:p>
            <w:pPr>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307" w:type="dxa"/>
            <w:vMerge w:val="continue"/>
            <w:vAlign w:val="center"/>
          </w:tcPr>
          <w:p/>
        </w:tc>
        <w:tc>
          <w:tcPr>
            <w:tcW w:w="2835" w:type="dxa"/>
            <w:vAlign w:val="center"/>
          </w:tcPr>
          <w:p>
            <w:pPr>
              <w:ind w:firstLine="0" w:firstLineChars="0"/>
              <w:rPr>
                <w:sz w:val="24"/>
                <w:szCs w:val="24"/>
              </w:rPr>
            </w:pPr>
            <w:r>
              <w:rPr>
                <w:sz w:val="24"/>
                <w:szCs w:val="24"/>
              </w:rPr>
              <w:t>9.</w:t>
            </w:r>
            <w:r>
              <w:rPr>
                <w:rFonts w:hint="eastAsia"/>
                <w:sz w:val="24"/>
                <w:szCs w:val="24"/>
              </w:rPr>
              <w:t>文化产业增加值</w:t>
            </w:r>
          </w:p>
        </w:tc>
        <w:tc>
          <w:tcPr>
            <w:tcW w:w="924" w:type="dxa"/>
            <w:vAlign w:val="center"/>
          </w:tcPr>
          <w:p>
            <w:pPr>
              <w:ind w:firstLine="0" w:firstLineChars="0"/>
              <w:jc w:val="center"/>
              <w:rPr>
                <w:sz w:val="24"/>
                <w:szCs w:val="24"/>
              </w:rPr>
            </w:pPr>
            <w:r>
              <w:rPr>
                <w:rFonts w:hint="eastAsia"/>
                <w:sz w:val="24"/>
                <w:szCs w:val="24"/>
              </w:rPr>
              <w:t>亿元</w:t>
            </w:r>
          </w:p>
        </w:tc>
        <w:tc>
          <w:tcPr>
            <w:tcW w:w="1486" w:type="dxa"/>
            <w:vAlign w:val="center"/>
          </w:tcPr>
          <w:p>
            <w:pPr>
              <w:ind w:firstLine="0" w:firstLineChars="0"/>
              <w:jc w:val="center"/>
              <w:rPr>
                <w:sz w:val="24"/>
                <w:szCs w:val="24"/>
              </w:rPr>
            </w:pPr>
            <w:r>
              <w:rPr>
                <w:rFonts w:hint="eastAsia"/>
                <w:sz w:val="24"/>
                <w:szCs w:val="24"/>
              </w:rPr>
              <w:t>0.65</w:t>
            </w:r>
          </w:p>
        </w:tc>
        <w:tc>
          <w:tcPr>
            <w:tcW w:w="1134" w:type="dxa"/>
            <w:vAlign w:val="center"/>
          </w:tcPr>
          <w:p>
            <w:pPr>
              <w:ind w:firstLine="0" w:firstLineChars="0"/>
              <w:jc w:val="center"/>
              <w:rPr>
                <w:sz w:val="24"/>
                <w:szCs w:val="24"/>
              </w:rPr>
            </w:pPr>
            <w:r>
              <w:rPr>
                <w:rFonts w:hint="eastAsia"/>
                <w:sz w:val="24"/>
                <w:szCs w:val="24"/>
              </w:rPr>
              <w:t>1.1</w:t>
            </w:r>
          </w:p>
        </w:tc>
        <w:tc>
          <w:tcPr>
            <w:tcW w:w="1220" w:type="dxa"/>
            <w:vAlign w:val="center"/>
          </w:tcPr>
          <w:p>
            <w:pPr>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07" w:type="dxa"/>
            <w:vMerge w:val="continue"/>
            <w:vAlign w:val="center"/>
          </w:tcPr>
          <w:p/>
        </w:tc>
        <w:tc>
          <w:tcPr>
            <w:tcW w:w="2835" w:type="dxa"/>
            <w:vAlign w:val="center"/>
          </w:tcPr>
          <w:p>
            <w:pPr>
              <w:ind w:firstLine="0" w:firstLineChars="0"/>
              <w:rPr>
                <w:sz w:val="24"/>
                <w:szCs w:val="24"/>
              </w:rPr>
            </w:pPr>
            <w:r>
              <w:rPr>
                <w:sz w:val="24"/>
                <w:szCs w:val="24"/>
              </w:rPr>
              <w:t>10.</w:t>
            </w:r>
            <w:r>
              <w:rPr>
                <w:rFonts w:hint="eastAsia"/>
                <w:sz w:val="24"/>
                <w:szCs w:val="24"/>
              </w:rPr>
              <w:t>水电装机容量</w:t>
            </w:r>
          </w:p>
        </w:tc>
        <w:tc>
          <w:tcPr>
            <w:tcW w:w="924" w:type="dxa"/>
            <w:vAlign w:val="center"/>
          </w:tcPr>
          <w:p>
            <w:pPr>
              <w:ind w:firstLine="0" w:firstLineChars="0"/>
              <w:jc w:val="center"/>
              <w:rPr>
                <w:sz w:val="24"/>
                <w:szCs w:val="24"/>
              </w:rPr>
            </w:pPr>
            <w:r>
              <w:rPr>
                <w:rFonts w:hint="eastAsia"/>
                <w:sz w:val="24"/>
                <w:szCs w:val="24"/>
              </w:rPr>
              <w:t>万千瓦</w:t>
            </w:r>
          </w:p>
        </w:tc>
        <w:tc>
          <w:tcPr>
            <w:tcW w:w="1486" w:type="dxa"/>
            <w:vAlign w:val="center"/>
          </w:tcPr>
          <w:p>
            <w:pPr>
              <w:ind w:firstLine="0" w:firstLineChars="0"/>
              <w:jc w:val="center"/>
              <w:rPr>
                <w:sz w:val="24"/>
                <w:szCs w:val="24"/>
              </w:rPr>
            </w:pPr>
            <w:r>
              <w:rPr>
                <w:rFonts w:hint="eastAsia"/>
                <w:sz w:val="24"/>
                <w:szCs w:val="24"/>
              </w:rPr>
              <w:t>7</w:t>
            </w:r>
            <w:r>
              <w:rPr>
                <w:sz w:val="24"/>
                <w:szCs w:val="24"/>
              </w:rPr>
              <w:t>7.5</w:t>
            </w:r>
          </w:p>
        </w:tc>
        <w:tc>
          <w:tcPr>
            <w:tcW w:w="1134" w:type="dxa"/>
            <w:vAlign w:val="center"/>
          </w:tcPr>
          <w:p>
            <w:pPr>
              <w:ind w:firstLine="0" w:firstLineChars="0"/>
              <w:jc w:val="center"/>
              <w:rPr>
                <w:sz w:val="24"/>
                <w:szCs w:val="24"/>
              </w:rPr>
            </w:pPr>
            <w:r>
              <w:rPr>
                <w:rFonts w:hint="eastAsia"/>
                <w:sz w:val="24"/>
                <w:szCs w:val="24"/>
              </w:rPr>
              <w:t>9</w:t>
            </w:r>
            <w:r>
              <w:rPr>
                <w:sz w:val="24"/>
                <w:szCs w:val="24"/>
              </w:rPr>
              <w:t>6.8</w:t>
            </w:r>
          </w:p>
        </w:tc>
        <w:tc>
          <w:tcPr>
            <w:tcW w:w="1220" w:type="dxa"/>
            <w:vAlign w:val="center"/>
          </w:tcPr>
          <w:p>
            <w:pPr>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307" w:type="dxa"/>
            <w:vMerge w:val="continue"/>
            <w:vAlign w:val="center"/>
          </w:tcPr>
          <w:p/>
        </w:tc>
        <w:tc>
          <w:tcPr>
            <w:tcW w:w="2835" w:type="dxa"/>
            <w:vAlign w:val="center"/>
          </w:tcPr>
          <w:p>
            <w:pPr>
              <w:ind w:firstLine="0" w:firstLineChars="0"/>
              <w:jc w:val="center"/>
              <w:rPr>
                <w:sz w:val="24"/>
                <w:szCs w:val="24"/>
              </w:rPr>
            </w:pPr>
            <w:r>
              <w:rPr>
                <w:rFonts w:hint="eastAsia"/>
                <w:sz w:val="24"/>
                <w:szCs w:val="24"/>
              </w:rPr>
              <w:t>1</w:t>
            </w:r>
            <w:r>
              <w:rPr>
                <w:sz w:val="24"/>
                <w:szCs w:val="24"/>
              </w:rPr>
              <w:t>1.</w:t>
            </w:r>
            <w:r>
              <w:rPr>
                <w:rFonts w:hint="eastAsia"/>
                <w:sz w:val="24"/>
                <w:szCs w:val="24"/>
              </w:rPr>
              <w:t>三次产业结构比例</w:t>
            </w:r>
          </w:p>
        </w:tc>
        <w:tc>
          <w:tcPr>
            <w:tcW w:w="924" w:type="dxa"/>
            <w:vAlign w:val="center"/>
          </w:tcPr>
          <w:p>
            <w:pPr>
              <w:ind w:firstLine="0" w:firstLineChars="0"/>
              <w:jc w:val="center"/>
              <w:rPr>
                <w:sz w:val="24"/>
                <w:szCs w:val="24"/>
              </w:rPr>
            </w:pPr>
            <w:r>
              <w:rPr>
                <w:rFonts w:hint="eastAsia"/>
                <w:sz w:val="24"/>
                <w:szCs w:val="24"/>
              </w:rPr>
              <w:t>——</w:t>
            </w:r>
          </w:p>
        </w:tc>
        <w:tc>
          <w:tcPr>
            <w:tcW w:w="1486" w:type="dxa"/>
            <w:vAlign w:val="center"/>
          </w:tcPr>
          <w:p>
            <w:pPr>
              <w:ind w:firstLine="0" w:firstLineChars="0"/>
              <w:jc w:val="center"/>
              <w:rPr>
                <w:sz w:val="24"/>
                <w:szCs w:val="24"/>
              </w:rPr>
            </w:pPr>
            <w:r>
              <w:rPr>
                <w:rFonts w:hint="eastAsia"/>
                <w:sz w:val="24"/>
                <w:szCs w:val="24"/>
              </w:rPr>
              <w:t>16.74:26.64:56.62</w:t>
            </w:r>
          </w:p>
        </w:tc>
        <w:tc>
          <w:tcPr>
            <w:tcW w:w="1134" w:type="dxa"/>
            <w:vAlign w:val="center"/>
          </w:tcPr>
          <w:p>
            <w:pPr>
              <w:ind w:firstLine="0" w:firstLineChars="0"/>
              <w:rPr>
                <w:sz w:val="24"/>
                <w:szCs w:val="24"/>
              </w:rPr>
            </w:pPr>
            <w:r>
              <w:rPr>
                <w:sz w:val="24"/>
                <w:szCs w:val="24"/>
              </w:rPr>
              <w:t>19:40:41</w:t>
            </w:r>
          </w:p>
        </w:tc>
        <w:tc>
          <w:tcPr>
            <w:tcW w:w="1220" w:type="dxa"/>
            <w:vAlign w:val="center"/>
          </w:tcPr>
          <w:p>
            <w:pPr>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07" w:type="dxa"/>
            <w:vMerge w:val="restart"/>
            <w:vAlign w:val="center"/>
          </w:tcPr>
          <w:p>
            <w:pPr>
              <w:ind w:firstLine="0" w:firstLineChars="0"/>
              <w:jc w:val="center"/>
              <w:rPr>
                <w:sz w:val="24"/>
                <w:szCs w:val="24"/>
              </w:rPr>
            </w:pPr>
            <w:r>
              <w:rPr>
                <w:rFonts w:hint="eastAsia"/>
                <w:sz w:val="24"/>
                <w:szCs w:val="24"/>
              </w:rPr>
              <w:t>民生福祉</w:t>
            </w:r>
          </w:p>
        </w:tc>
        <w:tc>
          <w:tcPr>
            <w:tcW w:w="2835" w:type="dxa"/>
            <w:vAlign w:val="center"/>
          </w:tcPr>
          <w:p>
            <w:pPr>
              <w:ind w:firstLine="0" w:firstLineChars="0"/>
              <w:rPr>
                <w:sz w:val="24"/>
                <w:szCs w:val="24"/>
              </w:rPr>
            </w:pPr>
            <w:r>
              <w:rPr>
                <w:rFonts w:hint="eastAsia"/>
                <w:sz w:val="24"/>
                <w:szCs w:val="24"/>
              </w:rPr>
              <w:t>1</w:t>
            </w:r>
            <w:r>
              <w:rPr>
                <w:sz w:val="24"/>
                <w:szCs w:val="24"/>
              </w:rPr>
              <w:t>2.</w:t>
            </w:r>
            <w:r>
              <w:rPr>
                <w:rFonts w:hint="eastAsia"/>
                <w:sz w:val="24"/>
                <w:szCs w:val="24"/>
              </w:rPr>
              <w:t>城镇登记失业率</w:t>
            </w:r>
          </w:p>
        </w:tc>
        <w:tc>
          <w:tcPr>
            <w:tcW w:w="924" w:type="dxa"/>
            <w:vAlign w:val="center"/>
          </w:tcPr>
          <w:p>
            <w:pPr>
              <w:ind w:firstLine="0" w:firstLineChars="0"/>
              <w:jc w:val="center"/>
              <w:rPr>
                <w:sz w:val="24"/>
                <w:szCs w:val="24"/>
              </w:rPr>
            </w:pPr>
            <w:r>
              <w:rPr>
                <w:rFonts w:hint="eastAsia"/>
                <w:sz w:val="24"/>
                <w:szCs w:val="24"/>
              </w:rPr>
              <w:t>%</w:t>
            </w:r>
          </w:p>
        </w:tc>
        <w:tc>
          <w:tcPr>
            <w:tcW w:w="1486" w:type="dxa"/>
            <w:vAlign w:val="center"/>
          </w:tcPr>
          <w:p>
            <w:pPr>
              <w:ind w:firstLine="0" w:firstLineChars="0"/>
              <w:jc w:val="center"/>
              <w:rPr>
                <w:sz w:val="24"/>
                <w:szCs w:val="24"/>
              </w:rPr>
            </w:pPr>
            <w:r>
              <w:rPr>
                <w:rFonts w:hint="eastAsia"/>
                <w:sz w:val="24"/>
                <w:szCs w:val="24"/>
              </w:rPr>
              <w:t>4</w:t>
            </w:r>
            <w:r>
              <w:rPr>
                <w:sz w:val="24"/>
                <w:szCs w:val="24"/>
              </w:rPr>
              <w:t>.2</w:t>
            </w:r>
          </w:p>
        </w:tc>
        <w:tc>
          <w:tcPr>
            <w:tcW w:w="1134" w:type="dxa"/>
            <w:vAlign w:val="center"/>
          </w:tcPr>
          <w:p>
            <w:pPr>
              <w:ind w:firstLine="0" w:firstLineChars="0"/>
              <w:jc w:val="center"/>
              <w:rPr>
                <w:sz w:val="24"/>
                <w:szCs w:val="24"/>
              </w:rPr>
            </w:pPr>
            <w:r>
              <w:rPr>
                <w:rFonts w:hint="eastAsia"/>
                <w:sz w:val="24"/>
                <w:szCs w:val="24"/>
              </w:rPr>
              <w:t>4</w:t>
            </w:r>
            <w:r>
              <w:rPr>
                <w:sz w:val="24"/>
                <w:szCs w:val="24"/>
              </w:rPr>
              <w:t>.2</w:t>
            </w:r>
          </w:p>
        </w:tc>
        <w:tc>
          <w:tcPr>
            <w:tcW w:w="1220" w:type="dxa"/>
            <w:vAlign w:val="center"/>
          </w:tcPr>
          <w:p>
            <w:pPr>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07" w:type="dxa"/>
            <w:vMerge w:val="continue"/>
            <w:vAlign w:val="center"/>
          </w:tcPr>
          <w:p/>
        </w:tc>
        <w:tc>
          <w:tcPr>
            <w:tcW w:w="2835" w:type="dxa"/>
            <w:vAlign w:val="center"/>
          </w:tcPr>
          <w:p>
            <w:pPr>
              <w:ind w:firstLine="0" w:firstLineChars="0"/>
              <w:rPr>
                <w:sz w:val="24"/>
                <w:szCs w:val="24"/>
              </w:rPr>
            </w:pPr>
            <w:r>
              <w:rPr>
                <w:rFonts w:hint="eastAsia"/>
                <w:sz w:val="24"/>
                <w:szCs w:val="24"/>
              </w:rPr>
              <w:t>1</w:t>
            </w:r>
            <w:r>
              <w:rPr>
                <w:sz w:val="24"/>
                <w:szCs w:val="24"/>
              </w:rPr>
              <w:t>3.</w:t>
            </w:r>
            <w:r>
              <w:rPr>
                <w:rFonts w:hint="eastAsia"/>
                <w:sz w:val="24"/>
                <w:szCs w:val="24"/>
              </w:rPr>
              <w:t>城镇居民人均可支配收入</w:t>
            </w:r>
          </w:p>
        </w:tc>
        <w:tc>
          <w:tcPr>
            <w:tcW w:w="924" w:type="dxa"/>
            <w:vAlign w:val="center"/>
          </w:tcPr>
          <w:p>
            <w:pPr>
              <w:ind w:firstLine="0" w:firstLineChars="0"/>
              <w:jc w:val="center"/>
              <w:rPr>
                <w:sz w:val="24"/>
                <w:szCs w:val="24"/>
              </w:rPr>
            </w:pPr>
            <w:r>
              <w:rPr>
                <w:rFonts w:hint="eastAsia"/>
                <w:sz w:val="24"/>
                <w:szCs w:val="24"/>
              </w:rPr>
              <w:t>元</w:t>
            </w:r>
          </w:p>
        </w:tc>
        <w:tc>
          <w:tcPr>
            <w:tcW w:w="1486" w:type="dxa"/>
            <w:vAlign w:val="center"/>
          </w:tcPr>
          <w:p>
            <w:pPr>
              <w:ind w:firstLine="240" w:firstLineChars="100"/>
              <w:rPr>
                <w:sz w:val="24"/>
                <w:szCs w:val="24"/>
              </w:rPr>
            </w:pPr>
            <w:r>
              <w:rPr>
                <w:sz w:val="24"/>
                <w:szCs w:val="24"/>
              </w:rPr>
              <w:t>36678</w:t>
            </w:r>
          </w:p>
        </w:tc>
        <w:tc>
          <w:tcPr>
            <w:tcW w:w="1134" w:type="dxa"/>
            <w:vAlign w:val="center"/>
          </w:tcPr>
          <w:p>
            <w:pPr>
              <w:ind w:firstLine="0" w:firstLineChars="0"/>
              <w:jc w:val="center"/>
              <w:rPr>
                <w:sz w:val="24"/>
                <w:szCs w:val="24"/>
              </w:rPr>
            </w:pPr>
            <w:r>
              <w:rPr>
                <w:rFonts w:hint="eastAsia"/>
                <w:sz w:val="24"/>
                <w:szCs w:val="24"/>
              </w:rPr>
              <w:t>5</w:t>
            </w:r>
            <w:r>
              <w:rPr>
                <w:sz w:val="24"/>
                <w:szCs w:val="24"/>
              </w:rPr>
              <w:t>7800</w:t>
            </w:r>
          </w:p>
        </w:tc>
        <w:tc>
          <w:tcPr>
            <w:tcW w:w="1220" w:type="dxa"/>
            <w:vAlign w:val="center"/>
          </w:tcPr>
          <w:p>
            <w:pPr>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07" w:type="dxa"/>
            <w:vMerge w:val="continue"/>
            <w:vAlign w:val="center"/>
          </w:tcPr>
          <w:p/>
        </w:tc>
        <w:tc>
          <w:tcPr>
            <w:tcW w:w="2835" w:type="dxa"/>
            <w:vAlign w:val="center"/>
          </w:tcPr>
          <w:p>
            <w:pPr>
              <w:ind w:firstLine="0" w:firstLineChars="0"/>
              <w:rPr>
                <w:sz w:val="24"/>
                <w:szCs w:val="24"/>
              </w:rPr>
            </w:pPr>
            <w:r>
              <w:rPr>
                <w:rFonts w:hint="eastAsia"/>
                <w:sz w:val="24"/>
                <w:szCs w:val="24"/>
              </w:rPr>
              <w:t>1</w:t>
            </w:r>
            <w:r>
              <w:rPr>
                <w:sz w:val="24"/>
                <w:szCs w:val="24"/>
              </w:rPr>
              <w:t>4.</w:t>
            </w:r>
            <w:r>
              <w:rPr>
                <w:rFonts w:hint="eastAsia"/>
                <w:sz w:val="24"/>
                <w:szCs w:val="24"/>
              </w:rPr>
              <w:t>农村居民人均可支配收入</w:t>
            </w:r>
          </w:p>
        </w:tc>
        <w:tc>
          <w:tcPr>
            <w:tcW w:w="924" w:type="dxa"/>
            <w:vAlign w:val="center"/>
          </w:tcPr>
          <w:p>
            <w:pPr>
              <w:ind w:firstLine="0" w:firstLineChars="0"/>
              <w:jc w:val="center"/>
              <w:rPr>
                <w:sz w:val="24"/>
                <w:szCs w:val="24"/>
              </w:rPr>
            </w:pPr>
            <w:r>
              <w:rPr>
                <w:rFonts w:hint="eastAsia"/>
                <w:sz w:val="24"/>
                <w:szCs w:val="24"/>
              </w:rPr>
              <w:t>元</w:t>
            </w:r>
          </w:p>
        </w:tc>
        <w:tc>
          <w:tcPr>
            <w:tcW w:w="1486" w:type="dxa"/>
            <w:vAlign w:val="center"/>
          </w:tcPr>
          <w:p>
            <w:pPr>
              <w:ind w:firstLine="0" w:firstLineChars="0"/>
              <w:jc w:val="center"/>
              <w:rPr>
                <w:sz w:val="24"/>
                <w:szCs w:val="24"/>
              </w:rPr>
            </w:pPr>
            <w:r>
              <w:rPr>
                <w:sz w:val="24"/>
                <w:szCs w:val="24"/>
              </w:rPr>
              <w:t>15790</w:t>
            </w:r>
          </w:p>
        </w:tc>
        <w:tc>
          <w:tcPr>
            <w:tcW w:w="1134" w:type="dxa"/>
            <w:vAlign w:val="center"/>
          </w:tcPr>
          <w:p>
            <w:pPr>
              <w:ind w:firstLine="0" w:firstLineChars="0"/>
              <w:jc w:val="center"/>
              <w:rPr>
                <w:sz w:val="24"/>
                <w:szCs w:val="24"/>
              </w:rPr>
            </w:pPr>
            <w:r>
              <w:rPr>
                <w:rFonts w:hint="eastAsia"/>
                <w:sz w:val="24"/>
                <w:szCs w:val="24"/>
              </w:rPr>
              <w:t>2</w:t>
            </w:r>
            <w:r>
              <w:rPr>
                <w:sz w:val="24"/>
                <w:szCs w:val="24"/>
              </w:rPr>
              <w:t>5000</w:t>
            </w:r>
          </w:p>
        </w:tc>
        <w:tc>
          <w:tcPr>
            <w:tcW w:w="1220" w:type="dxa"/>
            <w:vAlign w:val="center"/>
          </w:tcPr>
          <w:p>
            <w:pPr>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07" w:type="dxa"/>
            <w:vMerge w:val="continue"/>
            <w:vAlign w:val="center"/>
          </w:tcPr>
          <w:p/>
        </w:tc>
        <w:tc>
          <w:tcPr>
            <w:tcW w:w="2835" w:type="dxa"/>
            <w:vAlign w:val="center"/>
          </w:tcPr>
          <w:p>
            <w:pPr>
              <w:ind w:firstLine="0" w:firstLineChars="0"/>
              <w:rPr>
                <w:sz w:val="24"/>
                <w:szCs w:val="24"/>
              </w:rPr>
            </w:pPr>
            <w:r>
              <w:rPr>
                <w:rFonts w:hint="eastAsia"/>
                <w:sz w:val="24"/>
                <w:szCs w:val="24"/>
              </w:rPr>
              <w:t>1</w:t>
            </w:r>
            <w:r>
              <w:rPr>
                <w:sz w:val="24"/>
                <w:szCs w:val="24"/>
              </w:rPr>
              <w:t>5.</w:t>
            </w:r>
            <w:r>
              <w:rPr>
                <w:rFonts w:hint="eastAsia"/>
                <w:sz w:val="24"/>
                <w:szCs w:val="24"/>
              </w:rPr>
              <w:t>农村贫困发生率</w:t>
            </w:r>
          </w:p>
        </w:tc>
        <w:tc>
          <w:tcPr>
            <w:tcW w:w="924" w:type="dxa"/>
            <w:vAlign w:val="center"/>
          </w:tcPr>
          <w:p>
            <w:pPr>
              <w:ind w:firstLine="0" w:firstLineChars="0"/>
              <w:jc w:val="center"/>
              <w:rPr>
                <w:sz w:val="24"/>
                <w:szCs w:val="24"/>
              </w:rPr>
            </w:pPr>
            <w:r>
              <w:rPr>
                <w:rFonts w:hint="eastAsia"/>
                <w:sz w:val="24"/>
                <w:szCs w:val="24"/>
              </w:rPr>
              <w:t>%</w:t>
            </w:r>
          </w:p>
        </w:tc>
        <w:tc>
          <w:tcPr>
            <w:tcW w:w="1486" w:type="dxa"/>
            <w:vAlign w:val="center"/>
          </w:tcPr>
          <w:p>
            <w:pPr>
              <w:ind w:firstLine="0" w:firstLineChars="0"/>
              <w:jc w:val="center"/>
              <w:rPr>
                <w:sz w:val="24"/>
                <w:szCs w:val="24"/>
              </w:rPr>
            </w:pPr>
            <w:r>
              <w:rPr>
                <w:rFonts w:hint="eastAsia"/>
                <w:sz w:val="24"/>
                <w:szCs w:val="24"/>
              </w:rPr>
              <w:t>0</w:t>
            </w:r>
          </w:p>
        </w:tc>
        <w:tc>
          <w:tcPr>
            <w:tcW w:w="1134" w:type="dxa"/>
            <w:vAlign w:val="center"/>
          </w:tcPr>
          <w:p>
            <w:pPr>
              <w:ind w:firstLine="0" w:firstLineChars="0"/>
              <w:jc w:val="center"/>
              <w:rPr>
                <w:sz w:val="24"/>
                <w:szCs w:val="24"/>
              </w:rPr>
            </w:pPr>
            <w:r>
              <w:rPr>
                <w:rFonts w:hint="eastAsia"/>
                <w:sz w:val="24"/>
                <w:szCs w:val="24"/>
              </w:rPr>
              <w:t>0</w:t>
            </w:r>
          </w:p>
        </w:tc>
        <w:tc>
          <w:tcPr>
            <w:tcW w:w="1220" w:type="dxa"/>
            <w:vAlign w:val="center"/>
          </w:tcPr>
          <w:p>
            <w:pPr>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07" w:type="dxa"/>
            <w:vMerge w:val="continue"/>
            <w:vAlign w:val="center"/>
          </w:tcPr>
          <w:p/>
        </w:tc>
        <w:tc>
          <w:tcPr>
            <w:tcW w:w="2835" w:type="dxa"/>
            <w:vAlign w:val="center"/>
          </w:tcPr>
          <w:p>
            <w:pPr>
              <w:ind w:firstLine="0" w:firstLineChars="0"/>
              <w:rPr>
                <w:sz w:val="24"/>
                <w:szCs w:val="24"/>
              </w:rPr>
            </w:pPr>
            <w:r>
              <w:rPr>
                <w:sz w:val="24"/>
                <w:szCs w:val="24"/>
              </w:rPr>
              <w:t>16.</w:t>
            </w:r>
            <w:r>
              <w:rPr>
                <w:rFonts w:hint="eastAsia"/>
                <w:sz w:val="24"/>
                <w:szCs w:val="24"/>
              </w:rPr>
              <w:t>农村贫困人口数量</w:t>
            </w:r>
          </w:p>
        </w:tc>
        <w:tc>
          <w:tcPr>
            <w:tcW w:w="924" w:type="dxa"/>
            <w:vAlign w:val="center"/>
          </w:tcPr>
          <w:p>
            <w:pPr>
              <w:ind w:firstLine="0" w:firstLineChars="0"/>
              <w:jc w:val="center"/>
              <w:rPr>
                <w:sz w:val="24"/>
                <w:szCs w:val="24"/>
              </w:rPr>
            </w:pPr>
            <w:r>
              <w:rPr>
                <w:rFonts w:hint="eastAsia"/>
                <w:sz w:val="24"/>
                <w:szCs w:val="24"/>
              </w:rPr>
              <w:t>人</w:t>
            </w:r>
          </w:p>
        </w:tc>
        <w:tc>
          <w:tcPr>
            <w:tcW w:w="1486" w:type="dxa"/>
            <w:vAlign w:val="center"/>
          </w:tcPr>
          <w:p>
            <w:pPr>
              <w:ind w:firstLine="0" w:firstLineChars="0"/>
              <w:jc w:val="center"/>
              <w:rPr>
                <w:sz w:val="24"/>
                <w:szCs w:val="24"/>
              </w:rPr>
            </w:pPr>
            <w:r>
              <w:rPr>
                <w:rFonts w:hint="eastAsia"/>
                <w:sz w:val="24"/>
                <w:szCs w:val="24"/>
              </w:rPr>
              <w:t>0</w:t>
            </w:r>
          </w:p>
          <w:p>
            <w:pPr>
              <w:pStyle w:val="2"/>
            </w:pPr>
          </w:p>
        </w:tc>
        <w:tc>
          <w:tcPr>
            <w:tcW w:w="1134" w:type="dxa"/>
            <w:vAlign w:val="center"/>
          </w:tcPr>
          <w:p>
            <w:pPr>
              <w:ind w:firstLine="0" w:firstLineChars="0"/>
              <w:jc w:val="center"/>
              <w:rPr>
                <w:sz w:val="24"/>
                <w:szCs w:val="24"/>
              </w:rPr>
            </w:pPr>
            <w:r>
              <w:rPr>
                <w:rFonts w:hint="eastAsia"/>
                <w:sz w:val="24"/>
                <w:szCs w:val="24"/>
              </w:rPr>
              <w:t>0</w:t>
            </w:r>
          </w:p>
        </w:tc>
        <w:tc>
          <w:tcPr>
            <w:tcW w:w="1220" w:type="dxa"/>
            <w:vAlign w:val="center"/>
          </w:tcPr>
          <w:p>
            <w:pPr>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07" w:type="dxa"/>
            <w:vMerge w:val="continue"/>
            <w:vAlign w:val="center"/>
          </w:tcPr>
          <w:p/>
        </w:tc>
        <w:tc>
          <w:tcPr>
            <w:tcW w:w="2835" w:type="dxa"/>
            <w:vAlign w:val="center"/>
          </w:tcPr>
          <w:p>
            <w:pPr>
              <w:ind w:firstLine="0" w:firstLineChars="0"/>
              <w:rPr>
                <w:sz w:val="24"/>
                <w:szCs w:val="24"/>
              </w:rPr>
            </w:pPr>
            <w:r>
              <w:rPr>
                <w:rFonts w:hint="eastAsia"/>
                <w:sz w:val="24"/>
                <w:szCs w:val="24"/>
              </w:rPr>
              <w:t>1</w:t>
            </w:r>
            <w:r>
              <w:rPr>
                <w:sz w:val="24"/>
                <w:szCs w:val="24"/>
              </w:rPr>
              <w:t>7.</w:t>
            </w:r>
            <w:r>
              <w:rPr>
                <w:rFonts w:hint="eastAsia"/>
                <w:sz w:val="24"/>
                <w:szCs w:val="24"/>
              </w:rPr>
              <w:t>居民平均预期寿命</w:t>
            </w:r>
          </w:p>
        </w:tc>
        <w:tc>
          <w:tcPr>
            <w:tcW w:w="924" w:type="dxa"/>
            <w:vAlign w:val="center"/>
          </w:tcPr>
          <w:p>
            <w:pPr>
              <w:jc w:val="center"/>
              <w:rPr>
                <w:sz w:val="24"/>
                <w:szCs w:val="24"/>
              </w:rPr>
            </w:pPr>
            <w:r>
              <w:rPr>
                <w:rFonts w:hint="eastAsia"/>
                <w:sz w:val="24"/>
                <w:szCs w:val="24"/>
              </w:rPr>
              <w:t>岁</w:t>
            </w:r>
          </w:p>
        </w:tc>
        <w:tc>
          <w:tcPr>
            <w:tcW w:w="1486" w:type="dxa"/>
            <w:vAlign w:val="center"/>
          </w:tcPr>
          <w:p>
            <w:pPr>
              <w:pStyle w:val="2"/>
              <w:rPr>
                <w:sz w:val="24"/>
                <w:szCs w:val="24"/>
              </w:rPr>
            </w:pPr>
            <w:r>
              <w:rPr>
                <w:rFonts w:hint="eastAsia"/>
                <w:sz w:val="24"/>
                <w:szCs w:val="24"/>
              </w:rPr>
              <w:t>7</w:t>
            </w:r>
            <w:r>
              <w:rPr>
                <w:sz w:val="24"/>
                <w:szCs w:val="24"/>
              </w:rPr>
              <w:t>3</w:t>
            </w:r>
          </w:p>
        </w:tc>
        <w:tc>
          <w:tcPr>
            <w:tcW w:w="1134" w:type="dxa"/>
            <w:vAlign w:val="center"/>
          </w:tcPr>
          <w:p>
            <w:pPr>
              <w:jc w:val="center"/>
              <w:rPr>
                <w:sz w:val="24"/>
                <w:szCs w:val="24"/>
              </w:rPr>
            </w:pPr>
            <w:r>
              <w:rPr>
                <w:rFonts w:hint="eastAsia"/>
                <w:sz w:val="24"/>
                <w:szCs w:val="24"/>
              </w:rPr>
              <w:t>7</w:t>
            </w:r>
            <w:r>
              <w:rPr>
                <w:sz w:val="24"/>
                <w:szCs w:val="24"/>
              </w:rPr>
              <w:t>6</w:t>
            </w:r>
          </w:p>
        </w:tc>
        <w:tc>
          <w:tcPr>
            <w:tcW w:w="1220" w:type="dxa"/>
            <w:vAlign w:val="center"/>
          </w:tcPr>
          <w:p>
            <w:pPr>
              <w:ind w:firstLine="0" w:firstLineChars="0"/>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07" w:type="dxa"/>
            <w:vMerge w:val="continue"/>
            <w:vAlign w:val="center"/>
          </w:tcPr>
          <w:p/>
        </w:tc>
        <w:tc>
          <w:tcPr>
            <w:tcW w:w="2835" w:type="dxa"/>
            <w:vAlign w:val="center"/>
          </w:tcPr>
          <w:p>
            <w:pPr>
              <w:ind w:firstLine="0" w:firstLineChars="0"/>
              <w:rPr>
                <w:sz w:val="24"/>
                <w:szCs w:val="24"/>
              </w:rPr>
            </w:pPr>
            <w:r>
              <w:rPr>
                <w:rFonts w:hint="eastAsia"/>
                <w:sz w:val="24"/>
                <w:szCs w:val="24"/>
              </w:rPr>
              <w:t>1</w:t>
            </w:r>
            <w:r>
              <w:rPr>
                <w:sz w:val="24"/>
                <w:szCs w:val="24"/>
              </w:rPr>
              <w:t>8.</w:t>
            </w:r>
            <w:r>
              <w:rPr>
                <w:rFonts w:hint="eastAsia"/>
                <w:sz w:val="24"/>
                <w:szCs w:val="24"/>
              </w:rPr>
              <w:t>新增劳动力人口平均受教育年限</w:t>
            </w:r>
          </w:p>
        </w:tc>
        <w:tc>
          <w:tcPr>
            <w:tcW w:w="924" w:type="dxa"/>
            <w:vAlign w:val="center"/>
          </w:tcPr>
          <w:p>
            <w:pPr>
              <w:jc w:val="center"/>
              <w:rPr>
                <w:sz w:val="24"/>
                <w:szCs w:val="24"/>
              </w:rPr>
            </w:pPr>
            <w:r>
              <w:rPr>
                <w:rFonts w:hint="eastAsia"/>
                <w:sz w:val="24"/>
                <w:szCs w:val="24"/>
              </w:rPr>
              <w:t>年</w:t>
            </w:r>
          </w:p>
        </w:tc>
        <w:tc>
          <w:tcPr>
            <w:tcW w:w="1486" w:type="dxa"/>
            <w:vAlign w:val="center"/>
          </w:tcPr>
          <w:p>
            <w:pPr>
              <w:pStyle w:val="2"/>
              <w:rPr>
                <w:sz w:val="24"/>
                <w:szCs w:val="24"/>
              </w:rPr>
            </w:pPr>
            <w:r>
              <w:rPr>
                <w:rFonts w:hint="eastAsia"/>
                <w:sz w:val="24"/>
                <w:szCs w:val="24"/>
              </w:rPr>
              <w:t>1</w:t>
            </w:r>
            <w:r>
              <w:rPr>
                <w:sz w:val="24"/>
                <w:szCs w:val="24"/>
              </w:rPr>
              <w:t>3</w:t>
            </w:r>
          </w:p>
        </w:tc>
        <w:tc>
          <w:tcPr>
            <w:tcW w:w="1134" w:type="dxa"/>
            <w:vAlign w:val="center"/>
          </w:tcPr>
          <w:p>
            <w:pPr>
              <w:jc w:val="center"/>
              <w:rPr>
                <w:sz w:val="24"/>
                <w:szCs w:val="24"/>
              </w:rPr>
            </w:pPr>
            <w:r>
              <w:rPr>
                <w:rFonts w:hint="eastAsia"/>
                <w:sz w:val="24"/>
                <w:szCs w:val="24"/>
              </w:rPr>
              <w:t>1</w:t>
            </w:r>
            <w:r>
              <w:rPr>
                <w:sz w:val="24"/>
                <w:szCs w:val="24"/>
              </w:rPr>
              <w:t>5</w:t>
            </w:r>
          </w:p>
        </w:tc>
        <w:tc>
          <w:tcPr>
            <w:tcW w:w="1220" w:type="dxa"/>
            <w:vAlign w:val="center"/>
          </w:tcPr>
          <w:p>
            <w:pPr>
              <w:ind w:firstLine="0" w:firstLineChars="0"/>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07" w:type="dxa"/>
            <w:vMerge w:val="continue"/>
            <w:vAlign w:val="center"/>
          </w:tcPr>
          <w:p/>
        </w:tc>
        <w:tc>
          <w:tcPr>
            <w:tcW w:w="2835" w:type="dxa"/>
            <w:vAlign w:val="center"/>
          </w:tcPr>
          <w:p>
            <w:pPr>
              <w:ind w:firstLine="0" w:firstLineChars="0"/>
              <w:rPr>
                <w:sz w:val="24"/>
                <w:szCs w:val="24"/>
              </w:rPr>
            </w:pPr>
            <w:r>
              <w:rPr>
                <w:rFonts w:hint="eastAsia"/>
                <w:sz w:val="24"/>
                <w:szCs w:val="24"/>
              </w:rPr>
              <w:t>1</w:t>
            </w:r>
            <w:r>
              <w:rPr>
                <w:sz w:val="24"/>
                <w:szCs w:val="24"/>
              </w:rPr>
              <w:t>9.</w:t>
            </w:r>
            <w:r>
              <w:rPr>
                <w:rFonts w:hint="eastAsia"/>
                <w:sz w:val="24"/>
                <w:szCs w:val="24"/>
              </w:rPr>
              <w:t xml:space="preserve"> 互联网普及率</w:t>
            </w:r>
          </w:p>
        </w:tc>
        <w:tc>
          <w:tcPr>
            <w:tcW w:w="924" w:type="dxa"/>
            <w:vAlign w:val="center"/>
          </w:tcPr>
          <w:p>
            <w:pPr>
              <w:jc w:val="center"/>
              <w:rPr>
                <w:sz w:val="24"/>
                <w:szCs w:val="24"/>
              </w:rPr>
            </w:pPr>
            <w:r>
              <w:rPr>
                <w:rFonts w:hint="eastAsia"/>
                <w:sz w:val="24"/>
                <w:szCs w:val="24"/>
              </w:rPr>
              <w:t>%</w:t>
            </w:r>
          </w:p>
        </w:tc>
        <w:tc>
          <w:tcPr>
            <w:tcW w:w="1486" w:type="dxa"/>
            <w:vAlign w:val="center"/>
          </w:tcPr>
          <w:p>
            <w:pPr>
              <w:pStyle w:val="2"/>
              <w:rPr>
                <w:sz w:val="24"/>
                <w:szCs w:val="24"/>
              </w:rPr>
            </w:pPr>
            <w:r>
              <w:rPr>
                <w:rFonts w:hint="eastAsia"/>
                <w:sz w:val="24"/>
                <w:szCs w:val="24"/>
              </w:rPr>
              <w:t>9</w:t>
            </w:r>
            <w:r>
              <w:rPr>
                <w:sz w:val="24"/>
                <w:szCs w:val="24"/>
              </w:rPr>
              <w:t>5</w:t>
            </w:r>
          </w:p>
        </w:tc>
        <w:tc>
          <w:tcPr>
            <w:tcW w:w="1134" w:type="dxa"/>
            <w:vAlign w:val="center"/>
          </w:tcPr>
          <w:p>
            <w:pPr>
              <w:jc w:val="center"/>
              <w:rPr>
                <w:sz w:val="24"/>
                <w:szCs w:val="24"/>
              </w:rPr>
            </w:pPr>
            <w:r>
              <w:rPr>
                <w:sz w:val="24"/>
                <w:szCs w:val="24"/>
              </w:rPr>
              <w:t>98</w:t>
            </w:r>
          </w:p>
        </w:tc>
        <w:tc>
          <w:tcPr>
            <w:tcW w:w="1220" w:type="dxa"/>
            <w:vAlign w:val="center"/>
          </w:tcPr>
          <w:p>
            <w:pPr>
              <w:ind w:firstLine="0" w:firstLineChars="0"/>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07" w:type="dxa"/>
            <w:vMerge w:val="continue"/>
            <w:vAlign w:val="center"/>
          </w:tcPr>
          <w:p/>
        </w:tc>
        <w:tc>
          <w:tcPr>
            <w:tcW w:w="2835" w:type="dxa"/>
            <w:vAlign w:val="center"/>
          </w:tcPr>
          <w:p>
            <w:pPr>
              <w:ind w:firstLine="0" w:firstLineChars="0"/>
              <w:rPr>
                <w:sz w:val="24"/>
                <w:szCs w:val="24"/>
              </w:rPr>
            </w:pPr>
            <w:r>
              <w:rPr>
                <w:rFonts w:hint="eastAsia"/>
                <w:sz w:val="24"/>
                <w:szCs w:val="24"/>
              </w:rPr>
              <w:t>2</w:t>
            </w:r>
            <w:r>
              <w:rPr>
                <w:sz w:val="24"/>
                <w:szCs w:val="24"/>
              </w:rPr>
              <w:t>0.</w:t>
            </w:r>
            <w:r>
              <w:rPr>
                <w:rFonts w:hint="eastAsia"/>
                <w:sz w:val="24"/>
                <w:szCs w:val="24"/>
              </w:rPr>
              <w:t>农村饮水安全达标率</w:t>
            </w:r>
          </w:p>
        </w:tc>
        <w:tc>
          <w:tcPr>
            <w:tcW w:w="924" w:type="dxa"/>
            <w:vAlign w:val="center"/>
          </w:tcPr>
          <w:p>
            <w:pPr>
              <w:jc w:val="center"/>
              <w:rPr>
                <w:sz w:val="24"/>
                <w:szCs w:val="24"/>
              </w:rPr>
            </w:pPr>
            <w:r>
              <w:rPr>
                <w:rFonts w:hint="eastAsia"/>
                <w:sz w:val="24"/>
                <w:szCs w:val="24"/>
              </w:rPr>
              <w:t>%</w:t>
            </w:r>
          </w:p>
        </w:tc>
        <w:tc>
          <w:tcPr>
            <w:tcW w:w="1486" w:type="dxa"/>
            <w:vAlign w:val="center"/>
          </w:tcPr>
          <w:p>
            <w:pPr>
              <w:pStyle w:val="2"/>
              <w:rPr>
                <w:sz w:val="24"/>
                <w:szCs w:val="24"/>
              </w:rPr>
            </w:pPr>
            <w:r>
              <w:rPr>
                <w:rFonts w:hint="eastAsia"/>
                <w:sz w:val="24"/>
                <w:szCs w:val="24"/>
              </w:rPr>
              <w:t>9</w:t>
            </w:r>
            <w:r>
              <w:rPr>
                <w:sz w:val="24"/>
                <w:szCs w:val="24"/>
              </w:rPr>
              <w:t>5</w:t>
            </w:r>
          </w:p>
        </w:tc>
        <w:tc>
          <w:tcPr>
            <w:tcW w:w="1134" w:type="dxa"/>
            <w:vAlign w:val="center"/>
          </w:tcPr>
          <w:p>
            <w:pPr>
              <w:jc w:val="center"/>
              <w:rPr>
                <w:sz w:val="24"/>
                <w:szCs w:val="24"/>
              </w:rPr>
            </w:pPr>
            <w:r>
              <w:rPr>
                <w:rFonts w:hint="eastAsia"/>
                <w:sz w:val="24"/>
                <w:szCs w:val="24"/>
              </w:rPr>
              <w:t>9</w:t>
            </w:r>
            <w:r>
              <w:rPr>
                <w:sz w:val="24"/>
                <w:szCs w:val="24"/>
              </w:rPr>
              <w:t>9</w:t>
            </w:r>
          </w:p>
        </w:tc>
        <w:tc>
          <w:tcPr>
            <w:tcW w:w="1220" w:type="dxa"/>
            <w:vAlign w:val="center"/>
          </w:tcPr>
          <w:p>
            <w:pPr>
              <w:ind w:firstLine="0" w:firstLineChars="0"/>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307" w:type="dxa"/>
            <w:vMerge w:val="continue"/>
            <w:vAlign w:val="center"/>
          </w:tcPr>
          <w:p/>
        </w:tc>
        <w:tc>
          <w:tcPr>
            <w:tcW w:w="2835" w:type="dxa"/>
            <w:vAlign w:val="center"/>
          </w:tcPr>
          <w:p>
            <w:pPr>
              <w:ind w:firstLine="0" w:firstLineChars="0"/>
              <w:rPr>
                <w:sz w:val="24"/>
                <w:szCs w:val="24"/>
              </w:rPr>
            </w:pPr>
            <w:r>
              <w:rPr>
                <w:rFonts w:hint="eastAsia"/>
                <w:sz w:val="24"/>
                <w:szCs w:val="24"/>
              </w:rPr>
              <w:t>2</w:t>
            </w:r>
            <w:r>
              <w:rPr>
                <w:sz w:val="24"/>
                <w:szCs w:val="24"/>
              </w:rPr>
              <w:t>1.</w:t>
            </w:r>
            <w:r>
              <w:rPr>
                <w:rFonts w:hint="eastAsia"/>
                <w:sz w:val="24"/>
                <w:szCs w:val="24"/>
              </w:rPr>
              <w:t>城镇化率</w:t>
            </w:r>
          </w:p>
        </w:tc>
        <w:tc>
          <w:tcPr>
            <w:tcW w:w="924" w:type="dxa"/>
            <w:vAlign w:val="center"/>
          </w:tcPr>
          <w:p>
            <w:pPr>
              <w:jc w:val="center"/>
              <w:rPr>
                <w:sz w:val="24"/>
                <w:szCs w:val="24"/>
              </w:rPr>
            </w:pPr>
            <w:r>
              <w:rPr>
                <w:rFonts w:hint="eastAsia"/>
                <w:sz w:val="24"/>
                <w:szCs w:val="24"/>
              </w:rPr>
              <w:t>%</w:t>
            </w:r>
          </w:p>
        </w:tc>
        <w:tc>
          <w:tcPr>
            <w:tcW w:w="1486" w:type="dxa"/>
            <w:vAlign w:val="center"/>
          </w:tcPr>
          <w:p>
            <w:pPr>
              <w:pStyle w:val="2"/>
              <w:rPr>
                <w:sz w:val="24"/>
                <w:szCs w:val="24"/>
              </w:rPr>
            </w:pPr>
            <w:r>
              <w:rPr>
                <w:rFonts w:hint="eastAsia"/>
                <w:sz w:val="24"/>
                <w:szCs w:val="24"/>
              </w:rPr>
              <w:t>3</w:t>
            </w:r>
            <w:r>
              <w:rPr>
                <w:sz w:val="24"/>
                <w:szCs w:val="24"/>
              </w:rPr>
              <w:t>5.08</w:t>
            </w:r>
          </w:p>
        </w:tc>
        <w:tc>
          <w:tcPr>
            <w:tcW w:w="1134" w:type="dxa"/>
            <w:vAlign w:val="center"/>
          </w:tcPr>
          <w:p>
            <w:pPr>
              <w:jc w:val="center"/>
              <w:rPr>
                <w:sz w:val="24"/>
                <w:szCs w:val="24"/>
              </w:rPr>
            </w:pPr>
            <w:r>
              <w:rPr>
                <w:rFonts w:hint="eastAsia"/>
                <w:sz w:val="24"/>
                <w:szCs w:val="24"/>
              </w:rPr>
              <w:t>5</w:t>
            </w:r>
            <w:r>
              <w:rPr>
                <w:sz w:val="24"/>
                <w:szCs w:val="24"/>
              </w:rPr>
              <w:t>0</w:t>
            </w:r>
          </w:p>
        </w:tc>
        <w:tc>
          <w:tcPr>
            <w:tcW w:w="1220" w:type="dxa"/>
            <w:vAlign w:val="center"/>
          </w:tcPr>
          <w:p>
            <w:pPr>
              <w:ind w:firstLine="0" w:firstLineChars="0"/>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307" w:type="dxa"/>
            <w:vMerge w:val="restart"/>
            <w:vAlign w:val="center"/>
          </w:tcPr>
          <w:p>
            <w:pPr>
              <w:ind w:firstLine="0" w:firstLineChars="0"/>
              <w:rPr>
                <w:sz w:val="24"/>
                <w:szCs w:val="24"/>
              </w:rPr>
            </w:pPr>
            <w:r>
              <w:rPr>
                <w:rFonts w:hint="eastAsia"/>
                <w:sz w:val="24"/>
                <w:szCs w:val="24"/>
              </w:rPr>
              <w:t>安全保障</w:t>
            </w:r>
          </w:p>
        </w:tc>
        <w:tc>
          <w:tcPr>
            <w:tcW w:w="2835" w:type="dxa"/>
            <w:vAlign w:val="center"/>
          </w:tcPr>
          <w:p>
            <w:pPr>
              <w:pStyle w:val="2"/>
              <w:ind w:firstLine="0" w:firstLineChars="0"/>
              <w:rPr>
                <w:sz w:val="24"/>
                <w:szCs w:val="24"/>
              </w:rPr>
            </w:pPr>
            <w:r>
              <w:rPr>
                <w:rFonts w:hint="eastAsia"/>
                <w:sz w:val="24"/>
                <w:szCs w:val="24"/>
              </w:rPr>
              <w:t>2</w:t>
            </w:r>
            <w:r>
              <w:rPr>
                <w:sz w:val="24"/>
                <w:szCs w:val="24"/>
              </w:rPr>
              <w:t>2.</w:t>
            </w:r>
            <w:r>
              <w:rPr>
                <w:rFonts w:hint="eastAsia"/>
                <w:sz w:val="24"/>
                <w:szCs w:val="24"/>
              </w:rPr>
              <w:t>社会安全指数</w:t>
            </w:r>
          </w:p>
        </w:tc>
        <w:tc>
          <w:tcPr>
            <w:tcW w:w="924" w:type="dxa"/>
            <w:vAlign w:val="center"/>
          </w:tcPr>
          <w:p>
            <w:pPr>
              <w:jc w:val="center"/>
              <w:rPr>
                <w:sz w:val="24"/>
                <w:szCs w:val="24"/>
              </w:rPr>
            </w:pPr>
            <w:r>
              <w:rPr>
                <w:rFonts w:hint="eastAsia"/>
                <w:sz w:val="24"/>
                <w:szCs w:val="24"/>
              </w:rPr>
              <w:t>%</w:t>
            </w:r>
          </w:p>
        </w:tc>
        <w:tc>
          <w:tcPr>
            <w:tcW w:w="1486" w:type="dxa"/>
            <w:vAlign w:val="center"/>
          </w:tcPr>
          <w:p>
            <w:pPr>
              <w:pStyle w:val="2"/>
              <w:ind w:firstLine="0" w:firstLineChars="0"/>
              <w:jc w:val="center"/>
              <w:rPr>
                <w:sz w:val="24"/>
                <w:szCs w:val="24"/>
              </w:rPr>
            </w:pPr>
          </w:p>
          <w:p>
            <w:pPr>
              <w:pStyle w:val="2"/>
              <w:ind w:firstLine="0" w:firstLineChars="0"/>
              <w:jc w:val="center"/>
            </w:pPr>
            <w:r>
              <w:rPr>
                <w:sz w:val="24"/>
                <w:szCs w:val="24"/>
              </w:rPr>
              <w:t>100</w:t>
            </w:r>
          </w:p>
          <w:p>
            <w:pPr>
              <w:pStyle w:val="3"/>
              <w:rPr>
                <w:color w:val="auto"/>
              </w:rPr>
            </w:pPr>
          </w:p>
        </w:tc>
        <w:tc>
          <w:tcPr>
            <w:tcW w:w="1134" w:type="dxa"/>
            <w:vAlign w:val="center"/>
          </w:tcPr>
          <w:p>
            <w:pPr>
              <w:rPr>
                <w:sz w:val="24"/>
                <w:szCs w:val="24"/>
              </w:rPr>
            </w:pPr>
            <w:r>
              <w:rPr>
                <w:rFonts w:hint="eastAsia"/>
                <w:sz w:val="24"/>
                <w:szCs w:val="24"/>
              </w:rPr>
              <w:t>1</w:t>
            </w:r>
            <w:r>
              <w:rPr>
                <w:sz w:val="24"/>
                <w:szCs w:val="24"/>
              </w:rPr>
              <w:t>00</w:t>
            </w:r>
          </w:p>
        </w:tc>
        <w:tc>
          <w:tcPr>
            <w:tcW w:w="1220" w:type="dxa"/>
            <w:vAlign w:val="center"/>
          </w:tcPr>
          <w:p>
            <w:pPr>
              <w:ind w:firstLine="0" w:firstLineChars="0"/>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07" w:type="dxa"/>
            <w:vMerge w:val="continue"/>
            <w:vAlign w:val="center"/>
          </w:tcPr>
          <w:p/>
        </w:tc>
        <w:tc>
          <w:tcPr>
            <w:tcW w:w="2835" w:type="dxa"/>
            <w:vAlign w:val="center"/>
          </w:tcPr>
          <w:p>
            <w:pPr>
              <w:pStyle w:val="2"/>
              <w:ind w:firstLine="0" w:firstLineChars="0"/>
              <w:rPr>
                <w:sz w:val="24"/>
                <w:szCs w:val="24"/>
              </w:rPr>
            </w:pPr>
            <w:r>
              <w:rPr>
                <w:rFonts w:hint="eastAsia"/>
                <w:sz w:val="24"/>
                <w:szCs w:val="24"/>
              </w:rPr>
              <w:t>2</w:t>
            </w:r>
            <w:r>
              <w:rPr>
                <w:sz w:val="24"/>
                <w:szCs w:val="24"/>
              </w:rPr>
              <w:t>3.</w:t>
            </w:r>
            <w:r>
              <w:rPr>
                <w:rFonts w:hint="eastAsia"/>
                <w:sz w:val="24"/>
                <w:szCs w:val="24"/>
              </w:rPr>
              <w:t>基层民主参选率</w:t>
            </w:r>
          </w:p>
        </w:tc>
        <w:tc>
          <w:tcPr>
            <w:tcW w:w="924" w:type="dxa"/>
            <w:vAlign w:val="center"/>
          </w:tcPr>
          <w:p>
            <w:pPr>
              <w:jc w:val="center"/>
              <w:rPr>
                <w:sz w:val="24"/>
                <w:szCs w:val="24"/>
              </w:rPr>
            </w:pPr>
            <w:r>
              <w:rPr>
                <w:rFonts w:hint="eastAsia"/>
                <w:sz w:val="24"/>
                <w:szCs w:val="24"/>
              </w:rPr>
              <w:t>%</w:t>
            </w:r>
          </w:p>
        </w:tc>
        <w:tc>
          <w:tcPr>
            <w:tcW w:w="1486" w:type="dxa"/>
            <w:vAlign w:val="center"/>
          </w:tcPr>
          <w:p>
            <w:pPr>
              <w:rPr>
                <w:sz w:val="24"/>
                <w:szCs w:val="24"/>
              </w:rPr>
            </w:pPr>
            <w:r>
              <w:rPr>
                <w:rFonts w:hint="eastAsia"/>
                <w:sz w:val="24"/>
                <w:szCs w:val="24"/>
              </w:rPr>
              <w:t>1</w:t>
            </w:r>
            <w:r>
              <w:rPr>
                <w:sz w:val="24"/>
                <w:szCs w:val="24"/>
              </w:rPr>
              <w:t>00</w:t>
            </w:r>
          </w:p>
        </w:tc>
        <w:tc>
          <w:tcPr>
            <w:tcW w:w="1134" w:type="dxa"/>
            <w:vAlign w:val="center"/>
          </w:tcPr>
          <w:p>
            <w:pPr>
              <w:jc w:val="center"/>
              <w:rPr>
                <w:sz w:val="24"/>
                <w:szCs w:val="24"/>
              </w:rPr>
            </w:pPr>
            <w:r>
              <w:rPr>
                <w:rFonts w:hint="eastAsia"/>
                <w:sz w:val="24"/>
                <w:szCs w:val="24"/>
              </w:rPr>
              <w:t>1</w:t>
            </w:r>
            <w:r>
              <w:rPr>
                <w:sz w:val="24"/>
                <w:szCs w:val="24"/>
              </w:rPr>
              <w:t>00</w:t>
            </w:r>
          </w:p>
        </w:tc>
        <w:tc>
          <w:tcPr>
            <w:tcW w:w="1220" w:type="dxa"/>
            <w:vAlign w:val="center"/>
          </w:tcPr>
          <w:p>
            <w:pPr>
              <w:ind w:firstLine="0" w:firstLineChars="0"/>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07" w:type="dxa"/>
            <w:vMerge w:val="continue"/>
            <w:vAlign w:val="center"/>
          </w:tcPr>
          <w:p/>
        </w:tc>
        <w:tc>
          <w:tcPr>
            <w:tcW w:w="2835" w:type="dxa"/>
            <w:vAlign w:val="center"/>
          </w:tcPr>
          <w:p>
            <w:pPr>
              <w:pStyle w:val="2"/>
              <w:ind w:firstLine="0" w:firstLineChars="0"/>
              <w:rPr>
                <w:sz w:val="24"/>
                <w:szCs w:val="24"/>
              </w:rPr>
            </w:pPr>
            <w:r>
              <w:rPr>
                <w:rFonts w:hint="eastAsia"/>
                <w:sz w:val="24"/>
                <w:szCs w:val="24"/>
              </w:rPr>
              <w:t>2</w:t>
            </w:r>
            <w:r>
              <w:rPr>
                <w:sz w:val="24"/>
                <w:szCs w:val="24"/>
              </w:rPr>
              <w:t>4.</w:t>
            </w:r>
            <w:r>
              <w:rPr>
                <w:rFonts w:hint="eastAsia"/>
                <w:sz w:val="24"/>
                <w:szCs w:val="24"/>
              </w:rPr>
              <w:t>矛盾纠纷化解率</w:t>
            </w:r>
          </w:p>
        </w:tc>
        <w:tc>
          <w:tcPr>
            <w:tcW w:w="924" w:type="dxa"/>
            <w:vAlign w:val="center"/>
          </w:tcPr>
          <w:p>
            <w:pPr>
              <w:jc w:val="center"/>
              <w:rPr>
                <w:sz w:val="24"/>
                <w:szCs w:val="24"/>
              </w:rPr>
            </w:pPr>
            <w:r>
              <w:rPr>
                <w:rFonts w:hint="eastAsia"/>
                <w:sz w:val="24"/>
                <w:szCs w:val="24"/>
              </w:rPr>
              <w:t>%</w:t>
            </w:r>
          </w:p>
        </w:tc>
        <w:tc>
          <w:tcPr>
            <w:tcW w:w="1486" w:type="dxa"/>
            <w:vAlign w:val="center"/>
          </w:tcPr>
          <w:p>
            <w:pPr>
              <w:pStyle w:val="2"/>
              <w:rPr>
                <w:sz w:val="24"/>
                <w:szCs w:val="24"/>
              </w:rPr>
            </w:pPr>
            <w:r>
              <w:rPr>
                <w:rFonts w:hint="eastAsia"/>
                <w:sz w:val="24"/>
                <w:szCs w:val="24"/>
              </w:rPr>
              <w:t>9</w:t>
            </w:r>
            <w:r>
              <w:rPr>
                <w:sz w:val="24"/>
                <w:szCs w:val="24"/>
              </w:rPr>
              <w:t>8</w:t>
            </w:r>
          </w:p>
        </w:tc>
        <w:tc>
          <w:tcPr>
            <w:tcW w:w="1134" w:type="dxa"/>
            <w:vAlign w:val="center"/>
          </w:tcPr>
          <w:p>
            <w:pPr>
              <w:jc w:val="center"/>
              <w:rPr>
                <w:sz w:val="24"/>
                <w:szCs w:val="24"/>
              </w:rPr>
            </w:pPr>
            <w:r>
              <w:rPr>
                <w:rFonts w:hint="eastAsia"/>
                <w:sz w:val="24"/>
                <w:szCs w:val="24"/>
              </w:rPr>
              <w:t>9</w:t>
            </w:r>
            <w:r>
              <w:rPr>
                <w:sz w:val="24"/>
                <w:szCs w:val="24"/>
              </w:rPr>
              <w:t>9</w:t>
            </w:r>
          </w:p>
        </w:tc>
        <w:tc>
          <w:tcPr>
            <w:tcW w:w="1220" w:type="dxa"/>
            <w:vAlign w:val="center"/>
          </w:tcPr>
          <w:p>
            <w:pPr>
              <w:ind w:firstLine="0" w:firstLineChars="0"/>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07" w:type="dxa"/>
            <w:vMerge w:val="restart"/>
            <w:vAlign w:val="center"/>
          </w:tcPr>
          <w:p>
            <w:pPr>
              <w:ind w:firstLine="0" w:firstLineChars="0"/>
              <w:rPr>
                <w:sz w:val="24"/>
                <w:szCs w:val="24"/>
              </w:rPr>
            </w:pPr>
            <w:r>
              <w:rPr>
                <w:rFonts w:hint="eastAsia"/>
                <w:sz w:val="24"/>
                <w:szCs w:val="24"/>
              </w:rPr>
              <w:t>创新驱动</w:t>
            </w:r>
          </w:p>
        </w:tc>
        <w:tc>
          <w:tcPr>
            <w:tcW w:w="2835" w:type="dxa"/>
            <w:vAlign w:val="center"/>
          </w:tcPr>
          <w:p>
            <w:pPr>
              <w:ind w:firstLine="0" w:firstLineChars="0"/>
              <w:rPr>
                <w:sz w:val="24"/>
                <w:szCs w:val="24"/>
              </w:rPr>
            </w:pPr>
            <w:r>
              <w:rPr>
                <w:sz w:val="24"/>
                <w:szCs w:val="24"/>
              </w:rPr>
              <w:t>25.</w:t>
            </w:r>
            <w:r>
              <w:rPr>
                <w:rFonts w:hint="eastAsia"/>
                <w:sz w:val="24"/>
                <w:szCs w:val="24"/>
              </w:rPr>
              <w:t>R&amp;D经费投入年均增速</w:t>
            </w:r>
          </w:p>
        </w:tc>
        <w:tc>
          <w:tcPr>
            <w:tcW w:w="924" w:type="dxa"/>
            <w:vAlign w:val="center"/>
          </w:tcPr>
          <w:p>
            <w:pPr>
              <w:ind w:firstLine="0" w:firstLineChars="0"/>
              <w:jc w:val="center"/>
              <w:rPr>
                <w:sz w:val="24"/>
                <w:szCs w:val="24"/>
              </w:rPr>
            </w:pPr>
            <w:r>
              <w:rPr>
                <w:rFonts w:hint="eastAsia"/>
                <w:sz w:val="24"/>
                <w:szCs w:val="24"/>
              </w:rPr>
              <w:t>%</w:t>
            </w:r>
          </w:p>
        </w:tc>
        <w:tc>
          <w:tcPr>
            <w:tcW w:w="1486" w:type="dxa"/>
            <w:vAlign w:val="center"/>
          </w:tcPr>
          <w:p>
            <w:pPr>
              <w:ind w:firstLine="0" w:firstLineChars="0"/>
              <w:jc w:val="center"/>
              <w:rPr>
                <w:sz w:val="24"/>
                <w:szCs w:val="24"/>
              </w:rPr>
            </w:pPr>
            <w:r>
              <w:rPr>
                <w:rFonts w:hint="eastAsia"/>
                <w:sz w:val="24"/>
                <w:szCs w:val="24"/>
              </w:rPr>
              <w:t>8</w:t>
            </w:r>
          </w:p>
        </w:tc>
        <w:tc>
          <w:tcPr>
            <w:tcW w:w="1134" w:type="dxa"/>
            <w:vAlign w:val="center"/>
          </w:tcPr>
          <w:p>
            <w:pPr>
              <w:ind w:firstLine="0" w:firstLineChars="0"/>
              <w:jc w:val="center"/>
              <w:rPr>
                <w:sz w:val="24"/>
                <w:szCs w:val="24"/>
              </w:rPr>
            </w:pPr>
            <w:r>
              <w:rPr>
                <w:rFonts w:hint="eastAsia"/>
                <w:sz w:val="24"/>
                <w:szCs w:val="24"/>
              </w:rPr>
              <w:t>1</w:t>
            </w:r>
            <w:r>
              <w:rPr>
                <w:sz w:val="24"/>
                <w:szCs w:val="24"/>
              </w:rPr>
              <w:t>0</w:t>
            </w:r>
          </w:p>
        </w:tc>
        <w:tc>
          <w:tcPr>
            <w:tcW w:w="1220" w:type="dxa"/>
            <w:vAlign w:val="center"/>
          </w:tcPr>
          <w:p>
            <w:pPr>
              <w:ind w:firstLine="0" w:firstLineChars="0"/>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307" w:type="dxa"/>
            <w:vMerge w:val="continue"/>
            <w:vAlign w:val="center"/>
          </w:tcPr>
          <w:p/>
        </w:tc>
        <w:tc>
          <w:tcPr>
            <w:tcW w:w="2835" w:type="dxa"/>
            <w:vAlign w:val="center"/>
          </w:tcPr>
          <w:p>
            <w:pPr>
              <w:ind w:firstLine="0" w:firstLineChars="0"/>
              <w:rPr>
                <w:sz w:val="24"/>
                <w:szCs w:val="24"/>
              </w:rPr>
            </w:pPr>
            <w:r>
              <w:rPr>
                <w:sz w:val="24"/>
                <w:szCs w:val="24"/>
              </w:rPr>
              <w:t>26.R&amp;D</w:t>
            </w:r>
            <w:r>
              <w:rPr>
                <w:rFonts w:hint="eastAsia"/>
                <w:sz w:val="24"/>
                <w:szCs w:val="24"/>
              </w:rPr>
              <w:t>经费支出占</w:t>
            </w:r>
            <w:r>
              <w:rPr>
                <w:sz w:val="24"/>
                <w:szCs w:val="24"/>
              </w:rPr>
              <w:t>GDP</w:t>
            </w:r>
            <w:r>
              <w:rPr>
                <w:rFonts w:hint="eastAsia"/>
                <w:sz w:val="24"/>
                <w:szCs w:val="24"/>
              </w:rPr>
              <w:t>比重</w:t>
            </w:r>
          </w:p>
        </w:tc>
        <w:tc>
          <w:tcPr>
            <w:tcW w:w="924" w:type="dxa"/>
            <w:vAlign w:val="center"/>
          </w:tcPr>
          <w:p>
            <w:pPr>
              <w:ind w:firstLine="0" w:firstLineChars="0"/>
              <w:rPr>
                <w:sz w:val="24"/>
                <w:szCs w:val="24"/>
              </w:rPr>
            </w:pPr>
            <w:r>
              <w:rPr>
                <w:rFonts w:hint="eastAsia"/>
                <w:sz w:val="24"/>
                <w:szCs w:val="24"/>
              </w:rPr>
              <w:t>%</w:t>
            </w:r>
          </w:p>
        </w:tc>
        <w:tc>
          <w:tcPr>
            <w:tcW w:w="1486" w:type="dxa"/>
            <w:vAlign w:val="center"/>
          </w:tcPr>
          <w:p>
            <w:pPr>
              <w:rPr>
                <w:sz w:val="24"/>
                <w:szCs w:val="24"/>
              </w:rPr>
            </w:pPr>
            <w:r>
              <w:rPr>
                <w:sz w:val="24"/>
                <w:szCs w:val="24"/>
              </w:rPr>
              <w:t>2.5</w:t>
            </w:r>
          </w:p>
        </w:tc>
        <w:tc>
          <w:tcPr>
            <w:tcW w:w="1134" w:type="dxa"/>
            <w:vAlign w:val="center"/>
          </w:tcPr>
          <w:p>
            <w:pPr>
              <w:rPr>
                <w:sz w:val="24"/>
                <w:szCs w:val="24"/>
              </w:rPr>
            </w:pPr>
            <w:r>
              <w:rPr>
                <w:rFonts w:hint="eastAsia"/>
                <w:sz w:val="24"/>
                <w:szCs w:val="24"/>
              </w:rPr>
              <w:t>3</w:t>
            </w:r>
          </w:p>
        </w:tc>
        <w:tc>
          <w:tcPr>
            <w:tcW w:w="1220" w:type="dxa"/>
            <w:vAlign w:val="center"/>
          </w:tcPr>
          <w:p>
            <w:pPr>
              <w:ind w:firstLine="0" w:firstLineChars="0"/>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307" w:type="dxa"/>
            <w:vMerge w:val="restart"/>
            <w:vAlign w:val="center"/>
          </w:tcPr>
          <w:p>
            <w:pPr>
              <w:ind w:firstLine="0" w:firstLineChars="0"/>
              <w:jc w:val="center"/>
              <w:rPr>
                <w:sz w:val="24"/>
                <w:szCs w:val="24"/>
              </w:rPr>
            </w:pPr>
            <w:r>
              <w:rPr>
                <w:rFonts w:hint="eastAsia"/>
                <w:sz w:val="24"/>
                <w:szCs w:val="24"/>
              </w:rPr>
              <w:t>绿色转型</w:t>
            </w:r>
          </w:p>
        </w:tc>
        <w:tc>
          <w:tcPr>
            <w:tcW w:w="2835" w:type="dxa"/>
            <w:vAlign w:val="center"/>
          </w:tcPr>
          <w:p>
            <w:pPr>
              <w:ind w:firstLine="0" w:firstLineChars="0"/>
              <w:rPr>
                <w:sz w:val="24"/>
                <w:szCs w:val="24"/>
              </w:rPr>
            </w:pPr>
            <w:r>
              <w:rPr>
                <w:sz w:val="24"/>
                <w:szCs w:val="24"/>
              </w:rPr>
              <w:t>27.</w:t>
            </w:r>
            <w:r>
              <w:rPr>
                <w:rFonts w:hint="eastAsia"/>
                <w:sz w:val="24"/>
                <w:szCs w:val="24"/>
              </w:rPr>
              <w:t>森林覆盖率</w:t>
            </w:r>
          </w:p>
        </w:tc>
        <w:tc>
          <w:tcPr>
            <w:tcW w:w="924" w:type="dxa"/>
            <w:vAlign w:val="center"/>
          </w:tcPr>
          <w:p>
            <w:pPr>
              <w:ind w:firstLine="0" w:firstLineChars="0"/>
              <w:jc w:val="center"/>
              <w:rPr>
                <w:sz w:val="24"/>
                <w:szCs w:val="24"/>
              </w:rPr>
            </w:pPr>
            <w:r>
              <w:rPr>
                <w:rFonts w:hint="eastAsia"/>
                <w:sz w:val="24"/>
                <w:szCs w:val="24"/>
              </w:rPr>
              <w:t>%</w:t>
            </w:r>
          </w:p>
        </w:tc>
        <w:tc>
          <w:tcPr>
            <w:tcW w:w="1486" w:type="dxa"/>
            <w:vAlign w:val="center"/>
          </w:tcPr>
          <w:p>
            <w:pPr>
              <w:ind w:firstLine="0" w:firstLineChars="0"/>
              <w:jc w:val="center"/>
              <w:rPr>
                <w:sz w:val="24"/>
                <w:szCs w:val="24"/>
              </w:rPr>
            </w:pPr>
            <w:r>
              <w:rPr>
                <w:sz w:val="24"/>
                <w:szCs w:val="24"/>
              </w:rPr>
              <w:t>57.29</w:t>
            </w:r>
          </w:p>
        </w:tc>
        <w:tc>
          <w:tcPr>
            <w:tcW w:w="1134" w:type="dxa"/>
            <w:vAlign w:val="center"/>
          </w:tcPr>
          <w:p>
            <w:pPr>
              <w:ind w:firstLine="0" w:firstLineChars="0"/>
              <w:jc w:val="center"/>
              <w:rPr>
                <w:sz w:val="24"/>
                <w:szCs w:val="24"/>
              </w:rPr>
            </w:pPr>
            <w:r>
              <w:rPr>
                <w:rFonts w:hint="eastAsia"/>
                <w:sz w:val="24"/>
                <w:szCs w:val="24"/>
              </w:rPr>
              <w:t>6</w:t>
            </w:r>
            <w:r>
              <w:rPr>
                <w:sz w:val="24"/>
                <w:szCs w:val="24"/>
              </w:rPr>
              <w:t>1.55</w:t>
            </w:r>
          </w:p>
        </w:tc>
        <w:tc>
          <w:tcPr>
            <w:tcW w:w="1220" w:type="dxa"/>
            <w:vAlign w:val="center"/>
          </w:tcPr>
          <w:p>
            <w:pPr>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307" w:type="dxa"/>
            <w:vMerge w:val="continue"/>
            <w:vAlign w:val="center"/>
          </w:tcPr>
          <w:p/>
        </w:tc>
        <w:tc>
          <w:tcPr>
            <w:tcW w:w="2835" w:type="dxa"/>
            <w:vAlign w:val="center"/>
          </w:tcPr>
          <w:p>
            <w:pPr>
              <w:ind w:firstLine="0" w:firstLineChars="0"/>
              <w:rPr>
                <w:sz w:val="24"/>
                <w:szCs w:val="24"/>
              </w:rPr>
            </w:pPr>
            <w:r>
              <w:rPr>
                <w:sz w:val="24"/>
                <w:szCs w:val="24"/>
              </w:rPr>
              <w:t>28.</w:t>
            </w:r>
            <w:r>
              <w:rPr>
                <w:rFonts w:hint="eastAsia"/>
                <w:sz w:val="24"/>
                <w:szCs w:val="24"/>
              </w:rPr>
              <w:t>森林蓄积量</w:t>
            </w:r>
          </w:p>
        </w:tc>
        <w:tc>
          <w:tcPr>
            <w:tcW w:w="924" w:type="dxa"/>
            <w:vAlign w:val="center"/>
          </w:tcPr>
          <w:p>
            <w:pPr>
              <w:ind w:firstLine="0" w:firstLineChars="0"/>
              <w:jc w:val="center"/>
              <w:rPr>
                <w:sz w:val="24"/>
                <w:szCs w:val="24"/>
              </w:rPr>
            </w:pPr>
            <w:r>
              <w:rPr>
                <w:rFonts w:hint="eastAsia"/>
                <w:sz w:val="24"/>
                <w:szCs w:val="24"/>
              </w:rPr>
              <w:t>万立方米</w:t>
            </w:r>
          </w:p>
        </w:tc>
        <w:tc>
          <w:tcPr>
            <w:tcW w:w="1486" w:type="dxa"/>
            <w:vAlign w:val="center"/>
          </w:tcPr>
          <w:p>
            <w:pPr>
              <w:ind w:firstLine="0" w:firstLineChars="0"/>
              <w:jc w:val="center"/>
              <w:rPr>
                <w:sz w:val="24"/>
                <w:szCs w:val="24"/>
              </w:rPr>
            </w:pPr>
            <w:r>
              <w:rPr>
                <w:rFonts w:hint="eastAsia"/>
                <w:sz w:val="24"/>
                <w:szCs w:val="24"/>
              </w:rPr>
              <w:t>2</w:t>
            </w:r>
            <w:r>
              <w:rPr>
                <w:sz w:val="24"/>
                <w:szCs w:val="24"/>
              </w:rPr>
              <w:t>875</w:t>
            </w:r>
          </w:p>
        </w:tc>
        <w:tc>
          <w:tcPr>
            <w:tcW w:w="1134" w:type="dxa"/>
            <w:vAlign w:val="center"/>
          </w:tcPr>
          <w:p>
            <w:pPr>
              <w:ind w:firstLine="0" w:firstLineChars="0"/>
              <w:jc w:val="center"/>
              <w:rPr>
                <w:sz w:val="24"/>
                <w:szCs w:val="24"/>
              </w:rPr>
            </w:pPr>
            <w:r>
              <w:rPr>
                <w:sz w:val="24"/>
                <w:szCs w:val="24"/>
              </w:rPr>
              <w:t>2925</w:t>
            </w:r>
          </w:p>
        </w:tc>
        <w:tc>
          <w:tcPr>
            <w:tcW w:w="1220" w:type="dxa"/>
            <w:vAlign w:val="center"/>
          </w:tcPr>
          <w:p>
            <w:pPr>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07" w:type="dxa"/>
            <w:vMerge w:val="continue"/>
            <w:vAlign w:val="center"/>
          </w:tcPr>
          <w:p/>
        </w:tc>
        <w:tc>
          <w:tcPr>
            <w:tcW w:w="2835" w:type="dxa"/>
            <w:vAlign w:val="center"/>
          </w:tcPr>
          <w:p>
            <w:pPr>
              <w:ind w:firstLine="0" w:firstLineChars="0"/>
              <w:jc w:val="both"/>
              <w:rPr>
                <w:sz w:val="24"/>
                <w:szCs w:val="24"/>
              </w:rPr>
            </w:pPr>
            <w:r>
              <w:rPr>
                <w:sz w:val="24"/>
                <w:szCs w:val="24"/>
              </w:rPr>
              <w:t>29.</w:t>
            </w:r>
            <w:r>
              <w:rPr>
                <w:rFonts w:hint="eastAsia"/>
                <w:sz w:val="24"/>
                <w:szCs w:val="24"/>
              </w:rPr>
              <w:t>草原综合植被覆盖度</w:t>
            </w:r>
          </w:p>
        </w:tc>
        <w:tc>
          <w:tcPr>
            <w:tcW w:w="924" w:type="dxa"/>
            <w:vAlign w:val="center"/>
          </w:tcPr>
          <w:p>
            <w:pPr>
              <w:ind w:firstLine="0" w:firstLineChars="0"/>
              <w:jc w:val="center"/>
              <w:rPr>
                <w:sz w:val="24"/>
                <w:szCs w:val="24"/>
              </w:rPr>
            </w:pPr>
            <w:r>
              <w:rPr>
                <w:rFonts w:hint="eastAsia"/>
                <w:sz w:val="24"/>
                <w:szCs w:val="24"/>
              </w:rPr>
              <w:t>%</w:t>
            </w:r>
          </w:p>
        </w:tc>
        <w:tc>
          <w:tcPr>
            <w:tcW w:w="1486" w:type="dxa"/>
            <w:vAlign w:val="center"/>
          </w:tcPr>
          <w:p>
            <w:pPr>
              <w:ind w:firstLine="0" w:firstLineChars="0"/>
              <w:jc w:val="center"/>
              <w:rPr>
                <w:sz w:val="24"/>
                <w:szCs w:val="24"/>
              </w:rPr>
            </w:pPr>
            <w:r>
              <w:rPr>
                <w:rFonts w:hint="eastAsia"/>
                <w:sz w:val="24"/>
                <w:szCs w:val="24"/>
              </w:rPr>
              <w:t>8</w:t>
            </w:r>
            <w:r>
              <w:rPr>
                <w:sz w:val="24"/>
                <w:szCs w:val="24"/>
              </w:rPr>
              <w:t>5.6</w:t>
            </w:r>
          </w:p>
        </w:tc>
        <w:tc>
          <w:tcPr>
            <w:tcW w:w="1134" w:type="dxa"/>
            <w:vAlign w:val="center"/>
          </w:tcPr>
          <w:p>
            <w:pPr>
              <w:ind w:firstLine="0" w:firstLineChars="0"/>
              <w:jc w:val="center"/>
              <w:rPr>
                <w:sz w:val="24"/>
                <w:szCs w:val="24"/>
              </w:rPr>
            </w:pPr>
            <w:r>
              <w:rPr>
                <w:rFonts w:hint="eastAsia"/>
                <w:sz w:val="24"/>
                <w:szCs w:val="24"/>
              </w:rPr>
              <w:t>8</w:t>
            </w:r>
            <w:r>
              <w:rPr>
                <w:sz w:val="24"/>
                <w:szCs w:val="24"/>
              </w:rPr>
              <w:t>6.5</w:t>
            </w:r>
          </w:p>
        </w:tc>
        <w:tc>
          <w:tcPr>
            <w:tcW w:w="1220" w:type="dxa"/>
            <w:vAlign w:val="center"/>
          </w:tcPr>
          <w:p>
            <w:pPr>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07" w:type="dxa"/>
            <w:vMerge w:val="continue"/>
            <w:vAlign w:val="center"/>
          </w:tcPr>
          <w:p/>
        </w:tc>
        <w:tc>
          <w:tcPr>
            <w:tcW w:w="2835" w:type="dxa"/>
            <w:vAlign w:val="center"/>
          </w:tcPr>
          <w:p>
            <w:pPr>
              <w:ind w:firstLine="0" w:firstLineChars="0"/>
              <w:jc w:val="both"/>
              <w:rPr>
                <w:sz w:val="24"/>
                <w:szCs w:val="24"/>
              </w:rPr>
            </w:pPr>
            <w:r>
              <w:rPr>
                <w:sz w:val="24"/>
                <w:szCs w:val="24"/>
              </w:rPr>
              <w:t>30.</w:t>
            </w:r>
            <w:r>
              <w:rPr>
                <w:rFonts w:hint="eastAsia"/>
                <w:sz w:val="24"/>
                <w:szCs w:val="24"/>
              </w:rPr>
              <w:t>主要江河出境断面水质</w:t>
            </w:r>
          </w:p>
        </w:tc>
        <w:tc>
          <w:tcPr>
            <w:tcW w:w="924" w:type="dxa"/>
            <w:vAlign w:val="center"/>
          </w:tcPr>
          <w:p>
            <w:pPr>
              <w:ind w:firstLine="0" w:firstLineChars="0"/>
              <w:jc w:val="center"/>
              <w:rPr>
                <w:sz w:val="24"/>
                <w:szCs w:val="24"/>
              </w:rPr>
            </w:pPr>
            <w:r>
              <w:rPr>
                <w:rFonts w:hint="eastAsia"/>
                <w:sz w:val="24"/>
                <w:szCs w:val="24"/>
              </w:rPr>
              <w:t>级</w:t>
            </w:r>
          </w:p>
        </w:tc>
        <w:tc>
          <w:tcPr>
            <w:tcW w:w="1486" w:type="dxa"/>
            <w:vAlign w:val="center"/>
          </w:tcPr>
          <w:p>
            <w:pPr>
              <w:ind w:firstLine="0" w:firstLineChars="0"/>
              <w:jc w:val="center"/>
              <w:rPr>
                <w:sz w:val="24"/>
                <w:szCs w:val="24"/>
              </w:rPr>
            </w:pPr>
            <w:r>
              <w:rPr>
                <w:rFonts w:hint="eastAsia"/>
                <w:sz w:val="24"/>
                <w:szCs w:val="24"/>
              </w:rPr>
              <w:t>2</w:t>
            </w:r>
          </w:p>
        </w:tc>
        <w:tc>
          <w:tcPr>
            <w:tcW w:w="1134" w:type="dxa"/>
            <w:vAlign w:val="center"/>
          </w:tcPr>
          <w:p>
            <w:pPr>
              <w:ind w:firstLine="0" w:firstLineChars="0"/>
              <w:jc w:val="center"/>
              <w:rPr>
                <w:sz w:val="24"/>
                <w:szCs w:val="24"/>
              </w:rPr>
            </w:pPr>
            <w:r>
              <w:rPr>
                <w:rFonts w:hint="eastAsia"/>
                <w:sz w:val="24"/>
                <w:szCs w:val="24"/>
              </w:rPr>
              <w:t>2</w:t>
            </w:r>
          </w:p>
        </w:tc>
        <w:tc>
          <w:tcPr>
            <w:tcW w:w="1220" w:type="dxa"/>
            <w:vAlign w:val="center"/>
          </w:tcPr>
          <w:p>
            <w:pPr>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307" w:type="dxa"/>
            <w:vMerge w:val="continue"/>
            <w:vAlign w:val="center"/>
          </w:tcPr>
          <w:p/>
        </w:tc>
        <w:tc>
          <w:tcPr>
            <w:tcW w:w="2835" w:type="dxa"/>
            <w:vAlign w:val="center"/>
          </w:tcPr>
          <w:p>
            <w:pPr>
              <w:ind w:firstLine="0" w:firstLineChars="0"/>
              <w:jc w:val="both"/>
              <w:rPr>
                <w:sz w:val="24"/>
                <w:szCs w:val="24"/>
              </w:rPr>
            </w:pPr>
            <w:r>
              <w:rPr>
                <w:sz w:val="24"/>
                <w:szCs w:val="24"/>
              </w:rPr>
              <w:t>31.</w:t>
            </w:r>
            <w:r>
              <w:rPr>
                <w:rFonts w:hint="eastAsia"/>
                <w:sz w:val="24"/>
                <w:szCs w:val="24"/>
              </w:rPr>
              <w:t>县城空气质量优良天数比率</w:t>
            </w:r>
          </w:p>
        </w:tc>
        <w:tc>
          <w:tcPr>
            <w:tcW w:w="924" w:type="dxa"/>
            <w:vAlign w:val="center"/>
          </w:tcPr>
          <w:p>
            <w:pPr>
              <w:ind w:firstLine="0" w:firstLineChars="0"/>
              <w:jc w:val="center"/>
              <w:rPr>
                <w:sz w:val="24"/>
                <w:szCs w:val="24"/>
              </w:rPr>
            </w:pPr>
            <w:r>
              <w:rPr>
                <w:rFonts w:hint="eastAsia"/>
                <w:sz w:val="24"/>
                <w:szCs w:val="24"/>
              </w:rPr>
              <w:t>%</w:t>
            </w:r>
          </w:p>
        </w:tc>
        <w:tc>
          <w:tcPr>
            <w:tcW w:w="1486" w:type="dxa"/>
            <w:vAlign w:val="center"/>
          </w:tcPr>
          <w:p>
            <w:pPr>
              <w:ind w:firstLine="0" w:firstLineChars="0"/>
              <w:jc w:val="center"/>
              <w:rPr>
                <w:sz w:val="24"/>
                <w:szCs w:val="24"/>
              </w:rPr>
            </w:pPr>
            <w:r>
              <w:rPr>
                <w:sz w:val="24"/>
                <w:szCs w:val="24"/>
              </w:rPr>
              <w:t>320</w:t>
            </w:r>
          </w:p>
        </w:tc>
        <w:tc>
          <w:tcPr>
            <w:tcW w:w="1134" w:type="dxa"/>
            <w:vAlign w:val="center"/>
          </w:tcPr>
          <w:p>
            <w:pPr>
              <w:ind w:firstLine="0" w:firstLineChars="0"/>
              <w:jc w:val="center"/>
              <w:rPr>
                <w:sz w:val="24"/>
                <w:szCs w:val="24"/>
              </w:rPr>
            </w:pPr>
            <w:r>
              <w:rPr>
                <w:rFonts w:hint="eastAsia"/>
                <w:sz w:val="24"/>
                <w:szCs w:val="24"/>
              </w:rPr>
              <w:t>3</w:t>
            </w:r>
            <w:r>
              <w:rPr>
                <w:sz w:val="24"/>
                <w:szCs w:val="24"/>
              </w:rPr>
              <w:t>30</w:t>
            </w:r>
          </w:p>
        </w:tc>
        <w:tc>
          <w:tcPr>
            <w:tcW w:w="1220" w:type="dxa"/>
            <w:vAlign w:val="center"/>
          </w:tcPr>
          <w:p>
            <w:pPr>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07" w:type="dxa"/>
            <w:vMerge w:val="continue"/>
            <w:vAlign w:val="center"/>
          </w:tcPr>
          <w:p/>
        </w:tc>
        <w:tc>
          <w:tcPr>
            <w:tcW w:w="2835" w:type="dxa"/>
            <w:vAlign w:val="center"/>
          </w:tcPr>
          <w:p>
            <w:pPr>
              <w:ind w:firstLine="0" w:firstLineChars="0"/>
              <w:jc w:val="center"/>
              <w:rPr>
                <w:sz w:val="24"/>
                <w:szCs w:val="24"/>
              </w:rPr>
            </w:pPr>
            <w:r>
              <w:rPr>
                <w:sz w:val="24"/>
                <w:szCs w:val="24"/>
              </w:rPr>
              <w:t>32.</w:t>
            </w:r>
            <w:r>
              <w:rPr>
                <w:rFonts w:hint="eastAsia"/>
                <w:sz w:val="24"/>
                <w:szCs w:val="24"/>
              </w:rPr>
              <w:t>城市污水收集和处理率</w:t>
            </w:r>
          </w:p>
        </w:tc>
        <w:tc>
          <w:tcPr>
            <w:tcW w:w="924" w:type="dxa"/>
            <w:vAlign w:val="center"/>
          </w:tcPr>
          <w:p>
            <w:pPr>
              <w:ind w:firstLine="0" w:firstLineChars="0"/>
              <w:jc w:val="center"/>
              <w:rPr>
                <w:sz w:val="24"/>
                <w:szCs w:val="24"/>
              </w:rPr>
            </w:pPr>
            <w:r>
              <w:rPr>
                <w:rFonts w:hint="eastAsia"/>
                <w:sz w:val="24"/>
                <w:szCs w:val="24"/>
              </w:rPr>
              <w:t>%</w:t>
            </w:r>
          </w:p>
        </w:tc>
        <w:tc>
          <w:tcPr>
            <w:tcW w:w="1486" w:type="dxa"/>
            <w:vAlign w:val="center"/>
          </w:tcPr>
          <w:p>
            <w:pPr>
              <w:ind w:firstLine="0" w:firstLineChars="0"/>
              <w:jc w:val="center"/>
              <w:rPr>
                <w:sz w:val="24"/>
                <w:szCs w:val="24"/>
              </w:rPr>
            </w:pPr>
            <w:r>
              <w:rPr>
                <w:sz w:val="24"/>
                <w:szCs w:val="24"/>
              </w:rPr>
              <w:t>98</w:t>
            </w:r>
          </w:p>
        </w:tc>
        <w:tc>
          <w:tcPr>
            <w:tcW w:w="1134" w:type="dxa"/>
            <w:vAlign w:val="center"/>
          </w:tcPr>
          <w:p>
            <w:pPr>
              <w:ind w:firstLine="0" w:firstLineChars="0"/>
              <w:jc w:val="center"/>
              <w:rPr>
                <w:sz w:val="24"/>
                <w:szCs w:val="24"/>
              </w:rPr>
            </w:pPr>
            <w:r>
              <w:rPr>
                <w:sz w:val="24"/>
                <w:szCs w:val="24"/>
              </w:rPr>
              <w:t>100</w:t>
            </w:r>
          </w:p>
        </w:tc>
        <w:tc>
          <w:tcPr>
            <w:tcW w:w="1220" w:type="dxa"/>
            <w:vAlign w:val="center"/>
          </w:tcPr>
          <w:p>
            <w:pPr>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07" w:type="dxa"/>
            <w:vMerge w:val="continue"/>
            <w:vAlign w:val="center"/>
          </w:tcPr>
          <w:p/>
        </w:tc>
        <w:tc>
          <w:tcPr>
            <w:tcW w:w="2835" w:type="dxa"/>
            <w:vAlign w:val="center"/>
          </w:tcPr>
          <w:p>
            <w:pPr>
              <w:ind w:firstLine="0" w:firstLineChars="0"/>
              <w:jc w:val="center"/>
              <w:rPr>
                <w:sz w:val="24"/>
                <w:szCs w:val="24"/>
              </w:rPr>
            </w:pPr>
            <w:r>
              <w:rPr>
                <w:sz w:val="24"/>
                <w:szCs w:val="24"/>
              </w:rPr>
              <w:t>33.</w:t>
            </w:r>
            <w:r>
              <w:rPr>
                <w:rFonts w:hint="eastAsia"/>
                <w:sz w:val="24"/>
                <w:szCs w:val="24"/>
              </w:rPr>
              <w:t>城镇生活垃圾无害化处理率</w:t>
            </w:r>
          </w:p>
        </w:tc>
        <w:tc>
          <w:tcPr>
            <w:tcW w:w="924" w:type="dxa"/>
            <w:vAlign w:val="center"/>
          </w:tcPr>
          <w:p>
            <w:pPr>
              <w:ind w:firstLine="0" w:firstLineChars="0"/>
              <w:jc w:val="center"/>
              <w:rPr>
                <w:sz w:val="24"/>
                <w:szCs w:val="24"/>
              </w:rPr>
            </w:pPr>
            <w:r>
              <w:rPr>
                <w:rFonts w:hint="eastAsia"/>
                <w:sz w:val="24"/>
                <w:szCs w:val="24"/>
              </w:rPr>
              <w:t>%</w:t>
            </w:r>
          </w:p>
        </w:tc>
        <w:tc>
          <w:tcPr>
            <w:tcW w:w="1486" w:type="dxa"/>
            <w:vAlign w:val="center"/>
          </w:tcPr>
          <w:p>
            <w:pPr>
              <w:ind w:firstLine="0" w:firstLineChars="0"/>
              <w:jc w:val="center"/>
              <w:rPr>
                <w:sz w:val="24"/>
                <w:szCs w:val="24"/>
              </w:rPr>
            </w:pPr>
            <w:r>
              <w:rPr>
                <w:rFonts w:hint="eastAsia"/>
                <w:sz w:val="24"/>
                <w:szCs w:val="24"/>
              </w:rPr>
              <w:t>8</w:t>
            </w:r>
            <w:r>
              <w:rPr>
                <w:sz w:val="24"/>
                <w:szCs w:val="24"/>
              </w:rPr>
              <w:t>0</w:t>
            </w:r>
          </w:p>
        </w:tc>
        <w:tc>
          <w:tcPr>
            <w:tcW w:w="1134" w:type="dxa"/>
            <w:vAlign w:val="center"/>
          </w:tcPr>
          <w:p>
            <w:pPr>
              <w:ind w:firstLine="0" w:firstLineChars="0"/>
              <w:jc w:val="center"/>
              <w:rPr>
                <w:sz w:val="24"/>
                <w:szCs w:val="24"/>
              </w:rPr>
            </w:pPr>
            <w:r>
              <w:rPr>
                <w:rFonts w:hint="eastAsia"/>
                <w:sz w:val="24"/>
                <w:szCs w:val="24"/>
              </w:rPr>
              <w:t>9</w:t>
            </w:r>
            <w:r>
              <w:rPr>
                <w:sz w:val="24"/>
                <w:szCs w:val="24"/>
              </w:rPr>
              <w:t>0</w:t>
            </w:r>
          </w:p>
        </w:tc>
        <w:tc>
          <w:tcPr>
            <w:tcW w:w="1220" w:type="dxa"/>
            <w:vAlign w:val="center"/>
          </w:tcPr>
          <w:p>
            <w:pPr>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307" w:type="dxa"/>
            <w:vMerge w:val="continue"/>
            <w:vAlign w:val="center"/>
          </w:tcPr>
          <w:p/>
        </w:tc>
        <w:tc>
          <w:tcPr>
            <w:tcW w:w="2835" w:type="dxa"/>
            <w:vAlign w:val="center"/>
          </w:tcPr>
          <w:p>
            <w:pPr>
              <w:ind w:firstLine="0" w:firstLineChars="0"/>
              <w:jc w:val="both"/>
              <w:rPr>
                <w:sz w:val="24"/>
                <w:szCs w:val="24"/>
              </w:rPr>
            </w:pPr>
            <w:r>
              <w:rPr>
                <w:sz w:val="24"/>
                <w:szCs w:val="24"/>
              </w:rPr>
              <w:t>34.</w:t>
            </w:r>
            <w:r>
              <w:rPr>
                <w:rFonts w:hint="eastAsia"/>
                <w:sz w:val="24"/>
                <w:szCs w:val="24"/>
              </w:rPr>
              <w:t>单位G</w:t>
            </w:r>
            <w:r>
              <w:rPr>
                <w:sz w:val="24"/>
                <w:szCs w:val="24"/>
              </w:rPr>
              <w:t>DP</w:t>
            </w:r>
            <w:r>
              <w:rPr>
                <w:rFonts w:hint="eastAsia"/>
                <w:sz w:val="24"/>
                <w:szCs w:val="24"/>
              </w:rPr>
              <w:t>能耗</w:t>
            </w:r>
          </w:p>
        </w:tc>
        <w:tc>
          <w:tcPr>
            <w:tcW w:w="924" w:type="dxa"/>
            <w:vAlign w:val="center"/>
          </w:tcPr>
          <w:p>
            <w:pPr>
              <w:ind w:firstLine="0" w:firstLineChars="0"/>
              <w:jc w:val="center"/>
              <w:rPr>
                <w:sz w:val="24"/>
                <w:szCs w:val="24"/>
              </w:rPr>
            </w:pPr>
            <w:r>
              <w:rPr>
                <w:rFonts w:hint="eastAsia"/>
                <w:sz w:val="24"/>
                <w:szCs w:val="24"/>
              </w:rPr>
              <w:t>吨标煤/万元</w:t>
            </w:r>
          </w:p>
        </w:tc>
        <w:tc>
          <w:tcPr>
            <w:tcW w:w="1486" w:type="dxa"/>
            <w:vAlign w:val="center"/>
          </w:tcPr>
          <w:p>
            <w:pPr>
              <w:ind w:firstLine="0" w:firstLineChars="0"/>
              <w:jc w:val="center"/>
              <w:rPr>
                <w:sz w:val="24"/>
                <w:szCs w:val="24"/>
              </w:rPr>
            </w:pPr>
            <w:r>
              <w:rPr>
                <w:sz w:val="24"/>
                <w:szCs w:val="24"/>
              </w:rPr>
              <w:t>≤0.6</w:t>
            </w:r>
          </w:p>
        </w:tc>
        <w:tc>
          <w:tcPr>
            <w:tcW w:w="1134" w:type="dxa"/>
            <w:vAlign w:val="center"/>
          </w:tcPr>
          <w:p>
            <w:pPr>
              <w:ind w:firstLine="0" w:firstLineChars="0"/>
              <w:jc w:val="center"/>
              <w:rPr>
                <w:sz w:val="24"/>
                <w:szCs w:val="24"/>
              </w:rPr>
            </w:pPr>
            <w:r>
              <w:rPr>
                <w:sz w:val="24"/>
                <w:szCs w:val="24"/>
              </w:rPr>
              <w:t>≤0.6</w:t>
            </w:r>
          </w:p>
        </w:tc>
        <w:tc>
          <w:tcPr>
            <w:tcW w:w="1220" w:type="dxa"/>
            <w:vAlign w:val="center"/>
          </w:tcPr>
          <w:p>
            <w:pPr>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07" w:type="dxa"/>
            <w:vMerge w:val="continue"/>
            <w:vAlign w:val="center"/>
          </w:tcPr>
          <w:p/>
        </w:tc>
        <w:tc>
          <w:tcPr>
            <w:tcW w:w="2835" w:type="dxa"/>
            <w:vAlign w:val="center"/>
          </w:tcPr>
          <w:p>
            <w:pPr>
              <w:ind w:firstLine="0" w:firstLineChars="0"/>
              <w:jc w:val="center"/>
              <w:rPr>
                <w:sz w:val="24"/>
                <w:szCs w:val="24"/>
              </w:rPr>
            </w:pPr>
            <w:r>
              <w:rPr>
                <w:sz w:val="24"/>
                <w:szCs w:val="24"/>
              </w:rPr>
              <w:t>35.工业废水排放达标率</w:t>
            </w:r>
          </w:p>
        </w:tc>
        <w:tc>
          <w:tcPr>
            <w:tcW w:w="924" w:type="dxa"/>
            <w:vAlign w:val="center"/>
          </w:tcPr>
          <w:p>
            <w:pPr>
              <w:ind w:firstLine="0" w:firstLineChars="0"/>
              <w:jc w:val="center"/>
              <w:rPr>
                <w:sz w:val="24"/>
                <w:szCs w:val="24"/>
              </w:rPr>
            </w:pPr>
            <w:r>
              <w:rPr>
                <w:rFonts w:hint="eastAsia"/>
                <w:sz w:val="24"/>
                <w:szCs w:val="24"/>
              </w:rPr>
              <w:t>%</w:t>
            </w:r>
          </w:p>
        </w:tc>
        <w:tc>
          <w:tcPr>
            <w:tcW w:w="1486" w:type="dxa"/>
            <w:vAlign w:val="center"/>
          </w:tcPr>
          <w:p>
            <w:pPr>
              <w:ind w:firstLine="0" w:firstLineChars="0"/>
              <w:jc w:val="center"/>
              <w:rPr>
                <w:sz w:val="24"/>
                <w:szCs w:val="24"/>
              </w:rPr>
            </w:pPr>
            <w:r>
              <w:rPr>
                <w:rFonts w:hint="eastAsia"/>
                <w:sz w:val="24"/>
                <w:szCs w:val="24"/>
              </w:rPr>
              <w:t>1</w:t>
            </w:r>
            <w:r>
              <w:rPr>
                <w:sz w:val="24"/>
                <w:szCs w:val="24"/>
              </w:rPr>
              <w:t>00</w:t>
            </w:r>
          </w:p>
        </w:tc>
        <w:tc>
          <w:tcPr>
            <w:tcW w:w="1134" w:type="dxa"/>
            <w:vAlign w:val="center"/>
          </w:tcPr>
          <w:p>
            <w:pPr>
              <w:ind w:firstLine="0" w:firstLineChars="0"/>
              <w:jc w:val="center"/>
              <w:rPr>
                <w:sz w:val="24"/>
                <w:szCs w:val="24"/>
              </w:rPr>
            </w:pPr>
            <w:r>
              <w:rPr>
                <w:rFonts w:hint="eastAsia"/>
                <w:sz w:val="24"/>
                <w:szCs w:val="24"/>
              </w:rPr>
              <w:t>1</w:t>
            </w:r>
            <w:r>
              <w:rPr>
                <w:sz w:val="24"/>
                <w:szCs w:val="24"/>
              </w:rPr>
              <w:t>00</w:t>
            </w:r>
          </w:p>
        </w:tc>
        <w:tc>
          <w:tcPr>
            <w:tcW w:w="1220" w:type="dxa"/>
            <w:vAlign w:val="center"/>
          </w:tcPr>
          <w:p>
            <w:pPr>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307" w:type="dxa"/>
            <w:vMerge w:val="continue"/>
            <w:vAlign w:val="center"/>
          </w:tcPr>
          <w:p/>
        </w:tc>
        <w:tc>
          <w:tcPr>
            <w:tcW w:w="2835" w:type="dxa"/>
            <w:vAlign w:val="center"/>
          </w:tcPr>
          <w:p>
            <w:pPr>
              <w:ind w:firstLine="0" w:firstLineChars="0"/>
              <w:jc w:val="both"/>
              <w:rPr>
                <w:sz w:val="24"/>
                <w:szCs w:val="24"/>
              </w:rPr>
            </w:pPr>
            <w:r>
              <w:rPr>
                <w:sz w:val="24"/>
                <w:szCs w:val="24"/>
              </w:rPr>
              <w:t>36.</w:t>
            </w:r>
            <w:r>
              <w:rPr>
                <w:rFonts w:hint="eastAsia"/>
                <w:sz w:val="24"/>
                <w:szCs w:val="24"/>
              </w:rPr>
              <w:t>耕地保有量</w:t>
            </w:r>
          </w:p>
        </w:tc>
        <w:tc>
          <w:tcPr>
            <w:tcW w:w="924" w:type="dxa"/>
            <w:vAlign w:val="center"/>
          </w:tcPr>
          <w:p>
            <w:pPr>
              <w:ind w:firstLine="0" w:firstLineChars="0"/>
              <w:jc w:val="center"/>
              <w:rPr>
                <w:sz w:val="24"/>
                <w:szCs w:val="24"/>
              </w:rPr>
            </w:pPr>
            <w:r>
              <w:rPr>
                <w:rFonts w:hint="eastAsia"/>
                <w:sz w:val="24"/>
                <w:szCs w:val="24"/>
              </w:rPr>
              <w:t>万亩</w:t>
            </w:r>
          </w:p>
        </w:tc>
        <w:tc>
          <w:tcPr>
            <w:tcW w:w="1486" w:type="dxa"/>
            <w:vAlign w:val="center"/>
          </w:tcPr>
          <w:p>
            <w:pPr>
              <w:ind w:firstLine="0" w:firstLineChars="0"/>
              <w:jc w:val="center"/>
              <w:rPr>
                <w:sz w:val="24"/>
                <w:szCs w:val="24"/>
              </w:rPr>
            </w:pPr>
            <w:r>
              <w:rPr>
                <w:rFonts w:hint="eastAsia"/>
                <w:sz w:val="24"/>
                <w:szCs w:val="24"/>
              </w:rPr>
              <w:t>3</w:t>
            </w:r>
            <w:r>
              <w:rPr>
                <w:sz w:val="24"/>
                <w:szCs w:val="24"/>
              </w:rPr>
              <w:t>.948</w:t>
            </w:r>
          </w:p>
        </w:tc>
        <w:tc>
          <w:tcPr>
            <w:tcW w:w="1134" w:type="dxa"/>
            <w:vAlign w:val="center"/>
          </w:tcPr>
          <w:p>
            <w:pPr>
              <w:ind w:firstLine="0" w:firstLineChars="0"/>
              <w:jc w:val="center"/>
              <w:rPr>
                <w:sz w:val="24"/>
                <w:szCs w:val="24"/>
              </w:rPr>
            </w:pPr>
            <w:r>
              <w:rPr>
                <w:rFonts w:hint="eastAsia"/>
                <w:sz w:val="24"/>
                <w:szCs w:val="24"/>
              </w:rPr>
              <w:t>3</w:t>
            </w:r>
            <w:r>
              <w:rPr>
                <w:sz w:val="24"/>
                <w:szCs w:val="24"/>
              </w:rPr>
              <w:t>.95</w:t>
            </w:r>
          </w:p>
        </w:tc>
        <w:tc>
          <w:tcPr>
            <w:tcW w:w="1220" w:type="dxa"/>
            <w:vAlign w:val="center"/>
          </w:tcPr>
          <w:p>
            <w:pPr>
              <w:ind w:firstLine="0" w:firstLineChars="0"/>
              <w:jc w:val="center"/>
              <w:rPr>
                <w:sz w:val="24"/>
                <w:szCs w:val="24"/>
              </w:rPr>
            </w:pPr>
            <w:r>
              <w:rPr>
                <w:rFonts w:hint="eastAsia"/>
                <w:sz w:val="24"/>
                <w:szCs w:val="24"/>
              </w:rPr>
              <w:t>约束性</w:t>
            </w:r>
          </w:p>
        </w:tc>
      </w:tr>
    </w:tbl>
    <w:p>
      <w:r>
        <w:rPr>
          <w:rFonts w:hint="eastAsia"/>
        </w:rPr>
        <w:br w:type="page"/>
      </w:r>
    </w:p>
    <w:p>
      <w:pPr>
        <w:pStyle w:val="4"/>
      </w:pPr>
      <w:bookmarkStart w:id="19" w:name="_Toc65597916"/>
      <w:bookmarkStart w:id="20" w:name="_Toc28042"/>
      <w:r>
        <w:rPr>
          <w:rFonts w:hint="eastAsia"/>
        </w:rPr>
        <w:t>第二篇 提高应急管理能力，健全公共安全机制</w:t>
      </w:r>
      <w:bookmarkEnd w:id="19"/>
    </w:p>
    <w:p>
      <w:r>
        <w:rPr>
          <w:rFonts w:hint="eastAsia"/>
        </w:rPr>
        <w:t>推进城乡基层防灾减灾救灾能力建设，全面提高抵御各类灾害综合防范水平。坚持平战结合，提升突发事件的应急管理能力，构建完善的防灾减灾体系。灾后重建工作既</w:t>
      </w:r>
      <w:r>
        <w:rPr>
          <w:rFonts w:hint="eastAsia" w:ascii="Times New Roman" w:hAnsi="Times New Roman" w:eastAsia="方正仿宋简体"/>
        </w:rPr>
        <w:t>突出“6·17”受灾区重点、又注重面上受灾地区，既突出功能恢复、又注重防范新的灾害，</w:t>
      </w:r>
      <w:r>
        <w:rPr>
          <w:rFonts w:hint="eastAsia"/>
        </w:rPr>
        <w:t>坚持把人民群众生命安全放在第一位，高质量推进“6·17”梅龙沟山洪泥石流灾害及全县各类灾后恢复重建工作。</w:t>
      </w:r>
    </w:p>
    <w:p>
      <w:pPr>
        <w:pStyle w:val="6"/>
        <w:numPr>
          <w:ilvl w:val="0"/>
          <w:numId w:val="1"/>
        </w:numPr>
        <w:ind w:firstLineChars="0"/>
      </w:pPr>
      <w:bookmarkStart w:id="21" w:name="_Toc65597917"/>
      <w:r>
        <w:rPr>
          <w:rFonts w:hint="eastAsia"/>
        </w:rPr>
        <w:t>强化灾害治理</w:t>
      </w:r>
      <w:bookmarkEnd w:id="21"/>
    </w:p>
    <w:p>
      <w:pPr>
        <w:pStyle w:val="7"/>
      </w:pPr>
      <w:bookmarkStart w:id="22" w:name="_Toc65597918"/>
      <w:r>
        <w:rPr>
          <w:rFonts w:hint="eastAsia"/>
        </w:rPr>
        <w:t>第一节 坚持预防为先的防灾理念</w:t>
      </w:r>
      <w:bookmarkEnd w:id="22"/>
    </w:p>
    <w:p>
      <w:r>
        <w:rPr>
          <w:rFonts w:hint="eastAsia"/>
        </w:rPr>
        <w:t>坚持预防为先，大力推进山洪泥石流、滑坡、危岩崩塌等地质灾害普适型设备安装，加快推进补齐自动气象观测站、雨量监测站等设施设备的盲区与适时提档升级。构建群专结合监测预警体系，提升灾害监测、风险评估、预测、预判，预警能力。强化风险监测点、危险源、危险区域的监控。通过利用通村公路进行的消防通道建设，完善城镇建房的消防设施。健全风险防范化解机制，既要排查化解单灾种风险隐患，更要重视各类事故隐患和安全风险的交织叠加，提升对多灾种、灾害链的综合监测水平。提升全民防灾减灾意识和自救互救技能，切实减少人员伤亡与财产损失。落实各环节责任和措施，实现“从注重灾后救助向注重灾前预防”转变。</w:t>
      </w:r>
    </w:p>
    <w:p>
      <w:pPr>
        <w:pStyle w:val="7"/>
      </w:pPr>
      <w:bookmarkStart w:id="23" w:name="_Toc65597919"/>
      <w:r>
        <w:rPr>
          <w:rFonts w:hint="eastAsia"/>
        </w:rPr>
        <w:t>第二节 坚持全域治理的工作思路</w:t>
      </w:r>
      <w:bookmarkEnd w:id="23"/>
    </w:p>
    <w:p>
      <w:r>
        <w:rPr>
          <w:rFonts w:hint="eastAsia"/>
        </w:rPr>
        <w:t>科学编制地灾综合体系年度实施方案和“十四五</w:t>
      </w:r>
      <w:r>
        <w:t>”</w:t>
      </w:r>
      <w:r>
        <w:rPr>
          <w:rFonts w:hint="eastAsia"/>
        </w:rPr>
        <w:t>地灾防治规划，申报和实施一批威胁集镇、集中安置点、学校等重点部位和区域的重大地质灾害治理项目，对威胁50人以上的地灾隐患点逐步实现工程治理、避险搬迁、排危除险全覆盖。加强中小河流域和山洪沟综合治理、农村河道清淤、洪涝灾害防治和水土流失综合治理，适度提高沿岸堤防设防等级，增强防洪减灾能力。做好山水林田湖草、废弃露天矿山等生态修复项目的申报和实施，特别是实施好“横断山区水源涵养与生物多样性保护”重点工程。提升处灾经济应对能力，建立巨灾保险制度并逐步扩展到地质灾害、洪涝、森林草原火灾等自然灾害领域。</w:t>
      </w:r>
    </w:p>
    <w:p>
      <w:pPr>
        <w:pStyle w:val="6"/>
        <w:numPr>
          <w:ilvl w:val="0"/>
          <w:numId w:val="1"/>
        </w:numPr>
        <w:ind w:firstLineChars="0"/>
      </w:pPr>
      <w:bookmarkStart w:id="24" w:name="_Toc65597920"/>
      <w:r>
        <w:rPr>
          <w:rFonts w:hint="eastAsia"/>
        </w:rPr>
        <w:t>提升应对突发事件应急能力</w:t>
      </w:r>
      <w:bookmarkEnd w:id="24"/>
    </w:p>
    <w:p>
      <w:pPr>
        <w:pStyle w:val="7"/>
      </w:pPr>
      <w:bookmarkStart w:id="25" w:name="_Toc65597921"/>
      <w:r>
        <w:rPr>
          <w:rFonts w:hint="eastAsia"/>
        </w:rPr>
        <w:t>第一节 强化应急处置能力</w:t>
      </w:r>
      <w:bookmarkEnd w:id="25"/>
    </w:p>
    <w:p>
      <w:r>
        <w:rPr>
          <w:rFonts w:hint="eastAsia"/>
        </w:rPr>
        <w:t>实施基层应急能力提升计划，建设县级应急指挥中心和应急救援指挥体系、应急管理综合应用平台和安全生产预警管控平台，提升应急救援管控能力。针对丹巴县常见泥石流、滑坡、崩塌等地质灾害，尤其是“6·17”梅龙沟山洪泥石流灾害，推进工程性防御和报警预防性防御设施建设，加大工程治理防治力度。对全县地质灾害进行勘查治理、对地质灾害开展排危除险工作。对半扇门镇阿娘寨滑坡、墨尔多山镇滑坡体及周边重大地质灾害隐患进行监测，开展半扇门镇、墨尔多山镇临时安置点地灾评估，新建半扇门镇和墨尔多山镇避险场所。常态推进森林草原防灭火专项整治，不断提升森林草原防灭火和突发环境事件防范能力水平，并依托森林草原专业扑火队伍建立“全灾种”的综合应急救援队伍。加强乡（镇）村应急管理体系和能力建设，提升改造综合消防救援基础建设，更新森林防火装备，提升改造林区防火通道，完善林火阻隔系统。加强林区通讯信息基础设施建设。建立县域突发环境事件应急机制，协调各部门制定方案，保障应急物资，确保环境安全。</w:t>
      </w:r>
    </w:p>
    <w:p>
      <w:pPr>
        <w:pStyle w:val="7"/>
      </w:pPr>
      <w:bookmarkStart w:id="26" w:name="_Toc65597922"/>
      <w:r>
        <w:rPr>
          <w:rFonts w:hint="eastAsia"/>
        </w:rPr>
        <w:t>第二节 健全应急保障体系</w:t>
      </w:r>
      <w:bookmarkEnd w:id="26"/>
    </w:p>
    <w:p>
      <w:r>
        <w:rPr>
          <w:rFonts w:hint="eastAsia"/>
        </w:rPr>
        <w:t>加强基础物资保障，有计划有针对性地储备应对基本应急需求的物资，形成运转高效的物资保障体系。重视应急预案编制和演练，建立覆盖各层级各行业各单位的应急预案体系，推动预案跨部门、跨系统、跨区域的综合应急演练和现场指挥工作流程演练，提高演练的针对性和实效性。加强应急救援队伍建设，抓好以消防为主的国家综合性应急救援力量建设，加强专业、行业应急救援队伍能力建设，强化社会组织应急救援队伍、非专业应急救援队伍的补充和协同作用，提高合成应急、协同应急的能力。</w:t>
      </w:r>
    </w:p>
    <w:p>
      <w:pPr>
        <w:pStyle w:val="2"/>
      </w:pPr>
      <w:r>
        <w:br w:type="page"/>
      </w:r>
    </w:p>
    <w:tbl>
      <w:tblPr>
        <w:tblStyle w:val="23"/>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290" w:type="dxa"/>
            <w:shd w:val="clear" w:color="auto" w:fill="BFBFBF"/>
            <w:vAlign w:val="center"/>
          </w:tcPr>
          <w:p>
            <w:pPr>
              <w:pStyle w:val="31"/>
            </w:pPr>
            <w:r>
              <w:rPr>
                <w:rFonts w:hint="eastAsia"/>
              </w:rPr>
              <w:t>专栏1  应急管理能力重点工程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vAlign w:val="center"/>
          </w:tcPr>
          <w:p>
            <w:pPr>
              <w:pStyle w:val="2"/>
              <w:spacing w:line="560" w:lineRule="exact"/>
              <w:rPr>
                <w:sz w:val="24"/>
              </w:rPr>
            </w:pPr>
            <w:r>
              <w:rPr>
                <w:rFonts w:hint="eastAsia"/>
                <w:b/>
                <w:sz w:val="24"/>
              </w:rPr>
              <w:t>1.指挥体系建设项目</w:t>
            </w:r>
            <w:r>
              <w:rPr>
                <w:rFonts w:hint="eastAsia"/>
                <w:sz w:val="24"/>
              </w:rPr>
              <w:t>：丹巴县应急指挥场所和应急救援指挥体系建设项目。</w:t>
            </w:r>
          </w:p>
          <w:p>
            <w:pPr>
              <w:pStyle w:val="2"/>
              <w:spacing w:line="560" w:lineRule="exact"/>
              <w:rPr>
                <w:sz w:val="24"/>
              </w:rPr>
            </w:pPr>
            <w:r>
              <w:rPr>
                <w:rFonts w:hint="eastAsia"/>
                <w:b/>
                <w:sz w:val="24"/>
              </w:rPr>
              <w:t>2.监测预警体系建设项目：</w:t>
            </w:r>
            <w:r>
              <w:rPr>
                <w:rFonts w:hint="eastAsia"/>
                <w:sz w:val="24"/>
              </w:rPr>
              <w:t>丹巴县应急管理综合应用平台和安全生产预警管控平台建设项目；地震监测预警台网和城市活动断层探查建设项目；地震基准站、紧急地震信息服务终端建设项目。</w:t>
            </w:r>
          </w:p>
          <w:p>
            <w:pPr>
              <w:pStyle w:val="2"/>
              <w:spacing w:line="560" w:lineRule="exact"/>
              <w:rPr>
                <w:sz w:val="24"/>
              </w:rPr>
            </w:pPr>
            <w:r>
              <w:rPr>
                <w:rFonts w:hint="eastAsia"/>
                <w:b/>
                <w:sz w:val="24"/>
              </w:rPr>
              <w:t>3.防治工程建设项目：</w:t>
            </w:r>
            <w:r>
              <w:rPr>
                <w:rFonts w:hint="eastAsia"/>
                <w:sz w:val="24"/>
              </w:rPr>
              <w:t>丹巴县地质灾害风险调查评价和地质灾害排查项目；应急避难场所建设项目；森林消防野外直升机起降点建设项目；气象能力提升项目，五条沟建设人工影响天气作业标准化建设（作业基地、作业装备、作业人员），配置高性能的人影雷达应急指挥车；加密升级气象监测站网（升级改造四要素区域站，加密建设交通、森林草原、旅游区域气象站，配置移动气象观测站，数据传输升级为北斗通讯模式）；建设立体气候观测系统，建设X波段双偏振幅雷达监测系统；建设12个乡镇气象预报预警接收系统；建设4套农田气候小站；3套闪电定位仪。</w:t>
            </w:r>
          </w:p>
          <w:p>
            <w:pPr>
              <w:pStyle w:val="2"/>
              <w:spacing w:line="560" w:lineRule="exact"/>
              <w:rPr>
                <w:sz w:val="24"/>
              </w:rPr>
            </w:pPr>
            <w:r>
              <w:rPr>
                <w:rFonts w:hint="eastAsia"/>
                <w:b/>
                <w:sz w:val="24"/>
              </w:rPr>
              <w:t>4.人才队伍建设项目。</w:t>
            </w:r>
            <w:r>
              <w:rPr>
                <w:rFonts w:hint="eastAsia"/>
                <w:sz w:val="24"/>
              </w:rPr>
              <w:t>丹巴县应急救援队伍和矿山应急救援队伍建设项目；安全监管执法能力建设项目。</w:t>
            </w:r>
          </w:p>
          <w:p>
            <w:pPr>
              <w:pStyle w:val="2"/>
              <w:spacing w:line="560" w:lineRule="exact"/>
            </w:pPr>
            <w:r>
              <w:rPr>
                <w:rFonts w:hint="eastAsia"/>
                <w:b/>
                <w:bCs/>
                <w:sz w:val="24"/>
              </w:rPr>
              <w:t>5.物资储备体系建设项目。</w:t>
            </w:r>
            <w:r>
              <w:rPr>
                <w:rFonts w:hint="eastAsia"/>
                <w:sz w:val="24"/>
              </w:rPr>
              <w:t>丹巴县突发灾害抢险救援物资储备库建设项目。</w:t>
            </w:r>
          </w:p>
        </w:tc>
      </w:tr>
    </w:tbl>
    <w:p>
      <w:pPr>
        <w:pStyle w:val="2"/>
      </w:pPr>
    </w:p>
    <w:p>
      <w:pPr>
        <w:pStyle w:val="6"/>
        <w:numPr>
          <w:ilvl w:val="0"/>
          <w:numId w:val="1"/>
        </w:numPr>
        <w:ind w:firstLineChars="0"/>
      </w:pPr>
      <w:bookmarkStart w:id="27" w:name="_Toc65597923"/>
      <w:r>
        <w:rPr>
          <w:rFonts w:hint="eastAsia"/>
        </w:rPr>
        <w:t>加快灾后重建</w:t>
      </w:r>
      <w:bookmarkEnd w:id="27"/>
    </w:p>
    <w:p>
      <w:r>
        <w:rPr>
          <w:rFonts w:hint="eastAsia"/>
        </w:rPr>
        <w:t>把受灾群众所期所盼作为头等大事，高质量推进“6·17”梅龙沟山洪泥石流灾害及全县各类灾后重建工作。特别是加快推进农村住房和集中安置点，交通、市政、水利等基础设施，地质灾害、基层政权等公共服务设施等重建任务。将全县符合条件的受灾群众全部纳入城乡低保或临时救助范围，帮助他们尽快恢复正常生活秩序。</w:t>
      </w:r>
    </w:p>
    <w:p>
      <w:pPr>
        <w:pStyle w:val="7"/>
        <w:numPr>
          <w:ilvl w:val="0"/>
          <w:numId w:val="2"/>
        </w:numPr>
        <w:ind w:firstLineChars="0"/>
      </w:pPr>
      <w:bookmarkStart w:id="28" w:name="_Toc65597924"/>
      <w:r>
        <w:rPr>
          <w:rFonts w:hint="eastAsia"/>
        </w:rPr>
        <w:t>加强统筹规划、有序推进重建工作</w:t>
      </w:r>
      <w:bookmarkEnd w:id="28"/>
    </w:p>
    <w:p>
      <w:r>
        <w:t>202</w:t>
      </w:r>
      <w:r>
        <w:rPr>
          <w:rFonts w:hint="eastAsia"/>
        </w:rPr>
        <w:t>0</w:t>
      </w:r>
      <w:r>
        <w:t>年入汛以来，</w:t>
      </w:r>
      <w:r>
        <w:rPr>
          <w:rFonts w:hint="eastAsia"/>
        </w:rPr>
        <w:t>丹巴</w:t>
      </w:r>
      <w:r>
        <w:t>县受持续强降雨极端天气影响，县境内土壤含水饱和、山体疏松，丹巴县发生</w:t>
      </w:r>
      <w:r>
        <w:rPr>
          <w:rFonts w:hint="eastAsia"/>
        </w:rPr>
        <w:t>“6.17”梅龙沟山洪泥石流重大灾害，</w:t>
      </w:r>
      <w:r>
        <w:t>致使半扇门镇阿娘沟一村、阿娘寨村、墨尔多山镇红五月村、柯尔金村等2个乡镇12个村严重受灾。除</w:t>
      </w:r>
      <w:r>
        <w:rPr>
          <w:rFonts w:hint="eastAsia"/>
        </w:rPr>
        <w:t>“6.17”泥石流灾害外</w:t>
      </w:r>
      <w:r>
        <w:t>全县</w:t>
      </w:r>
      <w:r>
        <w:rPr>
          <w:rFonts w:hint="eastAsia"/>
        </w:rPr>
        <w:t>共</w:t>
      </w:r>
      <w:r>
        <w:t>发生各类自然灾害561起（其中4起较大自然灾害，分别是“7·6”格宗镇绒坝沟、“7·17”太平桥乡三岔沟、“7·22”东谷镇、“7·25”巴底镇沈足沟；557起一般自然灾害）12个乡镇不同程度遭受山洪泥石流、滑坡、崩塌等自然灾害影响，灾损</w:t>
      </w:r>
      <w:r>
        <w:rPr>
          <w:rFonts w:hint="eastAsia"/>
        </w:rPr>
        <w:t>严</w:t>
      </w:r>
      <w:r>
        <w:t>重。</w:t>
      </w:r>
    </w:p>
    <w:p>
      <w:pPr>
        <w:overflowPunct w:val="0"/>
        <w:topLinePunct/>
        <w:adjustRightInd w:val="0"/>
        <w:snapToGrid w:val="0"/>
        <w:spacing w:line="576" w:lineRule="exact"/>
        <w:jc w:val="left"/>
      </w:pPr>
      <w:r>
        <w:rPr>
          <w:rFonts w:hint="eastAsia"/>
        </w:rPr>
        <w:t>县委县政府始终将人民生命财产安全放在首位，全力抢险救灾，尽快恢复受灾群众正常的生产生活，制定《丹巴县“6.17”梅龙沟山洪泥石流灾害损失评估报告》、《</w:t>
      </w:r>
      <w:r>
        <w:t>丹巴县“6·17”梅龙沟山洪泥石流灾害外全县面上灾后恢复重建实施方案</w:t>
      </w:r>
      <w:r>
        <w:rPr>
          <w:rFonts w:hint="eastAsia"/>
        </w:rPr>
        <w:t>》，</w:t>
      </w:r>
      <w:r>
        <w:t>两年基本完成</w:t>
      </w:r>
      <w:r>
        <w:rPr>
          <w:rFonts w:hint="eastAsia"/>
        </w:rPr>
        <w:t>包括</w:t>
      </w:r>
      <w:r>
        <w:rPr>
          <w:rFonts w:ascii="Times New Roman" w:hAnsi="Times New Roman" w:eastAsia="方正仿宋简体"/>
        </w:rPr>
        <w:t>格宗镇、太平桥乡、巴底镇、东谷镇</w:t>
      </w:r>
      <w:r>
        <w:rPr>
          <w:rFonts w:hint="eastAsia" w:ascii="Times New Roman" w:hAnsi="Times New Roman" w:eastAsia="方正仿宋简体"/>
        </w:rPr>
        <w:t>、</w:t>
      </w:r>
      <w:r>
        <w:rPr>
          <w:rFonts w:hint="eastAsia"/>
        </w:rPr>
        <w:t>半扇门镇阿娘沟一村、关州村、麦龙村、阿娘寨村、大邑村和墨尔多山镇红五月村、卡垭村、科尔金村、八科村等村镇的</w:t>
      </w:r>
      <w:r>
        <w:t>恢复重建任务，确保</w:t>
      </w:r>
      <w:r>
        <w:rPr>
          <w:rFonts w:hint="eastAsia"/>
        </w:rPr>
        <w:t>建成</w:t>
      </w:r>
      <w:r>
        <w:t>灾区生态环境自然美丽、灾害防治安全有效、产业发展提档升级、群众生活显著改善、人与自然和谐发展</w:t>
      </w:r>
      <w:r>
        <w:rPr>
          <w:rFonts w:hint="eastAsia"/>
        </w:rPr>
        <w:t>，脱贫攻坚成果进一步巩固，乡村振兴基础进一步夯实的新面貌。</w:t>
      </w:r>
    </w:p>
    <w:p>
      <w:pPr>
        <w:pStyle w:val="7"/>
      </w:pPr>
      <w:bookmarkStart w:id="29" w:name="_Toc65597925"/>
      <w:r>
        <w:rPr>
          <w:rFonts w:hint="eastAsia"/>
        </w:rPr>
        <w:t>第二节 全力抓好灾后重建</w:t>
      </w:r>
      <w:bookmarkEnd w:id="29"/>
    </w:p>
    <w:p>
      <w:pPr>
        <w:overflowPunct w:val="0"/>
        <w:topLinePunct/>
        <w:adjustRightInd w:val="0"/>
        <w:snapToGrid w:val="0"/>
        <w:spacing w:line="576" w:lineRule="exact"/>
        <w:jc w:val="left"/>
      </w:pPr>
      <w:r>
        <w:rPr>
          <w:rFonts w:hint="eastAsia"/>
        </w:rPr>
        <w:t>丹巴县“</w:t>
      </w:r>
      <w:r>
        <w:t>6.17”梅龙沟山洪泥石流灾后恢复重建实施方案项目</w:t>
      </w:r>
      <w:r>
        <w:rPr>
          <w:rFonts w:hint="eastAsia"/>
        </w:rPr>
        <w:t>合计</w:t>
      </w:r>
      <w:r>
        <w:rPr>
          <w:rFonts w:hint="eastAsia"/>
          <w:b/>
        </w:rPr>
        <w:t>128</w:t>
      </w:r>
      <w:r>
        <w:rPr>
          <w:rFonts w:hint="eastAsia"/>
        </w:rPr>
        <w:t>个。</w:t>
      </w:r>
      <w:r>
        <w:rPr>
          <w:b/>
        </w:rPr>
        <w:t>全力抓好农村住房重建。</w:t>
      </w:r>
      <w:r>
        <w:t>将农村居民住房摆在恢复重建的首要位置，按照安全适用、体现民族特色、保护生态和节约用地原则，统筹规划，突出重点，合理分配使用资金。农村居民住房采用重建方式。充分尊重群众农村住房重建意愿，采取统规自建、统规</w:t>
      </w:r>
      <w:r>
        <w:rPr>
          <w:rFonts w:hint="eastAsia"/>
        </w:rPr>
        <w:t>联</w:t>
      </w:r>
      <w:r>
        <w:t>建</w:t>
      </w:r>
      <w:r>
        <w:rPr>
          <w:rFonts w:hint="eastAsia"/>
        </w:rPr>
        <w:t>两种方式相结合</w:t>
      </w:r>
      <w:r>
        <w:t>，</w:t>
      </w:r>
      <w:r>
        <w:rPr>
          <w:rFonts w:hint="eastAsia"/>
        </w:rPr>
        <w:t>住房重建</w:t>
      </w:r>
      <w:r>
        <w:t>与乡村振兴、藏区新居、生态移民、幸福美丽新村建设相结合</w:t>
      </w:r>
      <w:r>
        <w:rPr>
          <w:rFonts w:hint="eastAsia"/>
        </w:rPr>
        <w:t>，国家</w:t>
      </w:r>
      <w:r>
        <w:t>给予一定补助</w:t>
      </w:r>
      <w:r>
        <w:rPr>
          <w:rFonts w:hint="eastAsia"/>
        </w:rPr>
        <w:t>。</w:t>
      </w:r>
      <w:r>
        <w:t>农村集中安置点</w:t>
      </w:r>
      <w:r>
        <w:rPr>
          <w:rFonts w:hint="eastAsia"/>
        </w:rPr>
        <w:t>，</w:t>
      </w:r>
      <w:r>
        <w:t>深入实施乡村振兴战略，围绕宜居、宜业、宜游的工作目标，着力打造</w:t>
      </w:r>
      <w:r>
        <w:rPr>
          <w:rFonts w:hint="eastAsia"/>
        </w:rPr>
        <w:t>3</w:t>
      </w:r>
      <w:r>
        <w:t>个农村集中安置点，建成设施完善、规模适度、功能配套、环境优美、管理有序的示范村寨。</w:t>
      </w:r>
    </w:p>
    <w:tbl>
      <w:tblPr>
        <w:tblStyle w:val="23"/>
        <w:tblW w:w="8783"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
      <w:tblGrid>
        <w:gridCol w:w="8783"/>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567" w:hRule="exact"/>
          <w:jc w:val="center"/>
        </w:trPr>
        <w:tc>
          <w:tcPr>
            <w:tcW w:w="8783" w:type="dxa"/>
            <w:tcBorders>
              <w:top w:val="outset" w:color="000000" w:sz="6" w:space="0"/>
              <w:left w:val="outset" w:color="000000" w:sz="6" w:space="0"/>
              <w:bottom w:val="outset" w:color="000000" w:sz="6" w:space="0"/>
              <w:right w:val="outset" w:color="000000" w:sz="6" w:space="0"/>
            </w:tcBorders>
            <w:shd w:val="clear" w:color="auto" w:fill="BFBFBF"/>
            <w:vAlign w:val="center"/>
          </w:tcPr>
          <w:p>
            <w:pPr>
              <w:pStyle w:val="31"/>
            </w:pPr>
            <w:r>
              <w:t>专栏</w:t>
            </w:r>
            <w:r>
              <w:rPr>
                <w:rFonts w:hint="eastAsia"/>
              </w:rPr>
              <w:t>2</w:t>
            </w:r>
            <w:r>
              <w:t xml:space="preserve">  农村居民住房</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283" w:hRule="atLeast"/>
          <w:jc w:val="center"/>
        </w:trPr>
        <w:tc>
          <w:tcPr>
            <w:tcW w:w="878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8"/>
              <w:adjustRightInd w:val="0"/>
              <w:snapToGrid w:val="0"/>
              <w:spacing w:line="560" w:lineRule="exact"/>
              <w:ind w:firstLine="481" w:firstLineChars="200"/>
              <w:rPr>
                <w:rFonts w:ascii="仿宋" w:eastAsia="仿宋"/>
                <w:sz w:val="24"/>
              </w:rPr>
            </w:pPr>
            <w:r>
              <w:rPr>
                <w:rFonts w:hint="eastAsia" w:ascii="仿宋" w:eastAsia="仿宋"/>
                <w:b/>
                <w:kern w:val="0"/>
                <w:sz w:val="24"/>
              </w:rPr>
              <w:t>1.农村居民住房：</w:t>
            </w:r>
            <w:r>
              <w:rPr>
                <w:rFonts w:hint="eastAsia" w:ascii="仿宋" w:eastAsia="仿宋"/>
                <w:sz w:val="24"/>
              </w:rPr>
              <w:t>重建222户、维修加固27户。其中，半扇门镇重建97户、维修加固12户；墨尔多山镇重建125户、维修加固15户。</w:t>
            </w:r>
          </w:p>
          <w:p>
            <w:pPr>
              <w:pStyle w:val="38"/>
              <w:adjustRightInd w:val="0"/>
              <w:snapToGrid w:val="0"/>
              <w:spacing w:line="560" w:lineRule="exact"/>
              <w:ind w:firstLine="481" w:firstLineChars="200"/>
              <w:rPr>
                <w:rFonts w:ascii="Times New Roman" w:hAnsi="Times New Roman"/>
                <w:b/>
                <w:sz w:val="24"/>
              </w:rPr>
            </w:pPr>
            <w:r>
              <w:rPr>
                <w:rFonts w:hint="eastAsia" w:ascii="仿宋" w:eastAsia="仿宋"/>
                <w:b/>
                <w:sz w:val="24"/>
              </w:rPr>
              <w:t>2.农村集中安置点：</w:t>
            </w:r>
            <w:r>
              <w:rPr>
                <w:rFonts w:hint="eastAsia" w:ascii="仿宋" w:eastAsia="仿宋"/>
                <w:sz w:val="24"/>
              </w:rPr>
              <w:t>着力打造半扇门镇阿娘沟一村集中安置点、半扇门镇关州村集中安置点、墨尔多山镇科尔金村集中安置点、墨尔多山镇红五月村集中安置点。</w:t>
            </w:r>
          </w:p>
        </w:tc>
      </w:tr>
    </w:tbl>
    <w:p>
      <w:pPr>
        <w:overflowPunct w:val="0"/>
        <w:topLinePunct/>
        <w:adjustRightInd w:val="0"/>
        <w:snapToGrid w:val="0"/>
        <w:spacing w:line="576" w:lineRule="exact"/>
        <w:jc w:val="left"/>
      </w:pPr>
      <w:r>
        <w:rPr>
          <w:b/>
        </w:rPr>
        <w:t>全力抓好公共服务设施重建。</w:t>
      </w:r>
      <w:r>
        <w:rPr>
          <w:rFonts w:hint="eastAsia"/>
        </w:rPr>
        <w:t>对受损严重的墨尔多山镇中心校等2所学校进行重建</w:t>
      </w:r>
      <w:r>
        <w:t>。对受损的半扇门镇和墨尔多山镇的8个村卫生室进行重建，购置设施设备。</w:t>
      </w:r>
      <w:r>
        <w:rPr>
          <w:rFonts w:hint="eastAsia"/>
        </w:rPr>
        <w:t>对受损半扇门镇和墨尔多山镇文化站物进行重建并购置文化站图书、文化设备等；对受损的8套村村响、256套户户通和8个村体育场地进行恢复。半扇门镇5个村级活动室和墨尔多山镇3个村级活动室进行基础设施和配套设施建设。</w:t>
      </w:r>
    </w:p>
    <w:tbl>
      <w:tblPr>
        <w:tblStyle w:val="23"/>
        <w:tblW w:w="8835"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
      <w:tblGrid>
        <w:gridCol w:w="883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60" w:type="dxa"/>
            <w:left w:w="60" w:type="dxa"/>
            <w:bottom w:w="60" w:type="dxa"/>
            <w:right w:w="60" w:type="dxa"/>
          </w:tblCellMar>
        </w:tblPrEx>
        <w:trPr>
          <w:trHeight w:val="567" w:hRule="exact"/>
          <w:jc w:val="center"/>
        </w:trPr>
        <w:tc>
          <w:tcPr>
            <w:tcW w:w="8835" w:type="dxa"/>
            <w:tcBorders>
              <w:top w:val="outset" w:color="000000" w:sz="6" w:space="0"/>
              <w:left w:val="outset" w:color="000000" w:sz="6" w:space="0"/>
              <w:bottom w:val="outset" w:color="000000" w:sz="6" w:space="0"/>
              <w:right w:val="outset" w:color="000000" w:sz="6" w:space="0"/>
            </w:tcBorders>
            <w:shd w:val="clear" w:color="auto" w:fill="BFBFBF"/>
            <w:vAlign w:val="center"/>
          </w:tcPr>
          <w:p>
            <w:pPr>
              <w:pStyle w:val="31"/>
            </w:pPr>
            <w:r>
              <w:t>专栏</w:t>
            </w:r>
            <w:r>
              <w:rPr>
                <w:rFonts w:hint="eastAsia"/>
              </w:rPr>
              <w:t>3</w:t>
            </w:r>
            <w:r>
              <w:t xml:space="preserve">  公共服务设施</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60" w:type="dxa"/>
            <w:left w:w="60" w:type="dxa"/>
            <w:bottom w:w="60" w:type="dxa"/>
            <w:right w:w="60" w:type="dxa"/>
          </w:tblCellMar>
        </w:tblPrEx>
        <w:trPr>
          <w:trHeight w:val="284" w:hRule="atLeast"/>
          <w:jc w:val="center"/>
        </w:trPr>
        <w:tc>
          <w:tcPr>
            <w:tcW w:w="883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8"/>
              <w:adjustRightInd w:val="0"/>
              <w:snapToGrid w:val="0"/>
              <w:spacing w:line="560" w:lineRule="exact"/>
              <w:ind w:firstLine="481" w:firstLineChars="200"/>
              <w:rPr>
                <w:rFonts w:ascii="仿宋" w:eastAsia="仿宋"/>
                <w:sz w:val="24"/>
              </w:rPr>
            </w:pPr>
            <w:r>
              <w:rPr>
                <w:rFonts w:hint="eastAsia" w:ascii="仿宋" w:eastAsia="仿宋"/>
                <w:b/>
                <w:kern w:val="0"/>
                <w:sz w:val="24"/>
              </w:rPr>
              <w:t>1.</w:t>
            </w:r>
            <w:r>
              <w:rPr>
                <w:rFonts w:ascii="仿宋" w:eastAsia="仿宋"/>
                <w:b/>
                <w:kern w:val="0"/>
                <w:sz w:val="24"/>
              </w:rPr>
              <w:t>教育设施：</w:t>
            </w:r>
            <w:r>
              <w:rPr>
                <w:rFonts w:hint="eastAsia" w:ascii="仿宋" w:eastAsia="仿宋"/>
                <w:kern w:val="0"/>
                <w:sz w:val="24"/>
              </w:rPr>
              <w:t>墨尔多山镇卡垭小学校新建围墙70米，堡坎450立方米，饮水管网600米，硬化运动场2000平方米，新建篮球场地板840平方米，重建厕所一所，新建高压电杆、高压架空线400米及设备设施。墨尔多山镇丹巴高中饮水管网修复工程。</w:t>
            </w:r>
          </w:p>
          <w:p>
            <w:pPr>
              <w:pStyle w:val="38"/>
              <w:adjustRightInd w:val="0"/>
              <w:snapToGrid w:val="0"/>
              <w:spacing w:line="560" w:lineRule="exact"/>
              <w:ind w:firstLine="481" w:firstLineChars="200"/>
              <w:rPr>
                <w:rFonts w:ascii="仿宋" w:eastAsia="仿宋"/>
                <w:sz w:val="24"/>
              </w:rPr>
            </w:pPr>
            <w:r>
              <w:rPr>
                <w:rFonts w:hint="eastAsia" w:ascii="仿宋" w:eastAsia="仿宋"/>
                <w:b/>
                <w:sz w:val="24"/>
              </w:rPr>
              <w:t>2.</w:t>
            </w:r>
            <w:r>
              <w:rPr>
                <w:rFonts w:ascii="仿宋" w:eastAsia="仿宋"/>
                <w:b/>
                <w:sz w:val="24"/>
              </w:rPr>
              <w:t>医疗卫生设施：</w:t>
            </w:r>
            <w:r>
              <w:rPr>
                <w:rFonts w:hint="eastAsia" w:ascii="仿宋" w:eastAsia="仿宋"/>
                <w:sz w:val="24"/>
              </w:rPr>
              <w:t>重建半扇门镇关州村、麦龙村、阿娘寨村、阿娘沟一村、大邑村5个卫生室和墨尔多山镇红五月村、卡尔金村、卡垭村3个卫生室，购置设施设备。</w:t>
            </w:r>
          </w:p>
          <w:p>
            <w:pPr>
              <w:pStyle w:val="38"/>
              <w:adjustRightInd w:val="0"/>
              <w:snapToGrid w:val="0"/>
              <w:spacing w:line="560" w:lineRule="exact"/>
              <w:ind w:firstLine="481" w:firstLineChars="200"/>
              <w:rPr>
                <w:rStyle w:val="35"/>
                <w:rFonts w:ascii="仿宋" w:eastAsia="仿宋"/>
                <w:kern w:val="0"/>
                <w:sz w:val="24"/>
              </w:rPr>
            </w:pPr>
            <w:r>
              <w:rPr>
                <w:rStyle w:val="35"/>
                <w:rFonts w:hint="eastAsia" w:ascii="仿宋" w:eastAsia="仿宋"/>
                <w:b/>
                <w:kern w:val="0"/>
                <w:sz w:val="24"/>
              </w:rPr>
              <w:t>3.</w:t>
            </w:r>
            <w:r>
              <w:rPr>
                <w:rStyle w:val="35"/>
                <w:rFonts w:ascii="仿宋" w:eastAsia="仿宋"/>
                <w:b/>
                <w:kern w:val="0"/>
                <w:sz w:val="24"/>
              </w:rPr>
              <w:t>公共文化和体育设施：</w:t>
            </w:r>
            <w:r>
              <w:rPr>
                <w:rFonts w:hint="eastAsia" w:ascii="仿宋" w:eastAsia="仿宋"/>
                <w:sz w:val="24"/>
              </w:rPr>
              <w:t>重建半扇门镇关州村、麦龙村、阿娘寨村、阿娘沟一村、大邑村5个文化室和墨尔多山镇红五月村、卡尔金村、卡垭村3个文化室。购置设施设备。对受损的8套村村响、256套户户通和8个村体育场地进行恢复。</w:t>
            </w:r>
          </w:p>
          <w:p>
            <w:pPr>
              <w:pStyle w:val="38"/>
              <w:adjustRightInd w:val="0"/>
              <w:snapToGrid w:val="0"/>
              <w:spacing w:line="560" w:lineRule="exact"/>
              <w:ind w:firstLine="481" w:firstLineChars="200"/>
              <w:rPr>
                <w:rFonts w:ascii="Times New Roman" w:hAnsi="Times New Roman" w:eastAsia="宋体"/>
                <w:b/>
                <w:sz w:val="24"/>
              </w:rPr>
            </w:pPr>
            <w:r>
              <w:rPr>
                <w:rFonts w:hint="eastAsia" w:ascii="仿宋" w:eastAsia="仿宋"/>
                <w:b/>
                <w:sz w:val="24"/>
              </w:rPr>
              <w:t>4.</w:t>
            </w:r>
            <w:r>
              <w:rPr>
                <w:rFonts w:ascii="仿宋" w:eastAsia="仿宋"/>
                <w:b/>
                <w:sz w:val="24"/>
              </w:rPr>
              <w:t>社会管理：</w:t>
            </w:r>
            <w:r>
              <w:rPr>
                <w:rFonts w:hint="eastAsia" w:ascii="仿宋" w:eastAsia="仿宋"/>
                <w:sz w:val="24"/>
              </w:rPr>
              <w:t>重建半扇门镇关州村、麦龙村、阿娘寨村、阿娘沟一村、大邑村5个村级办公场所和墨尔多山镇红五月村、卡尔金村、卡垭村3个村级办公场所，购置设施设备。</w:t>
            </w:r>
          </w:p>
        </w:tc>
      </w:tr>
    </w:tbl>
    <w:p>
      <w:pPr>
        <w:overflowPunct w:val="0"/>
        <w:topLinePunct/>
        <w:adjustRightInd w:val="0"/>
        <w:snapToGrid w:val="0"/>
        <w:jc w:val="left"/>
      </w:pPr>
      <w:r>
        <w:rPr>
          <w:b/>
        </w:rPr>
        <w:t>全力抓好基础设施重建。</w:t>
      </w:r>
      <w:r>
        <w:rPr>
          <w:rFonts w:hint="eastAsia"/>
          <w:bCs/>
        </w:rPr>
        <w:t>灾后恢复</w:t>
      </w:r>
      <w:r>
        <w:rPr>
          <w:rFonts w:hint="eastAsia"/>
        </w:rPr>
        <w:t>重建G350线小金至丹巴段；G248线丹巴至八美段；S217线瓦丹路梭坡观景台滑坡路段路基沉降治理工程；新改建和整治半扇门镇、墨尔多山镇及全县灾毁农村公路与桥梁。</w:t>
      </w:r>
      <w:r>
        <w:t>恢复重建和新建</w:t>
      </w:r>
      <w:r>
        <w:rPr>
          <w:rFonts w:hint="eastAsia"/>
        </w:rPr>
        <w:t>半扇门镇和墨尔多山镇</w:t>
      </w:r>
      <w:r>
        <w:t>堤防</w:t>
      </w:r>
      <w:r>
        <w:rPr>
          <w:rFonts w:hint="eastAsia"/>
        </w:rPr>
        <w:t>工程</w:t>
      </w:r>
      <w:r>
        <w:t>；恢复重建</w:t>
      </w:r>
      <w:r>
        <w:rPr>
          <w:rFonts w:hint="eastAsia"/>
        </w:rPr>
        <w:t>半扇门镇和墨尔多山镇</w:t>
      </w:r>
      <w:r>
        <w:t>饮水管网及安全饮水设施；</w:t>
      </w:r>
      <w:r>
        <w:rPr>
          <w:rFonts w:hint="eastAsia"/>
        </w:rPr>
        <w:t>新建半扇门镇集中安置点供水工程；进行半扇门镇关州村水土保持综合治理工程；实施2处山洪沟治理项目。</w:t>
      </w:r>
      <w:r>
        <w:t>新建</w:t>
      </w:r>
      <w:r>
        <w:rPr>
          <w:rFonts w:hint="eastAsia"/>
        </w:rPr>
        <w:t>7个村垃圾转运站；新建两处旅游厕所；重建半扇门镇阿娘沟一村旅游服务点。</w:t>
      </w:r>
    </w:p>
    <w:tbl>
      <w:tblPr>
        <w:tblStyle w:val="23"/>
        <w:tblW w:w="8768"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
      <w:tblGrid>
        <w:gridCol w:w="8768"/>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60" w:type="dxa"/>
            <w:left w:w="60" w:type="dxa"/>
            <w:bottom w:w="60" w:type="dxa"/>
            <w:right w:w="60" w:type="dxa"/>
          </w:tblCellMar>
        </w:tblPrEx>
        <w:trPr>
          <w:trHeight w:val="567" w:hRule="exact"/>
          <w:jc w:val="center"/>
        </w:trPr>
        <w:tc>
          <w:tcPr>
            <w:tcW w:w="8768" w:type="dxa"/>
            <w:tcBorders>
              <w:top w:val="outset" w:color="000000" w:sz="6" w:space="0"/>
              <w:left w:val="outset" w:color="000000" w:sz="6" w:space="0"/>
              <w:bottom w:val="outset" w:color="000000" w:sz="6" w:space="0"/>
              <w:right w:val="outset" w:color="000000" w:sz="6" w:space="0"/>
            </w:tcBorders>
            <w:shd w:val="clear" w:color="auto" w:fill="BFBFBF"/>
            <w:vAlign w:val="center"/>
          </w:tcPr>
          <w:p>
            <w:pPr>
              <w:pStyle w:val="31"/>
            </w:pPr>
            <w:r>
              <w:t>专栏</w:t>
            </w:r>
            <w:r>
              <w:rPr>
                <w:rFonts w:hint="eastAsia"/>
              </w:rPr>
              <w:t>4</w:t>
            </w:r>
            <w:r>
              <w:t xml:space="preserve">  基础设施</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60" w:type="dxa"/>
            <w:left w:w="60" w:type="dxa"/>
            <w:bottom w:w="60" w:type="dxa"/>
            <w:right w:w="60" w:type="dxa"/>
          </w:tblCellMar>
        </w:tblPrEx>
        <w:trPr>
          <w:trHeight w:val="90" w:hRule="atLeast"/>
          <w:jc w:val="center"/>
        </w:trPr>
        <w:tc>
          <w:tcPr>
            <w:tcW w:w="8768"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8"/>
              <w:adjustRightInd w:val="0"/>
              <w:snapToGrid w:val="0"/>
              <w:spacing w:line="560" w:lineRule="exact"/>
              <w:ind w:firstLine="481" w:firstLineChars="200"/>
              <w:rPr>
                <w:rFonts w:ascii="仿宋" w:eastAsia="仿宋"/>
                <w:sz w:val="24"/>
              </w:rPr>
            </w:pPr>
            <w:r>
              <w:rPr>
                <w:rFonts w:hint="eastAsia" w:ascii="仿宋" w:eastAsia="仿宋"/>
                <w:b/>
                <w:sz w:val="24"/>
              </w:rPr>
              <w:t>1.</w:t>
            </w:r>
            <w:r>
              <w:rPr>
                <w:rFonts w:ascii="仿宋" w:eastAsia="仿宋"/>
                <w:b/>
                <w:sz w:val="24"/>
              </w:rPr>
              <w:t>交通：</w:t>
            </w:r>
            <w:r>
              <w:rPr>
                <w:rFonts w:hint="eastAsia" w:ascii="仿宋" w:eastAsia="仿宋"/>
                <w:sz w:val="24"/>
              </w:rPr>
              <w:t>新改建G350线小金至丹巴段（烂水湾—红五月）新建3公里隧道一座，新建阿娘沟桥一座80米，二级公路4公里；S217线瓦丹路梭坡观景台滑坡路段路基沉降治理；恢复重建农村公路72.24公里、涵洞20个及附属设施；新建农村公路桥梁19座；采购农村客运招呼站牌10个。</w:t>
            </w:r>
          </w:p>
          <w:p>
            <w:pPr>
              <w:pStyle w:val="38"/>
              <w:adjustRightInd w:val="0"/>
              <w:snapToGrid w:val="0"/>
              <w:spacing w:line="560" w:lineRule="exact"/>
              <w:ind w:firstLine="481" w:firstLineChars="200"/>
              <w:rPr>
                <w:rFonts w:ascii="仿宋" w:eastAsia="仿宋"/>
                <w:sz w:val="24"/>
              </w:rPr>
            </w:pPr>
            <w:r>
              <w:rPr>
                <w:rFonts w:hint="eastAsia" w:ascii="仿宋" w:eastAsia="仿宋"/>
                <w:b/>
                <w:sz w:val="24"/>
              </w:rPr>
              <w:t>2.</w:t>
            </w:r>
            <w:r>
              <w:rPr>
                <w:rFonts w:ascii="仿宋" w:eastAsia="仿宋"/>
                <w:b/>
                <w:sz w:val="24"/>
              </w:rPr>
              <w:t>水利基础设施：</w:t>
            </w:r>
            <w:r>
              <w:rPr>
                <w:rFonts w:ascii="仿宋" w:eastAsia="仿宋"/>
                <w:sz w:val="24"/>
              </w:rPr>
              <w:t>恢复重建和新建</w:t>
            </w:r>
            <w:r>
              <w:rPr>
                <w:rFonts w:hint="eastAsia" w:ascii="仿宋" w:eastAsia="仿宋"/>
                <w:sz w:val="24"/>
              </w:rPr>
              <w:t>半扇门镇和墨尔多山镇</w:t>
            </w:r>
            <w:r>
              <w:rPr>
                <w:rFonts w:ascii="仿宋" w:eastAsia="仿宋"/>
                <w:sz w:val="24"/>
              </w:rPr>
              <w:t>乡镇堤防</w:t>
            </w:r>
            <w:r>
              <w:rPr>
                <w:rFonts w:hint="eastAsia" w:ascii="仿宋" w:eastAsia="仿宋"/>
                <w:sz w:val="24"/>
              </w:rPr>
              <w:t>22.22</w:t>
            </w:r>
            <w:r>
              <w:rPr>
                <w:rFonts w:ascii="仿宋" w:eastAsia="仿宋"/>
                <w:sz w:val="24"/>
              </w:rPr>
              <w:t>公里；</w:t>
            </w:r>
            <w:r>
              <w:rPr>
                <w:rFonts w:hint="eastAsia" w:ascii="仿宋" w:eastAsia="仿宋"/>
                <w:sz w:val="24"/>
              </w:rPr>
              <w:t>新建集中供水厂一座，供水厂设施设备一套，输配水管网11.5公里；新建防洪堤4.2公里；新建取水设施两处，供水管网4.3公里，排污管网9.6公里及配套设施设备；治理水土流失21平方公里，恢复农田360亩，作业路4公里，谷坊3座，水池5口，三面光水渠5公里，管道10公里，封禁治理1平方公里，经果林6.6公顷。</w:t>
            </w:r>
          </w:p>
          <w:p>
            <w:pPr>
              <w:pStyle w:val="38"/>
              <w:spacing w:line="560" w:lineRule="exact"/>
              <w:ind w:firstLine="481" w:firstLineChars="200"/>
              <w:rPr>
                <w:rFonts w:ascii="Times New Roman" w:hAnsi="Times New Roman" w:eastAsia="宋体"/>
                <w:b/>
                <w:sz w:val="24"/>
              </w:rPr>
            </w:pPr>
            <w:r>
              <w:rPr>
                <w:rFonts w:hint="eastAsia" w:ascii="仿宋" w:eastAsia="仿宋"/>
                <w:b/>
                <w:sz w:val="24"/>
              </w:rPr>
              <w:t>3.</w:t>
            </w:r>
            <w:r>
              <w:rPr>
                <w:rFonts w:ascii="仿宋" w:eastAsia="仿宋"/>
                <w:b/>
                <w:sz w:val="24"/>
              </w:rPr>
              <w:t>市政基础设施：</w:t>
            </w:r>
            <w:r>
              <w:rPr>
                <w:rFonts w:hint="eastAsia" w:ascii="仿宋" w:eastAsia="仿宋"/>
                <w:sz w:val="24"/>
              </w:rPr>
              <w:t>新建半扇门镇和墨尔多山镇7个村垃圾处理设施；新建两座旅游厕所；修建停车场、售卖厅、廊亭、旅游公厕及旅游附属设施。</w:t>
            </w:r>
          </w:p>
        </w:tc>
      </w:tr>
    </w:tbl>
    <w:p>
      <w:pPr>
        <w:overflowPunct w:val="0"/>
        <w:topLinePunct/>
        <w:adjustRightInd w:val="0"/>
        <w:snapToGrid w:val="0"/>
        <w:spacing w:line="576" w:lineRule="exact"/>
        <w:jc w:val="left"/>
      </w:pPr>
      <w:r>
        <w:rPr>
          <w:b/>
        </w:rPr>
        <w:t>全力抓好地质灾害防治。</w:t>
      </w:r>
      <w:r>
        <w:rPr>
          <w:rFonts w:hint="eastAsia"/>
        </w:rPr>
        <w:t>对丹巴县半扇门镇阿娘寨滑坡、甲居滑坡群、章谷镇庄房滑坡等安全隐患突出的地质灾害隐患进行专业监测；进一步加强对城区地质灾害的治理力度，开展三岔河新桥桥头危岩、三岔河北路危岩、大风湾危岩、边巴卓玛屋后危岩等重点隐患点的工程治理；开展半扇门镇梅龙沟泥石流、丹巴中学危岩、巴底镇色足桥头危岩崩塌等重大地质灾害隐患点的工程治理；新建半扇门镇和墨尔多山镇避险场所；进一步提升全县防灾减灾能力建设，配置相关设施设备。</w:t>
      </w:r>
    </w:p>
    <w:tbl>
      <w:tblPr>
        <w:tblStyle w:val="23"/>
        <w:tblW w:w="8783"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
      <w:tblGrid>
        <w:gridCol w:w="8783"/>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60" w:type="dxa"/>
            <w:left w:w="60" w:type="dxa"/>
            <w:bottom w:w="60" w:type="dxa"/>
            <w:right w:w="60" w:type="dxa"/>
          </w:tblCellMar>
        </w:tblPrEx>
        <w:trPr>
          <w:trHeight w:val="567" w:hRule="exact"/>
          <w:jc w:val="center"/>
        </w:trPr>
        <w:tc>
          <w:tcPr>
            <w:tcW w:w="878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1"/>
              <w:shd w:val="clear" w:color="auto" w:fill="BFBFBF"/>
              <w:rPr>
                <w:rFonts w:ascii="仿宋_GB2312" w:eastAsia="仿宋_GB2312"/>
                <w:sz w:val="32"/>
              </w:rPr>
            </w:pPr>
            <w:r>
              <w:rPr>
                <w:rFonts w:hint="eastAsia"/>
              </w:rPr>
              <w:t>专栏5  地质灾害整治</w:t>
            </w:r>
          </w:p>
          <w:p>
            <w:pPr>
              <w:pStyle w:val="36"/>
              <w:adjustRightInd w:val="0"/>
              <w:snapToGrid w:val="0"/>
              <w:spacing w:line="560" w:lineRule="exact"/>
              <w:ind w:left="2560" w:firstLine="482"/>
              <w:jc w:val="center"/>
              <w:rPr>
                <w:rFonts w:ascii="Times New Roman" w:hAnsi="Times New Roman" w:eastAsia="楷体_GB2312"/>
                <w:b/>
                <w:kern w:val="0"/>
                <w:sz w:val="24"/>
                <w:szCs w:val="24"/>
              </w:rPr>
            </w:pPr>
            <w:r>
              <w:rPr>
                <w:rFonts w:ascii="Times New Roman" w:hAnsi="Times New Roman" w:eastAsia="楷体_GB2312"/>
                <w:b/>
                <w:kern w:val="0"/>
                <w:sz w:val="24"/>
                <w:szCs w:val="24"/>
              </w:rPr>
              <w:t>专栏4  地质灾害防治</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095" w:hRule="atLeast"/>
          <w:jc w:val="center"/>
        </w:trPr>
        <w:tc>
          <w:tcPr>
            <w:tcW w:w="8783" w:type="dxa"/>
            <w:tcBorders>
              <w:top w:val="outset" w:color="000000" w:sz="6" w:space="0"/>
              <w:left w:val="outset" w:color="000000" w:sz="6" w:space="0"/>
              <w:bottom w:val="outset" w:color="000000" w:sz="6" w:space="0"/>
              <w:right w:val="outset" w:color="000000" w:sz="6" w:space="0"/>
            </w:tcBorders>
            <w:shd w:val="clear" w:color="auto" w:fill="FFFFFF"/>
            <w:vAlign w:val="center"/>
          </w:tcPr>
          <w:p>
            <w:pPr>
              <w:adjustRightInd w:val="0"/>
              <w:snapToGrid w:val="0"/>
              <w:rPr>
                <w:sz w:val="24"/>
              </w:rPr>
            </w:pPr>
            <w:r>
              <w:rPr>
                <w:rFonts w:hint="eastAsia"/>
                <w:b/>
                <w:sz w:val="24"/>
              </w:rPr>
              <w:t>1.</w:t>
            </w:r>
            <w:r>
              <w:rPr>
                <w:b/>
                <w:sz w:val="24"/>
              </w:rPr>
              <w:t>地质灾害预防</w:t>
            </w:r>
            <w:r>
              <w:rPr>
                <w:rFonts w:hint="eastAsia"/>
                <w:b/>
                <w:sz w:val="24"/>
              </w:rPr>
              <w:t>：</w:t>
            </w:r>
            <w:r>
              <w:rPr>
                <w:rFonts w:hint="eastAsia"/>
                <w:bCs/>
                <w:sz w:val="24"/>
              </w:rPr>
              <w:t>进一步扩大普适型监测预警设备的安装使用覆盖面，提升群专结合的监测预警能力</w:t>
            </w:r>
            <w:r>
              <w:rPr>
                <w:bCs/>
                <w:sz w:val="24"/>
              </w:rPr>
              <w:t>；</w:t>
            </w:r>
            <w:r>
              <w:rPr>
                <w:sz w:val="24"/>
              </w:rPr>
              <w:t>开展</w:t>
            </w:r>
            <w:r>
              <w:rPr>
                <w:rFonts w:hint="eastAsia"/>
                <w:sz w:val="24"/>
              </w:rPr>
              <w:t>避险搬迁安置户新房选址的</w:t>
            </w:r>
            <w:r>
              <w:rPr>
                <w:sz w:val="24"/>
              </w:rPr>
              <w:t>地质灾害危险性评估；</w:t>
            </w:r>
          </w:p>
          <w:p>
            <w:pPr>
              <w:adjustRightInd w:val="0"/>
              <w:snapToGrid w:val="0"/>
              <w:rPr>
                <w:sz w:val="24"/>
              </w:rPr>
            </w:pPr>
            <w:r>
              <w:rPr>
                <w:rFonts w:hint="eastAsia"/>
                <w:b/>
                <w:sz w:val="24"/>
              </w:rPr>
              <w:t>2.</w:t>
            </w:r>
            <w:r>
              <w:rPr>
                <w:b/>
                <w:sz w:val="24"/>
              </w:rPr>
              <w:t>地质灾害整治</w:t>
            </w:r>
            <w:r>
              <w:rPr>
                <w:rFonts w:hint="eastAsia"/>
                <w:b/>
                <w:sz w:val="24"/>
              </w:rPr>
              <w:t>：</w:t>
            </w:r>
            <w:r>
              <w:rPr>
                <w:rFonts w:hint="eastAsia"/>
                <w:bCs/>
                <w:sz w:val="24"/>
              </w:rPr>
              <w:t>对三岔河新桥桥头危岩、梅龙沟泥石流等34处地灾隐患点实施工程治理、排危除险；对已建地灾治理项目加强维修加固和清淤</w:t>
            </w:r>
            <w:r>
              <w:rPr>
                <w:sz w:val="24"/>
              </w:rPr>
              <w:t>。</w:t>
            </w:r>
          </w:p>
          <w:p>
            <w:pPr>
              <w:adjustRightInd w:val="0"/>
              <w:snapToGrid w:val="0"/>
              <w:rPr>
                <w:sz w:val="24"/>
              </w:rPr>
            </w:pPr>
            <w:r>
              <w:rPr>
                <w:b/>
                <w:sz w:val="24"/>
              </w:rPr>
              <w:t>3.防灾减灾能力提升</w:t>
            </w:r>
            <w:r>
              <w:rPr>
                <w:rFonts w:hint="eastAsia"/>
                <w:b/>
                <w:sz w:val="24"/>
              </w:rPr>
              <w:t>：</w:t>
            </w:r>
            <w:r>
              <w:rPr>
                <w:sz w:val="24"/>
              </w:rPr>
              <w:t>购置配备应急监测调查装备设备，储备地质灾害应急抢险救灾物资，全面提升防灾减灾能力。</w:t>
            </w:r>
          </w:p>
          <w:p>
            <w:pPr>
              <w:adjustRightInd w:val="0"/>
              <w:snapToGrid w:val="0"/>
              <w:rPr>
                <w:rFonts w:ascii="Times New Roman" w:hAnsi="Times New Roman" w:eastAsia="方正仿宋简体"/>
                <w:sz w:val="24"/>
              </w:rPr>
            </w:pPr>
            <w:r>
              <w:rPr>
                <w:rFonts w:hint="eastAsia"/>
                <w:b/>
                <w:sz w:val="24"/>
              </w:rPr>
              <w:t>4.避险场所：</w:t>
            </w:r>
            <w:r>
              <w:rPr>
                <w:rFonts w:hint="eastAsia"/>
                <w:sz w:val="24"/>
              </w:rPr>
              <w:t>新建半扇门镇、墨尔多山镇两镇的应急避险场所。</w:t>
            </w:r>
          </w:p>
        </w:tc>
      </w:tr>
    </w:tbl>
    <w:p>
      <w:pPr>
        <w:adjustRightInd w:val="0"/>
        <w:snapToGrid w:val="0"/>
        <w:rPr>
          <w:rFonts w:ascii="Times New Roman" w:hAnsi="Times New Roman" w:eastAsia="方正仿宋简体"/>
          <w:sz w:val="24"/>
        </w:rPr>
      </w:pPr>
    </w:p>
    <w:p>
      <w:pPr>
        <w:pStyle w:val="2"/>
      </w:pPr>
      <w:r>
        <w:br w:type="page"/>
      </w:r>
    </w:p>
    <w:p>
      <w:pPr>
        <w:spacing w:line="576" w:lineRule="exact"/>
        <w:rPr>
          <w:rFonts w:ascii="Times New Roman" w:hAnsi="Times New Roman" w:eastAsia="方正仿宋简体"/>
        </w:rPr>
      </w:pPr>
      <w:r>
        <w:rPr>
          <w:rFonts w:ascii="Times New Roman" w:hAnsi="Times New Roman" w:eastAsia="方正仿宋简体"/>
          <w:b/>
        </w:rPr>
        <w:t>丹巴县“6·17”梅龙沟山洪泥石流灾害外全县面上灾后恢复重建实施方案</w:t>
      </w:r>
      <w:r>
        <w:rPr>
          <w:rFonts w:hint="eastAsia" w:ascii="Times New Roman" w:hAnsi="Times New Roman" w:eastAsia="方正仿宋简体"/>
        </w:rPr>
        <w:t>。</w:t>
      </w:r>
      <w:r>
        <w:rPr>
          <w:rFonts w:ascii="Times New Roman" w:hAnsi="Times New Roman" w:eastAsia="方正仿宋简体"/>
        </w:rPr>
        <w:t>重建农村住房17户，维修加固受损住房53户。</w:t>
      </w:r>
    </w:p>
    <w:tbl>
      <w:tblPr>
        <w:tblStyle w:val="23"/>
        <w:tblW w:w="8783"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
      <w:tblGrid>
        <w:gridCol w:w="8783"/>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567" w:hRule="exact"/>
          <w:jc w:val="center"/>
        </w:trPr>
        <w:tc>
          <w:tcPr>
            <w:tcW w:w="8783" w:type="dxa"/>
            <w:tcBorders>
              <w:top w:val="outset" w:color="000000" w:sz="6" w:space="0"/>
              <w:left w:val="outset" w:color="000000" w:sz="6" w:space="0"/>
              <w:bottom w:val="outset" w:color="000000" w:sz="6" w:space="0"/>
              <w:right w:val="outset" w:color="000000" w:sz="6" w:space="0"/>
            </w:tcBorders>
            <w:shd w:val="clear" w:color="auto" w:fill="BFBFBF"/>
            <w:vAlign w:val="center"/>
          </w:tcPr>
          <w:p>
            <w:pPr>
              <w:pStyle w:val="31"/>
            </w:pPr>
            <w:r>
              <w:t>专栏</w:t>
            </w:r>
            <w:r>
              <w:rPr>
                <w:rFonts w:hint="eastAsia"/>
              </w:rPr>
              <w:t>6</w:t>
            </w:r>
            <w:r>
              <w:t xml:space="preserve">  农村居民住房</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283" w:hRule="atLeast"/>
          <w:jc w:val="center"/>
        </w:trPr>
        <w:tc>
          <w:tcPr>
            <w:tcW w:w="8783" w:type="dxa"/>
            <w:tcBorders>
              <w:top w:val="outset" w:color="000000" w:sz="6" w:space="0"/>
              <w:left w:val="outset" w:color="000000" w:sz="6" w:space="0"/>
              <w:bottom w:val="outset" w:color="000000" w:sz="6" w:space="0"/>
              <w:right w:val="outset" w:color="000000" w:sz="6" w:space="0"/>
            </w:tcBorders>
            <w:shd w:val="clear" w:color="auto" w:fill="FFFFFF"/>
            <w:vAlign w:val="center"/>
          </w:tcPr>
          <w:p>
            <w:pPr>
              <w:adjustRightInd w:val="0"/>
              <w:snapToGrid w:val="0"/>
              <w:rPr>
                <w:sz w:val="24"/>
              </w:rPr>
            </w:pPr>
            <w:r>
              <w:rPr>
                <w:b/>
                <w:sz w:val="24"/>
              </w:rPr>
              <w:t>农村居民住房：</w:t>
            </w:r>
            <w:r>
              <w:rPr>
                <w:sz w:val="24"/>
              </w:rPr>
              <w:t>重建17户、维修加固53户。其中，墨尔多山镇重建2户、维修加固3户；太平桥乡重建4户、维修加固1户；东谷镇维修加固8户；巴底镇重建2户、维修加固2户；章谷镇重建3户；格宗镇重建6户、维修加固14户；半扇门镇维修加固6户；革什扎镇维修加固13户；巴旺乡维修加固6户。</w:t>
            </w:r>
          </w:p>
        </w:tc>
      </w:tr>
    </w:tbl>
    <w:p>
      <w:pPr>
        <w:adjustRightInd w:val="0"/>
        <w:snapToGrid w:val="0"/>
        <w:spacing w:line="576" w:lineRule="exact"/>
        <w:rPr>
          <w:rFonts w:ascii="Times New Roman" w:hAnsi="Times New Roman" w:eastAsia="方正仿宋简体"/>
        </w:rPr>
      </w:pPr>
      <w:r>
        <w:rPr>
          <w:rFonts w:ascii="Times New Roman" w:hAnsi="Times New Roman" w:eastAsia="方正楷体简体"/>
          <w:b/>
        </w:rPr>
        <w:t>全力抓好基础设施重建。</w:t>
      </w:r>
      <w:r>
        <w:rPr>
          <w:rFonts w:ascii="Times New Roman" w:hAnsi="Times New Roman" w:eastAsia="方正仿宋简体"/>
          <w:b/>
        </w:rPr>
        <w:t>交通设施。</w:t>
      </w:r>
      <w:r>
        <w:rPr>
          <w:rFonts w:ascii="Times New Roman" w:hAnsi="Times New Roman" w:eastAsia="方正仿宋简体"/>
        </w:rPr>
        <w:t>改建中路、革什扎至丹东通乡公路共计8.2公里路基路面恢复；改建墨尔多山镇、巴底镇、太平桥乡、格宗镇、革什扎镇、章谷镇、半扇门镇、巴旺乡、梭坡乡、丹东镇、</w:t>
      </w:r>
      <w:r>
        <w:rPr>
          <w:rFonts w:hint="eastAsia" w:ascii="Times New Roman" w:hAnsi="Times New Roman" w:eastAsia="方正仿宋简体"/>
        </w:rPr>
        <w:t>甲居镇、</w:t>
      </w:r>
      <w:r>
        <w:rPr>
          <w:rFonts w:ascii="Times New Roman" w:hAnsi="Times New Roman" w:eastAsia="方正仿宋简体"/>
        </w:rPr>
        <w:t>东谷镇</w:t>
      </w:r>
      <w:r>
        <w:rPr>
          <w:rFonts w:hint="eastAsia" w:ascii="Times New Roman" w:hAnsi="Times New Roman" w:eastAsia="方正仿宋简体"/>
        </w:rPr>
        <w:t>灾毁</w:t>
      </w:r>
      <w:r>
        <w:rPr>
          <w:rFonts w:ascii="Times New Roman" w:hAnsi="Times New Roman" w:eastAsia="方正仿宋简体"/>
        </w:rPr>
        <w:t>农村公路共计</w:t>
      </w:r>
      <w:r>
        <w:rPr>
          <w:rFonts w:hint="eastAsia" w:ascii="Times New Roman" w:hAnsi="Times New Roman" w:eastAsia="方正仿宋简体"/>
        </w:rPr>
        <w:t>72.24</w:t>
      </w:r>
      <w:r>
        <w:rPr>
          <w:rFonts w:ascii="Times New Roman" w:hAnsi="Times New Roman" w:eastAsia="方正仿宋简体"/>
        </w:rPr>
        <w:t>公里路基路面；新建</w:t>
      </w:r>
      <w:r>
        <w:rPr>
          <w:rFonts w:hint="eastAsia" w:ascii="Times New Roman" w:hAnsi="Times New Roman" w:eastAsia="方正仿宋简体"/>
        </w:rPr>
        <w:t>灾毁</w:t>
      </w:r>
      <w:r>
        <w:rPr>
          <w:rFonts w:ascii="Times New Roman" w:hAnsi="Times New Roman" w:eastAsia="方正仿宋简体"/>
        </w:rPr>
        <w:t>农村公路安保工程共计34.436公里波形护栏</w:t>
      </w:r>
      <w:r>
        <w:rPr>
          <w:rFonts w:ascii="Times New Roman" w:hAnsi="Times New Roman" w:eastAsia="方正仿宋简体"/>
          <w:b/>
        </w:rPr>
        <w:t>；</w:t>
      </w:r>
      <w:r>
        <w:rPr>
          <w:rFonts w:hint="eastAsia" w:ascii="Times New Roman" w:hAnsi="Times New Roman" w:eastAsia="方正仿宋简体"/>
        </w:rPr>
        <w:t>新建寺庙通寺公路安保工程20公里；</w:t>
      </w:r>
      <w:r>
        <w:rPr>
          <w:rFonts w:ascii="Times New Roman" w:hAnsi="Times New Roman" w:eastAsia="方正仿宋简体"/>
        </w:rPr>
        <w:t>新建革什扎镇、巴旺乡、格宗镇、巴底镇</w:t>
      </w:r>
      <w:r>
        <w:rPr>
          <w:rFonts w:hint="eastAsia" w:ascii="Times New Roman" w:hAnsi="Times New Roman" w:eastAsia="方正仿宋简体"/>
        </w:rPr>
        <w:t>等全县</w:t>
      </w:r>
      <w:r>
        <w:rPr>
          <w:rFonts w:ascii="Times New Roman" w:hAnsi="Times New Roman" w:eastAsia="方正仿宋简体"/>
        </w:rPr>
        <w:t>农村公路桥梁；维护加固墨尔多山镇中路大桥护基工程；新建李龙桥引道灾后恢复重建工程。</w:t>
      </w:r>
      <w:r>
        <w:rPr>
          <w:rFonts w:ascii="Times New Roman" w:hAnsi="Times New Roman" w:eastAsia="方正仿宋简体"/>
          <w:b/>
        </w:rPr>
        <w:t>市政基础设施。</w:t>
      </w:r>
      <w:r>
        <w:rPr>
          <w:rFonts w:ascii="Times New Roman" w:hAnsi="Times New Roman" w:eastAsia="方正仿宋简体"/>
        </w:rPr>
        <w:t>丹巴县竹子沟自来水厂供水主管灾后恢复工程灾后恢复重建供水管2100米及附属设施、丹巴县大马沟自来水厂供水主管灾后恢复工程灾后恢复重建供水管1600米及附属设施。</w:t>
      </w:r>
      <w:r>
        <w:rPr>
          <w:rFonts w:ascii="Times New Roman" w:hAnsi="Times New Roman" w:eastAsia="方正仿宋简体"/>
          <w:b/>
        </w:rPr>
        <w:t>水利基础设施。</w:t>
      </w:r>
      <w:r>
        <w:rPr>
          <w:rFonts w:ascii="Times New Roman" w:hAnsi="Times New Roman" w:eastAsia="方正仿宋简体"/>
        </w:rPr>
        <w:t>恢复重建和新建格宗镇、章谷镇、东谷镇堤防工程建设。</w:t>
      </w:r>
    </w:p>
    <w:p>
      <w:pPr>
        <w:pStyle w:val="2"/>
      </w:pPr>
    </w:p>
    <w:tbl>
      <w:tblPr>
        <w:tblStyle w:val="23"/>
        <w:tblW w:w="8768"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
      <w:tblGrid>
        <w:gridCol w:w="8768"/>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567" w:hRule="exact"/>
          <w:jc w:val="center"/>
        </w:trPr>
        <w:tc>
          <w:tcPr>
            <w:tcW w:w="8768" w:type="dxa"/>
            <w:tcBorders>
              <w:top w:val="outset" w:color="000000" w:sz="6" w:space="0"/>
              <w:left w:val="outset" w:color="000000" w:sz="6" w:space="0"/>
              <w:bottom w:val="outset" w:color="000000" w:sz="6" w:space="0"/>
              <w:right w:val="outset" w:color="000000" w:sz="6" w:space="0"/>
            </w:tcBorders>
            <w:shd w:val="clear" w:color="auto" w:fill="BFBFBF"/>
            <w:vAlign w:val="center"/>
          </w:tcPr>
          <w:p>
            <w:pPr>
              <w:pStyle w:val="31"/>
              <w:rPr>
                <w:rFonts w:eastAsia="楷体_GB2312"/>
              </w:rPr>
            </w:pPr>
            <w:r>
              <w:t>专栏</w:t>
            </w:r>
            <w:r>
              <w:rPr>
                <w:rFonts w:hint="eastAsia"/>
              </w:rPr>
              <w:t>7</w:t>
            </w:r>
            <w:r>
              <w:t xml:space="preserve">  基础设施</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90" w:hRule="atLeast"/>
          <w:jc w:val="center"/>
        </w:trPr>
        <w:tc>
          <w:tcPr>
            <w:tcW w:w="8768" w:type="dxa"/>
            <w:tcBorders>
              <w:top w:val="outset" w:color="000000" w:sz="6" w:space="0"/>
              <w:left w:val="outset" w:color="000000" w:sz="6" w:space="0"/>
              <w:bottom w:val="outset" w:color="000000" w:sz="6" w:space="0"/>
              <w:right w:val="outset" w:color="000000" w:sz="6" w:space="0"/>
            </w:tcBorders>
            <w:shd w:val="clear" w:color="auto" w:fill="FFFFFF"/>
            <w:vAlign w:val="center"/>
          </w:tcPr>
          <w:p>
            <w:pPr>
              <w:adjustRightInd w:val="0"/>
              <w:snapToGrid w:val="0"/>
              <w:rPr>
                <w:sz w:val="24"/>
              </w:rPr>
            </w:pPr>
            <w:r>
              <w:rPr>
                <w:b/>
                <w:sz w:val="24"/>
              </w:rPr>
              <w:t>1.交通设施：</w:t>
            </w:r>
            <w:r>
              <w:rPr>
                <w:sz w:val="24"/>
              </w:rPr>
              <w:t>改建中路、革什扎至丹东通乡公路共计8.2公里路基路面恢复，项目总数2个；改建墨尔多山镇、巴底镇、太平桥乡、格宗镇、革什扎镇、章谷镇、半扇门镇、巴旺乡、梭坡乡、丹东镇、</w:t>
            </w:r>
            <w:r>
              <w:rPr>
                <w:rFonts w:hint="eastAsia"/>
                <w:sz w:val="24"/>
              </w:rPr>
              <w:t>甲居镇、</w:t>
            </w:r>
            <w:r>
              <w:rPr>
                <w:sz w:val="24"/>
              </w:rPr>
              <w:t>东谷镇</w:t>
            </w:r>
            <w:r>
              <w:rPr>
                <w:rFonts w:hint="eastAsia"/>
                <w:sz w:val="24"/>
              </w:rPr>
              <w:t>灾毁</w:t>
            </w:r>
            <w:r>
              <w:rPr>
                <w:sz w:val="24"/>
              </w:rPr>
              <w:t>农村公路共计</w:t>
            </w:r>
            <w:r>
              <w:rPr>
                <w:rFonts w:hint="eastAsia"/>
                <w:sz w:val="24"/>
              </w:rPr>
              <w:t>72.24</w:t>
            </w:r>
            <w:r>
              <w:rPr>
                <w:sz w:val="24"/>
              </w:rPr>
              <w:t>公里路基路面，项目总数79个；新建</w:t>
            </w:r>
            <w:r>
              <w:rPr>
                <w:rFonts w:hint="eastAsia"/>
                <w:sz w:val="24"/>
              </w:rPr>
              <w:t>灾毁</w:t>
            </w:r>
            <w:r>
              <w:rPr>
                <w:sz w:val="24"/>
              </w:rPr>
              <w:t>农村公路安保工程共计34.436公里波形护栏，项目数1个；新建革什扎镇、巴旺乡、格宗镇、半扇门镇、巴底镇</w:t>
            </w:r>
            <w:r>
              <w:rPr>
                <w:rFonts w:hint="eastAsia"/>
                <w:sz w:val="24"/>
              </w:rPr>
              <w:t>等全县</w:t>
            </w:r>
            <w:r>
              <w:rPr>
                <w:sz w:val="24"/>
              </w:rPr>
              <w:t>农村公路桥梁，项目数</w:t>
            </w:r>
            <w:r>
              <w:rPr>
                <w:rFonts w:hint="eastAsia"/>
                <w:sz w:val="24"/>
              </w:rPr>
              <w:t>27</w:t>
            </w:r>
            <w:r>
              <w:rPr>
                <w:sz w:val="24"/>
              </w:rPr>
              <w:t>个；维护加固墨尔多山镇中路大桥护基工程；新建李龙桥引道灾后恢复重建工程。</w:t>
            </w:r>
          </w:p>
          <w:p>
            <w:pPr>
              <w:adjustRightInd w:val="0"/>
              <w:snapToGrid w:val="0"/>
              <w:rPr>
                <w:sz w:val="24"/>
              </w:rPr>
            </w:pPr>
            <w:r>
              <w:rPr>
                <w:b/>
                <w:sz w:val="24"/>
              </w:rPr>
              <w:t xml:space="preserve">2.市政基础设施: </w:t>
            </w:r>
            <w:r>
              <w:rPr>
                <w:sz w:val="24"/>
              </w:rPr>
              <w:t>丹巴县竹子沟自来水厂供水主管灾后恢复工程灾后恢复重建供水管2100米及附属设施、丹巴县大马沟自来水厂供水主管灾后恢复工程灾后恢复重建供水管1600米及附属设施。</w:t>
            </w:r>
          </w:p>
          <w:p>
            <w:pPr>
              <w:rPr>
                <w:rFonts w:ascii="Times New Roman" w:hAnsi="Times New Roman"/>
                <w:sz w:val="24"/>
              </w:rPr>
            </w:pPr>
            <w:r>
              <w:rPr>
                <w:b/>
                <w:sz w:val="24"/>
              </w:rPr>
              <w:t>3.水利基础设施：</w:t>
            </w:r>
            <w:r>
              <w:rPr>
                <w:sz w:val="24"/>
              </w:rPr>
              <w:t>国如村河堤堡坎工程200米、吊月山村杨坡桥至避险广场河堤堡坎工程100米、章谷镇科里汽车检测中心河堤堡坎工程50米、水子二村甲拉林卡处河堤堡坎工程20米、丹巴中学大马沟处河堤堡坎工程20米、川主庙村新建混泥土防洪堤工程300米、鱼日村新建混泥土防洪堤工程60米、王家山新建混泥土防洪堤工程40米、朱家山村新建混泥土防洪堤工程800米、绒坝公路新建混泥土防洪堤工程200米、丹巴县新区挡墙水毁段边坡治理工程、水子乡挡墙水毁边坡治理工程、章谷镇水子二村丹巴中学沿河近50户农户房屋底角加固、防洪堡坎加固等工程共计240米、东谷镇42户农户房屋底角加固、防洪堡坎加固等工程共计7处，1630米。</w:t>
            </w:r>
          </w:p>
        </w:tc>
      </w:tr>
    </w:tbl>
    <w:p>
      <w:pPr>
        <w:pStyle w:val="3"/>
        <w:rPr>
          <w:color w:val="auto"/>
        </w:rPr>
      </w:pPr>
    </w:p>
    <w:p>
      <w:pPr>
        <w:pStyle w:val="2"/>
        <w:rPr>
          <w:rFonts w:ascii="Arial" w:hAnsi="Arial" w:eastAsia="华文中宋"/>
          <w:sz w:val="84"/>
        </w:rPr>
      </w:pPr>
      <w:r>
        <w:br w:type="page"/>
      </w:r>
    </w:p>
    <w:p>
      <w:pPr>
        <w:pStyle w:val="4"/>
      </w:pPr>
      <w:bookmarkStart w:id="30" w:name="_Toc65597926"/>
      <w:r>
        <w:rPr>
          <w:rFonts w:hint="eastAsia"/>
        </w:rPr>
        <w:t xml:space="preserve">第三篇 </w:t>
      </w:r>
      <w:bookmarkEnd w:id="20"/>
      <w:r>
        <w:rPr>
          <w:rFonts w:hint="eastAsia"/>
        </w:rPr>
        <w:t>加强生态环境保护，构建生态文明体系</w:t>
      </w:r>
      <w:bookmarkEnd w:id="30"/>
    </w:p>
    <w:p>
      <w:r>
        <w:rPr>
          <w:rFonts w:hint="eastAsia"/>
        </w:rPr>
        <w:t>牢固树立绿水青山就是金山银山的理念，严格落实共抓大保护、不搞大开发的要求，深入实施生态文明建设战略，主动融入长江经济带发展、黄河流域生态保护和高质量发展国家战略，坚持保护与发展并重、污染防治与生态修复并举，形成绿色发展方式和生活方式，确保生态环境良好，筑牢长江黄河上游生态安全屏障，保障国家生态安全。</w:t>
      </w:r>
    </w:p>
    <w:p>
      <w:pPr>
        <w:pStyle w:val="6"/>
        <w:numPr>
          <w:ilvl w:val="0"/>
          <w:numId w:val="1"/>
        </w:numPr>
        <w:ind w:firstLineChars="0"/>
      </w:pPr>
      <w:bookmarkStart w:id="31" w:name="_Toc65597927"/>
      <w:r>
        <w:rPr>
          <w:rFonts w:hint="eastAsia"/>
        </w:rPr>
        <w:t>推进生态资源大保护</w:t>
      </w:r>
      <w:bookmarkEnd w:id="31"/>
    </w:p>
    <w:p>
      <w:r>
        <w:rPr>
          <w:rFonts w:hint="eastAsia"/>
        </w:rPr>
        <w:t>通过国家生态文明建设示范县创建工作，确保生态空间格局布局优化合理，生态安全保障有力，落实《四川省发展和改革委员会关于核对确认国家重点生态功能区产业准入负面清单》的相关要求，力争2022年完成生态文明建设示范性创建工作。大渡河流域坚固的生态屏障功能得到进一步夯实，筑牢丹巴生态屏障和重要生态功能区的定位；促进生态环境质量持续改善，城乡环境优美，人居环境靓丽，建成“峭洁清远之境、中国最美乡村”新丹巴。</w:t>
      </w:r>
    </w:p>
    <w:p>
      <w:pPr>
        <w:pStyle w:val="7"/>
      </w:pPr>
      <w:bookmarkStart w:id="32" w:name="_Toc65597928"/>
      <w:bookmarkStart w:id="33" w:name="_Toc18894"/>
      <w:r>
        <w:rPr>
          <w:rFonts w:hint="eastAsia"/>
        </w:rPr>
        <w:t>第一节 构筑全域生态屏障</w:t>
      </w:r>
      <w:bookmarkEnd w:id="32"/>
      <w:bookmarkEnd w:id="33"/>
    </w:p>
    <w:p>
      <w:r>
        <w:rPr>
          <w:rFonts w:hint="eastAsia"/>
        </w:rPr>
        <w:t>强化落实“三线一单”硬约束，严守生态保护红线，严格执行行业准入负面清单制度，推动高污染高耗能的企业有序退出。强化绿色发展的法律和政策保障，建立“谁破坏谁治理”责任机制，依法依规追究生态环境损害责任。分类推进生态环境保护与修复，加强重要生态功能区和生态空间的环境管理，强化项目审查和项目事中事后监管，强化环境执法监管。完善自然保护地、生态保护红线监管制度，开展生态系统保护成效监测评估。加强重点生态功能区监管，建设自动监测微站，对重点生态功能区空气质量、生态破坏事件和地质灾害进行实时监控。严格执行年森林采伐限额和年木材生产计划管理制度、林地征占用审批制度，加大全县森林保险覆盖面和林业纠纷调解力度。建立生态环境损害责任追究制度和生态资源社会监督机制，加大破坏生态环境资源违法犯罪行为的打击力度，严守生态红线。</w:t>
      </w:r>
    </w:p>
    <w:p>
      <w:pPr>
        <w:pStyle w:val="7"/>
      </w:pPr>
      <w:bookmarkStart w:id="34" w:name="_Toc65597929"/>
      <w:bookmarkStart w:id="35" w:name="_Toc3211"/>
      <w:r>
        <w:rPr>
          <w:rFonts w:hint="eastAsia"/>
        </w:rPr>
        <w:t>第二节 开展森林草地守护行动</w:t>
      </w:r>
      <w:bookmarkEnd w:id="34"/>
      <w:bookmarkEnd w:id="35"/>
    </w:p>
    <w:p>
      <w:r>
        <w:rPr>
          <w:rFonts w:hint="eastAsia"/>
        </w:rPr>
        <w:t>加快国家重点生态功能区建设，加强森林草地资源保护与生物多样性维护。科学编制林草资源保护相关规划，加强林草地资源使用过程监管。运用无人机、户外摄像头等实施智慧林业，建设森林管护视频巡护系统。推进县行政审批、农业综合执法部门衔接，及时办理处置林地手续审批和林业案件，维护生态资源安全。积极做好森林防火工作部署、防火责任落实、宣传教育、森林防火应急预案、防火巡查、防火物资、火源管控、扑火队伍综合建设等工作，加强火灾预防和应急处置能力建设，建设重点火险区火险预警监测系统及森林防火基础设施。开展打击破坏林地资源违法犯罪专项整治。</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90" w:type="dxa"/>
            <w:shd w:val="clear" w:color="auto" w:fill="BFBFBF"/>
            <w:vAlign w:val="center"/>
          </w:tcPr>
          <w:p>
            <w:pPr>
              <w:pStyle w:val="31"/>
            </w:pPr>
            <w:r>
              <w:rPr>
                <w:rFonts w:hint="eastAsia"/>
              </w:rPr>
              <w:t>专栏8  植树造林和防火体系建设项目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vAlign w:val="center"/>
          </w:tcPr>
          <w:p>
            <w:pPr>
              <w:rPr>
                <w:sz w:val="24"/>
                <w:szCs w:val="24"/>
              </w:rPr>
            </w:pPr>
            <w:r>
              <w:rPr>
                <w:rFonts w:hint="eastAsia"/>
                <w:b/>
                <w:bCs/>
                <w:sz w:val="24"/>
                <w:szCs w:val="24"/>
              </w:rPr>
              <w:t>1.森林抚育和植树造林：</w:t>
            </w:r>
            <w:r>
              <w:rPr>
                <w:rFonts w:hint="eastAsia"/>
                <w:sz w:val="24"/>
                <w:szCs w:val="24"/>
              </w:rPr>
              <w:t>完成国有林森林抚育20000亩；实施天然林资源保护二期工程；实施人工造乔木林0.2万亩、封山育林1万亩；在巴旺乡、格宗镇、半扇门镇、革什扎镇等干旱半干旱地区开展植树造林</w:t>
            </w:r>
            <w:r>
              <w:rPr>
                <w:sz w:val="24"/>
                <w:szCs w:val="24"/>
              </w:rPr>
              <w:t>1万亩。</w:t>
            </w:r>
          </w:p>
          <w:p>
            <w:pPr>
              <w:rPr>
                <w:sz w:val="24"/>
                <w:szCs w:val="24"/>
              </w:rPr>
            </w:pPr>
            <w:r>
              <w:rPr>
                <w:rFonts w:hint="eastAsia"/>
                <w:b/>
                <w:bCs/>
                <w:sz w:val="24"/>
                <w:szCs w:val="24"/>
              </w:rPr>
              <w:t>2.森林、草原防火体系建设：</w:t>
            </w:r>
            <w:r>
              <w:rPr>
                <w:rFonts w:hint="eastAsia"/>
                <w:sz w:val="24"/>
                <w:szCs w:val="24"/>
              </w:rPr>
              <w:t>森林火险预警监测系统及森林防火基础设施建设；县级草原防火物资站、火情瞭望监测系统、火情信息及指挥系统、扑火机具装备、林火阻隔系统、基础设施建设。</w:t>
            </w:r>
          </w:p>
          <w:p>
            <w:pPr>
              <w:rPr>
                <w:rFonts w:cs="仿宋"/>
                <w:sz w:val="24"/>
                <w:szCs w:val="24"/>
              </w:rPr>
            </w:pPr>
            <w:r>
              <w:rPr>
                <w:rFonts w:hint="eastAsia"/>
                <w:b/>
                <w:bCs/>
                <w:sz w:val="24"/>
                <w:szCs w:val="24"/>
              </w:rPr>
              <w:t>3.林区设施建设：</w:t>
            </w:r>
            <w:r>
              <w:rPr>
                <w:rFonts w:hint="eastAsia"/>
                <w:sz w:val="24"/>
                <w:szCs w:val="24"/>
              </w:rPr>
              <w:t>在巴旺乡，各绒乡，半扇门镇，革什扎镇等林区道路建设150公里；建设森林管护视频巡护系统、无人机、户外摄像头、控制系统（软件 ）。</w:t>
            </w:r>
          </w:p>
        </w:tc>
      </w:tr>
    </w:tbl>
    <w:p>
      <w:pPr>
        <w:pStyle w:val="7"/>
      </w:pPr>
      <w:r>
        <w:br w:type="page"/>
      </w:r>
      <w:bookmarkStart w:id="36" w:name="_Toc23792"/>
      <w:bookmarkStart w:id="37" w:name="_Toc65597930"/>
      <w:r>
        <w:t>第三节</w:t>
      </w:r>
      <w:r>
        <w:rPr>
          <w:rFonts w:hint="eastAsia"/>
        </w:rPr>
        <w:t xml:space="preserve">  推进生态</w:t>
      </w:r>
      <w:bookmarkEnd w:id="36"/>
      <w:r>
        <w:rPr>
          <w:rFonts w:hint="eastAsia"/>
        </w:rPr>
        <w:t>工程大建设</w:t>
      </w:r>
      <w:bookmarkEnd w:id="37"/>
    </w:p>
    <w:p>
      <w:r>
        <w:rPr>
          <w:rFonts w:hint="eastAsia"/>
        </w:rPr>
        <w:t>大力实施防护林体系建设、水土流失和石漠化治理、土地综合整治、矿山生态修复等生态保护和修复工程，及时修复荒山裸坡、自然湿地、腾退土地等生态脆弱地区。按照“先易后难、依次推进”和“适地适树”植被恢复原则，大力推进干旱半干旱生态治理工程，实施草原生态修复和退牧还草两大工程，开展草原退化、沙化、鼠虫害治理工程。实施退牧还草与人工草地建设工程，建设草畜配套工程等。同步推进公路、水电等工程建设及其创面植被恢复。严格落实濒危野生动植物保护和拯救力度，建设动物和林业有害生物疫情灾害防控体系，创新推进补植补造、低质低效林改造，不断提升生态系统质量和稳定性。实施生物安全提升工程，涵盖野生动植物保护、有害生物防治、外来种调查与防控。加强生物多样性保护，建设生物多样性保护优先区（自然保护区），完成生物多样性科学考察、规划编制，完善监测与管护设施。</w:t>
      </w:r>
    </w:p>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90" w:type="dxa"/>
            <w:shd w:val="clear" w:color="auto" w:fill="BFBFBF"/>
            <w:vAlign w:val="center"/>
          </w:tcPr>
          <w:p>
            <w:pPr>
              <w:pStyle w:val="31"/>
            </w:pPr>
            <w:r>
              <w:rPr>
                <w:rFonts w:hint="eastAsia"/>
              </w:rPr>
              <w:t>专栏9  生态保护、修复建设项目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vAlign w:val="center"/>
          </w:tcPr>
          <w:p>
            <w:pPr>
              <w:rPr>
                <w:sz w:val="24"/>
                <w:szCs w:val="24"/>
              </w:rPr>
            </w:pPr>
            <w:r>
              <w:rPr>
                <w:rFonts w:hint="eastAsia"/>
                <w:b/>
                <w:bCs/>
                <w:sz w:val="24"/>
                <w:szCs w:val="24"/>
              </w:rPr>
              <w:t>1.植被恢复：</w:t>
            </w:r>
            <w:r>
              <w:rPr>
                <w:rFonts w:hint="eastAsia"/>
                <w:sz w:val="24"/>
                <w:szCs w:val="24"/>
              </w:rPr>
              <w:t>在干旱半干旱地区开展植被恢复1250亩，新建宣传碑、下沉式蓄水池，安埋 PE引水管等；在巴旺乡、格宗镇、半扇门镇、革什扎镇等干旱半干旱地区开展植树造林1万亩；开展退牧还草工程、人工草地建设、草畜配套；草地保护与沙化治理工程、围栏建设等。</w:t>
            </w:r>
          </w:p>
          <w:p>
            <w:pPr>
              <w:rPr>
                <w:sz w:val="24"/>
                <w:szCs w:val="24"/>
              </w:rPr>
            </w:pPr>
            <w:r>
              <w:rPr>
                <w:rFonts w:hint="eastAsia"/>
                <w:b/>
                <w:bCs/>
                <w:sz w:val="24"/>
                <w:szCs w:val="24"/>
              </w:rPr>
              <w:t>2.重点河湖生态保护修复：</w:t>
            </w:r>
            <w:r>
              <w:rPr>
                <w:rFonts w:hint="eastAsia"/>
                <w:sz w:val="24"/>
                <w:szCs w:val="24"/>
              </w:rPr>
              <w:t>生态修复丹巴县脆弱河湖、生态湿地60平方公里；丹巴县境内大渡河水生态进行治理和修复。</w:t>
            </w:r>
          </w:p>
          <w:p>
            <w:pPr>
              <w:rPr>
                <w:sz w:val="24"/>
                <w:szCs w:val="24"/>
              </w:rPr>
            </w:pPr>
            <w:r>
              <w:rPr>
                <w:rFonts w:hint="eastAsia"/>
                <w:b/>
                <w:bCs/>
                <w:sz w:val="24"/>
                <w:szCs w:val="24"/>
              </w:rPr>
              <w:t>3.水土流失综合治理：</w:t>
            </w:r>
            <w:r>
              <w:rPr>
                <w:rFonts w:hint="eastAsia"/>
                <w:sz w:val="24"/>
                <w:szCs w:val="24"/>
              </w:rPr>
              <w:t>水土流失治理面积394.8平方公里；对0. 52万亩坡耕地进行治理。新建丹巴县日布沟至俄多连通工程，实现河湖补水10万立方；对地下水超采区综合治理。</w:t>
            </w:r>
          </w:p>
          <w:p>
            <w:r>
              <w:rPr>
                <w:rFonts w:hint="eastAsia"/>
                <w:b/>
                <w:sz w:val="24"/>
                <w:szCs w:val="24"/>
              </w:rPr>
              <w:t>4</w:t>
            </w:r>
            <w:r>
              <w:rPr>
                <w:rFonts w:hint="eastAsia"/>
                <w:b/>
                <w:bCs/>
                <w:sz w:val="24"/>
                <w:szCs w:val="24"/>
              </w:rPr>
              <w:t>.沙化治理项目：</w:t>
            </w:r>
            <w:r>
              <w:rPr>
                <w:rFonts w:hint="eastAsia"/>
                <w:sz w:val="24"/>
                <w:szCs w:val="24"/>
              </w:rPr>
              <w:t>在章谷镇新区对岸实施沙化土地综合治理800亩，建设太阳能提灌站等配套设施。</w:t>
            </w:r>
          </w:p>
        </w:tc>
      </w:tr>
    </w:tbl>
    <w:p>
      <w:pPr>
        <w:pStyle w:val="7"/>
      </w:pPr>
      <w:bookmarkStart w:id="38" w:name="_Toc65597931"/>
      <w:r>
        <w:rPr>
          <w:rFonts w:hint="eastAsia"/>
        </w:rPr>
        <w:t>第四节  探索建立生态补偿机制</w:t>
      </w:r>
      <w:bookmarkEnd w:id="38"/>
    </w:p>
    <w:p>
      <w:r>
        <w:rPr>
          <w:rFonts w:hint="eastAsia"/>
        </w:rPr>
        <w:t>基于生态产品开发现状</w:t>
      </w:r>
      <w:r>
        <w:t>探索</w:t>
      </w:r>
      <w:r>
        <w:rPr>
          <w:rFonts w:hint="eastAsia"/>
        </w:rPr>
        <w:t>其</w:t>
      </w:r>
      <w:r>
        <w:t>价值实现</w:t>
      </w:r>
      <w:r>
        <w:rPr>
          <w:rFonts w:hint="eastAsia"/>
        </w:rPr>
        <w:t>途径，积极探索政府主导、企业和社会各界参与、市场化运作、可持续发展的生态产品价值多元化实现路径。探索建立生态产品价值实现机制，建立生态产品价值核算评估体系，创新生态产品价值实现制度体系，形成具有良好示范效应的多元化生态产品价值实现模式，推动生态优势不断向经济优势转化。</w:t>
      </w:r>
      <w:r>
        <w:t>探索设立生态保护修复基金，</w:t>
      </w:r>
      <w:r>
        <w:rPr>
          <w:rFonts w:hint="eastAsia"/>
        </w:rPr>
        <w:t>逐步完善市场化、多元化生态补偿，</w:t>
      </w:r>
      <w:r>
        <w:t>有效提高全社会参与生态保护的积极性</w:t>
      </w:r>
      <w:r>
        <w:rPr>
          <w:rFonts w:hint="eastAsia"/>
        </w:rPr>
        <w:t>。</w:t>
      </w:r>
    </w:p>
    <w:p/>
    <w:p>
      <w:pPr>
        <w:pStyle w:val="2"/>
      </w:pPr>
    </w:p>
    <w:p>
      <w:pPr>
        <w:pStyle w:val="2"/>
      </w:pPr>
    </w:p>
    <w:p>
      <w:pPr>
        <w:pStyle w:val="6"/>
        <w:numPr>
          <w:ilvl w:val="0"/>
          <w:numId w:val="1"/>
        </w:numPr>
        <w:ind w:firstLineChars="0"/>
      </w:pPr>
      <w:bookmarkStart w:id="39" w:name="_Toc65597932"/>
      <w:r>
        <w:rPr>
          <w:rFonts w:hint="eastAsia"/>
        </w:rPr>
        <w:t>推进生态环境大治理</w:t>
      </w:r>
      <w:bookmarkEnd w:id="39"/>
    </w:p>
    <w:p>
      <w:r>
        <w:rPr>
          <w:rFonts w:hint="eastAsia"/>
        </w:rPr>
        <w:t>坚持精准防治、科学防治、依法防治，攻坚战与持久战相结合，统筹推进大气、水、土壤等生态环境治理，着力加强环境风险防控，增强全社会生态环保意识，持续巩固深化污染防治攻坚成果，让丹巴天更蓝、地更绿、水更清、空气更清新。</w:t>
      </w:r>
    </w:p>
    <w:p>
      <w:pPr>
        <w:pStyle w:val="7"/>
      </w:pPr>
      <w:bookmarkStart w:id="40" w:name="_Toc57024677"/>
      <w:bookmarkStart w:id="41" w:name="_Toc6974"/>
      <w:bookmarkStart w:id="42" w:name="_Toc5389"/>
      <w:bookmarkStart w:id="43" w:name="_Toc65597933"/>
      <w:bookmarkStart w:id="44" w:name="_Toc11171"/>
      <w:bookmarkStart w:id="45" w:name="_Toc31352"/>
      <w:bookmarkStart w:id="46" w:name="_Toc30561"/>
      <w:bookmarkStart w:id="47" w:name="_Toc27029"/>
      <w:r>
        <w:rPr>
          <w:rFonts w:hint="eastAsia"/>
        </w:rPr>
        <w:t>第一节 加强大气污染防治</w:t>
      </w:r>
      <w:bookmarkEnd w:id="40"/>
      <w:bookmarkEnd w:id="41"/>
      <w:bookmarkEnd w:id="42"/>
      <w:bookmarkEnd w:id="43"/>
      <w:bookmarkEnd w:id="44"/>
      <w:bookmarkEnd w:id="45"/>
      <w:bookmarkEnd w:id="46"/>
      <w:bookmarkEnd w:id="47"/>
    </w:p>
    <w:p>
      <w:pPr>
        <w:rPr>
          <w:rFonts w:ascii="仿宋_GB2312" w:eastAsia="仿宋_GB2312"/>
        </w:rPr>
      </w:pPr>
      <w:r>
        <w:rPr>
          <w:rFonts w:hint="eastAsia"/>
        </w:rPr>
        <w:t>开展大气环境综合治理，严格落实排放标准和项目环保审批，控制高耗能、高排放项目实施，逐步减少重污染行业产能。严格执行大气污染物特别排放限值，制定实施大气污染物减排工作方案，构建“源头严防、过程严管、末端严治”的闭环治理体系。加快重点行业工业企业脱硫、脱硝、除尘等环保设施技术改造，着力通过工程减排、结构减排等方式强化工业污染物削减。推动建设污染源监管平台，构建大气、水环境智慧预警溯源体系和监测信息综合管理体系，建设重点区域环境空气自动监测微站及视频在线监控平台，实现污染监管科学化、实时化、精准化。提升环境监管执法的精细化水平，加强“测管协同”，加大监管力度，形成环境执法高压态势。</w:t>
      </w:r>
    </w:p>
    <w:p>
      <w:pPr>
        <w:pStyle w:val="7"/>
      </w:pPr>
      <w:bookmarkStart w:id="48" w:name="_Toc13012"/>
      <w:bookmarkStart w:id="49" w:name="_Toc25247"/>
      <w:bookmarkStart w:id="50" w:name="_Toc15067"/>
      <w:bookmarkStart w:id="51" w:name="_Toc14930"/>
      <w:bookmarkStart w:id="52" w:name="_Toc65597934"/>
      <w:bookmarkStart w:id="53" w:name="_Toc10504"/>
      <w:bookmarkStart w:id="54" w:name="_Toc57024678"/>
      <w:bookmarkStart w:id="55" w:name="_Toc31388"/>
      <w:r>
        <w:rPr>
          <w:rFonts w:hint="eastAsia"/>
        </w:rPr>
        <w:t>第二节 加强水污染防治</w:t>
      </w:r>
      <w:bookmarkEnd w:id="48"/>
      <w:bookmarkEnd w:id="49"/>
      <w:bookmarkEnd w:id="50"/>
      <w:bookmarkEnd w:id="51"/>
      <w:bookmarkEnd w:id="52"/>
      <w:bookmarkEnd w:id="53"/>
      <w:bookmarkEnd w:id="54"/>
      <w:bookmarkEnd w:id="55"/>
    </w:p>
    <w:p>
      <w:r>
        <w:rPr>
          <w:rFonts w:hint="eastAsia"/>
        </w:rPr>
        <w:t>全面落实河（湖）长制，对主要全县河流、堰渠实行“一河一策”环境保护方案。实行最严格的水资源管理，实施水资源取水许可，强化工业园区、重点行业等污染治理和清洁化改造。强化沿河排污口整治，严格生态流域管理，保障生态需水，加快推进大渡河、大金河、小金河、革什扎河、东谷河等流域河道清淤泥、污染源监测和治理。持续开展农业农村污染整治，全面完成农村环境连片整治年度目标任务，加快推进禁养区内规模化以下畜禽养殖场（小区）关闭搬迁；全面实施化学需氧量、氨氮等水污染物减排，重点强化畜禽养殖废弃物综合治理，排查养殖业集中污染严重或处于城乡结合部、集中居住区等环境敏感地带的畜禽养殖区域性突出问题。全面开展集中式饮用水水源地保护专项行动，积极推动饮用水水源地环境问题整治，开展巴旺乡、格宗镇、章谷镇集中水源地保护设施，实施灾害恢复重建。</w:t>
      </w:r>
    </w:p>
    <w:p>
      <w:pPr>
        <w:pStyle w:val="7"/>
      </w:pPr>
      <w:bookmarkStart w:id="56" w:name="_Toc65597935"/>
      <w:bookmarkStart w:id="57" w:name="_Toc8570"/>
      <w:bookmarkStart w:id="58" w:name="_Toc57024679"/>
      <w:bookmarkStart w:id="59" w:name="_Toc11838"/>
      <w:bookmarkStart w:id="60" w:name="_Toc11332"/>
      <w:bookmarkStart w:id="61" w:name="_Toc21672"/>
      <w:bookmarkStart w:id="62" w:name="_Toc22673"/>
      <w:bookmarkStart w:id="63" w:name="_Toc29323"/>
      <w:r>
        <w:rPr>
          <w:rFonts w:hint="eastAsia"/>
        </w:rPr>
        <w:t>第三节 加强土壤污染防治</w:t>
      </w:r>
      <w:bookmarkEnd w:id="56"/>
      <w:bookmarkEnd w:id="57"/>
      <w:bookmarkEnd w:id="58"/>
      <w:bookmarkEnd w:id="59"/>
      <w:bookmarkEnd w:id="60"/>
      <w:bookmarkEnd w:id="61"/>
      <w:bookmarkEnd w:id="62"/>
      <w:bookmarkEnd w:id="63"/>
    </w:p>
    <w:p>
      <w:r>
        <w:rPr>
          <w:rFonts w:hint="eastAsia"/>
        </w:rPr>
        <w:t>以集中式饮用水水源地、重点工矿企业、固体废物集中处理场、规模化畜禽养殖场周边等为重点关注风险区域，建设土壤环境质量监测网络。深入实施土壤污染防治行动计划，开展土壤污染治理与修复试点示范，严格控制土壤污染来源。深化固废、危废协同处置，开展大宗固体废物堆场环境整治，促进固体废物的综合资源化利用。强化对医疗废物、危险废物实行全过程监管、实施无害化处置。严控农业面源污染，全面提升农村生态环境质量，让老百姓吃得放心、住得安心。</w:t>
      </w:r>
    </w:p>
    <w:p>
      <w:pPr>
        <w:pStyle w:val="7"/>
      </w:pPr>
      <w:bookmarkStart w:id="64" w:name="_Toc20295"/>
      <w:bookmarkStart w:id="65" w:name="_Toc65597936"/>
      <w:bookmarkStart w:id="66" w:name="_Toc59095640"/>
      <w:bookmarkStart w:id="67" w:name="_Toc5775"/>
      <w:bookmarkStart w:id="68" w:name="_Toc77"/>
      <w:bookmarkStart w:id="69" w:name="_Toc26212"/>
      <w:bookmarkStart w:id="70" w:name="_Toc4800"/>
      <w:bookmarkStart w:id="71" w:name="_Toc57024680"/>
      <w:bookmarkStart w:id="72" w:name="_Toc30936"/>
      <w:r>
        <w:rPr>
          <w:rFonts w:hint="eastAsia"/>
        </w:rPr>
        <w:t>第四节 加强农业农村污染治理</w:t>
      </w:r>
      <w:bookmarkEnd w:id="64"/>
      <w:bookmarkEnd w:id="65"/>
      <w:bookmarkEnd w:id="66"/>
    </w:p>
    <w:p>
      <w:r>
        <w:rPr>
          <w:rFonts w:hint="eastAsia"/>
        </w:rPr>
        <w:t>加快农业面源污染综合治理，推广农业清洁生产技术，积极引导和鼓励农民使用测土配方施肥、病虫草害综合防治、生物防治和精准施药施肥等技术，持续保持化肥农药使用量负增长。加强农业废弃物回收综合利用，规范处置农药包装废弃物，推进废旧农膜和包装废弃物等回收处理。加强养殖业污染综合治理，推广清洁养殖技术，全面推进畜禽粪污资源化综合利用。</w:t>
      </w:r>
    </w:p>
    <w:p>
      <w:pPr>
        <w:pStyle w:val="7"/>
      </w:pPr>
      <w:bookmarkStart w:id="73" w:name="_Toc65597937"/>
      <w:bookmarkStart w:id="74" w:name="_Toc17209"/>
      <w:r>
        <w:rPr>
          <w:rFonts w:hint="eastAsia"/>
        </w:rPr>
        <w:t>第五节 加强环境风险防控</w:t>
      </w:r>
      <w:bookmarkEnd w:id="67"/>
      <w:bookmarkEnd w:id="68"/>
      <w:bookmarkEnd w:id="69"/>
      <w:bookmarkEnd w:id="70"/>
      <w:bookmarkEnd w:id="71"/>
      <w:bookmarkEnd w:id="72"/>
      <w:bookmarkEnd w:id="73"/>
      <w:bookmarkEnd w:id="74"/>
    </w:p>
    <w:p>
      <w:r>
        <w:rPr>
          <w:rFonts w:hint="eastAsia"/>
        </w:rPr>
        <w:t>建立资源环境承载能力监测预警机制，做好重大环境风险源动态监测与风险预警控制，提高环境与健康风险评估能力。健全多层次的风险防控体系，建立环境应急机制，加强应急队伍培训与演练，提升环境风险应急处置能力。实行严格环保准入，依法开展环境影响评价。加大环境执法力度，强化环保督察监管力度，将危险废物检查纳入环境执法“双随机”监管。实施环境监测能力标准化建设，按照国家环境监测能力达标建设要求，完成县环境监测站购置相关监测设施设备及车辆，开展区域环境监测工作。</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90" w:type="dxa"/>
            <w:shd w:val="clear" w:color="auto" w:fill="BFBFBF"/>
            <w:vAlign w:val="center"/>
          </w:tcPr>
          <w:p>
            <w:pPr>
              <w:pStyle w:val="31"/>
            </w:pPr>
            <w:r>
              <w:rPr>
                <w:rFonts w:hint="eastAsia"/>
              </w:rPr>
              <w:t>专栏10  生态治理工程建设项目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vAlign w:val="center"/>
          </w:tcPr>
          <w:p>
            <w:pPr>
              <w:rPr>
                <w:b/>
                <w:bCs/>
                <w:sz w:val="24"/>
                <w:szCs w:val="24"/>
              </w:rPr>
            </w:pPr>
            <w:r>
              <w:rPr>
                <w:rFonts w:hint="eastAsia"/>
                <w:b/>
                <w:bCs/>
                <w:sz w:val="24"/>
                <w:szCs w:val="24"/>
              </w:rPr>
              <w:t>1.目标责任与制度体现建设：</w:t>
            </w:r>
            <w:r>
              <w:rPr>
                <w:rFonts w:hint="eastAsia"/>
                <w:sz w:val="24"/>
                <w:szCs w:val="24"/>
              </w:rPr>
              <w:t>生态环境损害责任追究制度，严格生态损害责任追究，建立生态资源社会监督机制。</w:t>
            </w:r>
          </w:p>
          <w:p>
            <w:pPr>
              <w:rPr>
                <w:sz w:val="24"/>
                <w:szCs w:val="24"/>
              </w:rPr>
            </w:pPr>
            <w:r>
              <w:rPr>
                <w:rFonts w:hint="eastAsia"/>
                <w:b/>
                <w:bCs/>
                <w:sz w:val="24"/>
                <w:szCs w:val="24"/>
              </w:rPr>
              <w:t>2.农村水系综合整治：</w:t>
            </w:r>
            <w:r>
              <w:rPr>
                <w:rFonts w:hint="eastAsia"/>
                <w:sz w:val="24"/>
                <w:szCs w:val="24"/>
              </w:rPr>
              <w:t>实施丹巴农村河道综合治理等工程对60km农村河道进行清淤。</w:t>
            </w:r>
          </w:p>
          <w:p>
            <w:pPr>
              <w:rPr>
                <w:sz w:val="24"/>
                <w:szCs w:val="24"/>
              </w:rPr>
            </w:pPr>
            <w:r>
              <w:rPr>
                <w:rFonts w:hint="eastAsia"/>
                <w:b/>
                <w:bCs/>
                <w:sz w:val="24"/>
                <w:szCs w:val="24"/>
              </w:rPr>
              <w:t>3.水利体系建设：</w:t>
            </w:r>
            <w:r>
              <w:rPr>
                <w:rFonts w:hint="eastAsia"/>
                <w:sz w:val="24"/>
                <w:szCs w:val="24"/>
              </w:rPr>
              <w:t>开展水渠、堤防等水利设施维修养护；建设/改造水文站5处；强化水利建设与运行管理，提高水利科技应用水平，人才培养。</w:t>
            </w:r>
          </w:p>
          <w:p>
            <w:r>
              <w:rPr>
                <w:rFonts w:hint="eastAsia"/>
                <w:b/>
                <w:bCs/>
                <w:sz w:val="24"/>
                <w:szCs w:val="24"/>
              </w:rPr>
              <w:t>4.农村环境治理项目：</w:t>
            </w:r>
            <w:r>
              <w:rPr>
                <w:rFonts w:hint="eastAsia"/>
                <w:sz w:val="24"/>
                <w:szCs w:val="24"/>
              </w:rPr>
              <w:t>乡镇（宜居乡村）农牧区环境污染污水综合整治项目。</w:t>
            </w:r>
          </w:p>
        </w:tc>
      </w:tr>
    </w:tbl>
    <w:p>
      <w:pPr>
        <w:pStyle w:val="2"/>
      </w:pPr>
    </w:p>
    <w:p>
      <w:pPr>
        <w:pStyle w:val="2"/>
      </w:pPr>
    </w:p>
    <w:p>
      <w:pPr>
        <w:pStyle w:val="6"/>
        <w:numPr>
          <w:ilvl w:val="0"/>
          <w:numId w:val="1"/>
        </w:numPr>
        <w:ind w:firstLineChars="0"/>
      </w:pPr>
      <w:bookmarkStart w:id="75" w:name="_Toc65597938"/>
      <w:r>
        <w:rPr>
          <w:rFonts w:hint="eastAsia"/>
        </w:rPr>
        <w:t>推进绿色低碳大发展</w:t>
      </w:r>
      <w:bookmarkEnd w:id="75"/>
    </w:p>
    <w:p>
      <w:r>
        <w:rPr>
          <w:rFonts w:hint="eastAsia"/>
        </w:rPr>
        <w:t>深入贯彻绿色发展理念，坚持人与自然和谐共生，加快建立健全绿色低碳循环发展的经济体系，形成节约资源和保护环境的空间格局、产业结构、生产方式、生活方式，全力推进产业生态化、生态产业化，强化资源高效利用，以绿色引领经济高质量发展，促进经济社会发展全面绿色转型。</w:t>
      </w:r>
    </w:p>
    <w:p>
      <w:pPr>
        <w:pStyle w:val="7"/>
      </w:pPr>
      <w:bookmarkStart w:id="76" w:name="_Toc14235"/>
      <w:bookmarkStart w:id="77" w:name="_Toc9232"/>
      <w:bookmarkStart w:id="78" w:name="_Toc10560"/>
      <w:bookmarkStart w:id="79" w:name="_Toc65597939"/>
      <w:bookmarkStart w:id="80" w:name="_Toc24632"/>
      <w:bookmarkStart w:id="81" w:name="_Toc57024682"/>
      <w:bookmarkStart w:id="82" w:name="_Toc2142"/>
      <w:bookmarkStart w:id="83" w:name="_Toc11833"/>
      <w:r>
        <w:rPr>
          <w:rFonts w:hint="eastAsia"/>
        </w:rPr>
        <w:t>第一节 推进产业绿色升级改造</w:t>
      </w:r>
      <w:bookmarkEnd w:id="76"/>
      <w:bookmarkEnd w:id="77"/>
      <w:bookmarkEnd w:id="78"/>
      <w:bookmarkEnd w:id="79"/>
      <w:bookmarkEnd w:id="80"/>
      <w:bookmarkEnd w:id="81"/>
      <w:bookmarkEnd w:id="82"/>
      <w:bookmarkEnd w:id="83"/>
    </w:p>
    <w:p>
      <w:r>
        <w:rPr>
          <w:rFonts w:hint="eastAsia"/>
        </w:rPr>
        <w:t>建立健全限制高碳产业市场准入清单，完善项目节能审查、环境影响评价制度，严格控制高耗能、高污染行业增长。探索建立“一企一证一卡”企业排污总量控制新模式，强化环境管理浓度、总量双控制，严格控制主要污染物总量指标，扎实推进化学需氧量、氨氮、二氧化硫和氮氧化物等减排。构建绿色制造体系，培育发展绿色工厂、绿色园区、绿色设计和绿色供应链，推动工业经济绿色转型。</w:t>
      </w:r>
    </w:p>
    <w:p>
      <w:pPr>
        <w:pStyle w:val="7"/>
      </w:pPr>
      <w:bookmarkStart w:id="84" w:name="_Toc65597940"/>
      <w:bookmarkStart w:id="85" w:name="_Toc24177"/>
      <w:r>
        <w:rPr>
          <w:rFonts w:hint="eastAsia"/>
        </w:rPr>
        <w:t>第二节 发展农业循环经济</w:t>
      </w:r>
      <w:bookmarkEnd w:id="84"/>
      <w:bookmarkEnd w:id="85"/>
    </w:p>
    <w:p>
      <w:r>
        <w:rPr>
          <w:rFonts w:hint="eastAsia"/>
        </w:rPr>
        <w:t>按照“以种带养、以养促种”的种养结合循环发展农业模式，以就地消纳、能量循环、综合利用为主线，探索种养业废弃物循环利用的综合性整体解决方案。选用生态适用、运行高效、经济可行的种养业废弃物处理措施，提升工程处理能力与技术水平。建设秸秆综合利用工程，实现秸秆肥料化、饲料化、基料化利用。建设沼渣沼液还田工程、有机肥深加工工程，实现畜禽粪便能源化、肥料化利用。</w:t>
      </w:r>
    </w:p>
    <w:p>
      <w:pPr>
        <w:pStyle w:val="7"/>
      </w:pPr>
      <w:bookmarkStart w:id="86" w:name="_Toc21956"/>
      <w:bookmarkStart w:id="87" w:name="_Toc27766"/>
      <w:bookmarkStart w:id="88" w:name="_Toc31671"/>
      <w:bookmarkStart w:id="89" w:name="_Toc22602"/>
      <w:bookmarkStart w:id="90" w:name="_Toc90"/>
      <w:bookmarkStart w:id="91" w:name="_Toc57024683"/>
      <w:bookmarkStart w:id="92" w:name="_Toc23123"/>
      <w:bookmarkStart w:id="93" w:name="_Toc65597941"/>
      <w:r>
        <w:rPr>
          <w:rFonts w:hint="eastAsia"/>
        </w:rPr>
        <w:t xml:space="preserve">第三节 </w:t>
      </w:r>
      <w:bookmarkEnd w:id="86"/>
      <w:bookmarkEnd w:id="87"/>
      <w:bookmarkEnd w:id="88"/>
      <w:bookmarkEnd w:id="89"/>
      <w:bookmarkEnd w:id="90"/>
      <w:bookmarkEnd w:id="91"/>
      <w:bookmarkEnd w:id="92"/>
      <w:r>
        <w:rPr>
          <w:rFonts w:hint="eastAsia"/>
        </w:rPr>
        <w:t>建立资源高效利用制度</w:t>
      </w:r>
      <w:bookmarkEnd w:id="93"/>
    </w:p>
    <w:p>
      <w:r>
        <w:rPr>
          <w:rFonts w:hint="eastAsia"/>
        </w:rPr>
        <w:t>严守生态与耕地两条红线，做好生态空间利用开发。建立水资源刚性约束机制，合理开发利用水资源，推广普及高效节水灌溉技术。强化水资源开发利用、用水效率和水功能区限制纳污等“三条红线”约束，全面推进农业、工业、居民生活节水。推进垃圾分类和减量化、资源化、无害化。积极推进蔬菜、水果等经济作物使用测土配方施肥技术，逐步实现主要农作物测土配方施肥全覆盖，防治耕地板结和金属超标。加强节能减排工作，加快建立节能型工农业体系、交通网络和建筑模式，推广应用适应高原环境的光热、光电、风能等技术。完善低效利用土地退出机制，强化土地利用的规划管控、市场调节、标准控制和考核监管，提高土地集约利用水平。</w:t>
      </w:r>
    </w:p>
    <w:p>
      <w:pPr>
        <w:pStyle w:val="7"/>
      </w:pPr>
      <w:bookmarkStart w:id="94" w:name="_Toc14308"/>
      <w:bookmarkStart w:id="95" w:name="_Toc3183"/>
      <w:bookmarkStart w:id="96" w:name="_Toc6194"/>
      <w:bookmarkStart w:id="97" w:name="_Toc65597942"/>
      <w:bookmarkStart w:id="98" w:name="_Toc30155"/>
      <w:bookmarkStart w:id="99" w:name="_Toc12865"/>
      <w:bookmarkStart w:id="100" w:name="_Toc57024684"/>
      <w:bookmarkStart w:id="101" w:name="_Toc337"/>
      <w:r>
        <w:rPr>
          <w:rFonts w:hint="eastAsia"/>
        </w:rPr>
        <w:t>第四节 探索绿色生活试点示范</w:t>
      </w:r>
      <w:bookmarkEnd w:id="94"/>
      <w:bookmarkEnd w:id="95"/>
      <w:bookmarkEnd w:id="96"/>
      <w:bookmarkEnd w:id="97"/>
      <w:bookmarkEnd w:id="98"/>
      <w:bookmarkEnd w:id="99"/>
      <w:bookmarkEnd w:id="100"/>
      <w:bookmarkEnd w:id="101"/>
    </w:p>
    <w:p>
      <w:r>
        <w:rPr>
          <w:rFonts w:hint="eastAsia"/>
        </w:rPr>
        <w:t>探索建立绿色城市标准化体系，发展安全、便捷、绿色公共交通，大幅提高公共交通出行运载通行能力，构建绿色交通体系。推动中心城区公交车、出租车电动化，推广绿色低碳出行。开展节约型机关、绿色家庭、绿色学校、绿色社区、绿色商场、绿色建筑创建行动，使绿色发展成为全社会的共同追求和自觉行动。倡导勤俭节约的消费观，坚决制止餐饮浪费行为，普遍推行居民生活垃圾分类、完善垃圾转运与处理制度。</w:t>
      </w:r>
    </w:p>
    <w:p>
      <w:r>
        <w:br w:type="page"/>
      </w:r>
    </w:p>
    <w:p>
      <w:pPr>
        <w:pStyle w:val="4"/>
      </w:pPr>
      <w:bookmarkStart w:id="102" w:name="_Toc65597943"/>
      <w:bookmarkStart w:id="103" w:name="_Toc60172776"/>
      <w:bookmarkStart w:id="104" w:name="_Toc1403"/>
      <w:r>
        <w:rPr>
          <w:rFonts w:hint="eastAsia"/>
        </w:rPr>
        <w:t>第四篇 加快生态产品价值转化，助推经济健康发展</w:t>
      </w:r>
      <w:bookmarkEnd w:id="102"/>
    </w:p>
    <w:p>
      <w:pPr>
        <w:pStyle w:val="6"/>
        <w:numPr>
          <w:ilvl w:val="0"/>
          <w:numId w:val="1"/>
        </w:numPr>
        <w:ind w:firstLineChars="0"/>
      </w:pPr>
      <w:bookmarkStart w:id="105" w:name="_Toc65597944"/>
      <w:bookmarkStart w:id="106" w:name="_Toc924"/>
      <w:r>
        <w:rPr>
          <w:rFonts w:hint="eastAsia"/>
        </w:rPr>
        <w:t>推动生态特色文化旅游高端发展</w:t>
      </w:r>
      <w:bookmarkEnd w:id="105"/>
      <w:bookmarkEnd w:id="106"/>
    </w:p>
    <w:p>
      <w:r>
        <w:rPr>
          <w:rFonts w:hint="eastAsia"/>
        </w:rPr>
        <w:t>建成以生态特色文化旅游的生态经济高质量发展新高地，打造旅游融合新业态。将丹巴县生态文明示范县创建活动与四川省委推动全域生态旅游、甘孜州委大渡河流域乡村振兴示范区建设等发展战略有机融合，努力将丹巴县得天独厚的生态资源禀赋和深厚的嘉绒藏族风情文化底蕴转化为绿色发展的资源优势，探索出一套在川西藏区可复制、能推广的生态文明建设示范样板。</w:t>
      </w:r>
    </w:p>
    <w:p>
      <w:pPr>
        <w:pStyle w:val="7"/>
      </w:pPr>
      <w:bookmarkStart w:id="107" w:name="_Toc65597945"/>
      <w:r>
        <w:rPr>
          <w:rFonts w:hint="eastAsia"/>
        </w:rPr>
        <w:t>第一节 优化全域旅游发展</w:t>
      </w:r>
      <w:bookmarkEnd w:id="107"/>
    </w:p>
    <w:p>
      <w:r>
        <w:rPr>
          <w:rFonts w:hint="eastAsia"/>
        </w:rPr>
        <w:t>通过精品景区带动工程，加快推进“一县三区”（天府旅游名县、嘉绒文化生态保护区、旅游度假区、全域旅游示范区）创建工作，打响丹巴旅游知名度。以旅游推动区域开放合作，充分利用川西旅游环线知名度，以文旅融合、农旅融合、城乡融合、景村融合为重点推动全县旅游转型高质量发展，提升“古碉·藏寨·美人谷”大渡河流域乡村振兴的品牌影响力。丹巴县地处大渡河流域最美乡村康养休闲游、“大贡嘎”文化旅游发展联盟、川西旅游环线游、大东女国阳光休闲度假游、春季赏花烂漫之旅五条旅游环线“枢纽”地位。结合丹巴嘉绒藏族风情，打造康养度假、农旅融合、民俗体验、高原风光游牧体验等极具特色旅游线，进一步优化丹巴全域旅游产品。</w:t>
      </w:r>
    </w:p>
    <w:p>
      <w:pPr>
        <w:pStyle w:val="7"/>
      </w:pPr>
      <w:bookmarkStart w:id="108" w:name="_Toc65597946"/>
      <w:r>
        <w:rPr>
          <w:rFonts w:hint="eastAsia"/>
        </w:rPr>
        <w:t>第二节 打造特色旅游产品体系</w:t>
      </w:r>
      <w:bookmarkEnd w:id="108"/>
    </w:p>
    <w:p>
      <w:r>
        <w:rPr>
          <w:rFonts w:hint="eastAsia"/>
        </w:rPr>
        <w:t>推进A级旅游景区、旅游度假区、生态旅游示范区、特色旅游小镇、旅游村落和旅游度假休闲城市等品牌创建。支持和引领民宿集群发展，打造高端民俗集群。围绕丹巴特有民族风情、人文优势，设计特色食宿、民族特产及文创产品。以长征国家文化公园、最美藏寨、古东女国文化为着力点，打造特色文化旅游和休闲度假旅游产品；以“康养+休闲 成都后花园”为统揽，实施一批康养项目；加快红色长征主题公园建设，推进红五军团、藏民独立师、顶果山、党岭雪山等一批红色旅游项目；加大旅游资源推介和招商引资力度，吸引有资质有实力的企业开发景区建设。联合旅行社等旅游服务主体，形成由内向外的旅游服务链，并逐步从观光产品拓展到休闲度假产品增强旅游经济的带动作用，培育乡村旅游增长点。实施旅游富民兴县工程，提高乡村旅游组织化程度，有效发挥旅游业惠民生、促增收、扩就业作用。加强文化遗产保护，旅游设施完善，人才队伍保障，智慧旅游体系打造,大力促进地方旅游业提升与发展。</w:t>
      </w:r>
    </w:p>
    <w:p>
      <w:pPr>
        <w:pStyle w:val="2"/>
      </w:pPr>
    </w:p>
    <w:p>
      <w:pPr>
        <w:widowControl/>
        <w:spacing w:line="240" w:lineRule="auto"/>
        <w:ind w:firstLine="0" w:firstLineChars="0"/>
        <w:jc w:val="left"/>
        <w:rPr>
          <w:rFonts w:ascii="Arial" w:hAnsi="Arial" w:eastAsia="华文中宋"/>
          <w:b/>
          <w:sz w:val="84"/>
        </w:rPr>
      </w:pPr>
      <w:r>
        <w:br w:type="page"/>
      </w:r>
    </w:p>
    <w:tbl>
      <w:tblPr>
        <w:tblStyle w:val="23"/>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290" w:type="dxa"/>
            <w:shd w:val="clear" w:color="auto" w:fill="BFBFBF"/>
            <w:vAlign w:val="center"/>
          </w:tcPr>
          <w:p>
            <w:pPr>
              <w:pStyle w:val="40"/>
              <w:spacing w:line="420" w:lineRule="exact"/>
              <w:ind w:firstLine="0" w:firstLineChars="0"/>
              <w:jc w:val="center"/>
            </w:pPr>
            <w:r>
              <w:rPr>
                <w:rFonts w:hint="eastAsia" w:eastAsia="方正仿宋简体" w:cs="Times New Roman"/>
                <w:b/>
                <w:sz w:val="24"/>
                <w:szCs w:val="28"/>
              </w:rPr>
              <w:t>专栏11 重要景区景点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vAlign w:val="center"/>
          </w:tcPr>
          <w:p>
            <w:pPr>
              <w:pStyle w:val="40"/>
              <w:spacing w:line="420" w:lineRule="exact"/>
              <w:ind w:firstLine="458" w:firstLineChars="0"/>
              <w:rPr>
                <w:rFonts w:ascii="仿宋_GB2312" w:eastAsia="仿宋_GB2312" w:cs="Times New Roman"/>
                <w:bCs/>
                <w:spacing w:val="-6"/>
                <w:sz w:val="24"/>
                <w:szCs w:val="24"/>
              </w:rPr>
            </w:pPr>
            <w:r>
              <w:rPr>
                <w:rFonts w:hint="eastAsia" w:ascii="仿宋_GB2312" w:eastAsia="仿宋_GB2312" w:cs="Times New Roman"/>
                <w:b/>
                <w:bCs/>
                <w:spacing w:val="-6"/>
                <w:sz w:val="24"/>
                <w:szCs w:val="24"/>
              </w:rPr>
              <w:t>（一）国家级全域旅游示范区。</w:t>
            </w:r>
            <w:r>
              <w:rPr>
                <w:rFonts w:hint="eastAsia" w:ascii="仿宋_GB2312" w:eastAsia="仿宋_GB2312" w:cs="Times New Roman"/>
                <w:bCs/>
                <w:spacing w:val="-6"/>
                <w:sz w:val="24"/>
                <w:szCs w:val="24"/>
              </w:rPr>
              <w:t>丹巴县。</w:t>
            </w:r>
          </w:p>
          <w:p>
            <w:pPr>
              <w:pStyle w:val="40"/>
              <w:spacing w:line="420" w:lineRule="exact"/>
              <w:ind w:firstLine="458" w:firstLineChars="0"/>
              <w:rPr>
                <w:rFonts w:ascii="仿宋_GB2312" w:eastAsia="仿宋_GB2312" w:cs="Times New Roman"/>
                <w:b/>
                <w:bCs/>
                <w:spacing w:val="-6"/>
                <w:sz w:val="24"/>
                <w:szCs w:val="24"/>
              </w:rPr>
            </w:pPr>
            <w:r>
              <w:rPr>
                <w:rFonts w:hint="eastAsia" w:ascii="仿宋_GB2312" w:eastAsia="仿宋_GB2312" w:cs="Times New Roman"/>
                <w:b/>
                <w:spacing w:val="-6"/>
                <w:sz w:val="24"/>
                <w:szCs w:val="24"/>
              </w:rPr>
              <w:t>（二）天府旅游名县。</w:t>
            </w:r>
            <w:r>
              <w:rPr>
                <w:rFonts w:hint="eastAsia" w:ascii="仿宋_GB2312" w:eastAsia="仿宋_GB2312" w:cs="Times New Roman"/>
                <w:spacing w:val="-6"/>
                <w:sz w:val="24"/>
                <w:szCs w:val="24"/>
              </w:rPr>
              <w:t>丹巴县。</w:t>
            </w:r>
          </w:p>
          <w:p>
            <w:pPr>
              <w:pStyle w:val="40"/>
              <w:spacing w:line="420" w:lineRule="exact"/>
              <w:ind w:firstLine="458" w:firstLineChars="0"/>
              <w:rPr>
                <w:rFonts w:ascii="仿宋_GB2312" w:eastAsia="仿宋_GB2312" w:cs="Times New Roman"/>
                <w:spacing w:val="-6"/>
                <w:sz w:val="24"/>
                <w:szCs w:val="24"/>
              </w:rPr>
            </w:pPr>
            <w:r>
              <w:rPr>
                <w:rFonts w:hint="eastAsia" w:ascii="仿宋_GB2312" w:eastAsia="仿宋_GB2312" w:cs="Times New Roman"/>
                <w:b/>
                <w:bCs/>
                <w:spacing w:val="-6"/>
                <w:sz w:val="24"/>
                <w:szCs w:val="24"/>
              </w:rPr>
              <w:t>（三）国家旅游度假区。</w:t>
            </w:r>
            <w:r>
              <w:rPr>
                <w:rFonts w:hint="eastAsia" w:ascii="仿宋_GB2312" w:eastAsia="仿宋_GB2312" w:cs="Times New Roman"/>
                <w:spacing w:val="-6"/>
                <w:sz w:val="24"/>
                <w:szCs w:val="24"/>
              </w:rPr>
              <w:t>丹巴美人谷旅游度假区</w:t>
            </w:r>
          </w:p>
          <w:p>
            <w:pPr>
              <w:pStyle w:val="40"/>
              <w:spacing w:line="420" w:lineRule="exact"/>
              <w:ind w:firstLine="458" w:firstLineChars="0"/>
              <w:rPr>
                <w:rFonts w:ascii="仿宋_GB2312" w:eastAsia="仿宋_GB2312" w:cs="Times New Roman"/>
                <w:spacing w:val="-6"/>
                <w:sz w:val="24"/>
                <w:szCs w:val="24"/>
              </w:rPr>
            </w:pPr>
            <w:r>
              <w:rPr>
                <w:rFonts w:hint="eastAsia" w:ascii="仿宋_GB2312" w:eastAsia="仿宋_GB2312" w:cs="Times New Roman"/>
                <w:b/>
                <w:bCs/>
                <w:spacing w:val="-6"/>
                <w:sz w:val="24"/>
                <w:szCs w:val="24"/>
              </w:rPr>
              <w:t>（四）</w:t>
            </w:r>
            <w:r>
              <w:rPr>
                <w:rFonts w:hint="eastAsia" w:ascii="仿宋_GB2312" w:eastAsia="仿宋_GB2312" w:cs="Times New Roman"/>
                <w:b/>
                <w:spacing w:val="-6"/>
                <w:sz w:val="24"/>
                <w:szCs w:val="24"/>
              </w:rPr>
              <w:t>国家乡村旅游重点村</w:t>
            </w:r>
            <w:r>
              <w:rPr>
                <w:rFonts w:hint="eastAsia" w:ascii="仿宋_GB2312" w:eastAsia="仿宋_GB2312" w:cs="Times New Roman"/>
                <w:spacing w:val="-6"/>
                <w:sz w:val="24"/>
                <w:szCs w:val="24"/>
              </w:rPr>
              <w:t>。甲居镇甲居二村、墨尔多山镇基卡依村。</w:t>
            </w:r>
          </w:p>
          <w:p>
            <w:pPr>
              <w:pStyle w:val="40"/>
              <w:spacing w:line="420" w:lineRule="exact"/>
              <w:rPr>
                <w:rFonts w:ascii="仿宋_GB2312" w:eastAsia="仿宋_GB2312" w:cs="Times New Roman"/>
                <w:spacing w:val="-6"/>
                <w:sz w:val="24"/>
                <w:szCs w:val="24"/>
              </w:rPr>
            </w:pPr>
            <w:r>
              <w:rPr>
                <w:rFonts w:hint="eastAsia" w:ascii="仿宋_GB2312" w:eastAsia="仿宋_GB2312" w:cs="Times New Roman"/>
                <w:b/>
                <w:bCs/>
                <w:spacing w:val="-6"/>
                <w:sz w:val="24"/>
                <w:szCs w:val="24"/>
              </w:rPr>
              <w:t>（五）国家4A景区。</w:t>
            </w:r>
            <w:r>
              <w:rPr>
                <w:rFonts w:hint="eastAsia" w:ascii="仿宋_GB2312" w:eastAsia="仿宋_GB2312" w:cs="Times New Roman"/>
                <w:spacing w:val="-6"/>
                <w:sz w:val="24"/>
                <w:szCs w:val="24"/>
              </w:rPr>
              <w:t>甲居藏寨、中路旅游景区。</w:t>
            </w:r>
          </w:p>
          <w:p>
            <w:pPr>
              <w:pStyle w:val="40"/>
              <w:spacing w:line="420" w:lineRule="exact"/>
              <w:rPr>
                <w:rFonts w:ascii="仿宋_GB2312" w:eastAsia="仿宋_GB2312" w:cs="Times New Roman"/>
                <w:b/>
                <w:bCs/>
                <w:spacing w:val="-6"/>
                <w:sz w:val="24"/>
                <w:szCs w:val="24"/>
              </w:rPr>
            </w:pPr>
            <w:r>
              <w:rPr>
                <w:rFonts w:hint="eastAsia" w:ascii="仿宋_GB2312" w:eastAsia="仿宋_GB2312" w:cs="Times New Roman"/>
                <w:b/>
                <w:bCs/>
                <w:spacing w:val="-6"/>
                <w:sz w:val="24"/>
                <w:szCs w:val="24"/>
              </w:rPr>
              <w:t>（六）国家3A景区。</w:t>
            </w:r>
            <w:r>
              <w:rPr>
                <w:rFonts w:hint="eastAsia" w:ascii="仿宋_GB2312" w:eastAsia="仿宋_GB2312" w:cs="Times New Roman"/>
                <w:bCs/>
                <w:spacing w:val="-6"/>
                <w:sz w:val="24"/>
                <w:szCs w:val="24"/>
              </w:rPr>
              <w:t>梭坡旅游景区、党岭景区。</w:t>
            </w:r>
          </w:p>
          <w:p>
            <w:pPr>
              <w:pStyle w:val="40"/>
              <w:spacing w:line="420" w:lineRule="exact"/>
            </w:pPr>
            <w:r>
              <w:rPr>
                <w:rFonts w:hint="eastAsia" w:ascii="仿宋_GB2312" w:eastAsia="仿宋_GB2312" w:cs="Times New Roman"/>
                <w:b/>
                <w:bCs/>
                <w:spacing w:val="-6"/>
                <w:sz w:val="24"/>
                <w:szCs w:val="24"/>
              </w:rPr>
              <w:t>（七）省级特色文旅小镇。</w:t>
            </w:r>
            <w:r>
              <w:rPr>
                <w:rFonts w:hint="eastAsia" w:ascii="仿宋_GB2312" w:eastAsia="仿宋_GB2312" w:cs="Times New Roman"/>
                <w:bCs/>
                <w:spacing w:val="-6"/>
                <w:sz w:val="24"/>
                <w:szCs w:val="24"/>
              </w:rPr>
              <w:t>甲居镇。</w:t>
            </w:r>
          </w:p>
        </w:tc>
      </w:tr>
    </w:tbl>
    <w:p>
      <w:pPr>
        <w:pStyle w:val="2"/>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90" w:type="dxa"/>
            <w:shd w:val="clear" w:color="auto" w:fill="BFBFBF"/>
            <w:vAlign w:val="center"/>
          </w:tcPr>
          <w:p>
            <w:pPr>
              <w:pStyle w:val="31"/>
            </w:pPr>
            <w:r>
              <w:rPr>
                <w:rFonts w:hint="eastAsia"/>
              </w:rPr>
              <w:t>专栏12  特色旅游重点项目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vAlign w:val="center"/>
          </w:tcPr>
          <w:p>
            <w:pPr>
              <w:rPr>
                <w:sz w:val="24"/>
                <w:szCs w:val="24"/>
              </w:rPr>
            </w:pPr>
            <w:r>
              <w:rPr>
                <w:rFonts w:hint="eastAsia"/>
                <w:b/>
                <w:bCs/>
                <w:sz w:val="24"/>
                <w:szCs w:val="24"/>
              </w:rPr>
              <w:t>1.中路景区文化体验区：</w:t>
            </w:r>
            <w:r>
              <w:rPr>
                <w:rFonts w:hint="eastAsia"/>
                <w:sz w:val="24"/>
                <w:szCs w:val="24"/>
              </w:rPr>
              <w:t>建设面积1500平方米农耕文化体验区，包括服务接待中心、中路古遗址文化展陈体验区、传统农业生产场景展示区、传统农业生产工具展示区、农业耕作授课区、农业生产体验区。</w:t>
            </w:r>
          </w:p>
          <w:p>
            <w:pPr>
              <w:rPr>
                <w:sz w:val="24"/>
                <w:szCs w:val="24"/>
              </w:rPr>
            </w:pPr>
            <w:r>
              <w:rPr>
                <w:rFonts w:hint="eastAsia"/>
                <w:b/>
                <w:bCs/>
                <w:sz w:val="24"/>
                <w:szCs w:val="24"/>
              </w:rPr>
              <w:t>2.丹巴县甲居藏寨红色旅游景区和旅游度假区建设项目：</w:t>
            </w:r>
            <w:r>
              <w:rPr>
                <w:rFonts w:hint="eastAsia"/>
                <w:sz w:val="24"/>
                <w:szCs w:val="24"/>
              </w:rPr>
              <w:t>围绕大环线公路建设甲居藏寨红色旅游景区，配套建设</w:t>
            </w:r>
            <w:r>
              <w:rPr>
                <w:sz w:val="24"/>
                <w:szCs w:val="24"/>
              </w:rPr>
              <w:t>浮雕群、红色文化宣传教育基地、红色步游道、红色旅游陈列馆、大型停车场、观景台等附属设施建设，旅游综合服务站（集散中心、旅游咨询服务站）、嘉绒文化展示中心、非遗体验馆、标示牌、休闲广场、民居风貌打造、厕所、景观绿化等附属设施。</w:t>
            </w:r>
          </w:p>
          <w:p>
            <w:pPr>
              <w:rPr>
                <w:sz w:val="24"/>
                <w:szCs w:val="24"/>
              </w:rPr>
            </w:pPr>
            <w:r>
              <w:rPr>
                <w:rFonts w:hint="eastAsia"/>
                <w:b/>
                <w:bCs/>
                <w:sz w:val="24"/>
                <w:szCs w:val="24"/>
              </w:rPr>
              <w:t>3.打造中路-梭坡康养休闲区：</w:t>
            </w:r>
            <w:r>
              <w:rPr>
                <w:rFonts w:hint="eastAsia"/>
                <w:sz w:val="24"/>
                <w:szCs w:val="24"/>
              </w:rPr>
              <w:t>将中路梭坡古碉、农田景观、酿酒葡萄、苹果、玫瑰等资源形成区域整合，融合东女文化、葡萄酒酿酒文化、古碉文化、中药养生文化、丹巴嘉绒歌舞、嘉绒藏系、节庆日、嘉绒藏餐等，新建旅游集散中心、停车场、公厕、中路梭坡步游道、十二工坊建设、观景台及附属设施等。</w:t>
            </w:r>
          </w:p>
          <w:p>
            <w:pPr>
              <w:rPr>
                <w:sz w:val="24"/>
                <w:szCs w:val="24"/>
              </w:rPr>
            </w:pPr>
            <w:r>
              <w:rPr>
                <w:rFonts w:hint="eastAsia"/>
                <w:b/>
                <w:bCs/>
                <w:sz w:val="24"/>
                <w:szCs w:val="24"/>
              </w:rPr>
              <w:t>4.</w:t>
            </w:r>
            <w:r>
              <w:rPr>
                <w:rFonts w:hint="eastAsia"/>
              </w:rPr>
              <w:t xml:space="preserve"> </w:t>
            </w:r>
            <w:r>
              <w:rPr>
                <w:rFonts w:hint="eastAsia"/>
                <w:b/>
                <w:bCs/>
                <w:sz w:val="24"/>
                <w:szCs w:val="24"/>
              </w:rPr>
              <w:t>丹巴县党岭红色旅游景区建设项目：</w:t>
            </w:r>
            <w:r>
              <w:rPr>
                <w:rFonts w:hint="eastAsia"/>
                <w:sz w:val="24"/>
                <w:szCs w:val="24"/>
              </w:rPr>
              <w:t>结合党岭红色旅游资源和自然风光，将党岭风景名胜区、草莓采摘观光体验资源进行整合，打造集观光、体验于一体的红色体验和高山生态自然风光休闲旅游区。新建游客集散中心、观景台、标示牌、农产品售卖区、步游道、停车场、旅游公厕及附属设施、红军大学纪念馆、独狼沟战斗遗址恢复、红军翻越党岭雪山纪念馆等。</w:t>
            </w:r>
          </w:p>
          <w:p>
            <w:pPr>
              <w:rPr>
                <w:sz w:val="24"/>
                <w:szCs w:val="24"/>
              </w:rPr>
            </w:pPr>
            <w:r>
              <w:rPr>
                <w:rFonts w:hint="eastAsia"/>
                <w:b/>
                <w:bCs/>
                <w:sz w:val="24"/>
                <w:szCs w:val="24"/>
              </w:rPr>
              <w:t>5.打造莫斯卡高原风光游牧体验区：</w:t>
            </w:r>
            <w:r>
              <w:rPr>
                <w:rFonts w:hint="eastAsia"/>
                <w:sz w:val="24"/>
                <w:szCs w:val="24"/>
              </w:rPr>
              <w:t>充分利用莫斯卡自然风光，结合草原土拨鼠嬉戏、牧人放牧等景象，打造集高原风光观赏、体验于一体的高原观光旅游区。</w:t>
            </w:r>
          </w:p>
          <w:p>
            <w:pPr>
              <w:rPr>
                <w:sz w:val="24"/>
                <w:szCs w:val="24"/>
              </w:rPr>
            </w:pPr>
            <w:r>
              <w:rPr>
                <w:rFonts w:hint="eastAsia"/>
                <w:b/>
                <w:bCs/>
                <w:sz w:val="24"/>
                <w:szCs w:val="24"/>
              </w:rPr>
              <w:t>6.建设丹巴县革什扎镇风情小镇：</w:t>
            </w:r>
            <w:r>
              <w:rPr>
                <w:rFonts w:hint="eastAsia"/>
                <w:sz w:val="24"/>
                <w:szCs w:val="24"/>
              </w:rPr>
              <w:t>安装100盏8米高的单臂太阳能藏式路灯，安装50个店招店牌，建设2公里人行道和栏杆，建设1座文化广场、1个云母矿主题展览馆，房屋外立面改造30000平方米及附属设施。</w:t>
            </w:r>
          </w:p>
          <w:p>
            <w:pPr>
              <w:rPr>
                <w:sz w:val="24"/>
                <w:szCs w:val="24"/>
              </w:rPr>
            </w:pPr>
            <w:r>
              <w:rPr>
                <w:rFonts w:hint="eastAsia"/>
                <w:b/>
                <w:bCs/>
                <w:sz w:val="24"/>
                <w:szCs w:val="24"/>
              </w:rPr>
              <w:t>7.古碉群保护维修工程：</w:t>
            </w:r>
            <w:r>
              <w:rPr>
                <w:rFonts w:hint="eastAsia"/>
                <w:bCs/>
                <w:sz w:val="24"/>
                <w:szCs w:val="24"/>
              </w:rPr>
              <w:t>国家重点文物保护单位</w:t>
            </w:r>
            <w:r>
              <w:rPr>
                <w:bCs/>
                <w:sz w:val="24"/>
                <w:szCs w:val="24"/>
              </w:rPr>
              <w:t>-丹巴古碉群抢救性保护维修项目二期</w:t>
            </w:r>
            <w:r>
              <w:rPr>
                <w:rFonts w:hint="eastAsia"/>
                <w:bCs/>
                <w:sz w:val="24"/>
                <w:szCs w:val="24"/>
              </w:rPr>
              <w:t>，对全国重点文物保护单位的保护维修（</w:t>
            </w:r>
            <w:r>
              <w:rPr>
                <w:bCs/>
                <w:sz w:val="24"/>
                <w:szCs w:val="24"/>
              </w:rPr>
              <w:t>20座古碉）</w:t>
            </w:r>
            <w:r>
              <w:rPr>
                <w:rFonts w:hint="eastAsia"/>
                <w:sz w:val="24"/>
                <w:szCs w:val="24"/>
              </w:rPr>
              <w:t>。</w:t>
            </w:r>
          </w:p>
          <w:p>
            <w:pPr>
              <w:rPr>
                <w:bCs/>
                <w:sz w:val="24"/>
                <w:szCs w:val="24"/>
              </w:rPr>
            </w:pPr>
            <w:r>
              <w:rPr>
                <w:b/>
                <w:bCs/>
                <w:sz w:val="24"/>
                <w:szCs w:val="24"/>
              </w:rPr>
              <w:t>8</w:t>
            </w:r>
            <w:r>
              <w:rPr>
                <w:rFonts w:hint="eastAsia"/>
                <w:b/>
                <w:bCs/>
                <w:sz w:val="24"/>
                <w:szCs w:val="24"/>
              </w:rPr>
              <w:t>.</w:t>
            </w:r>
            <w:r>
              <w:rPr>
                <w:rFonts w:hint="eastAsia" w:cs="宋体"/>
                <w:b/>
                <w:bCs/>
                <w:sz w:val="24"/>
                <w:szCs w:val="24"/>
              </w:rPr>
              <w:t>丹巴高端民宿集群</w:t>
            </w:r>
            <w:r>
              <w:rPr>
                <w:rFonts w:hint="eastAsia"/>
                <w:b/>
                <w:bCs/>
                <w:sz w:val="24"/>
                <w:szCs w:val="24"/>
              </w:rPr>
              <w:t>发展示范区：</w:t>
            </w:r>
            <w:r>
              <w:rPr>
                <w:rFonts w:hint="eastAsia"/>
                <w:bCs/>
                <w:sz w:val="24"/>
                <w:szCs w:val="24"/>
              </w:rPr>
              <w:t>围绕民宿国际旅游目的地总体规划，将甲居、中路、梭坡打造高端民宿集群，开展民宿环境提档升级、旅游人才培训、标识牌和文创产品研发等。</w:t>
            </w:r>
          </w:p>
          <w:p>
            <w:pPr>
              <w:rPr>
                <w:sz w:val="24"/>
                <w:szCs w:val="24"/>
              </w:rPr>
            </w:pPr>
            <w:r>
              <w:rPr>
                <w:rFonts w:hint="eastAsia"/>
                <w:b/>
                <w:sz w:val="24"/>
                <w:szCs w:val="24"/>
              </w:rPr>
              <w:t>9.丹巴县游客集散中心提档升级建设项目</w:t>
            </w:r>
            <w:r>
              <w:rPr>
                <w:rFonts w:hint="eastAsia"/>
              </w:rPr>
              <w:t>：</w:t>
            </w:r>
            <w:r>
              <w:rPr>
                <w:rFonts w:hint="eastAsia"/>
                <w:sz w:val="24"/>
                <w:szCs w:val="24"/>
              </w:rPr>
              <w:t>对县城游客集散中心进行景观、绿化、室内装修及设施设备购置、亮化（包含建筑物亮化）、农特旅游产品服务点、路灯及配套管网、监控系统等。</w:t>
            </w:r>
          </w:p>
          <w:p>
            <w:pPr>
              <w:pStyle w:val="2"/>
              <w:rPr>
                <w:sz w:val="24"/>
                <w:szCs w:val="24"/>
              </w:rPr>
            </w:pPr>
            <w:r>
              <w:rPr>
                <w:rFonts w:hint="eastAsia"/>
                <w:b/>
                <w:sz w:val="24"/>
                <w:szCs w:val="24"/>
              </w:rPr>
              <w:t>10.新建旅游厕所：</w:t>
            </w:r>
            <w:r>
              <w:rPr>
                <w:rFonts w:hint="eastAsia"/>
                <w:sz w:val="24"/>
                <w:szCs w:val="24"/>
              </w:rPr>
              <w:t>对出入境干道、景区景点新建一批旅游厕所。</w:t>
            </w:r>
          </w:p>
          <w:p>
            <w:pPr>
              <w:pStyle w:val="2"/>
              <w:rPr>
                <w:rFonts w:ascii="仿宋_GB2312" w:eastAsia="仿宋_GB2312"/>
                <w:sz w:val="24"/>
                <w:szCs w:val="24"/>
              </w:rPr>
            </w:pPr>
            <w:r>
              <w:rPr>
                <w:rFonts w:hint="eastAsia" w:ascii="仿宋_GB2312" w:eastAsia="仿宋_GB2312"/>
                <w:b/>
                <w:sz w:val="24"/>
                <w:szCs w:val="24"/>
              </w:rPr>
              <w:t>11.丹巴县顶果山红色旅游景区建设项目：</w:t>
            </w:r>
            <w:r>
              <w:rPr>
                <w:rFonts w:hint="eastAsia" w:ascii="仿宋_GB2312" w:eastAsia="仿宋_GB2312"/>
                <w:sz w:val="24"/>
                <w:szCs w:val="24"/>
              </w:rPr>
              <w:t>改扩建红色文化博物馆，附属设施：停车场、厕所、标示牌、污水处理设施等。</w:t>
            </w:r>
          </w:p>
          <w:p>
            <w:r>
              <w:rPr>
                <w:rFonts w:hint="eastAsia" w:ascii="仿宋_GB2312" w:eastAsia="仿宋_GB2312"/>
                <w:b/>
                <w:sz w:val="24"/>
                <w:szCs w:val="24"/>
              </w:rPr>
              <w:t>12.</w:t>
            </w:r>
            <w:r>
              <w:rPr>
                <w:rFonts w:hint="eastAsia"/>
                <w:b/>
              </w:rPr>
              <w:t xml:space="preserve"> </w:t>
            </w:r>
            <w:r>
              <w:rPr>
                <w:rFonts w:hint="eastAsia" w:ascii="仿宋_GB2312" w:eastAsia="仿宋_GB2312"/>
                <w:b/>
                <w:sz w:val="24"/>
                <w:szCs w:val="24"/>
              </w:rPr>
              <w:t>丹巴县巴底邛山土司官寨保护项目</w:t>
            </w:r>
            <w:r>
              <w:rPr>
                <w:rFonts w:hint="eastAsia" w:ascii="仿宋_GB2312" w:eastAsia="仿宋_GB2312"/>
                <w:sz w:val="24"/>
                <w:szCs w:val="24"/>
              </w:rPr>
              <w:t>：维修面积</w:t>
            </w:r>
            <w:r>
              <w:rPr>
                <w:rFonts w:ascii="仿宋_GB2312" w:eastAsia="仿宋_GB2312"/>
                <w:sz w:val="24"/>
                <w:szCs w:val="24"/>
              </w:rPr>
              <w:t>5000平方米，美化绿化、观景台、停车场、厕所及附属设施等</w:t>
            </w:r>
            <w:r>
              <w:rPr>
                <w:rFonts w:hint="eastAsia" w:ascii="仿宋_GB2312" w:eastAsia="仿宋_GB2312"/>
                <w:sz w:val="24"/>
                <w:szCs w:val="24"/>
              </w:rPr>
              <w:t>。</w:t>
            </w:r>
          </w:p>
        </w:tc>
      </w:tr>
    </w:tbl>
    <w:p>
      <w:pPr>
        <w:pStyle w:val="6"/>
        <w:numPr>
          <w:ilvl w:val="0"/>
          <w:numId w:val="1"/>
        </w:numPr>
        <w:ind w:firstLineChars="0"/>
      </w:pPr>
      <w:bookmarkStart w:id="109" w:name="_Toc65597947"/>
      <w:bookmarkStart w:id="110" w:name="_Toc10092"/>
      <w:r>
        <w:rPr>
          <w:rFonts w:hint="eastAsia"/>
        </w:rPr>
        <w:t>做大做强现代特色农牧业</w:t>
      </w:r>
      <w:bookmarkEnd w:id="109"/>
      <w:bookmarkEnd w:id="110"/>
    </w:p>
    <w:p>
      <w:r>
        <w:rPr>
          <w:rFonts w:hint="eastAsia"/>
        </w:rPr>
        <w:t>围绕“河谷蔬菜、半山粮果、高山畜药”、“一带一业、一村一品”的特色农牧业发展思路，以打造特色优质农产品供给地为核心，以生产中高端农产品为主攻方向，立足市场，深入推进农业供给侧结构性改革，全力推进“8+2”体系建设，全力把丹巴打造成四川省乃至全国重要的绿色农业生产基地，逐步形成丹巴农业产业的区域特色和产业优势。</w:t>
      </w:r>
    </w:p>
    <w:p>
      <w:pPr>
        <w:pStyle w:val="7"/>
      </w:pPr>
      <w:bookmarkStart w:id="111" w:name="_Toc65597948"/>
      <w:bookmarkStart w:id="112" w:name="_Toc485"/>
      <w:r>
        <w:rPr>
          <w:rFonts w:hint="eastAsia"/>
        </w:rPr>
        <w:t>第一节 打造现代农业</w:t>
      </w:r>
      <w:bookmarkEnd w:id="111"/>
      <w:bookmarkEnd w:id="112"/>
    </w:p>
    <w:p>
      <w:r>
        <w:rPr>
          <w:rFonts w:hint="eastAsia"/>
        </w:rPr>
        <w:t>坚持特色引领，因地制宜发展优势产业，提高优质农产品供给能力。全力构建“8+2”（果、椒、药、蔬、菌、酒、薯、猪8大优势产业和现代种业、现代农业加工冷链物流2大先导性产业）现代农业。加快农业基础设施建设，推进小金河、革什扎河、金川河现代农业园区建设，争创省、州级现代农业园区。大力培育和引导龙头企业、农民专业合作社、家庭农场等新型农业经营主体多元融合发展、多路径提升规模经营水平、多模式完善利益分享机制、多形式提高发展质量，加快发展精细化农业、外向型农业。加快农业服务体系建设，推动各类市场主体参与服务供给，加快发展现代农业加工、物流、电子商务、特色会展等服务业，推动现代服务业同农业深度融合，加快推进服务业数字化。鼓励引导市场主体与加工企业创新合作模式、企业与原料产区创新合作实现利益共享共同发展模式，提高产业附加值。</w:t>
      </w:r>
    </w:p>
    <w:p>
      <w:pPr>
        <w:pStyle w:val="7"/>
      </w:pPr>
      <w:bookmarkStart w:id="113" w:name="_Toc19306"/>
      <w:bookmarkStart w:id="114" w:name="_Toc65597949"/>
      <w:r>
        <w:rPr>
          <w:rFonts w:hint="eastAsia"/>
        </w:rPr>
        <w:t>第二节 实施品牌丹巴战略</w:t>
      </w:r>
      <w:bookmarkEnd w:id="113"/>
      <w:bookmarkEnd w:id="114"/>
    </w:p>
    <w:p>
      <w:r>
        <w:rPr>
          <w:rFonts w:hint="eastAsia"/>
        </w:rPr>
        <w:t>实施品牌引领战略，提升农产品竞争力。提升农业组织化程度和抗风险能力，坚持部门联动、政企联手、市场运作的方式，建立层级递进的品牌培育机制，逐步扩大特色农产品商标注册数量，加快形成一批核心竞争力、市场认可度高、影响力大的知名品牌，在“圣洁甘孜”品牌框架内，打造“美人谷”农产品区域品牌，以品牌建设助推丹巴农业产业转型升级。继续推进无公害农产品、绿色食品和有机农产品认证申报工作。强化种植户的农产品质量安全意识，全面推行物理、生物绿色综合防控技术，完善产地环境监测、投入品使用台账等农产品质量安全监管机制，建立农产品档案，从生产前、产中、产后等方面实行精细化、全方位监管，提高农产品生产的标准化水平。</w:t>
      </w:r>
    </w:p>
    <w:p>
      <w:pPr>
        <w:pStyle w:val="6"/>
        <w:numPr>
          <w:ilvl w:val="0"/>
          <w:numId w:val="1"/>
        </w:numPr>
        <w:ind w:firstLineChars="0"/>
      </w:pPr>
      <w:bookmarkStart w:id="115" w:name="_Toc65597950"/>
      <w:r>
        <w:rPr>
          <w:rFonts w:hint="eastAsia"/>
        </w:rPr>
        <w:t>多举措发展现代服务业</w:t>
      </w:r>
      <w:bookmarkEnd w:id="115"/>
    </w:p>
    <w:p>
      <w:r>
        <w:rPr>
          <w:rFonts w:hint="eastAsia"/>
        </w:rPr>
        <w:t>深入推进产业富民战略，着力打造完善现代服务业支撑体系，构建经济效益好、特色突出、带动力强、一二三产深度融合的现代服务业。</w:t>
      </w:r>
    </w:p>
    <w:p>
      <w:pPr>
        <w:pStyle w:val="7"/>
      </w:pPr>
      <w:bookmarkStart w:id="116" w:name="_Toc65597951"/>
      <w:r>
        <w:rPr>
          <w:rFonts w:hint="eastAsia"/>
        </w:rPr>
        <w:t>第一节 完善现代服务业保障体系建设</w:t>
      </w:r>
      <w:bookmarkEnd w:id="116"/>
    </w:p>
    <w:p>
      <w:r>
        <w:rPr>
          <w:rFonts w:hint="eastAsia"/>
        </w:rPr>
        <w:t>加强金融、商贸和物流服务设施建设。完善乡镇、重点旅游区金融网点，实现金融网点对乡镇和重点旅游区的全覆盖，为群众提供便利的金融服务。积极调整商业结构和提升商业档次，形成富有活力的城区商业和便民实惠的社区商业；加强发展农村商业网点，加快构建和完善以生产销售服务、科技服务为主体的农村服务业，不断完善农业综合服务体系。加快县城物流中心和重点城镇物流节点建设，推进与物流相配套的运输场站、仓储、配送、信息平台等设施建设；积极发展第三方物流，培育和壮大一批骨干物流企业、建立现代物流园区，推动物流业与农牧业、旅游业、加工业和商贸服务等产业联动发展；积极发展农村物流和专业物流，加快建设专业市场体系和物流体系，建设特色农产品交易信息网络平台和特色农副产品综合交易市场。</w:t>
      </w:r>
    </w:p>
    <w:p>
      <w:pPr>
        <w:pStyle w:val="7"/>
      </w:pPr>
      <w:bookmarkStart w:id="117" w:name="_Toc65597952"/>
      <w:r>
        <w:rPr>
          <w:rFonts w:hint="eastAsia"/>
        </w:rPr>
        <w:t>第二节 推动一二三产业融合</w:t>
      </w:r>
      <w:bookmarkEnd w:id="117"/>
    </w:p>
    <w:p>
      <w:r>
        <w:rPr>
          <w:rFonts w:hint="eastAsia"/>
        </w:rPr>
        <w:t>坚持以加快产业融合为支撑，注重贯通生产、分配、流通、消费各环节，实现上下游、产供销有效衔接。着力在三次产业深度融合发展、全产业链优化升级上先行先试，为经济高质量发展闯出新路子、探索新经验。推动农林业与休闲旅游、健康养生等产业全面融合。大力发展电子商务，鼓励支持各类市场主体创新发展，提升电子商务综合示范县创建成效，推动互联网、物联网技术用于种植、养殖、农副产品加工、储运（冷链）、销售各个流程，大力拓展农业产业链条，引导农业向生产和服务一体化转型，推动一二三产融合发展。着力实现服务业转型提质，将内需潜力转化为推动经济发展的内生动力。</w:t>
      </w:r>
    </w:p>
    <w:p>
      <w:pPr>
        <w:pStyle w:val="6"/>
        <w:numPr>
          <w:ilvl w:val="0"/>
          <w:numId w:val="1"/>
        </w:numPr>
        <w:ind w:firstLineChars="0"/>
      </w:pPr>
      <w:r>
        <w:br w:type="page"/>
      </w:r>
      <w:bookmarkStart w:id="118" w:name="_Toc65597953"/>
      <w:r>
        <w:rPr>
          <w:rFonts w:hint="eastAsia"/>
        </w:rPr>
        <w:t>有序开展生态工业</w:t>
      </w:r>
      <w:bookmarkEnd w:id="118"/>
    </w:p>
    <w:p>
      <w:r>
        <w:rPr>
          <w:rFonts w:hint="eastAsia"/>
        </w:rPr>
        <w:t>大力发展生态能源业，坚持“全力支持大型、全面参与中型、全域清理小型”水电开发思路，加快推进巴底水电站、丹巴水电站开发。突出新能源发展取向，加快推进清洁能源替代工程，大力推广新型生活节能设备。有序发展绿色矿产业，稳步发展铂、镍、金等优势矿产生产，加强对矿产业开采“三率”指标的管理，加大矿山企业技改扩规力度，推动矿产资源开发集约化、延伸产业链条，切实提高矿产资源利用效率，依法清理造成生态环境破坏较大的小型矿产企业。完成美河、中凯公司扩能增产，东丹矿业技改扩能。积极发展中藏药、特色加工，逐步培育形成特色鲜明、结构合理的现代工业体系。</w:t>
      </w:r>
    </w:p>
    <w:p>
      <w:pPr>
        <w:pStyle w:val="2"/>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90" w:type="dxa"/>
            <w:shd w:val="clear" w:color="auto" w:fill="BFBFBF"/>
            <w:vAlign w:val="center"/>
          </w:tcPr>
          <w:p>
            <w:pPr>
              <w:pStyle w:val="31"/>
            </w:pPr>
            <w:r>
              <w:rPr>
                <w:rFonts w:hint="eastAsia"/>
              </w:rPr>
              <w:t>专栏13  产业融合发展体系建设重点项目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vAlign w:val="center"/>
          </w:tcPr>
          <w:p>
            <w:pPr>
              <w:rPr>
                <w:sz w:val="24"/>
                <w:szCs w:val="24"/>
              </w:rPr>
            </w:pPr>
            <w:r>
              <w:rPr>
                <w:rFonts w:hint="eastAsia"/>
                <w:b/>
                <w:sz w:val="24"/>
                <w:szCs w:val="24"/>
              </w:rPr>
              <w:t>1.生态特色农业种植基地建设：</w:t>
            </w:r>
            <w:r>
              <w:rPr>
                <w:rFonts w:hint="eastAsia"/>
                <w:sz w:val="24"/>
                <w:szCs w:val="24"/>
              </w:rPr>
              <w:t>建成8万亩生态特色农业种植基地（1万亩羊肚菌基地、1万亩特色有机蔬菜基地、2万亩特色水果基地、3万亩优质粮油基地、0.5万亩中藏药材基地、0.5万亩酿酒葡萄基地）和黄羊、本地土鸡、藏猪、丹巴黑绵羊四大特色畜禽养殖基地。</w:t>
            </w:r>
          </w:p>
          <w:p>
            <w:pPr>
              <w:rPr>
                <w:sz w:val="24"/>
                <w:szCs w:val="24"/>
              </w:rPr>
            </w:pPr>
            <w:r>
              <w:rPr>
                <w:rFonts w:hint="eastAsia"/>
                <w:b/>
                <w:sz w:val="24"/>
                <w:szCs w:val="24"/>
              </w:rPr>
              <w:t>2.加快推进现代农业示范园建设：</w:t>
            </w:r>
            <w:r>
              <w:rPr>
                <w:rFonts w:hint="eastAsia"/>
                <w:sz w:val="24"/>
                <w:szCs w:val="24"/>
              </w:rPr>
              <w:t>加快推进半小金河、革什扎河金川河流域现代农业示范园建设，深度开发园区生态休闲功能，形成“可览、可游、可居”的田园景观和集“生产—休闲—娱乐”于一体的现代农业综合体。</w:t>
            </w:r>
          </w:p>
          <w:p>
            <w:pPr>
              <w:rPr>
                <w:sz w:val="24"/>
                <w:szCs w:val="24"/>
              </w:rPr>
            </w:pPr>
            <w:r>
              <w:rPr>
                <w:rFonts w:hint="eastAsia"/>
                <w:b/>
                <w:sz w:val="24"/>
                <w:szCs w:val="24"/>
              </w:rPr>
              <w:t>3.做精生态休闲农业：</w:t>
            </w:r>
            <w:r>
              <w:rPr>
                <w:rFonts w:hint="eastAsia"/>
                <w:sz w:val="24"/>
                <w:szCs w:val="24"/>
              </w:rPr>
              <w:t>建设农业主题公园6个，发展休闲农业专业村25个，农业综合体5个，建成一批集创意农业示范、田园风光摄影、旅游休闲观光、民俗风情体验为一体的休闲农业与乡村旅游示范区，大力发展休闲度假、观光旅游、养生养老、创意农业、农耕体验、乡村手工艺等新兴产业。休闲农业产值达到1.5亿元。</w:t>
            </w:r>
          </w:p>
          <w:p>
            <w:r>
              <w:rPr>
                <w:rFonts w:hint="eastAsia"/>
                <w:b/>
                <w:sz w:val="24"/>
                <w:szCs w:val="24"/>
              </w:rPr>
              <w:t>4．加快农产品集中加工基地建设：</w:t>
            </w:r>
            <w:r>
              <w:rPr>
                <w:rFonts w:hint="eastAsia"/>
                <w:sz w:val="24"/>
                <w:szCs w:val="24"/>
              </w:rPr>
              <w:t>以产业聚集为核心，整合资源，培植和创建现代化的农产品加工示范园区，扶持康定红葡萄酒有限公司、丹巴玉之和农业有限公司、藏味轩等农业龙头企业做大做强。推进蔬菜分拣包装基地、中药材加工集散中心建设、牲畜产品冷链加工中心建设，推进食用菌、藏香猪、果蔬、药材等农产品精深加工产业发展，大力开发冷冻保鲜食品、旅游休闲产品、方便即食食品、功能产品和生物制品，使农业产业链、价值链前后延伸，引领全县农产品加工业实现跨越。</w:t>
            </w:r>
          </w:p>
        </w:tc>
      </w:tr>
    </w:tbl>
    <w:p>
      <w:pPr>
        <w:pStyle w:val="2"/>
        <w:ind w:firstLine="0" w:firstLineChars="0"/>
      </w:pPr>
    </w:p>
    <w:p>
      <w:pPr>
        <w:pStyle w:val="3"/>
        <w:rPr>
          <w:color w:val="auto"/>
        </w:rPr>
      </w:pPr>
    </w:p>
    <w:p/>
    <w:p>
      <w:pPr>
        <w:pStyle w:val="2"/>
      </w:pPr>
    </w:p>
    <w:p>
      <w:pPr>
        <w:pStyle w:val="3"/>
        <w:rPr>
          <w:color w:val="auto"/>
        </w:rPr>
      </w:pPr>
    </w:p>
    <w:p/>
    <w:p>
      <w:pPr>
        <w:pStyle w:val="2"/>
      </w:pPr>
    </w:p>
    <w:p>
      <w:pPr>
        <w:pStyle w:val="3"/>
        <w:rPr>
          <w:color w:val="auto"/>
        </w:rPr>
      </w:pPr>
    </w:p>
    <w:p/>
    <w:p>
      <w:pPr>
        <w:pStyle w:val="2"/>
      </w:pPr>
    </w:p>
    <w:tbl>
      <w:tblPr>
        <w:tblStyle w:val="23"/>
        <w:tblpPr w:leftFromText="180" w:rightFromText="180" w:vertAnchor="text" w:horzAnchor="margin" w:tblpXSpec="center" w:tblpY="1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290" w:type="dxa"/>
            <w:shd w:val="clear" w:color="auto" w:fill="BFBFBF"/>
            <w:vAlign w:val="center"/>
          </w:tcPr>
          <w:p>
            <w:pPr>
              <w:pStyle w:val="31"/>
            </w:pPr>
            <w:r>
              <w:rPr>
                <w:rFonts w:hint="eastAsia"/>
              </w:rPr>
              <w:t>专栏14  特色产业重点项目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7" w:hRule="atLeast"/>
        </w:trPr>
        <w:tc>
          <w:tcPr>
            <w:tcW w:w="8290" w:type="dxa"/>
            <w:vAlign w:val="center"/>
          </w:tcPr>
          <w:p>
            <w:pPr>
              <w:rPr>
                <w:sz w:val="24"/>
                <w:szCs w:val="24"/>
              </w:rPr>
            </w:pPr>
            <w:r>
              <w:rPr>
                <w:rFonts w:hint="eastAsia"/>
                <w:b/>
                <w:sz w:val="24"/>
                <w:szCs w:val="24"/>
              </w:rPr>
              <w:t>1.建设道地药材种植基地：</w:t>
            </w:r>
            <w:r>
              <w:rPr>
                <w:rFonts w:hint="eastAsia"/>
                <w:sz w:val="24"/>
                <w:szCs w:val="24"/>
              </w:rPr>
              <w:t>利用丹巴高山区域适宜种植道地药材的有利条件，加强道地中药材资源保护、野生抚育、人工种植，引进企业，主要打造集道地药材人工种植、工厂观光、中药养生为一体的“中药材+旅游”的康养休闲模式。加强自然保护区野生药材保护，进一步加强野生药材人工抚育工作，建立重点野生药材抚育基地4000 亩，人工种植基地2000 亩，重点选育道地羌活、川贝、重楼等品种，建设道地中药材加工厂1 个。推进川贝母产业化，建设人工种植川贝母种植基地500亩及饮片加工厂。</w:t>
            </w:r>
          </w:p>
          <w:p>
            <w:pPr>
              <w:rPr>
                <w:sz w:val="24"/>
                <w:szCs w:val="24"/>
              </w:rPr>
            </w:pPr>
            <w:r>
              <w:rPr>
                <w:rFonts w:hint="eastAsia"/>
                <w:b/>
                <w:sz w:val="24"/>
                <w:szCs w:val="24"/>
              </w:rPr>
              <w:t>2.建设苹果产业基地：</w:t>
            </w:r>
            <w:r>
              <w:rPr>
                <w:rFonts w:hint="eastAsia"/>
                <w:sz w:val="24"/>
                <w:szCs w:val="24"/>
              </w:rPr>
              <w:t>丹巴美人脆苹果种植达到20000 亩，新建“美人脆”苹果基地18000 亩，老果园改造2000 亩。</w:t>
            </w:r>
          </w:p>
          <w:p>
            <w:pPr>
              <w:rPr>
                <w:sz w:val="24"/>
                <w:szCs w:val="24"/>
              </w:rPr>
            </w:pPr>
            <w:r>
              <w:rPr>
                <w:rFonts w:hint="eastAsia"/>
                <w:b/>
                <w:sz w:val="24"/>
                <w:szCs w:val="24"/>
              </w:rPr>
              <w:t>3.建设大渡河流域羊肚菌标准化示范基地：</w:t>
            </w:r>
            <w:r>
              <w:rPr>
                <w:rFonts w:hint="eastAsia"/>
                <w:sz w:val="24"/>
                <w:szCs w:val="24"/>
              </w:rPr>
              <w:t>加强与科研院所合作，提升示范地基础设施建设，通过采用滴灌、绿色病虫害防治技术等科技技术，优化“菌—果—蔬”套作模式，集成创新羊肚菌种植技术体系，提高羊肚菌质量和产量，建设规模约10000亩。</w:t>
            </w:r>
          </w:p>
          <w:p/>
        </w:tc>
      </w:tr>
    </w:tbl>
    <w:p>
      <w:pPr>
        <w:pStyle w:val="3"/>
        <w:ind w:firstLine="0" w:firstLineChars="0"/>
        <w:jc w:val="both"/>
        <w:rPr>
          <w:color w:val="auto"/>
        </w:rPr>
      </w:pPr>
    </w:p>
    <w:tbl>
      <w:tblPr>
        <w:tblStyle w:val="23"/>
        <w:tblpPr w:leftFromText="180" w:rightFromText="180" w:vertAnchor="text" w:horzAnchor="margin" w:tblpXSpec="center" w:tblpY="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290" w:type="dxa"/>
            <w:shd w:val="clear" w:color="auto" w:fill="BFBFBF"/>
            <w:vAlign w:val="center"/>
          </w:tcPr>
          <w:p>
            <w:pPr>
              <w:pStyle w:val="31"/>
            </w:pPr>
            <w:r>
              <w:rPr>
                <w:rFonts w:hint="eastAsia"/>
              </w:rPr>
              <w:t>专栏15  农业社会化服务体系建设重点项目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vAlign w:val="center"/>
          </w:tcPr>
          <w:p>
            <w:pPr>
              <w:rPr>
                <w:sz w:val="24"/>
                <w:szCs w:val="24"/>
              </w:rPr>
            </w:pPr>
            <w:r>
              <w:rPr>
                <w:rFonts w:hint="eastAsia"/>
                <w:b/>
                <w:sz w:val="24"/>
                <w:szCs w:val="24"/>
              </w:rPr>
              <w:t>1.发展龙头企业：</w:t>
            </w:r>
            <w:r>
              <w:rPr>
                <w:rFonts w:hint="eastAsia"/>
                <w:sz w:val="24"/>
                <w:szCs w:val="24"/>
              </w:rPr>
              <w:t>省级以上重点龙头企业发展到3户，州级龙头企业发展到10户，农民专业合作社达到500户，农业产业化经营带动农户0.8万户。</w:t>
            </w:r>
          </w:p>
          <w:p>
            <w:pPr>
              <w:rPr>
                <w:sz w:val="24"/>
                <w:szCs w:val="24"/>
              </w:rPr>
            </w:pPr>
            <w:r>
              <w:rPr>
                <w:rFonts w:hint="eastAsia"/>
                <w:b/>
                <w:sz w:val="24"/>
                <w:szCs w:val="24"/>
              </w:rPr>
              <w:t>2.扶持家庭农场：</w:t>
            </w:r>
            <w:r>
              <w:rPr>
                <w:rFonts w:hint="eastAsia"/>
                <w:sz w:val="24"/>
                <w:szCs w:val="24"/>
              </w:rPr>
              <w:t>鼓励支持工商资本投入农业，扶持发展适度规模家庭农场，土地适度规模经营面积达到4万亩。</w:t>
            </w:r>
          </w:p>
          <w:p>
            <w:pPr>
              <w:rPr>
                <w:sz w:val="24"/>
                <w:szCs w:val="24"/>
              </w:rPr>
            </w:pPr>
            <w:r>
              <w:rPr>
                <w:rFonts w:hint="eastAsia"/>
                <w:b/>
                <w:sz w:val="24"/>
                <w:szCs w:val="24"/>
              </w:rPr>
              <w:t>3.加强农技推广：</w:t>
            </w:r>
            <w:r>
              <w:rPr>
                <w:rFonts w:hint="eastAsia"/>
                <w:sz w:val="24"/>
                <w:szCs w:val="24"/>
              </w:rPr>
              <w:t>深化特聘农技员工作，加大农业实用技术的培训力度，着力培育有文化、懂技术、善经营的新型农民。充分利用现代互联网技术，发展“互联网+农业”，引进和培育一批农业电商人才和企业，推进乡镇电商综合服务站建设，建设一批示范园区、基地和项目，全面推进“农村”电子商务的覆盖应用，打造智慧农业综合示范区1—2个，涉农电子商务交易额达到0.5亿元以上。</w:t>
            </w:r>
          </w:p>
          <w:p>
            <w:r>
              <w:rPr>
                <w:rFonts w:hint="eastAsia"/>
                <w:b/>
                <w:sz w:val="24"/>
                <w:szCs w:val="24"/>
              </w:rPr>
              <w:t>4.加大农业经纪人引进选聘：</w:t>
            </w:r>
            <w:r>
              <w:rPr>
                <w:rFonts w:hint="eastAsia"/>
                <w:sz w:val="24"/>
                <w:szCs w:val="24"/>
              </w:rPr>
              <w:t>加快培养本地经纪人，创新定向服务、定向收购等方式促进农业经纪人同农户的紧密合作，建立市场+中介人+农户等的经济共同体，为全县农村一二三产业融合发展提供全方位服务。</w:t>
            </w:r>
          </w:p>
        </w:tc>
      </w:tr>
    </w:tbl>
    <w:p>
      <w:pPr>
        <w:pStyle w:val="2"/>
        <w:rPr>
          <w:rFonts w:ascii="Cambria" w:hAnsi="Cambria" w:eastAsia="宋体"/>
        </w:rPr>
      </w:pPr>
    </w:p>
    <w:p>
      <w:pPr>
        <w:pStyle w:val="2"/>
      </w:pPr>
      <w:r>
        <w:br w:type="page"/>
      </w:r>
    </w:p>
    <w:p>
      <w:pPr>
        <w:pStyle w:val="3"/>
        <w:rPr>
          <w:color w:val="auto"/>
        </w:rPr>
      </w:pPr>
    </w:p>
    <w:p>
      <w:pPr>
        <w:pStyle w:val="4"/>
      </w:pPr>
      <w:bookmarkStart w:id="119" w:name="_Toc65597954"/>
      <w:r>
        <w:rPr>
          <w:rFonts w:hint="eastAsia"/>
        </w:rPr>
        <w:t>第五篇 加强基础设施建设，提供发展强力支撑</w:t>
      </w:r>
      <w:bookmarkEnd w:id="119"/>
    </w:p>
    <w:p>
      <w:r>
        <w:rPr>
          <w:rFonts w:hint="eastAsia"/>
        </w:rPr>
        <w:t>紧抓“一带一路”、新时代西部大开发、成渝地区双城经济圈、新型基础设施建设等重大战略机遇期，以充分满足丹巴经济社会发展和人民对美好生活向往的需要为根本出发点，建设形成网络完善、服务高效、智能绿色、安全可靠的现代基础设施有机体系。</w:t>
      </w:r>
    </w:p>
    <w:p>
      <w:pPr>
        <w:pStyle w:val="6"/>
        <w:numPr>
          <w:ilvl w:val="0"/>
          <w:numId w:val="1"/>
        </w:numPr>
        <w:ind w:firstLineChars="0"/>
      </w:pPr>
      <w:bookmarkStart w:id="120" w:name="_Toc16851"/>
      <w:bookmarkStart w:id="121" w:name="_Toc65597955"/>
      <w:r>
        <w:rPr>
          <w:rFonts w:hint="eastAsia"/>
        </w:rPr>
        <w:t>完善综合交通运输体系</w:t>
      </w:r>
      <w:bookmarkEnd w:id="120"/>
      <w:bookmarkEnd w:id="121"/>
    </w:p>
    <w:p>
      <w:r>
        <w:rPr>
          <w:rFonts w:hint="eastAsia"/>
        </w:rPr>
        <w:t>贯彻落实省委省政府关于加快建设交通强省的实施意见，按照“畅通道、强路网、提服务”的发展思路，以推动过境高速公路建设为牵引，提升国省干线公路技术等级和服务水平为依托，有效发挥山地轨道交通延伸线联动作用，大力推动安全、便捷、高效、绿色、经济的现代综合交通运输体系建设，努力构建“内畅外联、四通八达、高效便捷”交通运输格局，高质量建设交通强县。全面提升交通基础设施对经济社会发展基础性、战略性、先导性作用。</w:t>
      </w:r>
    </w:p>
    <w:p>
      <w:pPr>
        <w:pStyle w:val="7"/>
      </w:pPr>
      <w:bookmarkStart w:id="122" w:name="_Toc65597956"/>
      <w:bookmarkStart w:id="123" w:name="_Toc21896"/>
      <w:r>
        <w:rPr>
          <w:rFonts w:hint="eastAsia"/>
        </w:rPr>
        <w:t>第一节 畅通丹巴对外通道</w:t>
      </w:r>
      <w:bookmarkEnd w:id="122"/>
      <w:bookmarkEnd w:id="123"/>
    </w:p>
    <w:p>
      <w:r>
        <w:rPr>
          <w:rFonts w:hint="eastAsia"/>
        </w:rPr>
        <w:t>以融入四川省高速公路网为重点，大力推动马尔康至康定“两康高速”开工建设，高标准建设丹巴连接线工程，畅通丹巴高速公路出入通道。积极争取雅安至马尔康“雅马高速”建设丹巴连接线，加强丹巴西向、东向与高速公路通道连接。完成国道248线、国道350线灾后恢复重建工程申报，积极推进省道21</w:t>
      </w:r>
      <w:r>
        <w:t>7</w:t>
      </w:r>
      <w:r>
        <w:rPr>
          <w:rFonts w:hint="eastAsia"/>
        </w:rPr>
        <w:t>线丹巴境段、国道248线丹巴县索断桥至省道220线道孚县银恩乡县际联网公路改造提升工程，积极申报S217瓦丹路改造提升项目，实施国省道地灾路段整治，形成“X”型国省干线路网。以都江堰至四姑娘山轻轨建设契机，积极推动小金至丹巴的山地轨道延伸线。积极申报一个航空通用机场，规划章谷镇、甲居镇两个直升机停机坪，填补航空基础设施空白。</w:t>
      </w:r>
    </w:p>
    <w:p>
      <w:pPr>
        <w:pStyle w:val="7"/>
      </w:pPr>
      <w:bookmarkStart w:id="124" w:name="_Toc24413"/>
      <w:bookmarkStart w:id="125" w:name="_Toc65597957"/>
      <w:r>
        <w:rPr>
          <w:rFonts w:hint="eastAsia"/>
        </w:rPr>
        <w:t>第二节 完善内部网络</w:t>
      </w:r>
      <w:bookmarkEnd w:id="124"/>
      <w:bookmarkEnd w:id="125"/>
    </w:p>
    <w:p>
      <w:bookmarkStart w:id="126" w:name="_Toc21869"/>
      <w:r>
        <w:rPr>
          <w:rFonts w:hint="eastAsia"/>
        </w:rPr>
        <w:t>提高县域交通通达性，建设连接城乡、安全畅通的农村路网。深入推进“四好农村路”建设，争创“四好农村路”示范县。紧抓全省省道网调整、农村公路网规划机遇，做好规划申报和衔接。深入实施农村公路改善提升工程，进一步申报争取建制村通组公路建设，打通“群众出行最后一公里”。加快农村旅游路、产业路、资源路建设，完善县域路网，缓解城镇拥堵。完成全县农村公路灾后恢复重建项目申报，切实巩固脱贫攻坚“通乡油路和通村硬化路两个百分百”成果。</w:t>
      </w:r>
    </w:p>
    <w:p>
      <w:pPr>
        <w:pStyle w:val="7"/>
      </w:pPr>
      <w:bookmarkStart w:id="127" w:name="_Toc65597958"/>
      <w:r>
        <w:rPr>
          <w:rFonts w:hint="eastAsia"/>
        </w:rPr>
        <w:t>第三节 提高运输效率</w:t>
      </w:r>
      <w:bookmarkEnd w:id="126"/>
      <w:bookmarkEnd w:id="127"/>
    </w:p>
    <w:p>
      <w:r>
        <w:rPr>
          <w:rFonts w:hint="eastAsia"/>
        </w:rPr>
        <w:t>探索城乡客运一体化、农村客运发展新模式，深入推进实施农村客运“金通工程”。推进丹巴综合客运枢纽站建设，提升重点乡镇客运站等级。规划公交接驳班线和景区接驳班车。完善货物运输网络，设立县城货运中心，合理布局农村综合运输服务站，促进重点乡镇货物运输物流化。推动物流信息化平台建设，提升运输资源利用率及运输效率。推进丹巴县冷链物流建设，建设农畜产品冷冻冷藏储备设施，购置冷链物流运输车、冷库、保鲜库、仓库等。建设县城邮件集中仓储中心。</w:t>
      </w:r>
    </w:p>
    <w:p>
      <w:pPr>
        <w:pStyle w:val="7"/>
      </w:pPr>
      <w:bookmarkStart w:id="128" w:name="_Toc65597959"/>
      <w:bookmarkStart w:id="129" w:name="_Toc20802"/>
      <w:r>
        <w:rPr>
          <w:rFonts w:hint="eastAsia"/>
        </w:rPr>
        <w:t>第四节 夯实保障基础</w:t>
      </w:r>
      <w:bookmarkEnd w:id="128"/>
      <w:bookmarkEnd w:id="129"/>
    </w:p>
    <w:p>
      <w:r>
        <w:rPr>
          <w:rFonts w:hint="eastAsia"/>
        </w:rPr>
        <w:t>推动物流综合信息化平台建设，提高交通运输资源利用率和运输效率。提升交通设施设备低碳、节能水平，积极推广新能源和清洁能源运输工具应用，推动技术创新，实施绿色交通工程。提升交通设施设备整体安全水平，加强交通安全应急设施建设，完善地灾、水毁路段监测监控体系，打造交通综合应急救援服务平台，提高应急保障能力。建立保障有力的农村公路管养体系。</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90" w:type="dxa"/>
            <w:shd w:val="clear" w:color="auto" w:fill="BFBFBF"/>
            <w:vAlign w:val="center"/>
          </w:tcPr>
          <w:p>
            <w:pPr>
              <w:pStyle w:val="31"/>
            </w:pPr>
            <w:r>
              <w:rPr>
                <w:rFonts w:hint="eastAsia"/>
              </w:rPr>
              <w:t>专栏16  农村公路及专用公路建设项目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vAlign w:val="center"/>
          </w:tcPr>
          <w:p>
            <w:r>
              <w:rPr>
                <w:rFonts w:hint="eastAsia"/>
                <w:b/>
                <w:bCs/>
                <w:sz w:val="24"/>
                <w:szCs w:val="24"/>
              </w:rPr>
              <w:t>1. 联网公路。</w:t>
            </w:r>
            <w:r>
              <w:rPr>
                <w:rFonts w:hint="eastAsia"/>
                <w:sz w:val="24"/>
                <w:szCs w:val="24"/>
              </w:rPr>
              <w:t>规划建设从梭坡桥经三岔河接滨河路道路，章谷隧道（县城新区大风湾至章谷镇水子）、东谷镇牦牛村经大炮山（隧道）至康定市雅拉乡中古村县际联网公路。</w:t>
            </w:r>
          </w:p>
          <w:p>
            <w:pPr>
              <w:rPr>
                <w:sz w:val="24"/>
                <w:szCs w:val="24"/>
              </w:rPr>
            </w:pPr>
            <w:r>
              <w:rPr>
                <w:rFonts w:hint="eastAsia"/>
                <w:b/>
                <w:bCs/>
                <w:sz w:val="24"/>
                <w:szCs w:val="24"/>
              </w:rPr>
              <w:t>2.</w:t>
            </w:r>
            <w:r>
              <w:rPr>
                <w:rFonts w:hint="eastAsia"/>
              </w:rPr>
              <w:t xml:space="preserve"> </w:t>
            </w:r>
            <w:r>
              <w:rPr>
                <w:rFonts w:hint="eastAsia"/>
                <w:b/>
                <w:bCs/>
                <w:sz w:val="24"/>
                <w:szCs w:val="24"/>
              </w:rPr>
              <w:t>旅游公路。</w:t>
            </w:r>
            <w:r>
              <w:rPr>
                <w:rFonts w:hint="eastAsia"/>
                <w:sz w:val="24"/>
                <w:szCs w:val="24"/>
              </w:rPr>
              <w:t>新建党岭景区旅游公路</w:t>
            </w:r>
            <w:r>
              <w:rPr>
                <w:sz w:val="24"/>
                <w:szCs w:val="24"/>
              </w:rPr>
              <w:t>20.8公里，力争新建莫斯卡旅游公路57公里，中路旅游公路主干道13公里。</w:t>
            </w:r>
          </w:p>
          <w:p>
            <w:r>
              <w:rPr>
                <w:b/>
                <w:bCs/>
                <w:sz w:val="24"/>
                <w:szCs w:val="24"/>
              </w:rPr>
              <w:t>3.</w:t>
            </w:r>
            <w:r>
              <w:rPr>
                <w:sz w:val="24"/>
                <w:szCs w:val="24"/>
              </w:rPr>
              <w:t xml:space="preserve"> </w:t>
            </w:r>
            <w:r>
              <w:rPr>
                <w:rFonts w:hint="eastAsia"/>
                <w:b/>
                <w:bCs/>
                <w:sz w:val="24"/>
                <w:szCs w:val="24"/>
              </w:rPr>
              <w:t>专用公路。</w:t>
            </w:r>
            <w:r>
              <w:rPr>
                <w:rFonts w:hint="eastAsia"/>
                <w:sz w:val="24"/>
                <w:szCs w:val="24"/>
              </w:rPr>
              <w:t>新建</w:t>
            </w:r>
            <w:r>
              <w:rPr>
                <w:sz w:val="24"/>
                <w:szCs w:val="24"/>
              </w:rPr>
              <w:t>5座寺庙通寺公路8km，维修改造通寺公路20公里。</w:t>
            </w:r>
          </w:p>
        </w:tc>
      </w:tr>
    </w:tbl>
    <w:p>
      <w:pPr>
        <w:pStyle w:val="2"/>
      </w:pPr>
    </w:p>
    <w:p>
      <w:pPr>
        <w:pStyle w:val="6"/>
        <w:numPr>
          <w:ilvl w:val="0"/>
          <w:numId w:val="1"/>
        </w:numPr>
        <w:ind w:firstLineChars="0"/>
      </w:pPr>
      <w:bookmarkStart w:id="130" w:name="_Toc65597960"/>
      <w:bookmarkStart w:id="131" w:name="_Toc14757"/>
      <w:r>
        <w:rPr>
          <w:rFonts w:hint="eastAsia"/>
        </w:rPr>
        <w:t>加强能源基础设施建设</w:t>
      </w:r>
      <w:bookmarkEnd w:id="130"/>
      <w:bookmarkEnd w:id="131"/>
    </w:p>
    <w:p>
      <w:r>
        <w:rPr>
          <w:rFonts w:hint="eastAsia"/>
        </w:rPr>
        <w:t>进一步发挥能源资源开发对丹巴经济发展的正面促进作用，积极支持清洁能源产业发展。加快培育新的发展动能，拉动有效投资需求，加快形成新的经济增长点，促进企业提高投资强度、行业增加值和税收。加强清洁能源开发与经济发展、民生改善的统筹协调，增加公共产品供给，推动清洁能源发展主动为民生改善服务。</w:t>
      </w:r>
    </w:p>
    <w:p>
      <w:pPr>
        <w:pStyle w:val="7"/>
      </w:pPr>
      <w:bookmarkStart w:id="132" w:name="_Toc19208"/>
      <w:bookmarkStart w:id="133" w:name="_Toc65597961"/>
      <w:r>
        <w:rPr>
          <w:rFonts w:hint="eastAsia"/>
        </w:rPr>
        <w:t>第一节 强化能源通道建设</w:t>
      </w:r>
      <w:bookmarkEnd w:id="132"/>
      <w:bookmarkEnd w:id="133"/>
    </w:p>
    <w:p>
      <w:bookmarkStart w:id="134" w:name="_Toc23727"/>
      <w:r>
        <w:rPr>
          <w:rFonts w:hint="eastAsia"/>
        </w:rPr>
        <w:t>构建“安全发电、可靠输电、方便用电”的智慧电网，减少水电弃用。实施新一轮农村电网改造升级工程，分批实施更新换代或提档升级，进一步提高农村数字化电网和管网覆盖率。加快推进城镇电网数字化、智能化改造。加强智能电网建设，推进面向智能电网的5G新技术规模化运用，加强10千伏及以下智能电网建设。推动市政管网监测向数字化、智能化、自动化发展。积极申报农网升级改造项目，将农网改造较早的行政村以及城网改造纳入新一轮电网改造项目。</w:t>
      </w:r>
    </w:p>
    <w:p>
      <w:pPr>
        <w:pStyle w:val="7"/>
      </w:pPr>
      <w:bookmarkStart w:id="135" w:name="_Toc65597962"/>
      <w:r>
        <w:rPr>
          <w:rFonts w:hint="eastAsia"/>
        </w:rPr>
        <w:t>第二节 推进清洁能源替代工程</w:t>
      </w:r>
      <w:bookmarkEnd w:id="134"/>
      <w:bookmarkEnd w:id="135"/>
    </w:p>
    <w:p>
      <w:r>
        <w:rPr>
          <w:rFonts w:hint="eastAsia"/>
        </w:rPr>
        <w:t>坚持“全力支持大型、全面参与中型、全域清理小型”的水电开发思路，有序推进大渡河上游及其支流水电开发。全力推进丹巴、巴底水电站建设工作，在已建成运行电站16座基础上，续建燕窝沟一级、东谷、磨子电站3座，积极推动丹巴、巴底两座电站开工建设。围绕发展低碳经济，突出新能源发展取向，调整优化农村能源生产和消费结构，加快推进清洁能源替代工程，大力推广新型生活节能设备。积极推广农村生物质炉、太阳能供热和太阳能照明；结合农村畜禽粪便面源污染治理，积极推进农村沼气建设，提高沼气普及率和利用率，加强沼气技术服务。基本解决水电开发的移民安置遗留问题。推进城镇燃气改造工程建设。</w:t>
      </w:r>
    </w:p>
    <w:p>
      <w:pPr>
        <w:pStyle w:val="6"/>
        <w:numPr>
          <w:ilvl w:val="0"/>
          <w:numId w:val="1"/>
        </w:numPr>
        <w:ind w:firstLineChars="0"/>
      </w:pPr>
      <w:bookmarkStart w:id="136" w:name="_Toc1013"/>
      <w:bookmarkStart w:id="137" w:name="_Toc65597963"/>
      <w:bookmarkStart w:id="138" w:name="_Toc8269"/>
      <w:r>
        <w:rPr>
          <w:rFonts w:hint="eastAsia"/>
        </w:rPr>
        <w:t>加强水利基础设施建设</w:t>
      </w:r>
      <w:bookmarkEnd w:id="136"/>
      <w:bookmarkEnd w:id="137"/>
    </w:p>
    <w:p>
      <w:bookmarkStart w:id="139" w:name="_Toc12147"/>
      <w:r>
        <w:rPr>
          <w:rFonts w:hint="eastAsia"/>
        </w:rPr>
        <w:t>以深化供给侧结构性改革，水利工程补短板强弱项为主线，加快推进城乡供水网络建设，切实增强农村生产生活用水保障能力。加强水利基础设施建设和管理。全面落实河长制湖长制，深入推进水生态文明建设，构建较为完善的水安全体系，不断提升用水、治水现代化水平。</w:t>
      </w:r>
    </w:p>
    <w:p>
      <w:pPr>
        <w:pStyle w:val="7"/>
      </w:pPr>
      <w:bookmarkStart w:id="140" w:name="_Toc65597964"/>
      <w:r>
        <w:rPr>
          <w:rFonts w:hint="eastAsia"/>
        </w:rPr>
        <w:t>第一节 加强引水灌溉工程建设</w:t>
      </w:r>
      <w:bookmarkEnd w:id="139"/>
      <w:bookmarkEnd w:id="140"/>
    </w:p>
    <w:p>
      <w:bookmarkStart w:id="141" w:name="_Toc13187"/>
      <w:r>
        <w:rPr>
          <w:rFonts w:hint="eastAsia"/>
        </w:rPr>
        <w:t>统筹生产生活生态用水，加快构建现代化水利基础设施网络。加强引水灌溉工程建设，提高供水保障能力，通过实施墨尔多引水工程、骨干水利工程及田间渠系配套工程、高半山地区小型水源点（光伏提灌）建设、小型水库建设、“万口当家塘”小型水源建设、推广草原节水灌溉技术等方式解决农牧区灌溉问题。</w:t>
      </w:r>
    </w:p>
    <w:p>
      <w:pPr>
        <w:pStyle w:val="7"/>
      </w:pPr>
      <w:bookmarkStart w:id="142" w:name="_Toc65597965"/>
      <w:r>
        <w:rPr>
          <w:rFonts w:hint="eastAsia"/>
        </w:rPr>
        <w:t>第二节 提高城乡供水保障能力</w:t>
      </w:r>
      <w:bookmarkEnd w:id="141"/>
      <w:bookmarkEnd w:id="142"/>
    </w:p>
    <w:p>
      <w:bookmarkStart w:id="143" w:name="_Toc27305"/>
      <w:r>
        <w:rPr>
          <w:rFonts w:hint="eastAsia"/>
        </w:rPr>
        <w:t>加强集中式饮用水水源地保护，改善水源环境质量状况，有效保障水质，确保城乡饮用水水源水质达标，满足城乡饮用水安全需求。实施革什扎镇城镇备用水源地标准化建设，以及部分乡镇饮用水源地保护建设。加快推进城镇供水基础设施建设，实施城市供水设施提升改建，完成丹巴县第二水厂及供水管网扩建，加强建制镇水厂及供水管网建设，提高城镇饮用水供给保障能力。通过延伸供水管网，扩大供水范围，推进城乡供水一体化。通过新建农村集中与分散供水工程，通过改造、升级、配套、联网等方式对已建成的安全饮水工程进行巩固提升。</w:t>
      </w:r>
    </w:p>
    <w:p>
      <w:pPr>
        <w:pStyle w:val="7"/>
      </w:pPr>
      <w:bookmarkStart w:id="144" w:name="_Toc65597966"/>
      <w:r>
        <w:rPr>
          <w:rFonts w:hint="eastAsia"/>
        </w:rPr>
        <w:t>第三节 增强防洪减灾能力</w:t>
      </w:r>
      <w:bookmarkEnd w:id="143"/>
      <w:bookmarkEnd w:id="144"/>
    </w:p>
    <w:p>
      <w:bookmarkStart w:id="145" w:name="_Toc13929"/>
      <w:r>
        <w:rPr>
          <w:rFonts w:hint="eastAsia"/>
        </w:rPr>
        <w:t>积极推进大渡河、大金川河、小金川河等大江大河防洪治理工程建设，新建防洪堤10公里，河道疏浚20公里。积极推进革什扎河、东谷河中小河流治理，治理河道20公里。加强山洪灾害防治和易灾地区水土保持工程建设。实施半扇门镇火龙沟等10条山洪沟治理工程，新建堤防20公里。实施巴旺乡燕尔岩沟等10条山溪河流治理工程，共计新建堤防约20公里。加强水文监测和预报预警能力建设，提升数字平台统一指挥调度能力，完善和提升防汛减灾监测和预警系统、河道岸线监管和水利工程综合监控体系。加强重点河道整治，提高行洪能力。</w:t>
      </w:r>
    </w:p>
    <w:p>
      <w:pPr>
        <w:pStyle w:val="7"/>
      </w:pPr>
      <w:bookmarkStart w:id="146" w:name="_Toc65597967"/>
      <w:r>
        <w:rPr>
          <w:rFonts w:hint="eastAsia"/>
        </w:rPr>
        <w:t>第四节 促进水能资源可持续发展</w:t>
      </w:r>
      <w:bookmarkEnd w:id="145"/>
      <w:bookmarkEnd w:id="146"/>
    </w:p>
    <w:p>
      <w:bookmarkStart w:id="147" w:name="_Toc3589"/>
      <w:r>
        <w:rPr>
          <w:rFonts w:hint="eastAsia"/>
        </w:rPr>
        <w:t>加强水土流失综合治理工作。通过采取工程、植物等综合措施、加强水土流失防治，通过实施生态修复工程、水土流失综合治理工程，构建水土流失综合防治体系。强化水土流失动态监测，加强水土保持监督管理，坚决防控人为水土流失和生态破坏。合理利用水能资源促进水电可持续发展，同时监督好农村小水电的生态流量下泄，小流域综合治理、坡耕地治理、农村河道清淤工程。开展水渠、堤防等水利设施维修养护，修复脆弱河湖、保护生态湿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90" w:type="dxa"/>
            <w:shd w:val="clear" w:color="auto" w:fill="BFBFBF"/>
            <w:vAlign w:val="center"/>
          </w:tcPr>
          <w:p>
            <w:pPr>
              <w:pStyle w:val="31"/>
            </w:pPr>
            <w:r>
              <w:rPr>
                <w:rFonts w:hint="eastAsia"/>
              </w:rPr>
              <w:t>专栏17  水利设施建设项目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vAlign w:val="center"/>
          </w:tcPr>
          <w:p>
            <w:pPr>
              <w:rPr>
                <w:bCs/>
                <w:sz w:val="24"/>
                <w:szCs w:val="24"/>
              </w:rPr>
            </w:pPr>
            <w:r>
              <w:rPr>
                <w:rFonts w:hint="eastAsia"/>
                <w:b/>
                <w:bCs/>
                <w:sz w:val="24"/>
                <w:szCs w:val="24"/>
              </w:rPr>
              <w:t>1.引水灌溉工程。</w:t>
            </w:r>
            <w:r>
              <w:rPr>
                <w:rFonts w:hint="eastAsia"/>
                <w:bCs/>
                <w:sz w:val="24"/>
                <w:szCs w:val="24"/>
              </w:rPr>
              <w:t>实施中型骨干水利工程墨尔多引水工程及其渠系配套工程、新建跑马坪水库、光伏提灌站10处、新建高效节水灌溉1处，建设“万口当家塘”小型水源。</w:t>
            </w:r>
          </w:p>
          <w:p>
            <w:pPr>
              <w:rPr>
                <w:bCs/>
                <w:sz w:val="24"/>
                <w:szCs w:val="24"/>
              </w:rPr>
            </w:pPr>
            <w:r>
              <w:rPr>
                <w:rFonts w:hint="eastAsia"/>
                <w:b/>
                <w:bCs/>
                <w:sz w:val="24"/>
                <w:szCs w:val="24"/>
              </w:rPr>
              <w:t>2.供水保障工程。</w:t>
            </w:r>
            <w:r>
              <w:rPr>
                <w:rFonts w:hint="eastAsia"/>
                <w:bCs/>
                <w:sz w:val="24"/>
                <w:szCs w:val="24"/>
              </w:rPr>
              <w:t>新建水源地保护区3处，改造供水管网总长2.7公里，安装水表4320个，阀门井22个。新建农村集中供水15处，新建农村分散供水24处。实施23处寺庙安全饮水工程。</w:t>
            </w:r>
          </w:p>
          <w:p>
            <w:pPr>
              <w:rPr>
                <w:bCs/>
                <w:sz w:val="24"/>
                <w:szCs w:val="24"/>
              </w:rPr>
            </w:pPr>
            <w:r>
              <w:rPr>
                <w:rFonts w:hint="eastAsia"/>
                <w:b/>
                <w:bCs/>
                <w:sz w:val="24"/>
                <w:szCs w:val="24"/>
              </w:rPr>
              <w:t>3.防洪减灾工程。</w:t>
            </w:r>
            <w:r>
              <w:rPr>
                <w:rFonts w:hint="eastAsia"/>
                <w:bCs/>
                <w:sz w:val="24"/>
                <w:szCs w:val="24"/>
              </w:rPr>
              <w:t>实施半扇门镇火龙沟等10条山洪沟治理工程，新建堤防20公里。实施巴旺乡燕尔岩沟等10条山溪河流治理工程，共计新建堤防约20公里。新建城市排水防涝工程3处。</w:t>
            </w:r>
          </w:p>
          <w:p>
            <w:r>
              <w:rPr>
                <w:rFonts w:hint="eastAsia"/>
                <w:b/>
                <w:bCs/>
                <w:sz w:val="24"/>
                <w:szCs w:val="24"/>
              </w:rPr>
              <w:t>4.水土流失治理工程。</w:t>
            </w:r>
            <w:r>
              <w:rPr>
                <w:rFonts w:hint="eastAsia"/>
                <w:bCs/>
                <w:sz w:val="24"/>
                <w:szCs w:val="24"/>
              </w:rPr>
              <w:t>对太平桥乡宅龙沟，章谷镇大马沟、东谷镇东马沟等重点区域实施水土流失综合治理，治理面积约284.8平方公里。对0.52万亩坡耕地进行治理。实施丹巴农村河道综合治理工程，对60公里农村河道进行清淤。新建（改建）部属水文站5处。</w:t>
            </w:r>
          </w:p>
        </w:tc>
      </w:tr>
    </w:tbl>
    <w:p>
      <w:pPr>
        <w:pStyle w:val="2"/>
      </w:pPr>
    </w:p>
    <w:p>
      <w:pPr>
        <w:pStyle w:val="6"/>
        <w:numPr>
          <w:ilvl w:val="0"/>
          <w:numId w:val="1"/>
        </w:numPr>
        <w:ind w:firstLineChars="0"/>
      </w:pPr>
      <w:bookmarkStart w:id="148" w:name="_Toc65597968"/>
      <w:r>
        <w:rPr>
          <w:rFonts w:hint="eastAsia"/>
        </w:rPr>
        <w:t>加强人居环境基础设施建设</w:t>
      </w:r>
      <w:bookmarkEnd w:id="147"/>
      <w:bookmarkEnd w:id="148"/>
    </w:p>
    <w:p>
      <w:r>
        <w:rPr>
          <w:rFonts w:hint="eastAsia"/>
        </w:rPr>
        <w:t>以生活垃圾治理、污水治理和“厕所革命”为主攻方向，推进人居环境问题治理。</w:t>
      </w:r>
    </w:p>
    <w:p>
      <w:pPr>
        <w:pStyle w:val="7"/>
      </w:pPr>
      <w:bookmarkStart w:id="149" w:name="_Toc27464"/>
      <w:bookmarkStart w:id="150" w:name="_Toc65597969"/>
      <w:r>
        <w:rPr>
          <w:rFonts w:hint="eastAsia"/>
        </w:rPr>
        <w:t>第一节 加强生活垃圾治理</w:t>
      </w:r>
      <w:bookmarkEnd w:id="149"/>
      <w:bookmarkEnd w:id="150"/>
    </w:p>
    <w:p>
      <w:bookmarkStart w:id="151" w:name="_Toc10536"/>
      <w:r>
        <w:rPr>
          <w:rFonts w:hint="eastAsia"/>
        </w:rPr>
        <w:t>扩容新建生活垃圾、建筑垃圾和餐厨垃圾配套填埋场工程建设，促进垃圾分类、无害化处理，新建生活垃圾填埋焚烧场、新建餐厨垃圾处理场，解决生活垃圾储存及餐厨垃圾、建筑垃圾、飞灰固化物填埋、焚烧问题，规范市场，达到环保无害化处理。建设城市餐厨垃圾的收集、运输、处理等设施配备。加强农村生活垃圾收转运体系建设，完善村庄保洁制度。</w:t>
      </w:r>
    </w:p>
    <w:p>
      <w:pPr>
        <w:pStyle w:val="7"/>
      </w:pPr>
      <w:bookmarkStart w:id="152" w:name="_Toc65597970"/>
      <w:r>
        <w:rPr>
          <w:rFonts w:hint="eastAsia"/>
        </w:rPr>
        <w:t>第二节 提高污水治理能力</w:t>
      </w:r>
      <w:bookmarkEnd w:id="151"/>
      <w:bookmarkEnd w:id="152"/>
    </w:p>
    <w:p>
      <w:bookmarkStart w:id="153" w:name="_Toc10429"/>
      <w:r>
        <w:rPr>
          <w:rFonts w:hint="eastAsia"/>
        </w:rPr>
        <w:t>改造和维护城镇排污管网，加强农村污水管网建设，推进排水管网雨污分流改造。加快推进城区、乡（镇）村污水处理厂（站点）建设，加大城乡生活污水处置力度，推进城市黑臭水体长治久清。开展宜居乡村环境综合整治，对5个宜居乡村农牧区环境污染污水进行综合整治。持续推动农村生活污水整治，开展27个行政村实施农村污水治理。加强优良水体、饮用水源地保护和管理，建立地下水环境监测体系。开展水环境与居民健康相关的监测、信息管理、风险评估工作。</w:t>
      </w:r>
    </w:p>
    <w:p>
      <w:pPr>
        <w:pStyle w:val="7"/>
      </w:pPr>
      <w:bookmarkStart w:id="154" w:name="_Toc65597971"/>
      <w:r>
        <w:rPr>
          <w:rFonts w:hint="eastAsia"/>
        </w:rPr>
        <w:t>第三节 推进“厕所革命”</w:t>
      </w:r>
      <w:bookmarkEnd w:id="153"/>
      <w:bookmarkEnd w:id="154"/>
    </w:p>
    <w:p>
      <w:r>
        <w:rPr>
          <w:rFonts w:hint="eastAsia"/>
        </w:rPr>
        <w:t>推进乡镇“厕所革命”，加大重点景区景点公厕生态化、清洁化改造力度，推进国省、县乡干道沿线及县乡村生态厕所建设。新建乡、镇、村公厕15座，新建35座寺庙生态厕所。</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90" w:type="dxa"/>
            <w:shd w:val="clear" w:color="auto" w:fill="BFBFBF"/>
            <w:vAlign w:val="center"/>
          </w:tcPr>
          <w:p>
            <w:pPr>
              <w:pStyle w:val="31"/>
            </w:pPr>
            <w:r>
              <w:rPr>
                <w:rFonts w:hint="eastAsia"/>
              </w:rPr>
              <w:t>专栏18  人居环境设施建设项目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vAlign w:val="center"/>
          </w:tcPr>
          <w:p>
            <w:r>
              <w:rPr>
                <w:rFonts w:hint="eastAsia"/>
                <w:b/>
                <w:bCs/>
                <w:sz w:val="24"/>
                <w:szCs w:val="24"/>
              </w:rPr>
              <w:t>1.生活垃圾处理工程。</w:t>
            </w:r>
            <w:r>
              <w:rPr>
                <w:rFonts w:hint="eastAsia"/>
                <w:bCs/>
                <w:sz w:val="24"/>
                <w:szCs w:val="24"/>
              </w:rPr>
              <w:t>改建城市生活垃圾处理设施</w:t>
            </w:r>
            <w:r>
              <w:rPr>
                <w:bCs/>
                <w:sz w:val="24"/>
                <w:szCs w:val="24"/>
              </w:rPr>
              <w:t>1座，日处理20吨/天。</w:t>
            </w:r>
            <w:r>
              <w:rPr>
                <w:rFonts w:hint="eastAsia"/>
                <w:bCs/>
                <w:sz w:val="24"/>
                <w:szCs w:val="24"/>
              </w:rPr>
              <w:t>新建巴底镇等</w:t>
            </w:r>
            <w:r>
              <w:rPr>
                <w:bCs/>
                <w:sz w:val="24"/>
                <w:szCs w:val="24"/>
              </w:rPr>
              <w:t>10个乡镇生活垃圾卫生处理焚烧场10处，日处理达40吨；10个村垃圾收转运体系，日收转运40吨。</w:t>
            </w:r>
          </w:p>
          <w:p>
            <w:r>
              <w:rPr>
                <w:rFonts w:hint="eastAsia"/>
                <w:b/>
                <w:bCs/>
                <w:sz w:val="24"/>
                <w:szCs w:val="24"/>
              </w:rPr>
              <w:t>2.污水治理工程。</w:t>
            </w:r>
            <w:r>
              <w:rPr>
                <w:rFonts w:hint="eastAsia"/>
                <w:bCs/>
                <w:sz w:val="24"/>
                <w:szCs w:val="24"/>
              </w:rPr>
              <w:t>对县城污水处理厂设施设备进行扩容改造，新建甲居镇等</w:t>
            </w:r>
            <w:r>
              <w:rPr>
                <w:bCs/>
                <w:sz w:val="24"/>
                <w:szCs w:val="24"/>
              </w:rPr>
              <w:t>7个镇污水处理设施7座，共计日处理1400吨，管网18公里。</w:t>
            </w:r>
          </w:p>
        </w:tc>
      </w:tr>
    </w:tbl>
    <w:p>
      <w:pPr>
        <w:pStyle w:val="2"/>
      </w:pPr>
    </w:p>
    <w:p>
      <w:pPr>
        <w:pStyle w:val="6"/>
        <w:numPr>
          <w:ilvl w:val="0"/>
          <w:numId w:val="1"/>
        </w:numPr>
        <w:ind w:firstLineChars="0"/>
      </w:pPr>
      <w:bookmarkStart w:id="155" w:name="_Toc65597972"/>
      <w:r>
        <w:rPr>
          <w:rFonts w:hint="eastAsia"/>
        </w:rPr>
        <w:t>加</w:t>
      </w:r>
      <w:bookmarkEnd w:id="138"/>
      <w:r>
        <w:rPr>
          <w:rFonts w:hint="eastAsia"/>
        </w:rPr>
        <w:t>快新型基础设施建设</w:t>
      </w:r>
      <w:bookmarkEnd w:id="155"/>
    </w:p>
    <w:p>
      <w:r>
        <w:rPr>
          <w:rFonts w:hint="eastAsia"/>
        </w:rPr>
        <w:t>以新型基础设施建设为契机，统筹布局新型基础设施，结合县域发展实际，大力推进新型基础设施建设。加强农村互联网基础设施建设，扩大有效覆盖。建设高速、可靠、智慧的现代信息网络体系。</w:t>
      </w:r>
    </w:p>
    <w:p>
      <w:pPr>
        <w:pStyle w:val="7"/>
      </w:pPr>
      <w:bookmarkStart w:id="156" w:name="_Toc31724"/>
      <w:bookmarkStart w:id="157" w:name="_Toc65597973"/>
      <w:r>
        <w:rPr>
          <w:rFonts w:hint="eastAsia"/>
        </w:rPr>
        <w:t>第一节 强化网络设施</w:t>
      </w:r>
      <w:bookmarkEnd w:id="156"/>
      <w:r>
        <w:rPr>
          <w:rFonts w:hint="eastAsia"/>
        </w:rPr>
        <w:t>建设</w:t>
      </w:r>
      <w:bookmarkEnd w:id="157"/>
    </w:p>
    <w:p>
      <w:r>
        <w:rPr>
          <w:rFonts w:hint="eastAsia"/>
        </w:rPr>
        <w:t>积极跟踪5G标准研究及国家部署，着手5G站址的规划和储备、云架构构建、基站传输等基础准备工作，积极开展5G业务示范，实现主城区和重点乡镇的5G覆盖。大力发展商用5G，鼓励和推动人工智能、工业互联网、物联网等新型基础设施建设。建立一个中型数据中心，为政府部门、社会组织和企事业单位提供数据云服务，引导行业信息化应用向专业机构提供的云平台上迁移。加强新型充电基础设施建设，增加充电桩、换电站等设施。加快骨干网、城域网扩容，建设超大容量、智能传输系统，部署100G及以上高速大容量光传输系统。推进电信网、广播电视网、互联网“三网融合”。</w:t>
      </w:r>
    </w:p>
    <w:p>
      <w:pPr>
        <w:pStyle w:val="7"/>
      </w:pPr>
      <w:bookmarkStart w:id="158" w:name="_Toc65597974"/>
      <w:bookmarkStart w:id="159" w:name="_Toc25003"/>
      <w:r>
        <w:rPr>
          <w:rFonts w:hint="eastAsia"/>
        </w:rPr>
        <w:t>第二节 提升农村及偏远地区信息通信水平</w:t>
      </w:r>
      <w:bookmarkEnd w:id="158"/>
      <w:bookmarkEnd w:id="159"/>
    </w:p>
    <w:p>
      <w:r>
        <w:rPr>
          <w:rFonts w:hint="eastAsia"/>
        </w:rPr>
        <w:t>加快“宽带乡村”等农村互联网基础设施建设步伐，实现所有乡镇光纤宽带网络有效覆盖，加快推进广播电视村村通向户户通升级。统筹贫困村网络覆盖工作，持续推进电信普遍服务试点，加快农村及偏远地区4G网络覆盖。完成重点道路沿线4G网络覆盖问题，基本实现重点国道、省道以及县道4G网络全覆盖。扩大信息进村入户覆盖面，推进特色农村信息服务发展，通过降低智能终端价格等措施，提升农村及偏远地区信息通信水平。</w:t>
      </w:r>
    </w:p>
    <w:p>
      <w:pPr>
        <w:pStyle w:val="7"/>
      </w:pPr>
      <w:bookmarkStart w:id="160" w:name="_Toc65597975"/>
      <w:bookmarkStart w:id="161" w:name="_Toc32070"/>
      <w:r>
        <w:rPr>
          <w:rFonts w:hint="eastAsia"/>
        </w:rPr>
        <w:t>第三节 提高网络与信息安全保障能力</w:t>
      </w:r>
      <w:bookmarkEnd w:id="160"/>
      <w:bookmarkEnd w:id="161"/>
    </w:p>
    <w:p>
      <w:r>
        <w:rPr>
          <w:rFonts w:hint="eastAsia"/>
        </w:rPr>
        <w:t>优化防范和打击通讯信息诈骗平台，完善网络与信息安全管理体系，加强网络基础设施安全防护，落实国家网络安全审查制度，完善互联网安全监测与处置机制，强化网络数据安全管理，有效防止个人信息泄露、损毁和非法利用，落实用户个人信息保护责任，强化网络与信息安全应急管理，健全应急通信保障体系，增强公众通信网的整体可靠性和容灾抗灾能力。</w:t>
      </w:r>
    </w:p>
    <w:p>
      <w:pPr>
        <w:pStyle w:val="7"/>
      </w:pPr>
      <w:bookmarkStart w:id="162" w:name="_Toc65597976"/>
      <w:bookmarkStart w:id="163" w:name="_Toc24546"/>
      <w:r>
        <w:rPr>
          <w:rFonts w:hint="eastAsia"/>
        </w:rPr>
        <w:t>第四节 加快智慧城市功能平台建设</w:t>
      </w:r>
      <w:bookmarkEnd w:id="162"/>
      <w:bookmarkEnd w:id="163"/>
    </w:p>
    <w:p>
      <w:r>
        <w:rPr>
          <w:rFonts w:hint="eastAsia"/>
        </w:rPr>
        <w:t>强化政府网站建设与管理，加强网站信息内容建设，办好政民互动的网络平台，推动政府管网监测向智能化发展。加快数字乡村、智慧林草、智慧水利、数字化人事管理系统、推进教育信息化网路平台建设、促进交通网、天网、物联网等各领域信息网融合，推进公安、人民法院智慧法院建设，打造互联互通，高效有序的数字化管理平台。通过农业数字化基建，打造更多“黄金荚-盒马村”模式，畅通优势产业和农产品渠道。在丹巴县“五条沟”建设人工影响天气作业标准化基地，建设X波段双偏振幅天气雷达监测系统，加密气象监测站网。</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90" w:type="dxa"/>
            <w:shd w:val="clear" w:color="auto" w:fill="BFBFBF"/>
            <w:vAlign w:val="center"/>
          </w:tcPr>
          <w:p>
            <w:pPr>
              <w:pStyle w:val="31"/>
            </w:pPr>
            <w:r>
              <w:rPr>
                <w:rFonts w:hint="eastAsia"/>
              </w:rPr>
              <w:t>专栏19  智慧城市建设项目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vAlign w:val="center"/>
          </w:tcPr>
          <w:p>
            <w:pPr>
              <w:rPr>
                <w:bCs/>
                <w:sz w:val="24"/>
                <w:szCs w:val="24"/>
              </w:rPr>
            </w:pPr>
            <w:r>
              <w:rPr>
                <w:b/>
                <w:bCs/>
                <w:sz w:val="24"/>
                <w:szCs w:val="24"/>
              </w:rPr>
              <w:t>1.</w:t>
            </w:r>
            <w:r>
              <w:rPr>
                <w:rFonts w:hint="eastAsia"/>
                <w:b/>
                <w:bCs/>
                <w:sz w:val="24"/>
                <w:szCs w:val="24"/>
              </w:rPr>
              <w:t>综合执法指挥中心（智慧服务平台）配套设备系统。</w:t>
            </w:r>
            <w:r>
              <w:rPr>
                <w:rFonts w:hint="eastAsia"/>
                <w:bCs/>
                <w:sz w:val="24"/>
                <w:szCs w:val="24"/>
              </w:rPr>
              <w:t>包括执法业务管理、指挥、统计分析、监管、终端应用、数据中心、运维、端口系统等。</w:t>
            </w:r>
          </w:p>
          <w:p>
            <w:pPr>
              <w:rPr>
                <w:bCs/>
                <w:sz w:val="24"/>
                <w:szCs w:val="24"/>
              </w:rPr>
            </w:pPr>
            <w:r>
              <w:rPr>
                <w:b/>
                <w:bCs/>
                <w:sz w:val="24"/>
                <w:szCs w:val="24"/>
              </w:rPr>
              <w:t>2.</w:t>
            </w:r>
            <w:r>
              <w:rPr>
                <w:rFonts w:hint="eastAsia"/>
                <w:b/>
                <w:bCs/>
                <w:sz w:val="24"/>
                <w:szCs w:val="24"/>
              </w:rPr>
              <w:t>综合管理服务平台。</w:t>
            </w:r>
            <w:r>
              <w:rPr>
                <w:rFonts w:hint="eastAsia"/>
                <w:bCs/>
                <w:sz w:val="24"/>
                <w:szCs w:val="24"/>
              </w:rPr>
              <w:t>包括城市垃圾、污水，供排水、管线、道路、桥梁、环境卫生等。</w:t>
            </w:r>
          </w:p>
          <w:p>
            <w:pPr>
              <w:rPr>
                <w:bCs/>
                <w:sz w:val="24"/>
                <w:szCs w:val="24"/>
              </w:rPr>
            </w:pPr>
            <w:r>
              <w:rPr>
                <w:b/>
                <w:bCs/>
                <w:sz w:val="24"/>
                <w:szCs w:val="24"/>
              </w:rPr>
              <w:t>3．</w:t>
            </w:r>
            <w:r>
              <w:rPr>
                <w:rFonts w:hint="eastAsia"/>
                <w:b/>
                <w:bCs/>
                <w:sz w:val="24"/>
                <w:szCs w:val="24"/>
              </w:rPr>
              <w:t>应急平台。</w:t>
            </w:r>
            <w:r>
              <w:rPr>
                <w:rFonts w:hint="eastAsia"/>
                <w:bCs/>
                <w:sz w:val="24"/>
                <w:szCs w:val="24"/>
              </w:rPr>
              <w:t>建设应急管理综合应用平台、安全生产预警管控平台和自然灾害监测预警平台。建设农村基层防汛预报预警体系。</w:t>
            </w:r>
          </w:p>
          <w:p>
            <w:r>
              <w:rPr>
                <w:b/>
                <w:bCs/>
                <w:sz w:val="24"/>
                <w:szCs w:val="24"/>
              </w:rPr>
              <w:t>4.</w:t>
            </w:r>
            <w:r>
              <w:rPr>
                <w:rFonts w:hint="eastAsia"/>
                <w:b/>
                <w:bCs/>
                <w:sz w:val="24"/>
                <w:szCs w:val="24"/>
              </w:rPr>
              <w:t>气象监测工程。</w:t>
            </w:r>
            <w:r>
              <w:rPr>
                <w:rFonts w:hint="eastAsia"/>
                <w:bCs/>
                <w:sz w:val="24"/>
                <w:szCs w:val="24"/>
              </w:rPr>
              <w:t>建设</w:t>
            </w:r>
            <w:r>
              <w:rPr>
                <w:bCs/>
                <w:sz w:val="24"/>
                <w:szCs w:val="24"/>
              </w:rPr>
              <w:t>5套交通气象监测站网，5套升级改造老区域气象监测站点为六要素，在 4个旅游景区、重点交通要道建设区域气象监测站，12个乡镇建设气象预警接收系统（LED屏），升级改造48套雨量站为北斗升级改造。</w:t>
            </w:r>
          </w:p>
        </w:tc>
      </w:tr>
    </w:tbl>
    <w:p>
      <w:pPr>
        <w:rPr>
          <w:sz w:val="44"/>
          <w:szCs w:val="44"/>
        </w:rPr>
      </w:pPr>
      <w:r>
        <w:br w:type="page"/>
      </w:r>
    </w:p>
    <w:p>
      <w:pPr>
        <w:pStyle w:val="4"/>
      </w:pPr>
      <w:bookmarkStart w:id="164" w:name="_Toc65597977"/>
      <w:r>
        <w:rPr>
          <w:rFonts w:hint="eastAsia"/>
        </w:rPr>
        <w:t>第六篇 提高空间聚集水平，优化城乡发展格局</w:t>
      </w:r>
      <w:bookmarkEnd w:id="164"/>
    </w:p>
    <w:p>
      <w:pPr>
        <w:pStyle w:val="6"/>
        <w:numPr>
          <w:ilvl w:val="0"/>
          <w:numId w:val="1"/>
        </w:numPr>
        <w:ind w:firstLineChars="0"/>
      </w:pPr>
      <w:bookmarkStart w:id="165" w:name="_Toc65597978"/>
      <w:bookmarkStart w:id="166" w:name="_Toc32685"/>
      <w:r>
        <w:rPr>
          <w:rFonts w:hint="eastAsia"/>
        </w:rPr>
        <w:t>统筹国土空间格局</w:t>
      </w:r>
      <w:bookmarkEnd w:id="165"/>
      <w:bookmarkEnd w:id="166"/>
    </w:p>
    <w:p>
      <w:r>
        <w:rPr>
          <w:rFonts w:hint="eastAsia"/>
        </w:rPr>
        <w:t>坚持多规合一，落实主体功能区战略，合理优化生态、农业、城镇三大空间，强化“三线一单”硬约束，提高国土空间治理能力，全面提升国土空间开发保护质量和效率，形成高效、协调、可持续的国土空间开发格局。</w:t>
      </w:r>
    </w:p>
    <w:p>
      <w:pPr>
        <w:pStyle w:val="7"/>
      </w:pPr>
      <w:bookmarkStart w:id="167" w:name="_Toc21665"/>
      <w:bookmarkStart w:id="168" w:name="_Toc65597979"/>
      <w:r>
        <w:rPr>
          <w:rFonts w:hint="eastAsia"/>
        </w:rPr>
        <w:t>第一节 优化国土空间</w:t>
      </w:r>
      <w:bookmarkEnd w:id="167"/>
      <w:r>
        <w:rPr>
          <w:rFonts w:hint="eastAsia"/>
        </w:rPr>
        <w:t>开发与总体格局</w:t>
      </w:r>
      <w:bookmarkEnd w:id="168"/>
    </w:p>
    <w:p>
      <w:r>
        <w:rPr>
          <w:rFonts w:hint="eastAsia"/>
        </w:rPr>
        <w:t>坚持生态优先、绿色发展，科学有序统筹布局生态、农业、城镇三大空间，优化国土空间开发保护格局。加大生态建设力度，加强山水林田湖草系统治理，重视山体形貌维护、植被修复养护，慎砍树、禁挖山、不填湖、少拆房，筑牢长江上游绿色生态屏障；持续优化生态功能格局，加强对自然生态空间的整体保护，严格保护重点生态功能区、生态环境敏感区和脆弱区等区域，提高生态空间覆盖率，提升生态空间品质。构建集约高效的农业生产空间，大力实施土地整治，加强耕地保护，推进农地规模化、标准化建设，提高耕地质量；进一步优化耕地和基本农田布局，巩固拓展特色优势产业基地，加强土地开发整理，补充城镇空间拓展和生态功能建设调减的耕地。打造宜居适度的城镇空间，加快拓展县城、集镇发展空间，提高人口承载能力，适度扩大现代工业和现代服务业发展空间，推动产业用地向重点发展区集聚，引导城镇发展由外延扩张向内涵提升转变；以提升生产服务功能、生活品质为重点，合理布局基础设施和公共服务设施空间，提升城镇空间品质；适度开发未利用土地，补充经济社会发展用地需求。</w:t>
      </w:r>
    </w:p>
    <w:p>
      <w:pPr>
        <w:pStyle w:val="7"/>
      </w:pPr>
      <w:bookmarkStart w:id="169" w:name="_Toc65597980"/>
      <w:bookmarkStart w:id="170" w:name="_Toc26584"/>
      <w:r>
        <w:rPr>
          <w:rFonts w:hint="eastAsia"/>
        </w:rPr>
        <w:t>第二节 提高国土空间管控能力</w:t>
      </w:r>
      <w:bookmarkEnd w:id="169"/>
      <w:bookmarkEnd w:id="170"/>
    </w:p>
    <w:p>
      <w:pPr>
        <w:rPr>
          <w:rFonts w:ascii="仿宋_GB2312" w:eastAsia="仿宋_GB2312"/>
        </w:rPr>
      </w:pPr>
      <w:r>
        <w:rPr>
          <w:rFonts w:hint="eastAsia"/>
        </w:rPr>
        <w:t>编制国土空间规划，完成“三类”空间管控制度建设。健全国土空间开发保护制度，强化空间规划的基础作用，实现“多规合一”，加快构建国土空间规划“一张图”，推动国土空间开发保护更高质量、更可持续。完善国土空间监测系统，建立国土空间基础信息平台，优化提升国土空间数据库，为国土空间治理提供数据平台和决策支撑。建立健全资源环境承载能力监测预警机制，重点加强薄弱环节和乡镇监测网点布设，动态掌握资源环境承载能力变化情况。</w:t>
      </w:r>
    </w:p>
    <w:p>
      <w:pPr>
        <w:pStyle w:val="7"/>
      </w:pPr>
      <w:bookmarkStart w:id="171" w:name="_Toc7021"/>
      <w:bookmarkStart w:id="172" w:name="_Toc65597981"/>
      <w:r>
        <w:rPr>
          <w:rFonts w:hint="eastAsia"/>
        </w:rPr>
        <w:t>第三节 提升国土空间治理能力</w:t>
      </w:r>
      <w:bookmarkEnd w:id="171"/>
      <w:bookmarkEnd w:id="172"/>
    </w:p>
    <w:p>
      <w:r>
        <w:rPr>
          <w:rFonts w:hint="eastAsia"/>
        </w:rPr>
        <w:t>坚持保护优先、节约集约、严控增量、盘活存量，严守生态保护红线、永久基本农田、城镇开发边界等空间管控边界，强化底线约束，为可持续发展预留空间。加强河滨生态红线保护，严格水域岸线用途管制。强化非农建设占用耕地的转用管控，完成基本农田储备区的划定，加强永久基本农田对各类建设布局的约束。对生态红线调整与勘界定标，保证生态功能不降低、面积不减少、性质不改变，实施严格管控，完成生态保护红线区划勘界定标工作。严格实施生态环境准入清单制度，探索分区分类制定环境准入清单。综合考虑不同区域资源环境限制性、适宜性和要素发展水平，优化国土空间开发的规模、布局和利用方式，引导和调控优势产业空间积聚，提升国土空间利用质量和效益。</w:t>
      </w:r>
    </w:p>
    <w:p>
      <w:pPr>
        <w:pStyle w:val="6"/>
        <w:numPr>
          <w:ilvl w:val="0"/>
          <w:numId w:val="1"/>
        </w:numPr>
        <w:ind w:firstLineChars="0"/>
      </w:pPr>
      <w:bookmarkStart w:id="173" w:name="_Toc60172781"/>
      <w:bookmarkStart w:id="174" w:name="_Toc65597982"/>
      <w:r>
        <w:rPr>
          <w:rFonts w:hint="eastAsia"/>
        </w:rPr>
        <w:t>实施乡村振兴战略</w:t>
      </w:r>
      <w:bookmarkEnd w:id="173"/>
      <w:bookmarkEnd w:id="174"/>
    </w:p>
    <w:p>
      <w:r>
        <w:rPr>
          <w:rFonts w:hint="eastAsia"/>
        </w:rPr>
        <w:t>坚持把实施乡村振兴战略作为“三农”工作的总抓手，推动巩固脱贫攻坚成果与乡村振兴有效衔接，分类实施乡村振兴发展，推动美丽宜居乡村建设，努力创建全省实施乡村振兴战略先进县，当好大渡河流域乡村振兴发展排头兵。</w:t>
      </w:r>
    </w:p>
    <w:p>
      <w:pPr>
        <w:pStyle w:val="7"/>
      </w:pPr>
      <w:bookmarkStart w:id="175" w:name="_Toc60172782"/>
      <w:bookmarkStart w:id="176" w:name="_Toc65597983"/>
      <w:r>
        <w:rPr>
          <w:rFonts w:hint="eastAsia"/>
        </w:rPr>
        <w:t>第一节 巩固脱贫攻坚成果</w:t>
      </w:r>
      <w:bookmarkEnd w:id="175"/>
      <w:bookmarkEnd w:id="176"/>
    </w:p>
    <w:p>
      <w:r>
        <w:rPr>
          <w:rFonts w:hint="eastAsia"/>
        </w:rPr>
        <w:t>一、巩固拓展脱贫攻坚成果</w:t>
      </w:r>
    </w:p>
    <w:p>
      <w:r>
        <w:rPr>
          <w:rFonts w:hint="eastAsia"/>
        </w:rPr>
        <w:t>严格落实“四个不摘”要求，接续推进全面脱贫与乡村振兴有效衔接，建立健全稳定脱贫长效机制，健全防返贫监测和帮扶机制，建立防止因收入锐减、因灾、因病、涉毒涉艾返贫机制，常态化开展“回头看”“回头帮”，将脱贫不稳定户、边缘易致贫户纳入监测范围，实施动态管理，实行动态清零，确保贫困现象不反弹、脱贫群众不返贫。健全农村低收入人口帮扶机制，完善农村最低生活保障和社会救助制度，将农村低收入劳动力及时纳入乡村产业振兴和就业创业促进政策统筹扶持，提升低收入劳动力自我发展能力。强化农村劳动力就业保障，健全农村劳动力职业技能培训制度和劳务输出服务体系，统筹开发农村公益性岗位，巩固扩大劳务输出规模。推进易地扶贫搬迁安置点治理发展，完善安置点基础设施，优化安置点教育、医疗等资源配置，发展壮大扶贫车间、园区，完善社区治理模式，建设有秩序、有活力的平安社区。发展新型农村集体经济，加强农村集体资产管理监督和经营，健全利益联结机制，依法保障群众合法收益。实施乡村建设行动，建立健全乡村振兴多元投入保障机制，统筹城镇和村庄规划建设管理，积极争取乡村振兴重点帮扶县各项优惠政策向丹巴聚集。</w:t>
      </w:r>
    </w:p>
    <w:p>
      <w:r>
        <w:rPr>
          <w:rFonts w:hint="eastAsia"/>
        </w:rPr>
        <w:t>二、、推进乡村全面振兴</w:t>
      </w:r>
    </w:p>
    <w:p>
      <w:r>
        <w:rPr>
          <w:rFonts w:hint="eastAsia"/>
        </w:rPr>
        <w:t>坚持把乡村振兴作为“三农”工作的总抓手，全面推进大渡河流域乡村振兴示范村建设，力争建成省级乡村振兴示范县，积极争取纳入西部地区脱贫县乡村振兴重点帮扶县，实现巩固拓展脱贫攻坚成果同乡村振兴有效衔接。把乡村建设作为农业农村现代化的重要任务，因地制宜推进其他区域乡村规划建设，集中力量打造一批中心村、重点村、特色村。以农村垃圾、污水治理和村容村貌提升为主攻方向，深入推进农村环境“三大革命”，积极探索不同区域条件的农村垃圾和污水治理方式，建立健全厕污共治长效机制。强化农村面源污染治理，推广秸秆饲料化、秸秆基料化利用技术，实现畜禽养殖废弃物资源化利用，持续推进农村人居环境不断改善。实施村庄基础设施改善工程，完善乡村水、电、路通信广播电视、物流等基础设施，健全运营管护机制。提升乡（镇）公共服务能力，加快完善农村综合服务中心、便民服务设施、公共服务产品，推进健康乡村建设，建设便利的乡村生活圈。加强传统村落保护开发，推进全国传统村落集中连片保护利用示范县建设。</w:t>
      </w:r>
    </w:p>
    <w:p>
      <w:pPr>
        <w:pStyle w:val="7"/>
      </w:pPr>
      <w:bookmarkStart w:id="177" w:name="_Toc65597984"/>
      <w:bookmarkStart w:id="178" w:name="_Toc60172783"/>
      <w:r>
        <w:rPr>
          <w:rFonts w:hint="eastAsia"/>
        </w:rPr>
        <w:t>第二节 提高农牧民收入水平</w:t>
      </w:r>
      <w:bookmarkEnd w:id="177"/>
      <w:bookmarkEnd w:id="178"/>
    </w:p>
    <w:p>
      <w:r>
        <w:rPr>
          <w:rFonts w:hint="eastAsia"/>
        </w:rPr>
        <w:t>大力发展特色种植业、特色养殖业、生态林果业、乡村旅游业等优势产业，积极推进农牧产品精深加工，扶持发展民居接待、餐饮、娱乐、康养等服务业，加快农村电子商务等新业态培育，拓宽农牧民家庭经营性收入渠道，提高家庭经营性收入。创建农牧民非农牧就业服务平台，大力开展职业技能和实用技术培训，鼓励与组织农牧民参与本地矿山、水电、交通等重大工程建设，积极引导农牧区富余劳动力非农转移就业，增加农牧民工资性收入。鼓励农牧民通过生产资料出租获取收益，稳妥推进农牧民土地、草场承包经营权流转，探索农村集体土地流转模式、集体资产股权等农村产权入市交易，鼓励和引导村集体经济发展，切实提高农牧民财产性收入。落实国家各项补贴政策，完善补贴方式，增加农牧民转移性收入。</w:t>
      </w:r>
    </w:p>
    <w:p>
      <w:pPr>
        <w:pStyle w:val="7"/>
      </w:pPr>
      <w:bookmarkStart w:id="179" w:name="_Toc60172784"/>
      <w:bookmarkStart w:id="180" w:name="_Toc65597985"/>
      <w:r>
        <w:rPr>
          <w:rFonts w:hint="eastAsia"/>
        </w:rPr>
        <w:t>第三节 分类实施乡村建设行动</w:t>
      </w:r>
      <w:bookmarkEnd w:id="179"/>
      <w:bookmarkEnd w:id="180"/>
    </w:p>
    <w:p>
      <w:r>
        <w:rPr>
          <w:rFonts w:hint="eastAsia"/>
        </w:rPr>
        <w:t>一、分类区推进乡村建设</w:t>
      </w:r>
    </w:p>
    <w:p>
      <w:r>
        <w:rPr>
          <w:rFonts w:hint="eastAsia"/>
        </w:rPr>
        <w:t>紧紧抓住丹巴县垂直梯度差异明显的特征，科学识别各梯度类型区域的条件差异和发展基础，深度挖掘各区域的地形条件、资源特色，充分发挥各区域的优势，分类区推进丹巴乡村建设发展。</w:t>
      </w:r>
    </w:p>
    <w:p>
      <w:r>
        <w:rPr>
          <w:rFonts w:hint="eastAsia"/>
          <w:b/>
          <w:bCs/>
        </w:rPr>
        <w:t>——优化发展河谷核心聚居区。</w:t>
      </w:r>
      <w:r>
        <w:rPr>
          <w:rFonts w:hint="eastAsia"/>
        </w:rPr>
        <w:t>该区域主要为中山峡谷区，是适宜新村建设发展的区域。本区临近县城，拥有优越的自然条件和较成熟的发展基础，交通便利，人口较为密集，农业基础设施相对完善，用地条件相对较好，并汇集了丹巴县最具特色的嘉绒藏族民俗、藏寨民居、藏式古碉群等众多旅游资源，是丹巴县发展乡村旅游的重点旅游圈，也是丹巴县农业产业化核心区域，具有率先实现乡村振兴的基本条件。乡村发展以优化提升为重点，以中心城区和中心城镇建设为龙头，大力发展中心村，通过集中投资、重点开发，促进人口、产业、基础设施等资源聚集，加速推动城乡融合发展、产村一体发展。依托水电开发优势，做好水电开发利益共享体系，促进乡村发展。依托村庄资源优势，以供给高端苹果、酿酒葡萄、甜樱桃、食用菌、有机蔬菜等农产品和发展集约化生态养殖为目标，重点发展产业链中、后端产业，加快打造产业集群。加快提升加工链，大力发展农产品加工企业，延长农业产业链，提升价值链。积极发展服务链，加快培育各类新型农业服务主体，构建农业生产型服务的产业形态。大力打造功能链，加快培育以休闲农业、乡村旅游、生态康养为主的农业农村发展新动能。</w:t>
      </w:r>
    </w:p>
    <w:p>
      <w:r>
        <w:rPr>
          <w:rFonts w:hint="eastAsia"/>
          <w:b/>
          <w:bCs/>
        </w:rPr>
        <w:t>——提升发展河谷一般聚居区。</w:t>
      </w:r>
      <w:r>
        <w:rPr>
          <w:rFonts w:hint="eastAsia"/>
        </w:rPr>
        <w:t>该区域主要为中山峡谷区，是控制新村建设发展的区域。本区居民点主要处于丹巴县三条主要交通干线上，是全县特色农业基地主要聚集区，川西旅游环线藏乡风情走廊。由于自然条件的限制，这一区域的新村发展环境相对较差，应尽快通过改善局部环境、完善设施和置换陈旧功能，挖掘现有资源潜力，保证整个村镇体系发展综合平衡。坚持生态保护优先，有序实施土地整理，挖掘土地资源优势，加快推动农业生产规模化、技术现代化、产品效益化。充分利用该区域气候温和、光热条件好的气候特征和资源优势，大力发展高品质的畜牧、羊肚菌、水果、粮油和核桃、花椒等特色种养业，推动种养循环发展，加快建设高标准、生态化的产业园区，加快农产品品牌打造，加速农业产业做大做强。深入挖掘自然、历史、人文资源，大力发展山地观光旅游、生态康养等产业，构建区域产业融合发展新态势。</w:t>
      </w:r>
    </w:p>
    <w:p>
      <w:r>
        <w:rPr>
          <w:rFonts w:hint="eastAsia"/>
          <w:b/>
          <w:bCs/>
        </w:rPr>
        <w:t>——适度发展半山散居区。</w:t>
      </w:r>
      <w:r>
        <w:rPr>
          <w:rFonts w:hint="eastAsia"/>
        </w:rPr>
        <w:t>该区域主要为亚高山区，是控制新村建设发展的区域和优质粮油集中生产区域。本区域气候温和、干燥、昼夜温差大，交通基础设施条件较河谷地区相对落后，经济不太发达，但拥有丰富的人文、自然景观，可媲美九寨沟美景的党岭风景名胜区和牦牛谷游览区，为本区发展农文旅游融合产业提供了有力支撑。由于该区域新村全部迁移实施难度较大，应限制新村大规模发展，采用逐步撤并的手段，引导新村迁移和人口适度集中，完善路、电、水、卫生、通讯网络等基础设施，打造农旅融合产业，推动该区域跨越式发展。随着交通条件的不断改善，半山散居区的优势逐渐凸显，可依据自然条件选择性布局玉米、小麦、油菜、高粱等优质粮油作物；适当种植马铃薯、羊肚菌、中藏药材以及核桃、花椒等生态林果；因地制宜发展苹果、梨、李等特色水果。结合康养旅游、休闲旅游，以苹果、葡萄酒、养生羊肚菌、中药材、藏香猪腿等农特产品为基础，以嘉绒文化为灵魂，引进龙头企业打造集旅游、农业、文化为一体的农旅文融合发展休闲度假区。</w:t>
      </w:r>
    </w:p>
    <w:p>
      <w:r>
        <w:rPr>
          <w:rFonts w:hint="eastAsia"/>
          <w:b/>
          <w:bCs/>
        </w:rPr>
        <w:t>——加速发展高山林牧区。</w:t>
      </w:r>
      <w:r>
        <w:rPr>
          <w:rFonts w:hint="eastAsia"/>
        </w:rPr>
        <w:t>该区域是各乡镇海拔为 3800 米以上的高山地区，为丹巴县海拔最高区域，居民以散居的游牧民为主。本区域区位条件不具优势，距离城区较远，人口分散，交通等基础设施相对落后，产业基础薄弱，但生态优势明显。全县牧草场基本位于本区域，莫斯卡自然保护区和墨尔多风景名胜区也位于本区。本区自然风光优美，拥有独特的川西高原景致。可在维持高山林地、牧区原貌，保护生态环境及资源的基础上，因地制宜发展生态农业，加快社会经济发展，推动人与自然和谐共生。优化提升基础设施布局，合理推动人口适度集聚，对于部分不适宜居住的村庄实施易地搬迁，培育壮大乡村产业，引导劳动力转移就业。大力发展以种草养畜、种饲养畜为方式的生态效益畜牧业，优化发展道地药材、核桃、花椒、林下种养殖等特色产业，大力推动种养循环，扩大产业规模，提高产业效益。</w:t>
      </w:r>
    </w:p>
    <w:p>
      <w:r>
        <w:rPr>
          <w:rFonts w:hint="eastAsia"/>
        </w:rPr>
        <w:t>二、分类型推进乡村建设</w:t>
      </w:r>
    </w:p>
    <w:p>
      <w:r>
        <w:rPr>
          <w:rFonts w:hint="eastAsia"/>
        </w:rPr>
        <w:t>立足乡村多样性、差异性、区域性特征，遵循乡村发展规律，根据不同村庄的自然资源禀赋、社会经济水平、产业发展特点、民俗文化、历史传承等条件，因村施策、分类有序推进乡村建设，巩固提升大渡河流域乡村振兴示范成果。</w:t>
      </w:r>
    </w:p>
    <w:p>
      <w:r>
        <w:rPr>
          <w:rFonts w:hint="eastAsia"/>
          <w:b/>
          <w:bCs/>
        </w:rPr>
        <w:t>——做强集聚提升类村庄。</w:t>
      </w:r>
      <w:r>
        <w:rPr>
          <w:rFonts w:hint="eastAsia"/>
        </w:rPr>
        <w:t>主要包括现有规模较大的中心村和交通条件、自然条件、资源条件、发展潜力良好的仍将存续的一般村庄。科学把握村庄发展方向和重点，在原有规模基础上有序推进改造提升，逐步集聚村落，配套完善基础设施和公共环境。充分发挥自身比较优势，激活产业、优化环境、提振人气、增添活力，鼓励农业性村庄、工贸型村庄、休闲服务性村庄等专业化村庄快速发展，推动基础设施提升与特色经济培育同步进行。以农业为主的村庄，应立足于资源禀赋，宜蔬则蔬、宜果则果、宜牧则牧，大力发展特色农业，成为延续丹巴农耕文明的重要载体。以工贸业为主的村庄，重点提升产业发展层级，以工商业带动人口集聚，就地吸纳农业转移人口。以休闲服务业为主的村庄，积极开发利用自然人文特色资源，加快产业相融、产村一体建设，推动乡村旅游和现代农业相互促进共同发展，促进旅游开发与村庄建设相互支撑共同进步，提升村庄吸引力，加快形成品牌。</w:t>
      </w:r>
    </w:p>
    <w:p>
      <w:r>
        <w:rPr>
          <w:rFonts w:hint="eastAsia"/>
          <w:b/>
          <w:bCs/>
        </w:rPr>
        <w:t>——做优城郊融合类村庄</w:t>
      </w:r>
      <w:r>
        <w:rPr>
          <w:rFonts w:hint="eastAsia"/>
        </w:rPr>
        <w:t>。主要包括位于城区近郊及各乡镇周边的村庄。丹巴县城近郊区村庄应积极发挥城市后花园功能，打造成为城市外围生态屏障，提高为城镇发展服务和承接城镇功能外溢能力，最终实现城乡良性互动。以章谷镇的中心城区建设为龙头，大力发展中心村，逐步增强章谷镇的辐射能力；加快推动城乡产业融合发展、基础设施互联互通、公共服务共建共享，实现城乡一体化发展；引导村落按照“小组微生”原则，组团化布局，控制人均建设用地规模，引导用地集约发展；保留乡村田园风貌，延续农村文脉，发展乡村旅游；推动有条件、紧邻县城的村庄逐步纳入城区范围或向新型农村社区转变。各乡镇周边的村庄要以服务城镇为重点，依托城镇发展需求，调优产业结构，积极兴办环境友好型和劳动密集型企业，提升基础设施和公共服务水平，建设面向城镇和农村的生产生活服务中心。区位优势明显、交通便利的村庄应重点发展服务业和农产品加工，建设连接乡村和城镇的重要桥梁；资源优势明显的村庄应积极壮大民营经济，加快工业、农业产业园区建设，推动产业绿色化、现代化发展，协同带动周边村庄打造产业集群。生态环境优势明显的村庄应重点发展乡村旅游和生态农业，加快开发深层次的“旅游经济”。</w:t>
      </w:r>
    </w:p>
    <w:p>
      <w:r>
        <w:rPr>
          <w:rFonts w:hint="eastAsia"/>
          <w:b/>
          <w:bCs/>
        </w:rPr>
        <w:t>——做亮特色保护类村庄。</w:t>
      </w:r>
      <w:r>
        <w:rPr>
          <w:rFonts w:hint="eastAsia"/>
        </w:rPr>
        <w:t>主要包括自然资源丰富、历史悠久、文化底蕴深厚、风貌独特的历史文化名村、国家级传统村落、藏寨等少数民族特色村落、特色景观旅游名村等村庄。坚持历史文化保护与经济发展相结合，处理好统筹保护、利用与发展关系，尊重原住居民生活形态和传统习惯，保护村庄的传统选址、格局、建筑风貌以及自然和田园景观等整体空间形态与环境，深度挖掘当地传统自然、历史、文化资源，提升文化馆、新建民俗博物馆、民俗非遗馆、民俗工艺馆（如嘉绒藏族编织、嘉绒藏族刺绣）等，延续村落文化，传承与保护历史文化古镇、传统村落、民族村寨和古建筑，加快将历史文化资源优势转化为产业优势，形成特色资源保护与村庄发展的良性互动，充分体现藏族风情、山区风貌等内涵特质，建设彰显和传承丹巴乡村特色文化的重要载体，弘扬丹巴嘉绒藏族农业文明。</w:t>
      </w:r>
    </w:p>
    <w:p>
      <w:r>
        <w:rPr>
          <w:rFonts w:hint="eastAsia"/>
          <w:b/>
          <w:bCs/>
        </w:rPr>
        <w:t>——做好搬迁撤并类村庄。</w:t>
      </w:r>
      <w:r>
        <w:rPr>
          <w:rFonts w:hint="eastAsia"/>
        </w:rPr>
        <w:t>主要包括中、高山地区生存条件恶劣、生态环境脆弱、自然灾害频发、基本功能丧失的村庄，不具有保留价值的空心村，因重大工程项目建设需要搬迁的村庄以及人口流失特别严重的村庄等。对于中、高山区不宜再保留的村庄、人口大量流失的空心村进行搬迁撤并，逐步引导向区位、交通条件较好的村庄转移，提高基础设施利用率。因重大项目建设需要搬迁的村庄，可通过生态移民搬迁、农村集聚发展等方式整体搬迁，坚持村庄搬迁拆并与新型城镇化、农业现代化相结合，统筹解决村民的可持续生计、生态环境保护等问题。拟搬迁撤并的村庄，严格限制新建、扩建活动，搬迁撤并后的村庄原址，因地制宜复垦或还绿，维持高山林地、牧区原貌，保护生态环境及资源。农村居民点迁建和村庄撤并，需尊重农民意愿并经村民会议同意。</w:t>
      </w:r>
    </w:p>
    <w:p>
      <w:pPr>
        <w:pStyle w:val="7"/>
      </w:pPr>
      <w:bookmarkStart w:id="181" w:name="_Toc65597986"/>
      <w:bookmarkStart w:id="182" w:name="_Toc60172785"/>
      <w:bookmarkStart w:id="183" w:name="_Hlk60155309"/>
      <w:r>
        <w:rPr>
          <w:rFonts w:hint="eastAsia"/>
        </w:rPr>
        <w:t>第四节 完善农村公共服务体系</w:t>
      </w:r>
      <w:bookmarkEnd w:id="181"/>
      <w:bookmarkEnd w:id="182"/>
    </w:p>
    <w:bookmarkEnd w:id="183"/>
    <w:p>
      <w:r>
        <w:rPr>
          <w:rFonts w:hint="eastAsia"/>
        </w:rPr>
        <w:t>聚焦短板，突出重点，加快公共服务均等化。统筹配置资源，健全全民覆盖、普惠共享、城乡一体的基本公共服务体系，统筹配置城乡教育、卫生健康、社会保障、养老等资源，推动公共服务向农村延伸、社会事业向农村覆盖。以增量扩能为目标持续推动村级公共服务中心建设，不断完善村级组织阵地建设，在加强便民服务、农民培训、文化体育、卫生计生、综治调解、商贸物流等服务的基础上扩展农民群众有需要的公共服务项目。全面建立以居家为基础、社区为依托、机构为补充、医养相结合的养老服务体系，全力探索居家分散养老服务模式，确保老有所依、老有所养。完善基层服务标准化体系，制定发布城乡基本公共服务清单、编制涵盖公共交通、教育、文化等八大方面重点项目服务标准，推进城乡基本公共服务标准统一，以标准化促进基本公共服务均等化。破除体制机制障碍。加快推进户籍制度改革，健全城乡统一的户籍管理制度。完善被征地农民社会保障制度，健全覆盖城乡的社会保障体系。加快形成城乡义务教育均衡发展机制，建立健全覆盖城乡的基本医疗卫生服务体系，推动城乡基本公共服务均等化发展。加强对地震、地质灾害高风险区和生态脆弱地区的安全隐患排查和治理，实现上述区域每个村都有避灾安置点。</w:t>
      </w:r>
    </w:p>
    <w:p>
      <w:pPr>
        <w:pStyle w:val="7"/>
      </w:pPr>
      <w:bookmarkStart w:id="184" w:name="_Toc60172786"/>
      <w:bookmarkStart w:id="185" w:name="_Toc65597987"/>
      <w:r>
        <w:rPr>
          <w:rFonts w:hint="eastAsia"/>
        </w:rPr>
        <w:t>第五节 深化农牧区改革</w:t>
      </w:r>
      <w:bookmarkEnd w:id="184"/>
      <w:bookmarkEnd w:id="185"/>
    </w:p>
    <w:p>
      <w:r>
        <w:rPr>
          <w:rFonts w:hint="eastAsia"/>
        </w:rPr>
        <w:t>推进农牧区产权改革。全面开展土地、房屋等确权登记颁证工作，推行农村集体产权股份化改革和农村土地股份化经营，建立和推广以户为基础，乡村统一组织生产的经营管理机制。改革农村集体土地管理制度,创新以土地集体所有、稳定农牧户承包权、放活土地经营权为重点的农村承包地“三权分置”改革，搭建产权流转交易平台，稳妥推进农牧区土地、林地、草场承包经营权流转。深化农村宅基地管理改革，探索农村宅基地“三权分置”，探索闲置宅基地和闲置住宅盘活利用，依法稳妥推进农村集体经营性建设用地入市。</w:t>
      </w:r>
    </w:p>
    <w:p>
      <w:r>
        <w:rPr>
          <w:rFonts w:hint="eastAsia"/>
        </w:rPr>
        <w:t>加快农牧区金融制度改革。全面完成农村信用社改革，支持民间资本依法设立涉农中小型金融机构，探索村镇银行、农村资金互助社、小额贷款公司等农村金融发展新模式，进一步</w:t>
      </w:r>
      <w:r>
        <w:t>放大农村互助资金效用，</w:t>
      </w:r>
      <w:r>
        <w:rPr>
          <w:rFonts w:hint="eastAsia"/>
        </w:rPr>
        <w:t>促进农牧区加快发展。开展农牧区产权抵押融资试点，推广土地流转保证收益贷款。健全农村金融服务体系，加大金融支农力度，深化政策性农业保险，拓展农业保险险种和承保覆盖面。完善乡村振兴农业产业发展贷款风险补偿机制。加大乡村振兴财政投入，统筹整合使用涉农资金。</w:t>
      </w:r>
    </w:p>
    <w:p>
      <w:pPr>
        <w:pStyle w:val="6"/>
        <w:numPr>
          <w:ilvl w:val="0"/>
          <w:numId w:val="1"/>
        </w:numPr>
        <w:ind w:firstLineChars="0"/>
      </w:pPr>
      <w:bookmarkStart w:id="186" w:name="_Toc65597988"/>
      <w:r>
        <w:rPr>
          <w:rFonts w:hint="eastAsia"/>
        </w:rPr>
        <w:t>实施新型城镇化战略</w:t>
      </w:r>
      <w:bookmarkEnd w:id="103"/>
      <w:bookmarkEnd w:id="186"/>
    </w:p>
    <w:p>
      <w:r>
        <w:rPr>
          <w:rFonts w:hint="eastAsia"/>
        </w:rPr>
        <w:t>以人的城镇化为核心，以促进农牧民就地就近城镇化为重点，引导人口合理流动，加快推进高原特色和民族特色的新型城镇化进程，全面提升城镇化发展质量和水平。</w:t>
      </w:r>
    </w:p>
    <w:p>
      <w:pPr>
        <w:pStyle w:val="7"/>
      </w:pPr>
      <w:bookmarkStart w:id="187" w:name="_Toc65597989"/>
      <w:bookmarkStart w:id="188" w:name="_Toc60172777"/>
      <w:r>
        <w:rPr>
          <w:rFonts w:hint="eastAsia"/>
        </w:rPr>
        <w:t>第一节 构建特色新型城镇体系</w:t>
      </w:r>
      <w:bookmarkEnd w:id="187"/>
      <w:bookmarkEnd w:id="188"/>
    </w:p>
    <w:p>
      <w:r>
        <w:rPr>
          <w:rFonts w:hint="eastAsia"/>
        </w:rPr>
        <w:t>一、优化城镇空间结构</w:t>
      </w:r>
    </w:p>
    <w:p>
      <w:r>
        <w:rPr>
          <w:rFonts w:hint="eastAsia"/>
        </w:rPr>
        <w:t>按照统筹城乡发展要求，加强城乡一体化建设，完善城乡一体化发展规划和体制机制。</w:t>
      </w:r>
      <w:r>
        <w:t>围绕</w:t>
      </w:r>
      <w:r>
        <w:rPr>
          <w:rFonts w:hint="eastAsia"/>
        </w:rPr>
        <w:t>“</w:t>
      </w:r>
      <w:r>
        <w:t>美丽丹巴、嘉绒名城</w:t>
      </w:r>
      <w:r>
        <w:rPr>
          <w:rFonts w:hint="eastAsia"/>
        </w:rPr>
        <w:t>”</w:t>
      </w:r>
      <w:r>
        <w:t>城市形象定位</w:t>
      </w:r>
      <w:r>
        <w:rPr>
          <w:rFonts w:hint="eastAsia"/>
        </w:rPr>
        <w:t>，按照以点串线、以线带面、组团发展的方式，先极化后均衡的发展模式，构建“</w:t>
      </w:r>
      <w:r>
        <w:t>一心、两区、三轴、五核</w:t>
      </w:r>
      <w:r>
        <w:rPr>
          <w:rFonts w:hint="eastAsia"/>
        </w:rPr>
        <w:t>、多点”的</w:t>
      </w:r>
      <w:r>
        <w:t>城镇空间结构</w:t>
      </w:r>
      <w:r>
        <w:rPr>
          <w:rFonts w:hint="eastAsia"/>
        </w:rPr>
        <w:t>，形成</w:t>
      </w:r>
      <w:r>
        <w:t>以城带乡、</w:t>
      </w:r>
      <w:r>
        <w:rPr>
          <w:rFonts w:hint="eastAsia"/>
        </w:rPr>
        <w:t>城乡</w:t>
      </w:r>
      <w:r>
        <w:t>互</w:t>
      </w:r>
      <w:r>
        <w:rPr>
          <w:rFonts w:hint="eastAsia"/>
        </w:rPr>
        <w:t>补</w:t>
      </w:r>
      <w:r>
        <w:t>、一体</w:t>
      </w:r>
      <w:r>
        <w:rPr>
          <w:rFonts w:hint="eastAsia"/>
        </w:rPr>
        <w:t>发展</w:t>
      </w:r>
      <w:r>
        <w:t>的</w:t>
      </w:r>
      <w:r>
        <w:rPr>
          <w:rFonts w:hint="eastAsia"/>
        </w:rPr>
        <w:t>新格局</w:t>
      </w:r>
      <w:r>
        <w:t>。</w:t>
      </w:r>
    </w:p>
    <w:p>
      <w:r>
        <w:rPr>
          <w:rFonts w:hint="eastAsia"/>
          <w:b/>
          <w:bCs/>
        </w:rPr>
        <w:t>“一心”：</w:t>
      </w:r>
      <w:r>
        <w:rPr>
          <w:rFonts w:hint="eastAsia"/>
        </w:rPr>
        <w:t>丹巴县城（章谷镇），丹巴县域经济发展中心。以嘉绒风情旅游城市为中心定位，提升嘉绒风情旅游城市发展能级，推动城市功能辐射周边，建设商贸中心、物流中心、旅游集散中心，建成围绕国道G350和S248线、两康高速公路构建县城政治、经济、文化、交通中心。</w:t>
      </w:r>
    </w:p>
    <w:p>
      <w:r>
        <w:rPr>
          <w:rFonts w:hint="eastAsia"/>
          <w:b/>
          <w:bCs/>
        </w:rPr>
        <w:t>“两区”：</w:t>
      </w:r>
      <w:r>
        <w:rPr>
          <w:rFonts w:hint="eastAsia"/>
        </w:rPr>
        <w:t>东西两个经济区，“西部高山半农半牧工矿自然风光旅游综合经济区”与“东部高山半农半牧嘉绒风情旅游综合经济区”。</w:t>
      </w:r>
    </w:p>
    <w:p>
      <w:r>
        <w:rPr>
          <w:rFonts w:hint="eastAsia"/>
          <w:b/>
          <w:bCs/>
        </w:rPr>
        <w:t>“三轴”：</w:t>
      </w:r>
      <w:r>
        <w:rPr>
          <w:rFonts w:hint="eastAsia"/>
        </w:rPr>
        <w:t>沿S</w:t>
      </w:r>
      <w:r>
        <w:t>217</w:t>
      </w:r>
      <w:r>
        <w:rPr>
          <w:rFonts w:hint="eastAsia"/>
        </w:rPr>
        <w:t>线和G</w:t>
      </w:r>
      <w:r>
        <w:t>350</w:t>
      </w:r>
      <w:r>
        <w:rPr>
          <w:rFonts w:hint="eastAsia"/>
        </w:rPr>
        <w:t>线形成两条一级经济发展轴线，沿道丹公路（道孚-丹巴）形成二级经济发展轴线。</w:t>
      </w:r>
    </w:p>
    <w:p>
      <w:r>
        <w:rPr>
          <w:rFonts w:hint="eastAsia"/>
          <w:b/>
          <w:bCs/>
        </w:rPr>
        <w:t>“五极”：</w:t>
      </w:r>
      <w:r>
        <w:rPr>
          <w:rFonts w:hint="eastAsia"/>
        </w:rPr>
        <w:t>指包括巴底镇、东谷镇、格宗镇、革什扎镇、</w:t>
      </w:r>
      <w:r>
        <w:t>墨尔多山</w:t>
      </w:r>
      <w:r>
        <w:rPr>
          <w:rFonts w:hint="eastAsia"/>
        </w:rPr>
        <w:t>镇在内的县域五个经济极核。</w:t>
      </w:r>
    </w:p>
    <w:p>
      <w:r>
        <w:rPr>
          <w:rFonts w:hint="eastAsia"/>
          <w:b/>
          <w:bCs/>
        </w:rPr>
        <w:t>“多点”：</w:t>
      </w:r>
      <w:r>
        <w:rPr>
          <w:rFonts w:hint="eastAsia"/>
        </w:rPr>
        <w:t>指各城镇以丹巴县城（章谷镇）为中心，以大渡河、小金川河、大金川河、革什扎河、东谷河为城镇发展轴，呈点状放射分布。</w:t>
      </w:r>
    </w:p>
    <w:p>
      <w:pPr>
        <w:pStyle w:val="2"/>
        <w:jc w:val="center"/>
        <w:rPr>
          <w:rFonts w:ascii="黑体" w:eastAsia="黑体"/>
          <w:sz w:val="24"/>
          <w:szCs w:val="24"/>
        </w:rPr>
      </w:pPr>
      <w:r>
        <w:drawing>
          <wp:anchor distT="0" distB="0" distL="114300" distR="114300" simplePos="0" relativeHeight="1024" behindDoc="1" locked="0" layoutInCell="1" allowOverlap="1">
            <wp:simplePos x="0" y="0"/>
            <wp:positionH relativeFrom="column">
              <wp:posOffset>309245</wp:posOffset>
            </wp:positionH>
            <wp:positionV relativeFrom="paragraph">
              <wp:posOffset>-147320</wp:posOffset>
            </wp:positionV>
            <wp:extent cx="5219700" cy="7501890"/>
            <wp:effectExtent l="0" t="0" r="0" b="0"/>
            <wp:wrapTopAndBottom/>
            <wp:docPr id="7"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true"/>
                    </pic:cNvPicPr>
                  </pic:nvPicPr>
                  <pic:blipFill>
                    <a:blip r:embed="rId10"/>
                    <a:srcRect l="12785" t="7472" r="7499" b="11558"/>
                    <a:stretch>
                      <a:fillRect/>
                    </a:stretch>
                  </pic:blipFill>
                  <pic:spPr>
                    <a:xfrm>
                      <a:off x="0" y="0"/>
                      <a:ext cx="5219700" cy="7501890"/>
                    </a:xfrm>
                    <a:prstGeom prst="rect">
                      <a:avLst/>
                    </a:prstGeom>
                    <a:noFill/>
                    <a:ln w="9525" cap="flat" cmpd="sng">
                      <a:noFill/>
                      <a:prstDash val="solid"/>
                      <a:round/>
                    </a:ln>
                  </pic:spPr>
                </pic:pic>
              </a:graphicData>
            </a:graphic>
          </wp:anchor>
        </w:drawing>
      </w:r>
      <w:r>
        <w:rPr>
          <w:rFonts w:hint="eastAsia" w:ascii="黑体" w:eastAsia="黑体"/>
          <w:sz w:val="24"/>
          <w:szCs w:val="24"/>
        </w:rPr>
        <w:t>城镇空间结构图1</w:t>
      </w:r>
    </w:p>
    <w:p>
      <w:r>
        <w:rPr>
          <w:rFonts w:hint="eastAsia"/>
        </w:rPr>
        <w:t>二、完善城镇体系</w:t>
      </w:r>
    </w:p>
    <w:p>
      <w:r>
        <w:rPr>
          <w:rFonts w:hint="eastAsia"/>
        </w:rPr>
        <w:t>依托全域旅游发展、城镇所处片区功能定位、自身未来发展机遇，配套相应要素，分梯度推进城镇建设，增强中心镇辐射带动作用，加大对特殊魅力旅游集镇、交通节点商贸强镇、水电制造工业重镇建管力度。建设宜居、宜商、宜业城镇，构建以丹巴县城（章谷中心镇）为核心，巴底城镇等重点示范镇为支撑，辐射带动其他一般镇发展，形成布局合理、形态适宜、层级清晰、功能完善的新型城镇体系。推动绿色城镇建设，开展绿色建筑行动，分类推进既有建筑节能改造。合理扩大建制镇规模，推进有条件的乡建镇。</w:t>
      </w:r>
    </w:p>
    <w:p>
      <w:pPr>
        <w:jc w:val="center"/>
        <w:rPr>
          <w:sz w:val="24"/>
          <w:szCs w:val="24"/>
          <w:u w:color="000000"/>
        </w:rPr>
      </w:pPr>
      <w:r>
        <w:rPr>
          <w:rFonts w:hint="eastAsia"/>
          <w:sz w:val="24"/>
          <w:szCs w:val="24"/>
          <w:u w:color="000000"/>
        </w:rPr>
        <w:t>表</w:t>
      </w:r>
      <w:r>
        <w:rPr>
          <w:sz w:val="24"/>
          <w:szCs w:val="24"/>
          <w:u w:color="000000"/>
        </w:rPr>
        <w:t>2</w:t>
      </w:r>
      <w:r>
        <w:rPr>
          <w:rFonts w:hint="eastAsia"/>
          <w:sz w:val="24"/>
          <w:szCs w:val="24"/>
          <w:u w:color="000000"/>
        </w:rPr>
        <w:t>丹巴县城镇体系一览表</w:t>
      </w:r>
    </w:p>
    <w:tbl>
      <w:tblPr>
        <w:tblStyle w:val="23"/>
        <w:tblW w:w="9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0"/>
        <w:gridCol w:w="1559"/>
        <w:gridCol w:w="992"/>
        <w:gridCol w:w="3544"/>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60" w:type="dxa"/>
            <w:vMerge w:val="restart"/>
            <w:tcBorders>
              <w:top w:val="single" w:color="auto" w:sz="8" w:space="0"/>
              <w:left w:val="single" w:color="auto" w:sz="8" w:space="0"/>
              <w:bottom w:val="single" w:color="000000" w:sz="8" w:space="0"/>
              <w:right w:val="single" w:color="auto" w:sz="8" w:space="0"/>
            </w:tcBorders>
            <w:vAlign w:val="center"/>
          </w:tcPr>
          <w:p>
            <w:pPr>
              <w:ind w:firstLine="0" w:firstLineChars="0"/>
              <w:jc w:val="center"/>
              <w:rPr>
                <w:sz w:val="24"/>
                <w:szCs w:val="24"/>
                <w:u w:color="000000"/>
              </w:rPr>
            </w:pPr>
            <w:r>
              <w:rPr>
                <w:rFonts w:hint="eastAsia"/>
                <w:sz w:val="24"/>
                <w:szCs w:val="24"/>
                <w:u w:color="000000"/>
              </w:rPr>
              <w:t>等级</w:t>
            </w:r>
          </w:p>
        </w:tc>
        <w:tc>
          <w:tcPr>
            <w:tcW w:w="1559" w:type="dxa"/>
            <w:vMerge w:val="restart"/>
            <w:tcBorders>
              <w:top w:val="single" w:color="auto" w:sz="8" w:space="0"/>
              <w:left w:val="single" w:color="auto" w:sz="8" w:space="0"/>
              <w:bottom w:val="single" w:color="000000" w:sz="8" w:space="0"/>
              <w:right w:val="single" w:color="auto" w:sz="8" w:space="0"/>
            </w:tcBorders>
            <w:vAlign w:val="center"/>
          </w:tcPr>
          <w:p>
            <w:pPr>
              <w:ind w:firstLine="0" w:firstLineChars="0"/>
              <w:jc w:val="left"/>
              <w:rPr>
                <w:sz w:val="24"/>
                <w:szCs w:val="24"/>
                <w:u w:color="000000"/>
              </w:rPr>
            </w:pPr>
            <w:r>
              <w:rPr>
                <w:rFonts w:hint="eastAsia"/>
                <w:sz w:val="24"/>
                <w:szCs w:val="24"/>
                <w:u w:color="000000"/>
              </w:rPr>
              <w:t>镇（乡）名称</w:t>
            </w:r>
          </w:p>
        </w:tc>
        <w:tc>
          <w:tcPr>
            <w:tcW w:w="992" w:type="dxa"/>
            <w:vMerge w:val="restart"/>
            <w:tcBorders>
              <w:top w:val="single" w:color="auto" w:sz="8" w:space="0"/>
              <w:left w:val="single" w:color="auto" w:sz="8" w:space="0"/>
              <w:bottom w:val="single" w:color="000000" w:sz="8" w:space="0"/>
              <w:right w:val="single" w:color="auto" w:sz="8" w:space="0"/>
            </w:tcBorders>
            <w:vAlign w:val="center"/>
          </w:tcPr>
          <w:p>
            <w:pPr>
              <w:ind w:firstLine="0" w:firstLineChars="0"/>
              <w:jc w:val="left"/>
              <w:rPr>
                <w:sz w:val="24"/>
                <w:szCs w:val="24"/>
                <w:u w:color="000000"/>
              </w:rPr>
            </w:pPr>
            <w:r>
              <w:rPr>
                <w:rFonts w:hint="eastAsia"/>
                <w:sz w:val="24"/>
                <w:szCs w:val="24"/>
                <w:u w:color="000000"/>
              </w:rPr>
              <w:t>常住人口规模（人）</w:t>
            </w:r>
          </w:p>
        </w:tc>
        <w:tc>
          <w:tcPr>
            <w:tcW w:w="3544" w:type="dxa"/>
            <w:vMerge w:val="restart"/>
            <w:tcBorders>
              <w:top w:val="single" w:color="auto" w:sz="8" w:space="0"/>
              <w:left w:val="single" w:color="auto" w:sz="8" w:space="0"/>
              <w:right w:val="single" w:color="auto" w:sz="4" w:space="0"/>
            </w:tcBorders>
            <w:vAlign w:val="center"/>
          </w:tcPr>
          <w:p>
            <w:pPr>
              <w:ind w:firstLine="0" w:firstLineChars="0"/>
              <w:jc w:val="center"/>
              <w:rPr>
                <w:sz w:val="24"/>
                <w:szCs w:val="24"/>
                <w:u w:color="000000"/>
              </w:rPr>
            </w:pPr>
            <w:r>
              <w:rPr>
                <w:rFonts w:hint="eastAsia"/>
                <w:sz w:val="24"/>
                <w:szCs w:val="24"/>
                <w:u w:color="000000"/>
              </w:rPr>
              <w:t>城镇性质与职能</w:t>
            </w:r>
          </w:p>
        </w:tc>
        <w:tc>
          <w:tcPr>
            <w:tcW w:w="2150" w:type="dxa"/>
            <w:vMerge w:val="restart"/>
            <w:tcBorders>
              <w:top w:val="single" w:color="auto" w:sz="8" w:space="0"/>
              <w:left w:val="single" w:color="auto" w:sz="4" w:space="0"/>
              <w:right w:val="single" w:color="auto" w:sz="4" w:space="0"/>
            </w:tcBorders>
            <w:vAlign w:val="center"/>
          </w:tcPr>
          <w:p>
            <w:pPr>
              <w:ind w:firstLine="0" w:firstLineChars="0"/>
              <w:jc w:val="center"/>
              <w:rPr>
                <w:sz w:val="24"/>
                <w:szCs w:val="24"/>
                <w:u w:color="000000"/>
              </w:rPr>
            </w:pPr>
            <w:r>
              <w:rPr>
                <w:rFonts w:hint="eastAsia"/>
                <w:sz w:val="24"/>
                <w:szCs w:val="24"/>
                <w:u w:color="000000"/>
              </w:rPr>
              <w:t>发展方向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60" w:type="dxa"/>
            <w:vMerge w:val="continue"/>
            <w:tcBorders>
              <w:top w:val="single" w:color="auto" w:sz="8" w:space="0"/>
              <w:left w:val="single" w:color="auto" w:sz="8" w:space="0"/>
              <w:bottom w:val="single" w:color="000000" w:sz="8" w:space="0"/>
              <w:right w:val="single" w:color="auto" w:sz="8" w:space="0"/>
            </w:tcBorders>
            <w:vAlign w:val="center"/>
          </w:tc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tc>
        <w:tc>
          <w:tcPr>
            <w:tcW w:w="3544" w:type="dxa"/>
            <w:vMerge w:val="continue"/>
            <w:tcBorders>
              <w:left w:val="single" w:color="auto" w:sz="8" w:space="0"/>
              <w:bottom w:val="single" w:color="000000" w:sz="8" w:space="0"/>
              <w:right w:val="single" w:color="auto" w:sz="4" w:space="0"/>
            </w:tcBorders>
            <w:vAlign w:val="center"/>
          </w:tcPr>
          <w:p/>
        </w:tc>
        <w:tc>
          <w:tcPr>
            <w:tcW w:w="2150" w:type="dxa"/>
            <w:vMerge w:val="continue"/>
            <w:tcBorders>
              <w:left w:val="single" w:color="auto" w:sz="4" w:space="0"/>
              <w:bottom w:val="single" w:color="000000" w:sz="8"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1560" w:type="dxa"/>
            <w:tcBorders>
              <w:top w:val="nil"/>
              <w:left w:val="single" w:color="auto" w:sz="8" w:space="0"/>
              <w:bottom w:val="single" w:color="auto" w:sz="4" w:space="0"/>
              <w:right w:val="single" w:color="auto" w:sz="8" w:space="0"/>
            </w:tcBorders>
            <w:vAlign w:val="center"/>
          </w:tcPr>
          <w:p>
            <w:pPr>
              <w:ind w:firstLine="0" w:firstLineChars="0"/>
              <w:jc w:val="left"/>
              <w:rPr>
                <w:sz w:val="24"/>
                <w:szCs w:val="24"/>
                <w:u w:color="000000"/>
              </w:rPr>
            </w:pPr>
            <w:r>
              <w:rPr>
                <w:rFonts w:hint="eastAsia"/>
                <w:sz w:val="24"/>
                <w:szCs w:val="24"/>
                <w:u w:color="000000"/>
              </w:rPr>
              <w:t>一级中心镇（县域中心城市）</w:t>
            </w:r>
          </w:p>
        </w:tc>
        <w:tc>
          <w:tcPr>
            <w:tcW w:w="1559" w:type="dxa"/>
            <w:tcBorders>
              <w:top w:val="nil"/>
              <w:left w:val="nil"/>
              <w:bottom w:val="single" w:color="auto" w:sz="4" w:space="0"/>
              <w:right w:val="single" w:color="auto" w:sz="8" w:space="0"/>
            </w:tcBorders>
            <w:vAlign w:val="center"/>
          </w:tcPr>
          <w:p>
            <w:pPr>
              <w:ind w:firstLine="0" w:firstLineChars="0"/>
              <w:jc w:val="left"/>
              <w:rPr>
                <w:sz w:val="24"/>
                <w:szCs w:val="24"/>
                <w:u w:color="000000"/>
              </w:rPr>
            </w:pPr>
            <w:r>
              <w:rPr>
                <w:rFonts w:hint="eastAsia"/>
                <w:sz w:val="24"/>
                <w:szCs w:val="24"/>
                <w:u w:color="000000"/>
              </w:rPr>
              <w:t>章谷镇</w:t>
            </w:r>
          </w:p>
        </w:tc>
        <w:tc>
          <w:tcPr>
            <w:tcW w:w="992" w:type="dxa"/>
            <w:tcBorders>
              <w:top w:val="nil"/>
              <w:left w:val="nil"/>
              <w:bottom w:val="single" w:color="auto" w:sz="4" w:space="0"/>
              <w:right w:val="single" w:color="auto" w:sz="8" w:space="0"/>
            </w:tcBorders>
            <w:vAlign w:val="center"/>
          </w:tcPr>
          <w:p>
            <w:pPr>
              <w:ind w:firstLine="0" w:firstLineChars="0"/>
              <w:jc w:val="left"/>
              <w:rPr>
                <w:sz w:val="24"/>
                <w:szCs w:val="24"/>
                <w:u w:color="000000"/>
              </w:rPr>
            </w:pPr>
            <w:r>
              <w:rPr>
                <w:sz w:val="24"/>
                <w:szCs w:val="24"/>
                <w:u w:color="000000"/>
              </w:rPr>
              <w:t>10200</w:t>
            </w:r>
          </w:p>
        </w:tc>
        <w:tc>
          <w:tcPr>
            <w:tcW w:w="3544" w:type="dxa"/>
            <w:tcBorders>
              <w:top w:val="nil"/>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县域政治、经济、文化、交通、金融和信息中心，嘉绒风情旅游城市。</w:t>
            </w:r>
          </w:p>
        </w:tc>
        <w:tc>
          <w:tcPr>
            <w:tcW w:w="2150" w:type="dxa"/>
            <w:tcBorders>
              <w:top w:val="nil"/>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打造丹巴县的旅游服务基地。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9" w:hRule="atLeast"/>
        </w:trPr>
        <w:tc>
          <w:tcPr>
            <w:tcW w:w="1560" w:type="dxa"/>
            <w:vMerge w:val="restart"/>
            <w:tcBorders>
              <w:top w:val="single" w:color="auto" w:sz="4" w:space="0"/>
              <w:left w:val="single" w:color="auto" w:sz="8" w:space="0"/>
              <w:right w:val="single" w:color="auto" w:sz="8" w:space="0"/>
            </w:tcBorders>
            <w:vAlign w:val="center"/>
          </w:tcPr>
          <w:p>
            <w:pPr>
              <w:ind w:firstLine="0" w:firstLineChars="0"/>
              <w:jc w:val="left"/>
              <w:rPr>
                <w:sz w:val="24"/>
                <w:szCs w:val="24"/>
                <w:u w:color="000000"/>
              </w:rPr>
            </w:pPr>
            <w:r>
              <w:rPr>
                <w:rFonts w:hint="eastAsia"/>
                <w:sz w:val="24"/>
                <w:szCs w:val="24"/>
                <w:u w:color="000000"/>
              </w:rPr>
              <w:t>二级重点镇（乡））</w:t>
            </w:r>
          </w:p>
        </w:tc>
        <w:tc>
          <w:tcPr>
            <w:tcW w:w="1559" w:type="dxa"/>
            <w:tcBorders>
              <w:top w:val="nil"/>
              <w:left w:val="nil"/>
              <w:bottom w:val="single" w:color="auto" w:sz="4" w:space="0"/>
              <w:right w:val="single" w:color="auto" w:sz="8" w:space="0"/>
            </w:tcBorders>
            <w:vAlign w:val="center"/>
          </w:tcPr>
          <w:p>
            <w:pPr>
              <w:ind w:firstLine="0" w:firstLineChars="0"/>
              <w:jc w:val="left"/>
              <w:rPr>
                <w:sz w:val="24"/>
                <w:szCs w:val="24"/>
                <w:u w:color="000000"/>
              </w:rPr>
            </w:pPr>
            <w:r>
              <w:rPr>
                <w:rFonts w:hint="eastAsia"/>
                <w:sz w:val="24"/>
                <w:szCs w:val="24"/>
                <w:u w:color="000000"/>
              </w:rPr>
              <w:t>巴底镇</w:t>
            </w:r>
          </w:p>
        </w:tc>
        <w:tc>
          <w:tcPr>
            <w:tcW w:w="992" w:type="dxa"/>
            <w:tcBorders>
              <w:top w:val="nil"/>
              <w:left w:val="nil"/>
              <w:bottom w:val="single" w:color="auto" w:sz="4" w:space="0"/>
              <w:right w:val="single" w:color="auto" w:sz="8" w:space="0"/>
            </w:tcBorders>
            <w:vAlign w:val="center"/>
          </w:tcPr>
          <w:p>
            <w:pPr>
              <w:ind w:firstLine="0" w:firstLineChars="0"/>
              <w:jc w:val="left"/>
              <w:rPr>
                <w:sz w:val="24"/>
                <w:szCs w:val="24"/>
                <w:u w:color="000000"/>
              </w:rPr>
            </w:pPr>
            <w:r>
              <w:rPr>
                <w:sz w:val="24"/>
                <w:szCs w:val="24"/>
                <w:u w:color="000000"/>
              </w:rPr>
              <w:t>150</w:t>
            </w:r>
          </w:p>
        </w:tc>
        <w:tc>
          <w:tcPr>
            <w:tcW w:w="3544" w:type="dxa"/>
            <w:tcBorders>
              <w:top w:val="nil"/>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县域东部片区中心镇之一，依托“美人谷”、“古东女国”，发展以旅游服务为主的旅游型城镇。</w:t>
            </w:r>
          </w:p>
        </w:tc>
        <w:tc>
          <w:tcPr>
            <w:tcW w:w="2150" w:type="dxa"/>
            <w:tcBorders>
              <w:top w:val="nil"/>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依托土司衙门景点，完善旅游配套设施，发展服务于旅游产品的生态精品农业。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560" w:type="dxa"/>
            <w:vMerge w:val="continue"/>
            <w:tcBorders>
              <w:top w:val="nil"/>
              <w:left w:val="single" w:color="auto" w:sz="8" w:space="0"/>
              <w:right w:val="single" w:color="auto" w:sz="8" w:space="0"/>
            </w:tcBorders>
            <w:vAlign w:val="center"/>
          </w:tcPr>
          <w:p/>
        </w:tc>
        <w:tc>
          <w:tcPr>
            <w:tcW w:w="1559" w:type="dxa"/>
            <w:tcBorders>
              <w:top w:val="nil"/>
              <w:left w:val="nil"/>
              <w:bottom w:val="single" w:color="auto" w:sz="4" w:space="0"/>
              <w:right w:val="single" w:color="auto" w:sz="8" w:space="0"/>
            </w:tcBorders>
            <w:vAlign w:val="center"/>
          </w:tcPr>
          <w:p>
            <w:pPr>
              <w:ind w:firstLine="0" w:firstLineChars="0"/>
              <w:jc w:val="left"/>
              <w:rPr>
                <w:sz w:val="24"/>
                <w:szCs w:val="24"/>
                <w:u w:color="000000"/>
              </w:rPr>
            </w:pPr>
            <w:r>
              <w:rPr>
                <w:rFonts w:hint="eastAsia"/>
                <w:sz w:val="24"/>
                <w:szCs w:val="24"/>
                <w:u w:color="000000"/>
              </w:rPr>
              <w:t>东谷镇</w:t>
            </w:r>
          </w:p>
        </w:tc>
        <w:tc>
          <w:tcPr>
            <w:tcW w:w="992" w:type="dxa"/>
            <w:tcBorders>
              <w:top w:val="nil"/>
              <w:left w:val="nil"/>
              <w:bottom w:val="single" w:color="auto" w:sz="4" w:space="0"/>
              <w:right w:val="single" w:color="auto" w:sz="8" w:space="0"/>
            </w:tcBorders>
            <w:vAlign w:val="center"/>
          </w:tcPr>
          <w:p>
            <w:pPr>
              <w:ind w:firstLine="0" w:firstLineChars="0"/>
              <w:jc w:val="left"/>
              <w:rPr>
                <w:sz w:val="24"/>
                <w:szCs w:val="24"/>
                <w:u w:color="000000"/>
              </w:rPr>
            </w:pPr>
            <w:r>
              <w:rPr>
                <w:sz w:val="24"/>
                <w:szCs w:val="24"/>
                <w:u w:color="000000"/>
              </w:rPr>
              <w:t>200</w:t>
            </w:r>
          </w:p>
        </w:tc>
        <w:tc>
          <w:tcPr>
            <w:tcW w:w="3544" w:type="dxa"/>
            <w:tcBorders>
              <w:top w:val="nil"/>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县域西部片区中心镇之一，以发展旅游服务为主的旅游型城镇。</w:t>
            </w:r>
          </w:p>
        </w:tc>
        <w:tc>
          <w:tcPr>
            <w:tcW w:w="2150" w:type="dxa"/>
            <w:tcBorders>
              <w:top w:val="nil"/>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开发众多优质旅游资源，以旅游发展为主导，农业业态补充。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560" w:type="dxa"/>
            <w:vMerge w:val="continue"/>
            <w:tcBorders>
              <w:left w:val="single" w:color="auto" w:sz="8" w:space="0"/>
              <w:bottom w:val="single" w:color="auto" w:sz="4" w:space="0"/>
              <w:right w:val="single" w:color="auto" w:sz="8" w:space="0"/>
            </w:tcBorders>
            <w:vAlign w:val="center"/>
          </w:tcPr>
          <w:p/>
        </w:tc>
        <w:tc>
          <w:tcPr>
            <w:tcW w:w="1559" w:type="dxa"/>
            <w:tcBorders>
              <w:top w:val="single" w:color="auto" w:sz="4" w:space="0"/>
              <w:left w:val="nil"/>
              <w:bottom w:val="single" w:color="auto" w:sz="4" w:space="0"/>
              <w:right w:val="single" w:color="auto" w:sz="8" w:space="0"/>
            </w:tcBorders>
            <w:vAlign w:val="center"/>
          </w:tcPr>
          <w:p>
            <w:pPr>
              <w:ind w:firstLine="0" w:firstLineChars="0"/>
              <w:jc w:val="left"/>
              <w:rPr>
                <w:sz w:val="24"/>
                <w:szCs w:val="24"/>
                <w:u w:color="000000"/>
              </w:rPr>
            </w:pPr>
            <w:r>
              <w:rPr>
                <w:rFonts w:hint="eastAsia"/>
                <w:sz w:val="24"/>
                <w:szCs w:val="24"/>
                <w:u w:color="000000"/>
              </w:rPr>
              <w:t>格宗镇</w:t>
            </w:r>
          </w:p>
        </w:tc>
        <w:tc>
          <w:tcPr>
            <w:tcW w:w="992" w:type="dxa"/>
            <w:tcBorders>
              <w:top w:val="single" w:color="auto" w:sz="4" w:space="0"/>
              <w:left w:val="nil"/>
              <w:bottom w:val="single" w:color="auto" w:sz="4" w:space="0"/>
              <w:right w:val="single" w:color="auto" w:sz="8" w:space="0"/>
            </w:tcBorders>
            <w:vAlign w:val="center"/>
          </w:tcPr>
          <w:p>
            <w:pPr>
              <w:ind w:firstLine="0" w:firstLineChars="0"/>
              <w:jc w:val="left"/>
              <w:rPr>
                <w:sz w:val="24"/>
                <w:szCs w:val="24"/>
                <w:u w:color="000000"/>
              </w:rPr>
            </w:pPr>
            <w:r>
              <w:rPr>
                <w:sz w:val="24"/>
                <w:szCs w:val="24"/>
                <w:u w:color="000000"/>
              </w:rPr>
              <w:t>250</w:t>
            </w:r>
          </w:p>
        </w:tc>
        <w:tc>
          <w:tcPr>
            <w:tcW w:w="3544" w:type="dxa"/>
            <w:tcBorders>
              <w:top w:val="single" w:color="auto" w:sz="4" w:space="0"/>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县域西部片区中心镇之一，以服务矿产资源开发为主的工贸型城镇。</w:t>
            </w:r>
          </w:p>
        </w:tc>
        <w:tc>
          <w:tcPr>
            <w:tcW w:w="2150" w:type="dxa"/>
            <w:tcBorders>
              <w:top w:val="single" w:color="auto" w:sz="4" w:space="0"/>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巩固发展花椒、中药材等优势产业，依托乡镇内丰富的矿产资源，切实加强资源开发与生态保护相结合。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60" w:type="dxa"/>
            <w:vMerge w:val="continue"/>
            <w:tcBorders>
              <w:left w:val="single" w:color="auto" w:sz="8" w:space="0"/>
              <w:bottom w:val="single" w:color="auto" w:sz="4" w:space="0"/>
              <w:right w:val="single" w:color="auto" w:sz="8" w:space="0"/>
            </w:tcBorders>
            <w:vAlign w:val="center"/>
          </w:tcPr>
          <w:p/>
        </w:tc>
        <w:tc>
          <w:tcPr>
            <w:tcW w:w="1559" w:type="dxa"/>
            <w:tcBorders>
              <w:top w:val="single" w:color="auto" w:sz="4" w:space="0"/>
              <w:left w:val="nil"/>
              <w:bottom w:val="single" w:color="auto" w:sz="4" w:space="0"/>
              <w:right w:val="single" w:color="auto" w:sz="8" w:space="0"/>
            </w:tcBorders>
            <w:vAlign w:val="center"/>
          </w:tcPr>
          <w:p>
            <w:pPr>
              <w:ind w:firstLine="0" w:firstLineChars="0"/>
              <w:jc w:val="left"/>
              <w:rPr>
                <w:sz w:val="24"/>
                <w:szCs w:val="24"/>
                <w:u w:color="000000"/>
              </w:rPr>
            </w:pPr>
            <w:r>
              <w:rPr>
                <w:rFonts w:hint="eastAsia"/>
                <w:sz w:val="24"/>
                <w:szCs w:val="24"/>
                <w:u w:color="000000"/>
              </w:rPr>
              <w:t>革什扎镇</w:t>
            </w:r>
          </w:p>
        </w:tc>
        <w:tc>
          <w:tcPr>
            <w:tcW w:w="992" w:type="dxa"/>
            <w:tcBorders>
              <w:top w:val="single" w:color="auto" w:sz="4" w:space="0"/>
              <w:left w:val="nil"/>
              <w:bottom w:val="single" w:color="auto" w:sz="4" w:space="0"/>
              <w:right w:val="single" w:color="auto" w:sz="8" w:space="0"/>
            </w:tcBorders>
            <w:vAlign w:val="center"/>
          </w:tcPr>
          <w:p>
            <w:pPr>
              <w:ind w:firstLine="0" w:firstLineChars="0"/>
              <w:jc w:val="left"/>
              <w:rPr>
                <w:sz w:val="24"/>
                <w:szCs w:val="24"/>
                <w:u w:color="000000"/>
              </w:rPr>
            </w:pPr>
            <w:r>
              <w:rPr>
                <w:sz w:val="24"/>
                <w:szCs w:val="24"/>
                <w:u w:color="000000"/>
              </w:rPr>
              <w:t>200</w:t>
            </w:r>
          </w:p>
        </w:tc>
        <w:tc>
          <w:tcPr>
            <w:tcW w:w="3544" w:type="dxa"/>
            <w:tcBorders>
              <w:top w:val="single" w:color="auto" w:sz="4" w:space="0"/>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县域西部片区中心镇之一，依托党岭旅游区，发展以旅游服务、农副产品加工为主的综合型城镇。</w:t>
            </w:r>
          </w:p>
        </w:tc>
        <w:tc>
          <w:tcPr>
            <w:tcW w:w="2150" w:type="dxa"/>
            <w:tcBorders>
              <w:top w:val="single" w:color="auto" w:sz="4" w:space="0"/>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与周边乡镇区域联动，大力发展旅游产品，重点发展主题酒店和民居接待。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560" w:type="dxa"/>
            <w:vMerge w:val="continue"/>
            <w:tcBorders>
              <w:left w:val="single" w:color="auto" w:sz="8" w:space="0"/>
              <w:bottom w:val="single" w:color="auto" w:sz="4" w:space="0"/>
              <w:right w:val="single" w:color="auto" w:sz="8" w:space="0"/>
            </w:tcBorders>
            <w:vAlign w:val="center"/>
          </w:tcPr>
          <w:p/>
        </w:tc>
        <w:tc>
          <w:tcPr>
            <w:tcW w:w="1559" w:type="dxa"/>
            <w:tcBorders>
              <w:top w:val="single" w:color="auto" w:sz="4" w:space="0"/>
              <w:left w:val="nil"/>
              <w:bottom w:val="single" w:color="auto" w:sz="4" w:space="0"/>
              <w:right w:val="single" w:color="auto" w:sz="8" w:space="0"/>
            </w:tcBorders>
            <w:vAlign w:val="center"/>
          </w:tcPr>
          <w:p>
            <w:pPr>
              <w:ind w:firstLine="0" w:firstLineChars="0"/>
              <w:jc w:val="left"/>
              <w:rPr>
                <w:sz w:val="24"/>
                <w:szCs w:val="24"/>
                <w:u w:color="000000"/>
              </w:rPr>
            </w:pPr>
            <w:r>
              <w:rPr>
                <w:rFonts w:hint="eastAsia"/>
                <w:sz w:val="24"/>
                <w:szCs w:val="24"/>
                <w:u w:color="000000"/>
              </w:rPr>
              <w:t>墨尔多山镇</w:t>
            </w:r>
          </w:p>
        </w:tc>
        <w:tc>
          <w:tcPr>
            <w:tcW w:w="992" w:type="dxa"/>
            <w:tcBorders>
              <w:top w:val="single" w:color="auto" w:sz="4" w:space="0"/>
              <w:left w:val="nil"/>
              <w:bottom w:val="single" w:color="auto" w:sz="4" w:space="0"/>
              <w:right w:val="single" w:color="auto" w:sz="8" w:space="0"/>
            </w:tcBorders>
            <w:vAlign w:val="center"/>
          </w:tcPr>
          <w:p>
            <w:pPr>
              <w:ind w:firstLine="0" w:firstLineChars="0"/>
              <w:jc w:val="left"/>
              <w:rPr>
                <w:sz w:val="24"/>
                <w:szCs w:val="24"/>
                <w:u w:color="000000"/>
              </w:rPr>
            </w:pPr>
            <w:r>
              <w:rPr>
                <w:sz w:val="24"/>
                <w:szCs w:val="24"/>
                <w:u w:color="000000"/>
              </w:rPr>
              <w:t>120</w:t>
            </w:r>
          </w:p>
        </w:tc>
        <w:tc>
          <w:tcPr>
            <w:tcW w:w="3544" w:type="dxa"/>
            <w:tcBorders>
              <w:top w:val="single" w:color="auto" w:sz="4" w:space="0"/>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县域东部片区中心镇之一，依托墨尔多山风景名胜区，发展以旅游服务、物资集散为主的综合型城镇。</w:t>
            </w:r>
          </w:p>
        </w:tc>
        <w:tc>
          <w:tcPr>
            <w:tcW w:w="2150" w:type="dxa"/>
            <w:tcBorders>
              <w:top w:val="single" w:color="auto" w:sz="4" w:space="0"/>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重点发展核桃、菌蔬等优势产业，以产业带动乡镇发展。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560" w:type="dxa"/>
            <w:vMerge w:val="continue"/>
            <w:tcBorders>
              <w:top w:val="single" w:color="auto" w:sz="4" w:space="0"/>
              <w:left w:val="single" w:color="auto" w:sz="8" w:space="0"/>
              <w:right w:val="single" w:color="auto" w:sz="8" w:space="0"/>
            </w:tcBorders>
            <w:vAlign w:val="center"/>
          </w:tcPr>
          <w:p/>
        </w:tc>
        <w:tc>
          <w:tcPr>
            <w:tcW w:w="1559" w:type="dxa"/>
            <w:tcBorders>
              <w:top w:val="single" w:color="auto" w:sz="4" w:space="0"/>
              <w:left w:val="nil"/>
              <w:bottom w:val="single" w:color="auto" w:sz="4" w:space="0"/>
              <w:right w:val="single" w:color="auto" w:sz="8" w:space="0"/>
            </w:tcBorders>
            <w:vAlign w:val="center"/>
          </w:tcPr>
          <w:p>
            <w:pPr>
              <w:ind w:firstLine="0" w:firstLineChars="0"/>
              <w:jc w:val="left"/>
              <w:rPr>
                <w:sz w:val="24"/>
                <w:szCs w:val="24"/>
                <w:u w:color="000000"/>
              </w:rPr>
            </w:pPr>
            <w:r>
              <w:rPr>
                <w:rFonts w:hint="eastAsia"/>
                <w:sz w:val="24"/>
                <w:szCs w:val="24"/>
                <w:u w:color="000000"/>
              </w:rPr>
              <w:t>甲居镇</w:t>
            </w:r>
          </w:p>
        </w:tc>
        <w:tc>
          <w:tcPr>
            <w:tcW w:w="992" w:type="dxa"/>
            <w:tcBorders>
              <w:top w:val="single" w:color="auto" w:sz="4" w:space="0"/>
              <w:left w:val="nil"/>
              <w:bottom w:val="single" w:color="auto" w:sz="4" w:space="0"/>
              <w:right w:val="single" w:color="auto" w:sz="8" w:space="0"/>
            </w:tcBorders>
            <w:vAlign w:val="center"/>
          </w:tcPr>
          <w:p>
            <w:pPr>
              <w:ind w:firstLine="0" w:firstLineChars="0"/>
              <w:jc w:val="left"/>
              <w:rPr>
                <w:sz w:val="24"/>
                <w:szCs w:val="24"/>
                <w:u w:color="000000"/>
              </w:rPr>
            </w:pPr>
            <w:r>
              <w:rPr>
                <w:sz w:val="24"/>
                <w:szCs w:val="24"/>
                <w:u w:color="000000"/>
              </w:rPr>
              <w:t>300</w:t>
            </w:r>
          </w:p>
        </w:tc>
        <w:tc>
          <w:tcPr>
            <w:tcW w:w="3544" w:type="dxa"/>
            <w:tcBorders>
              <w:top w:val="single" w:color="auto" w:sz="4" w:space="0"/>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依托甲居藏寨，发展以旅游服务为主的旅游型城镇。</w:t>
            </w:r>
          </w:p>
        </w:tc>
        <w:tc>
          <w:tcPr>
            <w:tcW w:w="2150" w:type="dxa"/>
            <w:tcBorders>
              <w:top w:val="single" w:color="auto" w:sz="4" w:space="0"/>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以乡村旅游为主，向周边旅游景点提供旅游配套服务，促进县域旅游一体化发展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560" w:type="dxa"/>
            <w:vMerge w:val="continue"/>
            <w:tcBorders>
              <w:top w:val="single" w:color="auto" w:sz="4" w:space="0"/>
              <w:left w:val="single" w:color="auto" w:sz="8" w:space="0"/>
              <w:right w:val="single" w:color="auto" w:sz="8" w:space="0"/>
            </w:tcBorders>
            <w:vAlign w:val="center"/>
          </w:tcPr>
          <w:p/>
        </w:tc>
        <w:tc>
          <w:tcPr>
            <w:tcW w:w="1559" w:type="dxa"/>
            <w:tcBorders>
              <w:top w:val="single" w:color="auto" w:sz="4" w:space="0"/>
              <w:left w:val="nil"/>
              <w:bottom w:val="single" w:color="auto" w:sz="4" w:space="0"/>
              <w:right w:val="single" w:color="auto" w:sz="8" w:space="0"/>
            </w:tcBorders>
            <w:vAlign w:val="center"/>
          </w:tcPr>
          <w:p>
            <w:pPr>
              <w:ind w:firstLine="0" w:firstLineChars="0"/>
              <w:jc w:val="left"/>
              <w:rPr>
                <w:sz w:val="24"/>
                <w:szCs w:val="24"/>
                <w:u w:color="000000"/>
              </w:rPr>
            </w:pPr>
            <w:r>
              <w:rPr>
                <w:rFonts w:hint="eastAsia"/>
                <w:sz w:val="24"/>
                <w:szCs w:val="24"/>
                <w:u w:color="000000"/>
              </w:rPr>
              <w:t>巴旺乡</w:t>
            </w:r>
          </w:p>
        </w:tc>
        <w:tc>
          <w:tcPr>
            <w:tcW w:w="992" w:type="dxa"/>
            <w:tcBorders>
              <w:top w:val="single" w:color="auto" w:sz="4" w:space="0"/>
              <w:left w:val="nil"/>
              <w:bottom w:val="single" w:color="auto" w:sz="4" w:space="0"/>
              <w:right w:val="single" w:color="auto" w:sz="8" w:space="0"/>
            </w:tcBorders>
            <w:vAlign w:val="center"/>
          </w:tcPr>
          <w:p>
            <w:pPr>
              <w:ind w:firstLine="0" w:firstLineChars="0"/>
              <w:jc w:val="left"/>
              <w:rPr>
                <w:sz w:val="24"/>
                <w:szCs w:val="24"/>
                <w:u w:color="000000"/>
              </w:rPr>
            </w:pPr>
            <w:r>
              <w:rPr>
                <w:sz w:val="24"/>
                <w:szCs w:val="24"/>
                <w:u w:color="000000"/>
              </w:rPr>
              <w:t>250</w:t>
            </w:r>
          </w:p>
        </w:tc>
        <w:tc>
          <w:tcPr>
            <w:tcW w:w="3544" w:type="dxa"/>
            <w:tcBorders>
              <w:top w:val="single" w:color="auto" w:sz="4" w:space="0"/>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服务于本行政区域的商贸型城镇。</w:t>
            </w:r>
          </w:p>
        </w:tc>
        <w:tc>
          <w:tcPr>
            <w:tcW w:w="2150" w:type="dxa"/>
            <w:tcBorders>
              <w:top w:val="single" w:color="auto" w:sz="4" w:space="0"/>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以集市贸易为主，为周边乡村提供工业产品以及为农业生产服务，带动周边乡村的发展。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560" w:type="dxa"/>
            <w:vMerge w:val="continue"/>
            <w:tcBorders>
              <w:top w:val="single" w:color="auto" w:sz="4" w:space="0"/>
              <w:left w:val="single" w:color="auto" w:sz="8" w:space="0"/>
              <w:right w:val="single" w:color="auto" w:sz="8" w:space="0"/>
            </w:tcBorders>
            <w:vAlign w:val="center"/>
          </w:tcPr>
          <w:p/>
        </w:tc>
        <w:tc>
          <w:tcPr>
            <w:tcW w:w="1559" w:type="dxa"/>
            <w:tcBorders>
              <w:top w:val="single" w:color="auto" w:sz="4" w:space="0"/>
              <w:left w:val="nil"/>
              <w:bottom w:val="single" w:color="auto" w:sz="4" w:space="0"/>
              <w:right w:val="single" w:color="auto" w:sz="8" w:space="0"/>
            </w:tcBorders>
            <w:vAlign w:val="center"/>
          </w:tcPr>
          <w:p>
            <w:pPr>
              <w:ind w:firstLine="0" w:firstLineChars="0"/>
              <w:jc w:val="left"/>
              <w:rPr>
                <w:sz w:val="24"/>
                <w:szCs w:val="24"/>
                <w:u w:color="000000"/>
              </w:rPr>
            </w:pPr>
            <w:r>
              <w:rPr>
                <w:rFonts w:hint="eastAsia"/>
                <w:sz w:val="24"/>
                <w:szCs w:val="24"/>
                <w:u w:color="000000"/>
              </w:rPr>
              <w:t>丹东镇</w:t>
            </w:r>
          </w:p>
        </w:tc>
        <w:tc>
          <w:tcPr>
            <w:tcW w:w="992" w:type="dxa"/>
            <w:tcBorders>
              <w:top w:val="single" w:color="auto" w:sz="4" w:space="0"/>
              <w:left w:val="nil"/>
              <w:bottom w:val="single" w:color="auto" w:sz="4" w:space="0"/>
              <w:right w:val="single" w:color="auto" w:sz="8" w:space="0"/>
            </w:tcBorders>
            <w:vAlign w:val="center"/>
          </w:tcPr>
          <w:p>
            <w:pPr>
              <w:ind w:firstLine="0" w:firstLineChars="0"/>
              <w:jc w:val="left"/>
              <w:rPr>
                <w:sz w:val="24"/>
                <w:szCs w:val="24"/>
                <w:u w:color="000000"/>
              </w:rPr>
            </w:pPr>
            <w:r>
              <w:rPr>
                <w:sz w:val="24"/>
                <w:szCs w:val="24"/>
                <w:u w:color="000000"/>
              </w:rPr>
              <w:t>150</w:t>
            </w:r>
          </w:p>
        </w:tc>
        <w:tc>
          <w:tcPr>
            <w:tcW w:w="3544" w:type="dxa"/>
            <w:tcBorders>
              <w:top w:val="single" w:color="auto" w:sz="4" w:space="0"/>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依托莫斯卡省级自然保护区，发展以旅游服务为主的旅游型城镇。</w:t>
            </w:r>
          </w:p>
        </w:tc>
        <w:tc>
          <w:tcPr>
            <w:tcW w:w="2150" w:type="dxa"/>
            <w:tcBorders>
              <w:top w:val="single" w:color="auto" w:sz="4" w:space="0"/>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以藏药生产和加工、集市贸易为主，并向周边旅游景点提供配套服务，带动周边乡村发展。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560" w:type="dxa"/>
            <w:vMerge w:val="continue"/>
            <w:tcBorders>
              <w:top w:val="single" w:color="auto" w:sz="4" w:space="0"/>
              <w:left w:val="single" w:color="auto" w:sz="8" w:space="0"/>
              <w:right w:val="single" w:color="auto" w:sz="8" w:space="0"/>
            </w:tcBorders>
            <w:vAlign w:val="center"/>
          </w:tcPr>
          <w:p/>
        </w:tc>
        <w:tc>
          <w:tcPr>
            <w:tcW w:w="1559" w:type="dxa"/>
            <w:tcBorders>
              <w:top w:val="single" w:color="auto" w:sz="4" w:space="0"/>
              <w:left w:val="nil"/>
              <w:bottom w:val="single" w:color="auto" w:sz="4" w:space="0"/>
              <w:right w:val="single" w:color="auto" w:sz="8" w:space="0"/>
            </w:tcBorders>
            <w:vAlign w:val="center"/>
          </w:tcPr>
          <w:p>
            <w:pPr>
              <w:ind w:firstLine="0" w:firstLineChars="0"/>
              <w:jc w:val="left"/>
              <w:rPr>
                <w:sz w:val="24"/>
                <w:szCs w:val="24"/>
                <w:u w:color="000000"/>
              </w:rPr>
            </w:pPr>
            <w:r>
              <w:rPr>
                <w:rFonts w:hint="eastAsia"/>
                <w:sz w:val="24"/>
                <w:szCs w:val="24"/>
                <w:u w:color="000000"/>
              </w:rPr>
              <w:t>梭坡乡</w:t>
            </w:r>
          </w:p>
        </w:tc>
        <w:tc>
          <w:tcPr>
            <w:tcW w:w="992" w:type="dxa"/>
            <w:tcBorders>
              <w:top w:val="single" w:color="auto" w:sz="4" w:space="0"/>
              <w:left w:val="nil"/>
              <w:bottom w:val="single" w:color="auto" w:sz="4" w:space="0"/>
              <w:right w:val="single" w:color="auto" w:sz="8" w:space="0"/>
            </w:tcBorders>
            <w:vAlign w:val="center"/>
          </w:tcPr>
          <w:p>
            <w:pPr>
              <w:ind w:firstLine="0" w:firstLineChars="0"/>
              <w:jc w:val="left"/>
              <w:rPr>
                <w:sz w:val="24"/>
                <w:szCs w:val="24"/>
                <w:u w:color="000000"/>
              </w:rPr>
            </w:pPr>
            <w:r>
              <w:rPr>
                <w:rFonts w:hint="eastAsia"/>
                <w:sz w:val="24"/>
                <w:szCs w:val="24"/>
                <w:u w:color="000000"/>
              </w:rPr>
              <w:t>3</w:t>
            </w:r>
            <w:r>
              <w:rPr>
                <w:sz w:val="24"/>
                <w:szCs w:val="24"/>
                <w:u w:color="000000"/>
              </w:rPr>
              <w:t>00</w:t>
            </w:r>
          </w:p>
        </w:tc>
        <w:tc>
          <w:tcPr>
            <w:tcW w:w="3544" w:type="dxa"/>
            <w:tcBorders>
              <w:top w:val="single" w:color="auto" w:sz="4" w:space="0"/>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依托中路—梭坡古碉，发展以旅游服务为主的旅游型城镇。</w:t>
            </w:r>
          </w:p>
        </w:tc>
        <w:tc>
          <w:tcPr>
            <w:tcW w:w="2150" w:type="dxa"/>
            <w:tcBorders>
              <w:top w:val="single" w:color="auto" w:sz="4" w:space="0"/>
              <w:left w:val="nil"/>
              <w:bottom w:val="single" w:color="auto" w:sz="4" w:space="0"/>
              <w:right w:val="single" w:color="auto" w:sz="4" w:space="0"/>
            </w:tcBorders>
            <w:vAlign w:val="center"/>
          </w:tcPr>
          <w:p>
            <w:pPr>
              <w:ind w:firstLine="0" w:firstLineChars="0"/>
              <w:jc w:val="left"/>
              <w:rPr>
                <w:sz w:val="24"/>
                <w:szCs w:val="24"/>
                <w:u w:color="000000"/>
              </w:rPr>
            </w:pPr>
            <w:r>
              <w:rPr>
                <w:rFonts w:hint="eastAsia"/>
                <w:sz w:val="24"/>
                <w:szCs w:val="24"/>
                <w:u w:color="000000"/>
              </w:rPr>
              <w:t>以乡村旅游为主，并向周边旅游景点提供旅游配套务，促进县域旅游一体化发展。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560" w:type="dxa"/>
            <w:vMerge w:val="continue"/>
            <w:tcBorders>
              <w:top w:val="single" w:color="auto" w:sz="4" w:space="0"/>
              <w:left w:val="single" w:color="auto" w:sz="8" w:space="0"/>
              <w:right w:val="single" w:color="auto" w:sz="8" w:space="0"/>
            </w:tcBorders>
            <w:vAlign w:val="center"/>
          </w:tcPr>
          <w:p/>
        </w:tc>
        <w:tc>
          <w:tcPr>
            <w:tcW w:w="1559" w:type="dxa"/>
            <w:tcBorders>
              <w:top w:val="single" w:color="auto" w:sz="4" w:space="0"/>
              <w:left w:val="nil"/>
              <w:bottom w:val="single" w:color="auto" w:sz="8" w:space="0"/>
              <w:right w:val="single" w:color="auto" w:sz="8" w:space="0"/>
            </w:tcBorders>
            <w:vAlign w:val="center"/>
          </w:tcPr>
          <w:p>
            <w:pPr>
              <w:ind w:firstLine="0" w:firstLineChars="0"/>
              <w:jc w:val="left"/>
              <w:rPr>
                <w:sz w:val="24"/>
                <w:szCs w:val="24"/>
                <w:u w:color="000000"/>
              </w:rPr>
            </w:pPr>
            <w:r>
              <w:rPr>
                <w:rFonts w:hint="eastAsia"/>
                <w:sz w:val="24"/>
                <w:szCs w:val="24"/>
                <w:u w:color="000000"/>
              </w:rPr>
              <w:t>半扇门镇</w:t>
            </w:r>
          </w:p>
        </w:tc>
        <w:tc>
          <w:tcPr>
            <w:tcW w:w="992" w:type="dxa"/>
            <w:tcBorders>
              <w:top w:val="single" w:color="auto" w:sz="4" w:space="0"/>
              <w:left w:val="nil"/>
              <w:bottom w:val="single" w:color="auto" w:sz="8" w:space="0"/>
              <w:right w:val="single" w:color="auto" w:sz="8" w:space="0"/>
            </w:tcBorders>
            <w:vAlign w:val="center"/>
          </w:tcPr>
          <w:p>
            <w:pPr>
              <w:ind w:firstLine="0" w:firstLineChars="0"/>
              <w:jc w:val="left"/>
              <w:rPr>
                <w:sz w:val="24"/>
                <w:szCs w:val="24"/>
                <w:u w:color="000000"/>
              </w:rPr>
            </w:pPr>
            <w:r>
              <w:rPr>
                <w:rFonts w:hint="eastAsia"/>
                <w:sz w:val="24"/>
                <w:szCs w:val="24"/>
                <w:u w:color="000000"/>
              </w:rPr>
              <w:t>1</w:t>
            </w:r>
            <w:r>
              <w:rPr>
                <w:sz w:val="24"/>
                <w:szCs w:val="24"/>
                <w:u w:color="000000"/>
              </w:rPr>
              <w:t>50</w:t>
            </w:r>
          </w:p>
        </w:tc>
        <w:tc>
          <w:tcPr>
            <w:tcW w:w="3544" w:type="dxa"/>
            <w:tcBorders>
              <w:top w:val="single" w:color="auto" w:sz="4" w:space="0"/>
              <w:left w:val="nil"/>
              <w:bottom w:val="single" w:color="auto" w:sz="8" w:space="0"/>
              <w:right w:val="single" w:color="auto" w:sz="4" w:space="0"/>
            </w:tcBorders>
            <w:vAlign w:val="center"/>
          </w:tcPr>
          <w:p>
            <w:pPr>
              <w:ind w:firstLine="0" w:firstLineChars="0"/>
              <w:jc w:val="left"/>
              <w:rPr>
                <w:sz w:val="24"/>
                <w:szCs w:val="24"/>
                <w:u w:color="000000"/>
              </w:rPr>
            </w:pPr>
            <w:r>
              <w:rPr>
                <w:rFonts w:hint="eastAsia"/>
                <w:sz w:val="24"/>
                <w:szCs w:val="24"/>
                <w:u w:color="000000"/>
              </w:rPr>
              <w:t>服务于本行政区域的商贸型城镇。</w:t>
            </w:r>
          </w:p>
        </w:tc>
        <w:tc>
          <w:tcPr>
            <w:tcW w:w="2150" w:type="dxa"/>
            <w:tcBorders>
              <w:top w:val="single" w:color="auto" w:sz="4" w:space="0"/>
              <w:left w:val="nil"/>
              <w:bottom w:val="single" w:color="auto" w:sz="8" w:space="0"/>
              <w:right w:val="single" w:color="auto" w:sz="4" w:space="0"/>
            </w:tcBorders>
            <w:vAlign w:val="center"/>
          </w:tcPr>
          <w:p>
            <w:pPr>
              <w:ind w:firstLine="0" w:firstLineChars="0"/>
              <w:jc w:val="left"/>
              <w:rPr>
                <w:sz w:val="24"/>
                <w:szCs w:val="24"/>
                <w:u w:color="000000"/>
              </w:rPr>
            </w:pPr>
            <w:r>
              <w:rPr>
                <w:rFonts w:hint="eastAsia"/>
                <w:sz w:val="24"/>
                <w:szCs w:val="24"/>
                <w:u w:color="000000"/>
              </w:rPr>
              <w:t>以集市贸易为主，并为周边乡村提供工业产品以及为农业生产服务，带动乡村发展。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60" w:type="dxa"/>
            <w:vMerge w:val="continue"/>
            <w:tcBorders>
              <w:top w:val="nil"/>
              <w:left w:val="single" w:color="auto" w:sz="8" w:space="0"/>
              <w:bottom w:val="single" w:color="000000" w:sz="8" w:space="0"/>
              <w:right w:val="single" w:color="auto" w:sz="8" w:space="0"/>
            </w:tcBorders>
            <w:vAlign w:val="center"/>
          </w:tcPr>
          <w:p/>
        </w:tc>
        <w:tc>
          <w:tcPr>
            <w:tcW w:w="1559" w:type="dxa"/>
            <w:tcBorders>
              <w:top w:val="nil"/>
              <w:left w:val="nil"/>
              <w:bottom w:val="single" w:color="auto" w:sz="8" w:space="0"/>
              <w:right w:val="single" w:color="auto" w:sz="8" w:space="0"/>
            </w:tcBorders>
            <w:vAlign w:val="center"/>
          </w:tcPr>
          <w:p>
            <w:pPr>
              <w:ind w:firstLine="0" w:firstLineChars="0"/>
              <w:jc w:val="left"/>
              <w:rPr>
                <w:sz w:val="24"/>
                <w:szCs w:val="24"/>
                <w:u w:color="000000"/>
              </w:rPr>
            </w:pPr>
            <w:r>
              <w:rPr>
                <w:rFonts w:hint="eastAsia"/>
                <w:sz w:val="24"/>
                <w:szCs w:val="24"/>
                <w:u w:color="000000"/>
              </w:rPr>
              <w:t>太平桥乡</w:t>
            </w:r>
          </w:p>
        </w:tc>
        <w:tc>
          <w:tcPr>
            <w:tcW w:w="992" w:type="dxa"/>
            <w:tcBorders>
              <w:top w:val="nil"/>
              <w:left w:val="nil"/>
              <w:bottom w:val="single" w:color="auto" w:sz="8" w:space="0"/>
              <w:right w:val="single" w:color="auto" w:sz="8" w:space="0"/>
            </w:tcBorders>
            <w:vAlign w:val="center"/>
          </w:tcPr>
          <w:p>
            <w:pPr>
              <w:ind w:firstLine="0" w:firstLineChars="0"/>
              <w:jc w:val="left"/>
              <w:rPr>
                <w:sz w:val="24"/>
                <w:szCs w:val="24"/>
                <w:u w:color="000000"/>
              </w:rPr>
            </w:pPr>
            <w:r>
              <w:rPr>
                <w:rFonts w:hint="eastAsia"/>
                <w:sz w:val="24"/>
                <w:szCs w:val="24"/>
                <w:u w:color="000000"/>
              </w:rPr>
              <w:t>2</w:t>
            </w:r>
            <w:r>
              <w:rPr>
                <w:sz w:val="24"/>
                <w:szCs w:val="24"/>
                <w:u w:color="000000"/>
              </w:rPr>
              <w:t>00</w:t>
            </w:r>
          </w:p>
        </w:tc>
        <w:tc>
          <w:tcPr>
            <w:tcW w:w="3544" w:type="dxa"/>
            <w:tcBorders>
              <w:top w:val="nil"/>
              <w:left w:val="nil"/>
              <w:bottom w:val="single" w:color="auto" w:sz="8" w:space="0"/>
              <w:right w:val="single" w:color="auto" w:sz="4" w:space="0"/>
            </w:tcBorders>
            <w:vAlign w:val="center"/>
          </w:tcPr>
          <w:p>
            <w:pPr>
              <w:ind w:firstLine="0" w:firstLineChars="0"/>
              <w:jc w:val="left"/>
              <w:rPr>
                <w:sz w:val="24"/>
                <w:szCs w:val="24"/>
                <w:u w:color="000000"/>
              </w:rPr>
            </w:pPr>
            <w:r>
              <w:rPr>
                <w:rFonts w:hint="eastAsia"/>
                <w:sz w:val="24"/>
                <w:szCs w:val="24"/>
                <w:u w:color="000000"/>
              </w:rPr>
              <w:t>服务于本行政区域的商贸型城镇。</w:t>
            </w:r>
          </w:p>
        </w:tc>
        <w:tc>
          <w:tcPr>
            <w:tcW w:w="2150" w:type="dxa"/>
            <w:tcBorders>
              <w:top w:val="nil"/>
              <w:left w:val="nil"/>
              <w:bottom w:val="single" w:color="auto" w:sz="8" w:space="0"/>
              <w:right w:val="single" w:color="auto" w:sz="4" w:space="0"/>
            </w:tcBorders>
            <w:vAlign w:val="center"/>
          </w:tcPr>
          <w:p>
            <w:pPr>
              <w:ind w:firstLine="0" w:firstLineChars="0"/>
              <w:jc w:val="left"/>
              <w:rPr>
                <w:sz w:val="24"/>
                <w:szCs w:val="24"/>
                <w:u w:color="000000"/>
              </w:rPr>
            </w:pPr>
            <w:r>
              <w:rPr>
                <w:rFonts w:hint="eastAsia"/>
                <w:sz w:val="24"/>
                <w:szCs w:val="24"/>
                <w:u w:color="000000"/>
              </w:rPr>
              <w:t>以集市贸易为主，并为周边乡村提供工业产品以及为农业生产服务，带动乡村发展。</w:t>
            </w:r>
          </w:p>
        </w:tc>
      </w:tr>
    </w:tbl>
    <w:p>
      <w:pPr>
        <w:pStyle w:val="7"/>
      </w:pPr>
      <w:bookmarkStart w:id="189" w:name="_Toc60172779"/>
      <w:bookmarkStart w:id="190" w:name="_Toc65597990"/>
      <w:r>
        <w:rPr>
          <w:rFonts w:hint="eastAsia"/>
        </w:rPr>
        <w:t>第二节 推进城镇建设</w:t>
      </w:r>
      <w:bookmarkEnd w:id="189"/>
      <w:bookmarkEnd w:id="190"/>
    </w:p>
    <w:p>
      <w:r>
        <w:rPr>
          <w:rFonts w:hint="eastAsia"/>
        </w:rPr>
        <w:t>一、打造特色小镇、风情小镇、森林小镇</w:t>
      </w:r>
    </w:p>
    <w:p>
      <w:r>
        <w:rPr>
          <w:rFonts w:hint="eastAsia"/>
        </w:rPr>
        <w:t>坚持“宜工则工、宜商则商、宜农则农、宜旅则旅”，引导乡镇走经济产业化、服务标准化、建设精品化和生活现代化的发展道路，以打造藏区特色风情乡镇为目标，建设一批商贸物流型、文化旅游型、农产品加工型乡镇。以建设梭坡“东女秘境”康养休闲示范区、美人谷·中路康养休闲和大甲居片区“最美乡村”康养休闲示范区为抓手，重点打造东方金字塔小镇、嘉绒美人谷小镇、大甲居藏寨小镇等一批风情小镇，进一步挖掘生态资源，积极打造东谷森林小镇、甲居森林小镇、革什扎森林小镇等一批森林小镇品牌。发展文化、休闲、赏景、体验、研学等特色民宿。完善特色小镇医院、学校、超市、福利院、公厕、仓储、加油服务区、垃圾收集处理点等设施建设，提升人口聚集、产业承载、公共服务等功能。传承地域文化，提升城镇品质，实施绿化、亮化、美化、净化、硬化工程。践行“绿水青山就是金山银山”的发展理念，切实加强指导，结合乡村振兴战略，巩固脱贫攻坚成果。</w:t>
      </w:r>
    </w:p>
    <w:p>
      <w:r>
        <w:rPr>
          <w:rFonts w:hint="eastAsia"/>
        </w:rPr>
        <w:t>二、增强重点乡镇综合承载能力</w:t>
      </w:r>
    </w:p>
    <w:p>
      <w:r>
        <w:rPr>
          <w:rFonts w:hint="eastAsia"/>
          <w:szCs w:val="28"/>
        </w:rPr>
        <w:t>充分发挥重点乡镇连接城乡的节点和纽带作用，增强城镇集聚、辐射功能，搭建多层次、宽领域、广覆盖的融合发展平台。</w:t>
      </w:r>
      <w:r>
        <w:rPr>
          <w:rFonts w:hint="eastAsia"/>
        </w:rPr>
        <w:t>按照“完善功能、彰显特色、提升品质”的思路，加快推进城镇改造建设，完善城镇综合服务功能，</w:t>
      </w:r>
      <w:r>
        <w:rPr>
          <w:rFonts w:hint="eastAsia"/>
          <w:szCs w:val="28"/>
        </w:rPr>
        <w:t>提升城镇完整配套能力和承载能力。</w:t>
      </w:r>
      <w:r>
        <w:rPr>
          <w:rFonts w:hint="eastAsia"/>
        </w:rPr>
        <w:t>完善商业综合体、运动场馆、停车场所、城市供暖、垃圾和污水处理、应急避难、旅游休闲等市政基础设施配套和公共绿地、生态绿廊、水系景观等生态设施建设，打造独具特色的城镇风貌。</w:t>
      </w:r>
      <w:r>
        <w:rPr>
          <w:rFonts w:hint="eastAsia"/>
          <w:szCs w:val="28"/>
        </w:rPr>
        <w:t>加快完善城镇教育、医疗、就业、文化、公交等公共服务设施，扩大公共服务规模、提高公共服务水平，增强产业集聚能力和农村人口吸纳能力，构建便捷“生活圈”、完善“服务圈”、繁荣“商业圈”和共享“旅游圈”。</w:t>
      </w:r>
    </w:p>
    <w:p>
      <w:r>
        <w:rPr>
          <w:rFonts w:hint="eastAsia"/>
        </w:rPr>
        <w:t>三、做强城镇产业支撑</w:t>
      </w:r>
    </w:p>
    <w:p>
      <w:r>
        <w:rPr>
          <w:rFonts w:hint="eastAsia"/>
        </w:rPr>
        <w:t>统筹城镇建设和产业发展，推动产业发展与城镇建设紧密结合、互动发展，发展壮大城镇经济，增强就业吸纳能力，提升城镇吸附能力。围绕旅游产业发展，重点培育商贸、餐饮民宿、民族手工艺等配套产业，促进农旅互动发展，形成以旅游产业为核心的城镇经济。推动优势产业与新型城镇化融合发展，依托骨干交通沿线规划建设产业集聚区，推动有条件的城镇发展特色资源加工，提高城镇产业集聚水平。以方便群众生产生活为重点，完善城乡商贸网点布局，加快发展便民店，完善农资服务体系。</w:t>
      </w:r>
    </w:p>
    <w:p>
      <w:r>
        <w:rPr>
          <w:rFonts w:hint="eastAsia"/>
        </w:rPr>
        <w:t>四、推进人口适度聚居</w:t>
      </w:r>
    </w:p>
    <w:p>
      <w:r>
        <w:rPr>
          <w:rFonts w:hint="eastAsia"/>
        </w:rPr>
        <w:t>稳步推进城乡居民户籍管理制度改革，鼓励和引导人口跨区域向城镇转移集中居住，逐步实现城镇基本公共服务覆盖全部常住人口。建立健全城乡统一的基本养老和基本医疗保险制度，保障进城（镇）人口随迁子女平等享有受教育权利，将在城镇稳定就业的农业转移人口纳入住房保障体系。加强本地人口职业技能培训，扶持具备条件的农民工到城镇创业就业。切实保障进城（镇）农牧民在农牧区的合法权益。</w:t>
      </w:r>
    </w:p>
    <w:p>
      <w:r>
        <w:rPr>
          <w:rFonts w:hint="eastAsia"/>
        </w:rPr>
        <w:t>五、提高城镇管理水平</w:t>
      </w:r>
    </w:p>
    <w:p>
      <w:r>
        <w:rPr>
          <w:rFonts w:hint="eastAsia"/>
        </w:rPr>
        <w:t>强化规划引领，按照“多规合一”理念和突出历史文化、自然风貌要求，科学编制城乡发展规划，完善规划管理机制，强化规划约束。健全城镇建设投融资机制，加大文化旅游、高原特色农牧业等领域招商引资力度，引导民间资本参与小城镇建设，形成政府引导推动、社会多方参与的开发建设新格局。完善城镇管理体制，建立城镇管理考核、监督、奖惩工作机制，积极探索环境卫生等领域城镇管理服务市场化，着力提升城镇管理效能。积极开展文明城市、卫生城市、民族团结示范城市、历史文化名城名镇等创建，提高居民文明素质。</w:t>
      </w:r>
    </w:p>
    <w:p>
      <w:pPr>
        <w:pStyle w:val="7"/>
      </w:pPr>
      <w:bookmarkStart w:id="191" w:name="_Toc60172780"/>
      <w:bookmarkStart w:id="192" w:name="_Toc65597991"/>
      <w:r>
        <w:rPr>
          <w:rFonts w:hint="eastAsia"/>
        </w:rPr>
        <w:t>第三节 推进城乡协调发展</w:t>
      </w:r>
      <w:bookmarkEnd w:id="191"/>
      <w:bookmarkEnd w:id="192"/>
    </w:p>
    <w:p>
      <w:r>
        <w:rPr>
          <w:rFonts w:hint="eastAsia"/>
        </w:rPr>
        <w:t>完善乡（镇）道路、供电、供水、通信、污水管网及垃圾处理等基础设施，加强公共服务配套，提升乡（镇）综合承载能力、吸附力、辐射力和带动力。更加关注边远乡（镇）发展，加大人才、资金、项目等支持力度，加强基础设施和公共服务配套。坚持沿河、半高山、高山协同发展，形成基础设施互联互通、公共服务互惠互利、产业优势互补、社会治理共建共治共享发展格局。</w:t>
      </w:r>
    </w:p>
    <w:p>
      <w:pPr>
        <w:pStyle w:val="2"/>
      </w:pPr>
    </w:p>
    <w:tbl>
      <w:tblPr>
        <w:tblStyle w:val="23"/>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290" w:type="dxa"/>
            <w:shd w:val="clear" w:color="auto" w:fill="BFBFBF"/>
            <w:vAlign w:val="center"/>
          </w:tcPr>
          <w:p>
            <w:pPr>
              <w:pStyle w:val="31"/>
            </w:pPr>
            <w:r>
              <w:rPr>
                <w:rFonts w:hint="eastAsia"/>
              </w:rPr>
              <w:t>专栏20  城镇建设项目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vAlign w:val="center"/>
          </w:tcPr>
          <w:p>
            <w:pPr>
              <w:ind w:left="482" w:firstLine="0" w:firstLineChars="0"/>
              <w:rPr>
                <w:sz w:val="24"/>
                <w:szCs w:val="24"/>
              </w:rPr>
            </w:pPr>
            <w:r>
              <w:rPr>
                <w:rFonts w:hint="eastAsia"/>
                <w:sz w:val="24"/>
                <w:szCs w:val="24"/>
              </w:rPr>
              <w:t>1.城镇生活垃圾无害化处理和污水处理工程；</w:t>
            </w:r>
          </w:p>
          <w:p>
            <w:pPr>
              <w:ind w:left="482" w:firstLine="0" w:firstLineChars="0"/>
              <w:rPr>
                <w:sz w:val="24"/>
                <w:szCs w:val="24"/>
              </w:rPr>
            </w:pPr>
            <w:r>
              <w:rPr>
                <w:rFonts w:hint="eastAsia"/>
                <w:sz w:val="24"/>
                <w:szCs w:val="24"/>
              </w:rPr>
              <w:t>2.丹巴县双拥路延伸工程；</w:t>
            </w:r>
          </w:p>
          <w:p>
            <w:pPr>
              <w:ind w:left="482" w:firstLine="0" w:firstLineChars="0"/>
              <w:rPr>
                <w:sz w:val="24"/>
                <w:szCs w:val="24"/>
              </w:rPr>
            </w:pPr>
            <w:r>
              <w:rPr>
                <w:rFonts w:hint="eastAsia"/>
                <w:sz w:val="24"/>
                <w:szCs w:val="24"/>
              </w:rPr>
              <w:t>3.丹巴县三岔河北路滨河道路工程；</w:t>
            </w:r>
          </w:p>
          <w:p>
            <w:pPr>
              <w:ind w:left="482" w:firstLine="0" w:firstLineChars="0"/>
              <w:rPr>
                <w:sz w:val="24"/>
                <w:szCs w:val="24"/>
              </w:rPr>
            </w:pPr>
            <w:r>
              <w:rPr>
                <w:rFonts w:hint="eastAsia"/>
                <w:sz w:val="24"/>
                <w:szCs w:val="24"/>
              </w:rPr>
              <w:t>4.丹巴县章谷镇市政基础设施建设项目；</w:t>
            </w:r>
          </w:p>
          <w:p>
            <w:pPr>
              <w:ind w:left="482" w:firstLine="0" w:firstLineChars="0"/>
              <w:rPr>
                <w:sz w:val="24"/>
                <w:szCs w:val="24"/>
              </w:rPr>
            </w:pPr>
            <w:r>
              <w:rPr>
                <w:rFonts w:hint="eastAsia"/>
                <w:sz w:val="24"/>
                <w:szCs w:val="24"/>
              </w:rPr>
              <w:t>5.丹巴县章谷镇三岔河道路改扩建工程；</w:t>
            </w:r>
          </w:p>
          <w:p>
            <w:pPr>
              <w:ind w:left="482" w:firstLine="0" w:firstLineChars="0"/>
              <w:rPr>
                <w:sz w:val="24"/>
                <w:szCs w:val="24"/>
              </w:rPr>
            </w:pPr>
            <w:r>
              <w:rPr>
                <w:rFonts w:hint="eastAsia"/>
                <w:sz w:val="24"/>
                <w:szCs w:val="24"/>
              </w:rPr>
              <w:t>6.丹巴县半扇门镇安置区市政道路；</w:t>
            </w:r>
          </w:p>
          <w:p>
            <w:pPr>
              <w:ind w:left="482" w:firstLine="0" w:firstLineChars="0"/>
              <w:rPr>
                <w:sz w:val="24"/>
                <w:szCs w:val="24"/>
              </w:rPr>
            </w:pPr>
            <w:r>
              <w:rPr>
                <w:rFonts w:hint="eastAsia"/>
                <w:sz w:val="24"/>
                <w:szCs w:val="24"/>
              </w:rPr>
              <w:t>7.丹巴县墨尔多山镇安置区市政道路；</w:t>
            </w:r>
          </w:p>
          <w:p>
            <w:pPr>
              <w:ind w:left="482" w:firstLine="0" w:firstLineChars="0"/>
              <w:rPr>
                <w:sz w:val="24"/>
                <w:szCs w:val="24"/>
              </w:rPr>
            </w:pPr>
            <w:r>
              <w:rPr>
                <w:rFonts w:hint="eastAsia"/>
                <w:sz w:val="24"/>
                <w:szCs w:val="24"/>
              </w:rPr>
              <w:t>8.丹巴县半扇门镇关州桥建设项目；</w:t>
            </w:r>
          </w:p>
          <w:p>
            <w:pPr>
              <w:ind w:left="482" w:firstLine="0" w:firstLineChars="0"/>
              <w:rPr>
                <w:sz w:val="24"/>
                <w:szCs w:val="24"/>
              </w:rPr>
            </w:pPr>
            <w:r>
              <w:rPr>
                <w:rFonts w:hint="eastAsia"/>
                <w:sz w:val="24"/>
                <w:szCs w:val="24"/>
              </w:rPr>
              <w:t>9.丹巴县房地产建设项目（丹巴县嘉云府、丹巴县上观府邸、丹巴澜峰小区等商业、住宅及其他设施建设）。</w:t>
            </w:r>
          </w:p>
          <w:p>
            <w:pPr>
              <w:rPr>
                <w:rFonts w:ascii="宋体" w:eastAsia="宋体"/>
              </w:rPr>
            </w:pPr>
          </w:p>
        </w:tc>
      </w:tr>
    </w:tbl>
    <w:p>
      <w:pPr>
        <w:pStyle w:val="3"/>
        <w:rPr>
          <w:color w:val="auto"/>
        </w:rPr>
      </w:pPr>
    </w:p>
    <w:p/>
    <w:tbl>
      <w:tblPr>
        <w:tblStyle w:val="23"/>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290" w:type="dxa"/>
            <w:shd w:val="clear" w:color="auto" w:fill="BFBFBF"/>
            <w:vAlign w:val="center"/>
          </w:tcPr>
          <w:p>
            <w:pPr>
              <w:pStyle w:val="31"/>
            </w:pPr>
            <w:r>
              <w:rPr>
                <w:rFonts w:hint="eastAsia"/>
              </w:rPr>
              <w:t>专栏21  美丽宜居乡村建设项目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vAlign w:val="center"/>
          </w:tcPr>
          <w:p>
            <w:pPr>
              <w:ind w:left="482" w:firstLine="0" w:firstLineChars="0"/>
              <w:rPr>
                <w:sz w:val="24"/>
                <w:szCs w:val="24"/>
              </w:rPr>
            </w:pPr>
            <w:r>
              <w:rPr>
                <w:rFonts w:hint="eastAsia"/>
                <w:sz w:val="24"/>
                <w:szCs w:val="24"/>
              </w:rPr>
              <w:t>1.丹巴县天然林资源保护工程。</w:t>
            </w:r>
          </w:p>
          <w:p>
            <w:pPr>
              <w:ind w:left="482" w:firstLine="0" w:firstLineChars="0"/>
              <w:rPr>
                <w:sz w:val="24"/>
                <w:szCs w:val="24"/>
              </w:rPr>
            </w:pPr>
            <w:r>
              <w:rPr>
                <w:rFonts w:hint="eastAsia"/>
                <w:sz w:val="24"/>
                <w:szCs w:val="24"/>
              </w:rPr>
              <w:t>2.丹巴县饮用水源地保护工程。</w:t>
            </w:r>
          </w:p>
          <w:p>
            <w:pPr>
              <w:ind w:left="482" w:firstLine="0" w:firstLineChars="0"/>
              <w:rPr>
                <w:sz w:val="24"/>
                <w:szCs w:val="24"/>
              </w:rPr>
            </w:pPr>
            <w:r>
              <w:rPr>
                <w:rFonts w:hint="eastAsia"/>
                <w:sz w:val="24"/>
                <w:szCs w:val="24"/>
              </w:rPr>
              <w:t>3.丹巴县地质灾害防治工程。</w:t>
            </w:r>
          </w:p>
          <w:p>
            <w:pPr>
              <w:ind w:left="482" w:firstLine="0" w:firstLineChars="0"/>
              <w:rPr>
                <w:sz w:val="24"/>
                <w:szCs w:val="24"/>
              </w:rPr>
            </w:pPr>
            <w:r>
              <w:rPr>
                <w:rFonts w:hint="eastAsia"/>
                <w:sz w:val="24"/>
                <w:szCs w:val="24"/>
              </w:rPr>
              <w:t>4.丹巴县乡村旅游富民工程。</w:t>
            </w:r>
          </w:p>
          <w:p>
            <w:pPr>
              <w:ind w:left="482" w:firstLine="0" w:firstLineChars="0"/>
              <w:rPr>
                <w:sz w:val="24"/>
                <w:szCs w:val="24"/>
              </w:rPr>
            </w:pPr>
            <w:r>
              <w:rPr>
                <w:rFonts w:hint="eastAsia"/>
                <w:sz w:val="24"/>
                <w:szCs w:val="24"/>
              </w:rPr>
              <w:t>5.丹巴县村容村貌提升工程。</w:t>
            </w:r>
          </w:p>
          <w:p>
            <w:pPr>
              <w:ind w:left="482" w:firstLine="0" w:firstLineChars="0"/>
            </w:pPr>
            <w:r>
              <w:rPr>
                <w:rFonts w:hint="eastAsia"/>
                <w:sz w:val="24"/>
                <w:szCs w:val="24"/>
              </w:rPr>
              <w:t>6.丹巴县城乡公共服务一体化工程。</w:t>
            </w:r>
          </w:p>
        </w:tc>
      </w:tr>
    </w:tbl>
    <w:p>
      <w:r>
        <w:rPr>
          <w:rFonts w:hint="eastAsia"/>
        </w:rPr>
        <w:br w:type="page"/>
      </w:r>
    </w:p>
    <w:bookmarkEnd w:id="104"/>
    <w:p>
      <w:pPr>
        <w:pStyle w:val="4"/>
      </w:pPr>
      <w:bookmarkStart w:id="193" w:name="_Toc12702"/>
      <w:bookmarkStart w:id="194" w:name="_Toc65597992"/>
      <w:r>
        <w:rPr>
          <w:rFonts w:hint="eastAsia"/>
        </w:rPr>
        <w:t xml:space="preserve">第七篇 </w:t>
      </w:r>
      <w:bookmarkEnd w:id="193"/>
      <w:r>
        <w:rPr>
          <w:rFonts w:hint="eastAsia"/>
        </w:rPr>
        <w:t>完善社会保障体系，提高民生福祉水平</w:t>
      </w:r>
      <w:bookmarkEnd w:id="194"/>
    </w:p>
    <w:p>
      <w:r>
        <w:rPr>
          <w:rFonts w:hint="eastAsia"/>
        </w:rPr>
        <w:t>坚持以人为本，以保障人民更加充分共享发展成果为根本目标，全面提升公共服务质量和社会保障能力，切实保障各族群众最关心、最直接、最现实的利益，增进全体人民获得感幸福感安全感。</w:t>
      </w:r>
    </w:p>
    <w:p>
      <w:pPr>
        <w:pStyle w:val="6"/>
        <w:numPr>
          <w:ilvl w:val="0"/>
          <w:numId w:val="1"/>
        </w:numPr>
        <w:ind w:firstLineChars="0"/>
      </w:pPr>
      <w:bookmarkStart w:id="195" w:name="_Toc21400"/>
      <w:bookmarkStart w:id="196" w:name="_Toc65597993"/>
      <w:r>
        <w:rPr>
          <w:rFonts w:hint="eastAsia"/>
        </w:rPr>
        <w:t>推动更高质量更充分就业</w:t>
      </w:r>
      <w:bookmarkEnd w:id="195"/>
      <w:bookmarkEnd w:id="196"/>
    </w:p>
    <w:p>
      <w:r>
        <w:rPr>
          <w:rFonts w:hint="eastAsia"/>
        </w:rPr>
        <w:t>积极拓展城乡就业创业增收空间，构建多元化就业服务体系，确保城乡居民收入持续增长。</w:t>
      </w:r>
    </w:p>
    <w:p>
      <w:pPr>
        <w:pStyle w:val="7"/>
      </w:pPr>
      <w:bookmarkStart w:id="197" w:name="_Toc65597994"/>
      <w:bookmarkStart w:id="198" w:name="_Toc26328"/>
      <w:r>
        <w:rPr>
          <w:rFonts w:hint="eastAsia"/>
        </w:rPr>
        <w:t>第一节 拓宽居民就业渠道</w:t>
      </w:r>
      <w:bookmarkEnd w:id="197"/>
      <w:bookmarkEnd w:id="198"/>
    </w:p>
    <w:p>
      <w:r>
        <w:rPr>
          <w:rFonts w:hint="eastAsia"/>
        </w:rPr>
        <w:t>结合丹巴乡村振兴、全域旅游、农旅电商等各领域需求，扶助中小微企业发展，发挥中小微企业吸纳就业主渠道作用。围绕山区现代农业布局，扶持涉农企业、农业专合组织发展，开发更多的就近就地就业岗位。依托全域旅游布局，在“吃住行游购娱”推进大众创业、万众创新，将现代服务业、农旅电商行业等作为本地就业增长的“蓄水池”。推动重大项目落地，以加大项目建设扩大就业总量，培育本地就业新的“增长点”。</w:t>
      </w:r>
    </w:p>
    <w:p>
      <w:pPr>
        <w:pStyle w:val="7"/>
      </w:pPr>
      <w:bookmarkStart w:id="199" w:name="_Toc31748"/>
      <w:bookmarkStart w:id="200" w:name="_Toc65597995"/>
      <w:r>
        <w:rPr>
          <w:rFonts w:hint="eastAsia"/>
        </w:rPr>
        <w:t>第二节 完善就业服务体系</w:t>
      </w:r>
      <w:bookmarkEnd w:id="199"/>
      <w:bookmarkEnd w:id="200"/>
    </w:p>
    <w:p>
      <w:bookmarkStart w:id="201" w:name="_Toc55847361"/>
      <w:r>
        <w:rPr>
          <w:rFonts w:hint="eastAsia"/>
        </w:rPr>
        <w:t>依托丹巴县公共实训基地及对口援建的“双创”实训基地，结合市场需求和企业需要，开展新型职业农民、农村电商、嘉绒刺绣、唐卡绘画、乡村旅游等订单式、定向式、补贴式培训，以“大就业、大培训、信息化”为抓手，完善城乡均等的就业创业公共服务体系。完善就业服务平台，健全失业监测预警制度，加强就业失业监测统计，开展就业需求预测。积极开发公益性岗位，加强就业困难人员托底帮扶，动态消除零就业家庭。优化就业创业环境，建立健全城乡一体的公共就业服务网络，引导支持农民工、大中专毕业生返乡就业创业，引导工商企业入乡创新创业，促进丹巴“双创”升级。</w:t>
      </w:r>
    </w:p>
    <w:tbl>
      <w:tblPr>
        <w:tblStyle w:val="2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8359" w:type="dxa"/>
            <w:shd w:val="clear" w:color="auto" w:fill="D0CECE"/>
            <w:vAlign w:val="center"/>
          </w:tcPr>
          <w:p>
            <w:pPr>
              <w:pStyle w:val="31"/>
            </w:pPr>
            <w:r>
              <w:t>专栏</w:t>
            </w:r>
            <w:r>
              <w:rPr>
                <w:rFonts w:hint="eastAsia"/>
              </w:rPr>
              <w:t>22</w:t>
            </w:r>
            <w:r>
              <w:t xml:space="preserve">  </w:t>
            </w:r>
            <w:r>
              <w:rPr>
                <w:rFonts w:hint="eastAsia"/>
              </w:rPr>
              <w:t>人力资源和社会保障</w:t>
            </w:r>
            <w:r>
              <w:t>重点</w:t>
            </w:r>
            <w:r>
              <w:rPr>
                <w:rFonts w:hint="eastAsia"/>
              </w:rPr>
              <w:t>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8359" w:type="dxa"/>
            <w:shd w:val="clear" w:color="auto" w:fill="FFFFFF"/>
            <w:vAlign w:val="center"/>
          </w:tcPr>
          <w:p>
            <w:pPr>
              <w:rPr>
                <w:sz w:val="24"/>
                <w:szCs w:val="24"/>
              </w:rPr>
            </w:pPr>
            <w:r>
              <w:rPr>
                <w:rFonts w:hint="eastAsia"/>
                <w:b/>
                <w:sz w:val="24"/>
                <w:szCs w:val="24"/>
              </w:rPr>
              <w:t>1.创业基地</w:t>
            </w:r>
            <w:r>
              <w:rPr>
                <w:b/>
                <w:sz w:val="24"/>
                <w:szCs w:val="24"/>
              </w:rPr>
              <w:t>项目</w:t>
            </w:r>
            <w:r>
              <w:rPr>
                <w:sz w:val="24"/>
                <w:szCs w:val="24"/>
              </w:rPr>
              <w:t>：</w:t>
            </w:r>
            <w:r>
              <w:rPr>
                <w:rFonts w:hint="eastAsia"/>
                <w:sz w:val="24"/>
                <w:szCs w:val="24"/>
              </w:rPr>
              <w:t>丹巴县返乡创业基地项目，大学生创业基地，乡镇就业保障中心的建设</w:t>
            </w:r>
            <w:r>
              <w:rPr>
                <w:sz w:val="24"/>
                <w:szCs w:val="24"/>
              </w:rPr>
              <w:t>。</w:t>
            </w:r>
          </w:p>
          <w:p>
            <w:pPr>
              <w:pStyle w:val="30"/>
              <w:rPr>
                <w:b/>
              </w:rPr>
            </w:pPr>
            <w:r>
              <w:rPr>
                <w:rFonts w:hint="eastAsia"/>
                <w:b/>
                <w:sz w:val="24"/>
                <w:szCs w:val="24"/>
              </w:rPr>
              <w:t>2.基层就业服务平台项目：</w:t>
            </w:r>
            <w:r>
              <w:rPr>
                <w:rFonts w:hint="eastAsia"/>
                <w:sz w:val="24"/>
                <w:szCs w:val="24"/>
              </w:rPr>
              <w:t>丹巴县基层就业和社会保障服务平台升级改造项目，新建乡镇基层就业和社会保障服务平台项目。</w:t>
            </w:r>
          </w:p>
        </w:tc>
      </w:tr>
      <w:bookmarkEnd w:id="201"/>
    </w:tbl>
    <w:p>
      <w:pPr>
        <w:pStyle w:val="6"/>
        <w:numPr>
          <w:ilvl w:val="0"/>
          <w:numId w:val="1"/>
        </w:numPr>
        <w:ind w:firstLineChars="0"/>
      </w:pPr>
      <w:bookmarkStart w:id="202" w:name="_Toc65597996"/>
      <w:bookmarkStart w:id="203" w:name="_Toc24682"/>
      <w:r>
        <w:rPr>
          <w:rFonts w:hint="eastAsia"/>
        </w:rPr>
        <w:t>办好人民满意文体教育</w:t>
      </w:r>
      <w:bookmarkEnd w:id="202"/>
      <w:bookmarkEnd w:id="203"/>
    </w:p>
    <w:p>
      <w:r>
        <w:rPr>
          <w:rFonts w:hint="eastAsia"/>
        </w:rPr>
        <w:t>坚持“优先发展、育人为本、全民健身、改革创新、促进公平、提高质量”的工作方针，持续强基础补短板，突出质量提升，推进教育、体育高质量均衡发展。</w:t>
      </w:r>
    </w:p>
    <w:p>
      <w:pPr>
        <w:pStyle w:val="7"/>
        <w:rPr>
          <w:rFonts w:ascii="仿宋" w:eastAsia="仿宋"/>
        </w:rPr>
      </w:pPr>
      <w:bookmarkStart w:id="204" w:name="_Toc65597997"/>
      <w:bookmarkStart w:id="205" w:name="_Toc21863"/>
      <w:r>
        <w:rPr>
          <w:rFonts w:hint="eastAsia" w:ascii="仿宋" w:eastAsia="仿宋"/>
        </w:rPr>
        <w:t>第一节 推动教育优质均衡发展</w:t>
      </w:r>
      <w:bookmarkEnd w:id="204"/>
      <w:bookmarkEnd w:id="205"/>
    </w:p>
    <w:p>
      <w:pPr>
        <w:spacing w:line="600" w:lineRule="exact"/>
        <w:rPr>
          <w:rFonts w:cs="仿宋"/>
        </w:rPr>
      </w:pPr>
      <w:r>
        <w:rPr>
          <w:rFonts w:hint="eastAsia"/>
          <w:b/>
        </w:rPr>
        <w:t>普及普惠发展学前教育。</w:t>
      </w:r>
      <w:r>
        <w:rPr>
          <w:rFonts w:hint="eastAsia"/>
        </w:rPr>
        <w:t>坚持以“县城幼儿园为龙头、乡镇中心幼儿园为核心、村学前教育点为补充”的学前教育发展思路扩大学前教育资源供给，支持以新建和改扩建公办园、扶持普惠性民办园等多种模式办园。</w:t>
      </w:r>
      <w:r>
        <w:rPr>
          <w:rFonts w:hint="eastAsia" w:cs="仿宋"/>
        </w:rPr>
        <w:t>遵循幼儿教育发展规律，加强保育教育管理和指导，坚持以游戏为基本活动，保教结合、寓教于乐，切实防止和纠正“小学化”倾向，不断提高保教质量。</w:t>
      </w:r>
      <w:r>
        <w:rPr>
          <w:rFonts w:hint="eastAsia"/>
        </w:rPr>
        <w:t>扩建章谷镇三岔河幼儿园园舍。</w:t>
      </w:r>
      <w:r>
        <w:rPr>
          <w:rFonts w:hint="eastAsia" w:cs="仿宋"/>
        </w:rPr>
        <w:t>到2025年，学前三年毛入园率达95%以上。</w:t>
      </w:r>
    </w:p>
    <w:p>
      <w:r>
        <w:rPr>
          <w:rFonts w:hint="eastAsia"/>
          <w:b/>
        </w:rPr>
        <w:t>优质均衡发展义务教育。</w:t>
      </w:r>
      <w:r>
        <w:rPr>
          <w:rFonts w:hint="eastAsia"/>
        </w:rPr>
        <w:t>提升义务教育均等化水平，推动基本均衡向优质均衡迈进。</w:t>
      </w:r>
      <w:r>
        <w:rPr>
          <w:rFonts w:hint="eastAsia" w:cs="仿宋"/>
        </w:rPr>
        <w:t>适应城乡发展需要，按照“</w:t>
      </w:r>
      <w:r>
        <w:rPr>
          <w:rFonts w:hint="eastAsia"/>
        </w:rPr>
        <w:t>一圈、五线</w:t>
      </w:r>
      <w:r>
        <w:rPr>
          <w:rFonts w:hint="eastAsia" w:cs="仿宋"/>
        </w:rPr>
        <w:t>”的校点布局思路和“做强城区学校、做精乡镇中心小学、整合村教学点资源”办法方式，合理规划学校布局。建立章谷教育集团，扩大城区教育资源，办好必要的农村教学点，方便学生就近入学。确保进城务工人员随迁子女平等接受义务教育。建立健全防止与控制学生辍学和动员辍学学生复学机制，全面消除辍学现象。</w:t>
      </w:r>
      <w:r>
        <w:rPr>
          <w:rFonts w:hint="eastAsia"/>
        </w:rPr>
        <w:t>推进义务教育学校标准化建设，按基本办学标准要求，改善学校教学和生活设施，加快推进川口寄宿制学校建设，新建巴底镇小学、丹东镇小学、丹巴县中学、丹巴县第二初级中学校舍，全面改善薄弱学校办学条件。建设急需必要的甲居镇小学、半扇门中学等边远艰苦地区农村学校教师周转宿舍。</w:t>
      </w:r>
    </w:p>
    <w:p>
      <w:pPr>
        <w:spacing w:line="600" w:lineRule="exact"/>
        <w:rPr>
          <w:rFonts w:cs="仿宋"/>
        </w:rPr>
      </w:pPr>
      <w:r>
        <w:rPr>
          <w:rFonts w:hint="eastAsia" w:cs="仿宋"/>
        </w:rPr>
        <w:t>到2025年，小学适龄儿童入学率达100%以上，初中适龄少年入学率达100%以上，九年义务教育巩固率达到97%以上。</w:t>
      </w:r>
    </w:p>
    <w:p>
      <w:pPr>
        <w:spacing w:line="600" w:lineRule="exact"/>
        <w:rPr>
          <w:rFonts w:cs="仿宋"/>
        </w:rPr>
      </w:pPr>
      <w:r>
        <w:rPr>
          <w:rFonts w:hint="eastAsia"/>
          <w:b/>
        </w:rPr>
        <w:t>内涵发展高中阶段教育。</w:t>
      </w:r>
      <w:r>
        <w:rPr>
          <w:rFonts w:hint="eastAsia" w:cs="仿宋"/>
        </w:rPr>
        <w:t>加强与成华教育深度合作，办好 “丹巴高中成华班”，不断提高高中阶段学校教育教学质量和办学水平，促进普通高中教育优质发展，探索“普通高中+技能”的教育模式，推进高中办学体制和培养模式改革，促进教师教学方式和学生学习方式转变。到2025年，力争将丹巴高中创建为省级示范高中，高考一本、本科达线率处于全州平均水平。</w:t>
      </w:r>
    </w:p>
    <w:p>
      <w:r>
        <w:rPr>
          <w:rFonts w:hint="eastAsia"/>
          <w:b/>
        </w:rPr>
        <w:t>关心支持特殊教育。</w:t>
      </w:r>
      <w:r>
        <w:rPr>
          <w:rFonts w:hint="eastAsia"/>
        </w:rPr>
        <w:t>改善特殊教育办学条件，将特殊教育纳入教育事业整体发展规划，力争将符合条件的“三残”儿童送到州特殊学校，接受系统教育，其他残疾儿童，以随班就读为主体。以送教服务等形式为补充，完善特殊教育办学体系。在部分有条件的学校建立特殊资源教室，进一步改善特殊教育的办学条件。全面提高残疾儿童少年义务教育普及水平。</w:t>
      </w:r>
    </w:p>
    <w:p>
      <w:pPr>
        <w:pStyle w:val="7"/>
      </w:pPr>
      <w:bookmarkStart w:id="206" w:name="_Toc65597998"/>
      <w:bookmarkStart w:id="207" w:name="_Toc59095691"/>
      <w:bookmarkStart w:id="208" w:name="_Toc9745"/>
      <w:r>
        <w:rPr>
          <w:rFonts w:hint="eastAsia"/>
        </w:rPr>
        <w:t>第二节 全面提升教育水平</w:t>
      </w:r>
      <w:bookmarkEnd w:id="206"/>
      <w:bookmarkEnd w:id="207"/>
      <w:bookmarkEnd w:id="208"/>
    </w:p>
    <w:p>
      <w:bookmarkStart w:id="209" w:name="_Toc8865"/>
      <w:bookmarkStart w:id="210" w:name="_Toc59095692"/>
      <w:r>
        <w:rPr>
          <w:rFonts w:hint="eastAsia"/>
          <w:b/>
        </w:rPr>
        <w:t>打造新时代教师队伍。</w:t>
      </w:r>
      <w:r>
        <w:rPr>
          <w:rFonts w:hint="eastAsia"/>
        </w:rPr>
        <w:t>依托国省州县四级培训平台，采取“引进来”和“走出去”相结合方式，开展中小学教师全员培训。实施教师提质强能培训，加强师德教育，实施“新理念、新知识、新方法、新技能”为主要内容的现代教育知识培训和“教材教法、三笔字、普通话、信息技术”为主要内容的教学基本功培训。拓宽教师招聘渠道，通过公开招聘、特岗计划、定向培养乡村教师等渠道，优化教师队伍结构。继续实施“三名工作室”，鼓励教学名师交流讲学，创新教育模式和教育方法，形成教学特色，造就一批本土教育家。积极探索“以县为主”的教师管理体制改革，深化教育体制机制改革创新，推进“县管校聘”新型教师人事管理制度，实现教师队伍县域内统管统用、合理配置。</w:t>
      </w:r>
    </w:p>
    <w:p>
      <w:r>
        <w:rPr>
          <w:rFonts w:hint="eastAsia"/>
          <w:b/>
        </w:rPr>
        <w:t>推动教育信息化建设。</w:t>
      </w:r>
      <w:r>
        <w:rPr>
          <w:rFonts w:hint="eastAsia"/>
        </w:rPr>
        <w:t>以政府购买服务方式，全面落实教育部教育信息化2.0行动计划，利用5G、大数据、云计算、物联网等现代化信息技术，建立健全覆盖各学校的管理应用、教学应用和教育大数据应用，实现各级教育应用、数据和用户的互通，教育管理、教学和服务的融合。做好政务信息系统整合共享，完善教育资源公共服务平台、教育管理公共服务平台。利用信息化手段，做到优质教育资源全覆盖，使网络课堂成为教学、教研活动的常态。</w:t>
      </w:r>
    </w:p>
    <w:p>
      <w:pPr>
        <w:pStyle w:val="7"/>
      </w:pPr>
      <w:bookmarkStart w:id="211" w:name="_Toc65597999"/>
      <w:r>
        <w:rPr>
          <w:rFonts w:hint="eastAsia"/>
        </w:rPr>
        <w:t>第三节 深化教育体制改革</w:t>
      </w:r>
      <w:bookmarkEnd w:id="209"/>
      <w:bookmarkEnd w:id="210"/>
      <w:bookmarkEnd w:id="211"/>
    </w:p>
    <w:p>
      <w:r>
        <w:rPr>
          <w:rFonts w:hint="eastAsia"/>
        </w:rPr>
        <w:t>优化义务教育教师资源配置，支持探索急需教师“多点施教”办法。创新教师公开招聘制度，建立完善符合教师岗位特点的中小学教师招聘办法。推进管办评分离改革，切实减轻教育部门和学校承担的非教育工作任务。优化育人环境，强化安全管理平台建设，持续推进平安校园建设。完善立德树人体制机制，扭转不科学的教育评价导向，坚决克服唯分数、唯升学、唯文凭、唯论文、唯帽子的顽瘴痼疾，提高教育治理能力和水平，加快推进教育现代化、建设教育强县、办好人民满意的教育。深化教育督导体制机制改革，构建全面覆盖、运转高效、结果权威、问责有力的教育督导体制机制。</w:t>
      </w:r>
    </w:p>
    <w:p>
      <w:pPr>
        <w:pStyle w:val="7"/>
      </w:pPr>
      <w:bookmarkStart w:id="212" w:name="_Toc65598000"/>
      <w:bookmarkStart w:id="213" w:name="_Toc59095693"/>
      <w:bookmarkStart w:id="214" w:name="_Toc10487"/>
      <w:r>
        <w:rPr>
          <w:rFonts w:hint="eastAsia"/>
        </w:rPr>
        <w:t>第四节 促进教育公平发展</w:t>
      </w:r>
      <w:bookmarkEnd w:id="212"/>
      <w:bookmarkEnd w:id="213"/>
      <w:bookmarkEnd w:id="214"/>
    </w:p>
    <w:p>
      <w:r>
        <w:rPr>
          <w:rFonts w:hint="eastAsia"/>
        </w:rPr>
        <w:t>积极落实教育资助政策。落实学前教育保教费减免政策，落实义务教育“三免两补”政策，落实普通高中免学费及教科书费和发放国家助学金等政策，落实高等教育建档立卡大学生资助、农村少数民族大学生奖学金、圆梦工程、生源地助学贷款等政策，持续发放教育扶贫救助基金，争取社会力量支持教育事业发展，不让贫困学生因贫失学辍学，让贫困学生充分享受政策阳光，实现教育公平发展。</w:t>
      </w:r>
    </w:p>
    <w:p>
      <w:pPr>
        <w:pStyle w:val="7"/>
      </w:pPr>
      <w:bookmarkStart w:id="215" w:name="_Toc2773"/>
      <w:bookmarkStart w:id="216" w:name="_Toc65598001"/>
      <w:r>
        <w:rPr>
          <w:rFonts w:hint="eastAsia"/>
        </w:rPr>
        <w:t>第五节 发展全民体育事业</w:t>
      </w:r>
      <w:bookmarkEnd w:id="215"/>
      <w:bookmarkEnd w:id="216"/>
    </w:p>
    <w:p>
      <w:r>
        <w:rPr>
          <w:rFonts w:hint="eastAsia"/>
          <w:b/>
        </w:rPr>
        <w:t>发展全民健身活动。</w:t>
      </w:r>
      <w:r>
        <w:rPr>
          <w:rFonts w:hint="eastAsia"/>
        </w:rPr>
        <w:t>弘扬健康新理念，树立人人爱锻炼、会锻炼、勤锻炼的良好社会风尚。督促各体育单项协会，开放体育馆，组织开展群众喜闻乐见、丰富多彩的群众性体育竞赛活动，引导群众参与体育健身活动，培育壮大体育人口，推动经常参加体育锻炼人数比例达到50％以上。开展全民健身设施补短板工程，新建丹巴公共体育场、全民健身中心（小型体育综合体），太平桥乡、墨尔多山镇、巴底镇、格宗镇、巴旺乡、革什扎镇、丹东镇、甲居镇篮球场，章谷镇7人制足球场、健身步道、登山道，构建县、乡镇、行政村三级全民健身设施网络，打造县城“十五分钟健身圈”。组织开展群众喜闻乐见、丰富多彩的群众性体育竞赛活动，引导群众参与体育健身活动，培育壮大体育人口。</w:t>
      </w:r>
    </w:p>
    <w:p>
      <w:r>
        <w:rPr>
          <w:rFonts w:hint="eastAsia"/>
          <w:b/>
        </w:rPr>
        <w:t>探索推广“体育+旅游”模式。</w:t>
      </w:r>
      <w:r>
        <w:rPr>
          <w:rFonts w:hint="eastAsia"/>
        </w:rPr>
        <w:t>探索“体育+旅游”发展新模式，结合甘孜州山地旅游节、丹巴“嘉绒藏族风情节”、“墨尔多节”及“赛马节”等重大旅游活动，实施体育旅游精品示范工程，打造1-2个具有影响力的体育旅游精品线路、精品赛事和示范基地。规范、引导体育旅游示范区建设，将山地自行车、半程马拉松等体育运动项目作为“体育+旅游”模式发展的载体，大力引进国内、国际体育赛事活动，不断提升丹巴旅游品质和档次。</w:t>
      </w:r>
    </w:p>
    <w:tbl>
      <w:tblPr>
        <w:tblStyle w:val="2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8359" w:type="dxa"/>
            <w:shd w:val="clear" w:color="auto" w:fill="D0CECE"/>
            <w:vAlign w:val="center"/>
          </w:tcPr>
          <w:p>
            <w:pPr>
              <w:pStyle w:val="31"/>
            </w:pPr>
            <w:r>
              <w:t>专栏</w:t>
            </w:r>
            <w:r>
              <w:rPr>
                <w:rFonts w:hint="eastAsia"/>
              </w:rPr>
              <w:t>23</w:t>
            </w:r>
            <w:r>
              <w:t xml:space="preserve">  </w:t>
            </w:r>
            <w:r>
              <w:rPr>
                <w:rFonts w:hint="eastAsia"/>
              </w:rPr>
              <w:t>文体</w:t>
            </w:r>
            <w:r>
              <w:t>教育重点</w:t>
            </w:r>
            <w:r>
              <w:rPr>
                <w:rFonts w:hint="eastAsia"/>
              </w:rPr>
              <w:t>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8359" w:type="dxa"/>
            <w:shd w:val="clear" w:color="auto" w:fill="FFFFFF"/>
            <w:vAlign w:val="center"/>
          </w:tcPr>
          <w:p>
            <w:pPr>
              <w:rPr>
                <w:sz w:val="24"/>
                <w:szCs w:val="24"/>
              </w:rPr>
            </w:pPr>
            <w:r>
              <w:rPr>
                <w:rFonts w:hint="eastAsia"/>
                <w:b/>
                <w:sz w:val="24"/>
                <w:szCs w:val="24"/>
              </w:rPr>
              <w:t>1.教育强国推进工程</w:t>
            </w:r>
            <w:r>
              <w:rPr>
                <w:b/>
                <w:sz w:val="24"/>
                <w:szCs w:val="24"/>
              </w:rPr>
              <w:t>重点项目</w:t>
            </w:r>
            <w:r>
              <w:rPr>
                <w:sz w:val="24"/>
                <w:szCs w:val="24"/>
              </w:rPr>
              <w:t>：</w:t>
            </w:r>
            <w:r>
              <w:rPr>
                <w:rFonts w:hint="eastAsia"/>
                <w:sz w:val="24"/>
                <w:szCs w:val="24"/>
              </w:rPr>
              <w:t>章谷镇三岔河幼儿园扩建项目；新建巴底镇小学、丹东镇小学、丹巴县中学、丹巴县第二初级中学校舍项目；甲居镇小学、半扇门中学教师周转宿舍项目；丹巴高中四期工程项目</w:t>
            </w:r>
            <w:r>
              <w:rPr>
                <w:sz w:val="24"/>
                <w:szCs w:val="24"/>
              </w:rPr>
              <w:t>。</w:t>
            </w:r>
          </w:p>
          <w:p>
            <w:pPr>
              <w:pStyle w:val="30"/>
              <w:rPr>
                <w:sz w:val="24"/>
                <w:szCs w:val="24"/>
              </w:rPr>
            </w:pPr>
            <w:r>
              <w:rPr>
                <w:rFonts w:hint="eastAsia"/>
                <w:b/>
                <w:sz w:val="24"/>
                <w:szCs w:val="24"/>
              </w:rPr>
              <w:t>2.</w:t>
            </w:r>
            <w:r>
              <w:rPr>
                <w:b/>
                <w:sz w:val="24"/>
                <w:szCs w:val="24"/>
              </w:rPr>
              <w:t>教育信息化</w:t>
            </w:r>
            <w:r>
              <w:rPr>
                <w:rFonts w:hint="eastAsia"/>
                <w:b/>
                <w:sz w:val="24"/>
                <w:szCs w:val="24"/>
              </w:rPr>
              <w:t>项目：</w:t>
            </w:r>
            <w:r>
              <w:rPr>
                <w:rFonts w:hint="eastAsia"/>
                <w:sz w:val="24"/>
                <w:szCs w:val="24"/>
              </w:rPr>
              <w:t>教育信息化</w:t>
            </w:r>
            <w:r>
              <w:rPr>
                <w:sz w:val="24"/>
                <w:szCs w:val="24"/>
              </w:rPr>
              <w:t>2.0提升</w:t>
            </w:r>
            <w:r>
              <w:rPr>
                <w:rFonts w:hint="eastAsia"/>
                <w:sz w:val="24"/>
                <w:szCs w:val="24"/>
              </w:rPr>
              <w:t>项目；</w:t>
            </w:r>
            <w:r>
              <w:rPr>
                <w:sz w:val="24"/>
                <w:szCs w:val="24"/>
              </w:rPr>
              <w:t>智慧校园项目</w:t>
            </w:r>
            <w:r>
              <w:rPr>
                <w:rFonts w:hint="eastAsia"/>
                <w:sz w:val="24"/>
                <w:szCs w:val="24"/>
              </w:rPr>
              <w:t>。</w:t>
            </w:r>
          </w:p>
          <w:p>
            <w:pPr>
              <w:pStyle w:val="30"/>
              <w:rPr>
                <w:b/>
                <w:sz w:val="24"/>
                <w:szCs w:val="24"/>
              </w:rPr>
            </w:pPr>
            <w:r>
              <w:rPr>
                <w:rFonts w:hint="eastAsia"/>
                <w:b/>
                <w:sz w:val="24"/>
                <w:szCs w:val="24"/>
              </w:rPr>
              <w:t>3.全民健身补短板项目：</w:t>
            </w:r>
            <w:r>
              <w:rPr>
                <w:rFonts w:hint="eastAsia"/>
                <w:sz w:val="24"/>
                <w:szCs w:val="24"/>
              </w:rPr>
              <w:t>新建丹巴县体育公园、全民健身中心（小型体育综合体）；太平桥乡、墨尔多山镇、巴底镇、格宗镇、巴旺乡、革什扎镇、丹东镇、甲居镇篮球场建设项目；章谷镇7人制足球场、健身步道、登山道建设项目。</w:t>
            </w:r>
          </w:p>
        </w:tc>
      </w:tr>
    </w:tbl>
    <w:p>
      <w:pPr>
        <w:pStyle w:val="6"/>
        <w:numPr>
          <w:ilvl w:val="0"/>
          <w:numId w:val="1"/>
        </w:numPr>
        <w:ind w:firstLineChars="0"/>
      </w:pPr>
      <w:bookmarkStart w:id="217" w:name="_Toc3019"/>
      <w:bookmarkStart w:id="218" w:name="_Toc65598002"/>
      <w:r>
        <w:rPr>
          <w:rFonts w:hint="eastAsia"/>
        </w:rPr>
        <w:t>加快建设“健康丹巴”</w:t>
      </w:r>
      <w:bookmarkEnd w:id="217"/>
      <w:bookmarkEnd w:id="218"/>
    </w:p>
    <w:p>
      <w:r>
        <w:rPr>
          <w:rFonts w:hint="eastAsia"/>
        </w:rPr>
        <w:t>把保障人民健康放在优先发展的战略地位，坚持正确的卫生与健康工作方针。以提高人民健康水平为核心，以构建高质量医疗服务体系、公共卫生体系、医疗应急救援体系为抓手，深入实施健康丹巴行动，完善国民健康促进体系，为人民提供全方位全周期健康服务。</w:t>
      </w:r>
    </w:p>
    <w:p>
      <w:pPr>
        <w:pStyle w:val="7"/>
      </w:pPr>
      <w:bookmarkStart w:id="219" w:name="_Toc65598003"/>
      <w:bookmarkStart w:id="220" w:name="_Toc17829"/>
      <w:r>
        <w:rPr>
          <w:rFonts w:hint="eastAsia"/>
        </w:rPr>
        <w:t>第一节 提升医疗服务体系服务能力</w:t>
      </w:r>
      <w:bookmarkEnd w:id="219"/>
      <w:bookmarkEnd w:id="220"/>
    </w:p>
    <w:p>
      <w:r>
        <w:rPr>
          <w:rFonts w:hint="eastAsia"/>
          <w:b/>
        </w:rPr>
        <w:t>提升医疗服务水平。</w:t>
      </w:r>
      <w:r>
        <w:rPr>
          <w:rFonts w:hint="eastAsia"/>
        </w:rPr>
        <w:t>以常见病、多发病不出县为目标，立足做强县级、做实乡级，完善提升县乡村三级医疗服务体系。提升医疗卫生服务机构标准化建设，提标扩能县人民医院，重点建设传染病、儿科、精神、老年病等科室、改建ICU病房及负压病房，完善消毒供应、医疗废物、污水处理设施，更新换代医疗装备。建设县级体检中心和检验中心，加强应急医疗救援和急诊科建设，将县人民医院建成“县级”龙头医疗机构。推进县级区域中心乡镇卫生院能力提升建设，重点推进革什扎镇、巴底镇、半扇门镇建设县级区域中心乡镇卫生院。</w:t>
      </w:r>
    </w:p>
    <w:p>
      <w:r>
        <w:rPr>
          <w:rFonts w:hint="eastAsia"/>
          <w:b/>
        </w:rPr>
        <w:t>提高医疗服务质效。</w:t>
      </w:r>
      <w:r>
        <w:rPr>
          <w:rFonts w:hint="eastAsia"/>
        </w:rPr>
        <w:t>深化医药卫生体质改革，落实分级诊疗政策措施，提高医疗质量安全，加强基层医疗卫生机构服务能力建设，提高医疗服务水平。落实县域医共体、家庭医生签约服务机制。构建“基层首诊、双向转诊”绿色通道。建设互联网医疗平台，实现远程医疗服务。加大人才培养力度，优化人才队伍结构，大力培养本土订单定向医学本科生，落实人才使用、管理和评价机制。</w:t>
      </w:r>
    </w:p>
    <w:p>
      <w:pPr>
        <w:pStyle w:val="7"/>
      </w:pPr>
      <w:bookmarkStart w:id="221" w:name="_Toc65598004"/>
      <w:bookmarkStart w:id="222" w:name="_Toc4245"/>
      <w:r>
        <w:rPr>
          <w:rFonts w:hint="eastAsia"/>
        </w:rPr>
        <w:t>第二节 加强公共卫生服务</w:t>
      </w:r>
      <w:bookmarkEnd w:id="221"/>
      <w:bookmarkEnd w:id="222"/>
    </w:p>
    <w:p>
      <w:r>
        <w:rPr>
          <w:rFonts w:hint="eastAsia"/>
          <w:b/>
        </w:rPr>
        <w:t>加强公共卫生服务。</w:t>
      </w:r>
      <w:r>
        <w:rPr>
          <w:rFonts w:hint="eastAsia"/>
        </w:rPr>
        <w:t>建设现代化疾病预防控制体系，扩建县疾病预防控制中心实验用房、业务用房，增配检验检测设备，提升信息化水平，满足新形势下有效应对重大疾病及突发公共卫生事件需要。推进防治结合，开展慢性病综合防控，切实加强重大传染病和精神疾病、地方病、职业病防治，实施国家免疫规划。深入开展爱国卫生运动和健康促进活动，促进全民健康教育。建设县乡医疗机构医疗废物储存处置点。</w:t>
      </w:r>
    </w:p>
    <w:p>
      <w:r>
        <w:rPr>
          <w:rFonts w:hint="eastAsia"/>
          <w:b/>
        </w:rPr>
        <w:t>加强妇幼健康工作。</w:t>
      </w:r>
      <w:r>
        <w:rPr>
          <w:rFonts w:hint="eastAsia"/>
        </w:rPr>
        <w:t>推进妇幼健康服务能力建设，改扩建县妇幼保健院业务用房，增配保健、诊治设备。继续推进母婴安全行动计划，加强孕产妇系统管理，降低孕产妇死亡率、婴儿死亡率。落实出生缺陷防治措施，规范新生儿疾病筛查管理。巩固妇幼健康扶贫成效，深入实施儿童营养改善、新生儿疾病筛查、农村适龄妇女宫颈癌、乳腺癌筛查，促进妇幼健康均衡发展。利用互联网手段，开展“云上妇幼”活动，改善服务体验。开展妇幼保健机构绩效考核，推进妇幼保健机构全面落实职责任务，努力为妇女儿童提供安全、有效、便捷、温馨的妇幼健康服务。</w:t>
      </w:r>
    </w:p>
    <w:p>
      <w:pPr>
        <w:pStyle w:val="7"/>
      </w:pPr>
      <w:bookmarkStart w:id="223" w:name="_Toc31294"/>
      <w:bookmarkStart w:id="224" w:name="_Toc65598005"/>
      <w:r>
        <w:rPr>
          <w:rFonts w:hint="eastAsia"/>
        </w:rPr>
        <w:t>第三节 传承创新发展中藏医药事业</w:t>
      </w:r>
      <w:bookmarkEnd w:id="223"/>
      <w:bookmarkEnd w:id="224"/>
    </w:p>
    <w:p>
      <w:r>
        <w:rPr>
          <w:rFonts w:hint="eastAsia"/>
          <w:b/>
        </w:rPr>
        <w:t>完善中藏医医疗服务网络建设。</w:t>
      </w:r>
      <w:r>
        <w:rPr>
          <w:rFonts w:hint="eastAsia"/>
        </w:rPr>
        <w:t>改扩建县中医院，乡镇卫生院设中藏医馆，加强硬件和内涵建设，不断提升中藏医药机构服务能力。加强中医医联体和藏医医联体建设，鼓励县级中藏医医院托管乡镇卫生院中藏医馆（中藏医科）和村卫生室的中藏医药工作。引导鼓励社会力量举办中藏医医院和中藏医诊所。加强中藏医药信息化建设，逐步建立体现藏医药特色的医院信息系统，开展中藏医远程医疗、移动医疗、智慧医疗等新型医疗服务模式。</w:t>
      </w:r>
    </w:p>
    <w:p>
      <w:r>
        <w:rPr>
          <w:rFonts w:hint="eastAsia"/>
          <w:b/>
        </w:rPr>
        <w:t>大力发展中藏医药养生保健服务。</w:t>
      </w:r>
      <w:r>
        <w:rPr>
          <w:rFonts w:hint="eastAsia"/>
        </w:rPr>
        <w:t>提升中藏医药养生保健服务能力，加强中藏医医疗机构治未病科室建设，丰富治未病服务内涵。推动中藏医药与健康养老服务融合发展，把中藏医诊疗、中藏医治未病、中藏医药养生保健、中藏医药康复医疗融入健康养老全过程。推动中藏医药与旅游融合发展，发展以中藏医药文化传播和体验为主题，融中藏医药文化、康复、养生、中藏药药用植物科学考察及旅游于一体的中藏医药健康旅游。加强中藏医药文化旅游和保健品、药浴产品、食疗产品和功能性化妆品等中藏医药健康养生产品研发，促进中藏医药健康产业发展。</w:t>
      </w:r>
    </w:p>
    <w:p>
      <w:r>
        <w:rPr>
          <w:rFonts w:hint="eastAsia"/>
          <w:b/>
        </w:rPr>
        <w:t>推动中藏药产业发展。</w:t>
      </w:r>
      <w:r>
        <w:rPr>
          <w:rFonts w:hint="eastAsia"/>
        </w:rPr>
        <w:t>加强中藏药资源保护利用，推进中藏药材规范化种植养殖。提升中藏药产业化水平。</w:t>
      </w:r>
    </w:p>
    <w:p>
      <w:pPr>
        <w:pStyle w:val="2"/>
      </w:pPr>
    </w:p>
    <w:tbl>
      <w:tblPr>
        <w:tblStyle w:val="2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8359" w:type="dxa"/>
            <w:shd w:val="clear" w:color="auto" w:fill="D0CECE"/>
            <w:vAlign w:val="center"/>
          </w:tcPr>
          <w:p>
            <w:pPr>
              <w:pStyle w:val="31"/>
            </w:pPr>
            <w:r>
              <w:t>专栏</w:t>
            </w:r>
            <w:r>
              <w:rPr>
                <w:rFonts w:hint="eastAsia"/>
              </w:rPr>
              <w:t>24</w:t>
            </w:r>
            <w:r>
              <w:t xml:space="preserve">  </w:t>
            </w:r>
            <w:r>
              <w:rPr>
                <w:rFonts w:hint="eastAsia"/>
              </w:rPr>
              <w:t>基本医疗卫生重点建设项目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8359" w:type="dxa"/>
            <w:shd w:val="clear" w:color="auto" w:fill="FFFFFF"/>
            <w:vAlign w:val="center"/>
          </w:tcPr>
          <w:p>
            <w:pPr>
              <w:rPr>
                <w:b/>
                <w:bCs/>
                <w:sz w:val="24"/>
                <w:szCs w:val="24"/>
              </w:rPr>
            </w:pPr>
            <w:r>
              <w:rPr>
                <w:rFonts w:hint="eastAsia"/>
                <w:b/>
                <w:bCs/>
                <w:sz w:val="24"/>
                <w:szCs w:val="24"/>
              </w:rPr>
              <w:t>1.医疗服务体系建设项目：</w:t>
            </w:r>
            <w:r>
              <w:rPr>
                <w:rFonts w:hint="eastAsia"/>
                <w:bCs/>
                <w:sz w:val="24"/>
                <w:szCs w:val="24"/>
              </w:rPr>
              <w:t>县人民医院提标扩能项目，3</w:t>
            </w:r>
            <w:r>
              <w:rPr>
                <w:rFonts w:hint="eastAsia"/>
                <w:sz w:val="24"/>
                <w:szCs w:val="24"/>
              </w:rPr>
              <w:t>个县级区域中心乡镇卫生院改造项目；10个乡镇（村）卫生院（室）新建和改造项目；丹巴县中藏医医院新院区建设项目；完善县乡村三级医疗机构信息化建设项目。</w:t>
            </w:r>
          </w:p>
          <w:p>
            <w:pPr>
              <w:rPr>
                <w:sz w:val="24"/>
                <w:szCs w:val="24"/>
              </w:rPr>
            </w:pPr>
            <w:r>
              <w:rPr>
                <w:rFonts w:hint="eastAsia"/>
                <w:b/>
                <w:bCs/>
                <w:sz w:val="24"/>
                <w:szCs w:val="24"/>
              </w:rPr>
              <w:t>2.医疗应急救援体系建设项目：</w:t>
            </w:r>
            <w:r>
              <w:rPr>
                <w:rFonts w:hint="eastAsia"/>
                <w:sz w:val="24"/>
                <w:szCs w:val="24"/>
              </w:rPr>
              <w:t>丹巴县应急医疗救援、120急救体系建设项目。</w:t>
            </w:r>
          </w:p>
          <w:p>
            <w:pPr>
              <w:rPr>
                <w:sz w:val="24"/>
                <w:szCs w:val="24"/>
              </w:rPr>
            </w:pPr>
            <w:r>
              <w:rPr>
                <w:rFonts w:hint="eastAsia"/>
                <w:b/>
                <w:sz w:val="24"/>
                <w:szCs w:val="24"/>
              </w:rPr>
              <w:t>3.公共卫生体系建设项目：</w:t>
            </w:r>
            <w:r>
              <w:rPr>
                <w:rFonts w:hint="eastAsia"/>
                <w:sz w:val="24"/>
                <w:szCs w:val="24"/>
              </w:rPr>
              <w:t>丹巴县疾病预防控制中心迁建项目；丹巴县妇计中心改造项目；丹巴县血库建设项目。</w:t>
            </w:r>
          </w:p>
          <w:p>
            <w:pPr>
              <w:rPr>
                <w:sz w:val="24"/>
                <w:szCs w:val="24"/>
              </w:rPr>
            </w:pPr>
            <w:r>
              <w:rPr>
                <w:rFonts w:hint="eastAsia"/>
                <w:sz w:val="24"/>
                <w:szCs w:val="24"/>
              </w:rPr>
              <w:t>4.健康养老服务体系建设项目。丹巴县康养中心建设项目。</w:t>
            </w:r>
          </w:p>
          <w:p>
            <w:pPr>
              <w:rPr>
                <w:sz w:val="24"/>
                <w:szCs w:val="24"/>
              </w:rPr>
            </w:pPr>
            <w:r>
              <w:rPr>
                <w:rFonts w:hint="eastAsia"/>
                <w:b/>
                <w:sz w:val="24"/>
                <w:szCs w:val="24"/>
              </w:rPr>
              <w:t>5.医疗废物处置点建设项目：</w:t>
            </w:r>
            <w:r>
              <w:rPr>
                <w:rFonts w:hint="eastAsia"/>
                <w:sz w:val="24"/>
                <w:szCs w:val="24"/>
              </w:rPr>
              <w:t>丹巴县医疗废物处置点建设项目；乡镇卫生院医废暂存点建设项目。</w:t>
            </w:r>
          </w:p>
          <w:p>
            <w:r>
              <w:rPr>
                <w:rFonts w:hint="eastAsia"/>
                <w:b/>
                <w:sz w:val="24"/>
                <w:szCs w:val="24"/>
              </w:rPr>
              <w:t>6.医疗卫生机构职工周转房建设项目：</w:t>
            </w:r>
            <w:r>
              <w:rPr>
                <w:rFonts w:hint="eastAsia"/>
                <w:sz w:val="24"/>
                <w:szCs w:val="24"/>
              </w:rPr>
              <w:t>丹巴县乡镇卫生院周转房建设项目。</w:t>
            </w:r>
          </w:p>
        </w:tc>
      </w:tr>
    </w:tbl>
    <w:p>
      <w:bookmarkStart w:id="225" w:name="_Toc25599"/>
      <w:r>
        <w:rPr>
          <w:rFonts w:hint="eastAsia"/>
        </w:rPr>
        <w:br w:type="page"/>
      </w:r>
    </w:p>
    <w:p>
      <w:pPr>
        <w:pStyle w:val="6"/>
        <w:numPr>
          <w:ilvl w:val="0"/>
          <w:numId w:val="1"/>
        </w:numPr>
        <w:ind w:firstLineChars="0"/>
      </w:pPr>
      <w:bookmarkStart w:id="226" w:name="_Toc65598006"/>
      <w:r>
        <w:rPr>
          <w:rFonts w:hint="eastAsia"/>
        </w:rPr>
        <w:t>全面提高社会保障水平</w:t>
      </w:r>
      <w:bookmarkEnd w:id="225"/>
      <w:bookmarkEnd w:id="226"/>
    </w:p>
    <w:p>
      <w:r>
        <w:rPr>
          <w:rFonts w:hint="eastAsia"/>
        </w:rPr>
        <w:t>按照兜底线、织密网、建机制要求，以社会保险、医疗保障、社会救助、住房保障为重点，健全覆盖全民、统筹城乡、公平统一、可持续的多层次社会保障体系。</w:t>
      </w:r>
    </w:p>
    <w:p>
      <w:pPr>
        <w:pStyle w:val="7"/>
      </w:pPr>
      <w:bookmarkStart w:id="227" w:name="_Toc65598007"/>
      <w:bookmarkStart w:id="228" w:name="_Toc22959"/>
      <w:r>
        <w:rPr>
          <w:rFonts w:hint="eastAsia"/>
        </w:rPr>
        <w:t>第一节 健全多层次社会保障体系</w:t>
      </w:r>
      <w:bookmarkEnd w:id="227"/>
      <w:bookmarkEnd w:id="228"/>
    </w:p>
    <w:p>
      <w:r>
        <w:rPr>
          <w:rFonts w:hint="eastAsia"/>
        </w:rPr>
        <w:t>深入实施全民参保计划，完善中小微企业和广大农民工、灵活就业人员、新就业形态人员、未参保居民等群体参保办法，扩大参保覆盖范围，实现应保尽保。推进社会保障制度统筹统一，完善城镇职工基本养老保险和城乡居民基本养老保险制度，通过转移支付和调剂基金，尽快实现养老保险全县统筹。完善统一的城乡居民基本医疗保险制度和大病保险制度，加强基本医保、大病保险和医疗救助的有效衔接，切实提高医疗保障水平。完善医保异地即时结算制度，基本实现异地就医住院费用直接结算，整体推进支付方式改革。引导有条件的企业建立企业年金，构建多层次的社会保障体系。推进城镇老旧小区改造和县城智慧化改造，实施集中安置点、人才公寓、保障性住房建设及农村危旧房改造，增加保障性住房供应，加快建立多主体供给、多渠道保障、租购并举的住房制度。完善住房租赁补贴制度。</w:t>
      </w:r>
    </w:p>
    <w:p>
      <w:pPr>
        <w:pStyle w:val="7"/>
      </w:pPr>
      <w:bookmarkStart w:id="229" w:name="_Toc8171"/>
      <w:bookmarkStart w:id="230" w:name="_Toc27385"/>
      <w:bookmarkStart w:id="231" w:name="_Toc57024763"/>
      <w:bookmarkStart w:id="232" w:name="_Toc13147"/>
      <w:bookmarkStart w:id="233" w:name="_Toc29805"/>
      <w:bookmarkStart w:id="234" w:name="_Toc65598008"/>
      <w:bookmarkStart w:id="235" w:name="_Toc28296"/>
      <w:bookmarkStart w:id="236" w:name="_Toc14426"/>
      <w:r>
        <w:rPr>
          <w:rFonts w:hint="eastAsia"/>
        </w:rPr>
        <w:t>第二节 加大重点群体服务保障</w:t>
      </w:r>
      <w:bookmarkEnd w:id="229"/>
      <w:bookmarkEnd w:id="230"/>
      <w:bookmarkEnd w:id="231"/>
      <w:bookmarkEnd w:id="232"/>
      <w:bookmarkEnd w:id="233"/>
      <w:bookmarkEnd w:id="234"/>
      <w:bookmarkEnd w:id="235"/>
      <w:bookmarkEnd w:id="236"/>
    </w:p>
    <w:p>
      <w:r>
        <w:rPr>
          <w:rFonts w:hint="eastAsia"/>
        </w:rPr>
        <w:t>建立完善儿童监督监护制度，积极有效预防和打击侵害未成年人合法权益的违法犯罪行为。依法保护农村留守儿童、留守妇女、留守老人的人身权力和合法权益。完善优抚配套政策，妥善做好退役军人安置工作，健全退役军人工作体系和保障制度。统筹做好根治拖欠农民工工资、社会保险、维权救济等劳动保障权益工作，全面落实保障农民工合法权益。加强流浪乞讨人员救助管理。将困难职工帮扶纳入政府救助体系，构建完善救助、维权、服务“三位一体”帮扶格局，实现困难职工帮扶全覆盖。加强残疾人保障体系建设，实现残疾儿童康复救助全覆盖。</w:t>
      </w:r>
    </w:p>
    <w:p>
      <w:pPr>
        <w:pStyle w:val="7"/>
      </w:pPr>
      <w:bookmarkStart w:id="237" w:name="_Toc27094"/>
      <w:bookmarkStart w:id="238" w:name="_Toc57024764"/>
      <w:bookmarkStart w:id="239" w:name="_Toc22461"/>
      <w:bookmarkStart w:id="240" w:name="_Toc15507"/>
      <w:bookmarkStart w:id="241" w:name="_Toc21929"/>
      <w:bookmarkStart w:id="242" w:name="_Toc65598009"/>
      <w:bookmarkStart w:id="243" w:name="_Toc2878"/>
      <w:bookmarkStart w:id="244" w:name="_Toc14640"/>
      <w:r>
        <w:rPr>
          <w:rFonts w:hint="eastAsia"/>
        </w:rPr>
        <w:t>第三节 积极应对人口老龄化</w:t>
      </w:r>
      <w:bookmarkEnd w:id="237"/>
      <w:bookmarkEnd w:id="238"/>
      <w:bookmarkEnd w:id="239"/>
      <w:bookmarkEnd w:id="240"/>
      <w:bookmarkEnd w:id="241"/>
      <w:bookmarkEnd w:id="242"/>
      <w:bookmarkEnd w:id="243"/>
      <w:bookmarkEnd w:id="244"/>
    </w:p>
    <w:p>
      <w:r>
        <w:rPr>
          <w:rFonts w:hint="eastAsia"/>
          <w:b/>
        </w:rPr>
        <w:t>促进人口长期均衡发展。</w:t>
      </w:r>
      <w:r>
        <w:rPr>
          <w:rFonts w:hint="eastAsia"/>
        </w:rPr>
        <w:t>实施全面两孩政策，强化妇幼健康服务，落实婚检及孕期产后综合防控措施，全面降低出生缺陷风险。改革完善计划生育服务管理，注重宣传倡导、服务关怀、政策引导和依法行政。树立科学文明进步的婚育观，做好优生优育全程服务。保障女性就业等合法权益，精准帮扶有特殊困难的家庭。发展普惠托育服务体系，建设托育服务设施，降低生育、养育、教育成本。</w:t>
      </w:r>
    </w:p>
    <w:p>
      <w:r>
        <w:rPr>
          <w:rFonts w:hint="eastAsia"/>
          <w:b/>
        </w:rPr>
        <w:t>完善养老服务体系。</w:t>
      </w:r>
      <w:r>
        <w:rPr>
          <w:rFonts w:hint="eastAsia"/>
        </w:rPr>
        <w:t>推动养老事业和养老产业协同发展，健全基本养老服务体系，发展普惠型养老服务和互助性养老，培育养老新业态，构建居家社区机构相协调、医养康养相结合的养老服务体系。加快完善敬老院、日间照料中心、老年养护院和护理院等养老服务基础设施，提升养老服务能力。鼓励和支持社会组织、民办机构开展养老服务。</w:t>
      </w:r>
    </w:p>
    <w:p>
      <w:pPr>
        <w:pStyle w:val="2"/>
      </w:pPr>
    </w:p>
    <w:p>
      <w:pPr>
        <w:pStyle w:val="3"/>
        <w:rPr>
          <w:color w:val="auto"/>
        </w:rPr>
      </w:pPr>
    </w:p>
    <w:tbl>
      <w:tblPr>
        <w:tblStyle w:val="2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8359" w:type="dxa"/>
            <w:shd w:val="clear" w:color="auto" w:fill="D0CECE"/>
            <w:vAlign w:val="center"/>
          </w:tcPr>
          <w:p>
            <w:pPr>
              <w:pStyle w:val="31"/>
            </w:pPr>
            <w:r>
              <w:t>专栏</w:t>
            </w:r>
            <w:r>
              <w:rPr>
                <w:rFonts w:hint="eastAsia"/>
              </w:rPr>
              <w:t>25  社会保障重点建设项目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8359" w:type="dxa"/>
            <w:shd w:val="clear" w:color="auto" w:fill="FFFFFF"/>
            <w:vAlign w:val="center"/>
          </w:tcPr>
          <w:p>
            <w:pPr>
              <w:rPr>
                <w:sz w:val="24"/>
                <w:szCs w:val="24"/>
              </w:rPr>
            </w:pPr>
            <w:r>
              <w:rPr>
                <w:rFonts w:hint="eastAsia"/>
                <w:b/>
                <w:sz w:val="24"/>
                <w:szCs w:val="24"/>
              </w:rPr>
              <w:t>1.社会保障体系建设项目：</w:t>
            </w:r>
            <w:r>
              <w:rPr>
                <w:rFonts w:hint="eastAsia"/>
                <w:sz w:val="24"/>
                <w:szCs w:val="24"/>
              </w:rPr>
              <w:t>丹巴步行街社区综合服务站建设项目；农民工未成年保护中心项目；丹巴县城镇老旧小区改造项目；丹巴县智慧城市改造项目；</w:t>
            </w:r>
          </w:p>
          <w:p>
            <w:pPr>
              <w:rPr>
                <w:sz w:val="24"/>
                <w:szCs w:val="24"/>
              </w:rPr>
            </w:pPr>
            <w:r>
              <w:rPr>
                <w:rFonts w:hint="eastAsia"/>
                <w:sz w:val="24"/>
                <w:szCs w:val="24"/>
              </w:rPr>
              <w:t>建设半扇门镇阿娘沟一村、关州村，墨尔多山镇科尔金村、红五月村集中安置点项目；人才公寓建设项目；保障性住房建设项目；农村居民住房重建和维修加固项目。</w:t>
            </w:r>
          </w:p>
          <w:p>
            <w:pPr>
              <w:numPr>
                <w:ilvl w:val="0"/>
                <w:numId w:val="3"/>
              </w:numPr>
              <w:ind w:left="0" w:firstLine="482" w:firstLineChars="0"/>
              <w:rPr>
                <w:sz w:val="24"/>
                <w:szCs w:val="24"/>
              </w:rPr>
            </w:pPr>
            <w:r>
              <w:rPr>
                <w:rFonts w:hint="eastAsia"/>
                <w:b/>
                <w:sz w:val="24"/>
                <w:szCs w:val="24"/>
              </w:rPr>
              <w:t>社会救助体系建设项目：</w:t>
            </w:r>
            <w:r>
              <w:rPr>
                <w:rFonts w:hint="eastAsia"/>
                <w:sz w:val="24"/>
                <w:szCs w:val="24"/>
              </w:rPr>
              <w:t>流浪者救助站项目、红十字会救灾备灾仓库项目</w:t>
            </w:r>
          </w:p>
          <w:p>
            <w:pPr>
              <w:rPr>
                <w:sz w:val="24"/>
                <w:szCs w:val="24"/>
              </w:rPr>
            </w:pPr>
            <w:r>
              <w:rPr>
                <w:rFonts w:hint="eastAsia"/>
                <w:b/>
                <w:sz w:val="24"/>
                <w:szCs w:val="24"/>
              </w:rPr>
              <w:t>3.</w:t>
            </w:r>
            <w:r>
              <w:rPr>
                <w:rFonts w:hint="eastAsia"/>
                <w:sz w:val="24"/>
                <w:szCs w:val="24"/>
              </w:rPr>
              <w:t>革命烈士纪念体系建设项目；丹巴县革命烈士纪念园改扩建项目；丹巴县红军翻越党嶺雪山纪念项目和五处基层纪念设施建设维修项目及十二个乡镇、四个社区退役军人服务保障能力建设项目。</w:t>
            </w:r>
          </w:p>
          <w:p>
            <w:pPr>
              <w:rPr>
                <w:b/>
                <w:bCs/>
              </w:rPr>
            </w:pPr>
            <w:r>
              <w:rPr>
                <w:rFonts w:hint="eastAsia"/>
                <w:b/>
                <w:sz w:val="24"/>
                <w:szCs w:val="24"/>
              </w:rPr>
              <w:t>4.社会养老服务体系建设项目：</w:t>
            </w:r>
            <w:r>
              <w:rPr>
                <w:rFonts w:hint="eastAsia"/>
                <w:sz w:val="24"/>
                <w:szCs w:val="24"/>
              </w:rPr>
              <w:t>中心敬老院、老年养护中心项目；社区、乡镇日间照料中心项目。</w:t>
            </w:r>
          </w:p>
        </w:tc>
      </w:tr>
    </w:tbl>
    <w:p>
      <w:pPr>
        <w:pStyle w:val="4"/>
      </w:pPr>
    </w:p>
    <w:p>
      <w:pPr>
        <w:pStyle w:val="2"/>
        <w:rPr>
          <w:rFonts w:ascii="Arial" w:hAnsi="Arial" w:eastAsia="方正小标宋简体"/>
          <w:kern w:val="44"/>
          <w:sz w:val="36"/>
          <w:szCs w:val="44"/>
        </w:rPr>
      </w:pPr>
      <w:r>
        <w:br w:type="page"/>
      </w:r>
    </w:p>
    <w:p>
      <w:pPr>
        <w:pStyle w:val="4"/>
      </w:pPr>
      <w:bookmarkStart w:id="245" w:name="_Toc65598010"/>
      <w:r>
        <w:rPr>
          <w:rFonts w:hint="eastAsia"/>
        </w:rPr>
        <w:t>第八篇 加强精神文明建设，丰富群众文化生活</w:t>
      </w:r>
      <w:bookmarkEnd w:id="245"/>
    </w:p>
    <w:p>
      <w:pPr>
        <w:pStyle w:val="6"/>
        <w:numPr>
          <w:ilvl w:val="0"/>
          <w:numId w:val="1"/>
        </w:numPr>
        <w:ind w:firstLineChars="0"/>
      </w:pPr>
      <w:bookmarkStart w:id="246" w:name="_Toc65598011"/>
      <w:r>
        <w:rPr>
          <w:rFonts w:hint="eastAsia"/>
        </w:rPr>
        <w:t>推进文化繁荣发展</w:t>
      </w:r>
      <w:bookmarkEnd w:id="246"/>
    </w:p>
    <w:p>
      <w:r>
        <w:rPr>
          <w:rFonts w:hint="eastAsia"/>
        </w:rPr>
        <w:t>坚定文化自信，以铸牢中华民族共同体意识为引领，以提升丹巴公共文化服务水平，健全现代文化产业体系为抓手，大力弘扬社会主义核心价值观，丰富人民精神文化生活，增强群众精神力量。</w:t>
      </w:r>
    </w:p>
    <w:p>
      <w:pPr>
        <w:pStyle w:val="7"/>
      </w:pPr>
      <w:bookmarkStart w:id="247" w:name="_Toc65598012"/>
      <w:r>
        <w:rPr>
          <w:rFonts w:hint="eastAsia"/>
        </w:rPr>
        <w:t>第一节 铸牢中华民族共同体意识</w:t>
      </w:r>
      <w:bookmarkEnd w:id="247"/>
    </w:p>
    <w:p>
      <w:r>
        <w:rPr>
          <w:rFonts w:hint="eastAsia"/>
        </w:rPr>
        <w:t>习近平总书记在第七次西藏工作会上强调，要深刻认识到中华民族是命运共同体，促进各民族交流交融，不断巩固各民族大团结。坚持把铸牢中华民族共同体意识作为新时代民族工作的主线，所有工作都赋予民族团结进步的意义，巩固提升全省民族团结进步示范县创建成果。深化中华民族视觉形象工程，打造融自然景观、传统文化、红色文化、民族风情、主流价值为一体的“主题文化长廊”。深入推进群众性精神文明建设、公民道德建设、诚信社会建设，大力培育和践行社会主义核心价值观，弘扬新时代公民道德标准。全面推进新时代文明实践中心、实践所、实践站建设，推动宣传思想工作高质量发展。持续深化“润育工程”五大行动，不断增强各族人民“三个离不开”和“五个认同”意识。</w:t>
      </w:r>
    </w:p>
    <w:p>
      <w:pPr>
        <w:pStyle w:val="7"/>
      </w:pPr>
      <w:bookmarkStart w:id="248" w:name="_Toc65598013"/>
      <w:bookmarkStart w:id="249" w:name="_Toc28650"/>
      <w:bookmarkStart w:id="250" w:name="_Toc8776"/>
      <w:r>
        <w:rPr>
          <w:rFonts w:hint="eastAsia"/>
        </w:rPr>
        <w:t>第二节 提升公共文化服务水平</w:t>
      </w:r>
      <w:bookmarkEnd w:id="248"/>
      <w:bookmarkEnd w:id="249"/>
      <w:bookmarkEnd w:id="250"/>
    </w:p>
    <w:p>
      <w:bookmarkStart w:id="251" w:name="_Toc59095666"/>
      <w:bookmarkStart w:id="252" w:name="_Toc55847324"/>
      <w:r>
        <w:rPr>
          <w:rFonts w:hint="eastAsia"/>
          <w:b/>
        </w:rPr>
        <w:t>完善城乡公共文化设施。</w:t>
      </w:r>
      <w:r>
        <w:rPr>
          <w:rFonts w:hint="eastAsia"/>
        </w:rPr>
        <w:t>推进县文化馆、图书馆、乡镇文化站、村级文化活动室基础设施建设提档升级，新建村级微博馆，打造县城“十五分钟文化圈”，农村“半小时文化圈”。推进光网传输和5G网络建设，新建乡镇广电公共服务站，延伸广电服务中心服务保障功能。加快应急广播与其它平台融合建设。</w:t>
      </w:r>
      <w:r>
        <w:rPr>
          <w:rFonts w:hint="eastAsia"/>
          <w:b/>
        </w:rPr>
        <w:t>提升公共文化服务能力。</w:t>
      </w:r>
      <w:r>
        <w:rPr>
          <w:rFonts w:hint="eastAsia"/>
        </w:rPr>
        <w:t>推动公共文化设施免费开放、错延时开放和服务，促进基本公共文化服务均等化。加大数字文化馆、图书馆建设，提升公共文化服务数字化水平。加快智慧旅游平台建设，逐步实现基于多平台的信息查询、服务订购、在线交易和应急处理等业务。</w:t>
      </w:r>
      <w:r>
        <w:rPr>
          <w:rFonts w:hint="eastAsia"/>
          <w:b/>
        </w:rPr>
        <w:t>加强优秀传统文化保护与传承。</w:t>
      </w:r>
      <w:r>
        <w:rPr>
          <w:rFonts w:hint="eastAsia"/>
        </w:rPr>
        <w:t>实施中华优秀传统文化传承发展工程，深入挖掘红色文化、嘉绒文化、大东女国文化等特色文化资源，系统打造丹巴特色文化成果。实施文物修缮工程，全力做好丹巴藏民独立师旧址、红五军政治部遗址、古碉群等历史、革命文物维修与保护。推进“丹巴锅庄”、“顶毪衫歌”、“丹巴山歌”等非物质文化遗产的保存、申报，传承文化底蕴，建设非物质文化遗产传承基地、传习所、扶贫工坊，扶持与培养非遗代表性传承人，努力修复文化传承链。加强嘉绒文化整体性和区域性保护。</w:t>
      </w:r>
    </w:p>
    <w:bookmarkEnd w:id="251"/>
    <w:bookmarkEnd w:id="252"/>
    <w:p>
      <w:pPr>
        <w:pStyle w:val="7"/>
      </w:pPr>
      <w:bookmarkStart w:id="253" w:name="_Toc65598014"/>
      <w:r>
        <w:rPr>
          <w:rFonts w:hint="eastAsia"/>
        </w:rPr>
        <w:t>第三节 健全现代文化产业体系</w:t>
      </w:r>
      <w:bookmarkEnd w:id="253"/>
    </w:p>
    <w:p>
      <w:r>
        <w:rPr>
          <w:rFonts w:hint="eastAsia"/>
          <w:b/>
        </w:rPr>
        <w:t>扩大优质文化产品供给。</w:t>
      </w:r>
      <w:r>
        <w:rPr>
          <w:rFonts w:hint="eastAsia"/>
        </w:rPr>
        <w:t>加强优秀文艺作品创作生产，壮大文化旅游、演艺娱乐、音乐制作、微电影、微视频、微纪录片创作，推动各艺术门类创作全面繁荣。实施文化惠民工程，广泛开展送文化、送演出下乡文化服务，增加农村公共文化服务总量供给。</w:t>
      </w:r>
      <w:r>
        <w:rPr>
          <w:rFonts w:hint="eastAsia"/>
          <w:b/>
        </w:rPr>
        <w:t>打造文化产业集聚区。</w:t>
      </w:r>
      <w:r>
        <w:rPr>
          <w:rFonts w:hint="eastAsia"/>
        </w:rPr>
        <w:t>推进文化和旅游深度融合，推动甲居藏寨、中路藏寨等特色文化产业集聚区建设，围绕拍摄、旅游观光，引进培育一批龙头企业，完善产业链，提升产业集聚发展水平。</w:t>
      </w:r>
      <w:r>
        <w:rPr>
          <w:rFonts w:hint="eastAsia"/>
          <w:b/>
        </w:rPr>
        <w:t>加大文旅品牌创建工作。</w:t>
      </w:r>
      <w:r>
        <w:rPr>
          <w:rFonts w:hint="eastAsia"/>
        </w:rPr>
        <w:t>按照“全域生态化，通道标准化，乡村公园化”标准，巩固“中国最美乡村”、4A品牌和全国首批乡村旅游重点村等品牌，</w:t>
      </w:r>
      <w:r>
        <w:rPr>
          <w:rFonts w:hint="eastAsia" w:ascii="仿宋_GB2312" w:eastAsia="仿宋_GB2312" w:cs="仿宋"/>
        </w:rPr>
        <w:t>成功创建天府旅游名县、丹巴嘉绒文化生态保护实验区、美人谷旅游度假区，并最终成功创建国家级全域旅游示范区。</w:t>
      </w:r>
      <w:r>
        <w:rPr>
          <w:rFonts w:hint="eastAsia" w:eastAsia="仿宋_GB2312"/>
          <w:bCs/>
          <w:spacing w:val="-4"/>
        </w:rPr>
        <w:t>成立特色民宿发展办和民宿发展联盟，支持和引领民宿集群发展，打造</w:t>
      </w:r>
      <w:r>
        <w:rPr>
          <w:rFonts w:hint="eastAsia" w:ascii="仿宋_GB2312" w:eastAsia="仿宋_GB2312"/>
        </w:rPr>
        <w:t>高端民宿集群。</w:t>
      </w:r>
      <w:r>
        <w:rPr>
          <w:rFonts w:hint="eastAsia"/>
          <w:b/>
        </w:rPr>
        <w:t>加大文旅宣传营销工作。</w:t>
      </w:r>
      <w:r>
        <w:rPr>
          <w:rFonts w:hint="eastAsia"/>
        </w:rPr>
        <w:t>整合媒体资源，有效利用州、县媒体平台及合作的媒体资源，围绕丹巴县“三大品牌”加强宣传力度，形成良好的发展氛围。整合节会活动，通过举办丹巴嘉绒风情节、嘉绒代汝节等具有代表性的品牌活动，增强节庆吸引力，唱响丹巴主题品牌。</w:t>
      </w:r>
    </w:p>
    <w:p>
      <w:pPr>
        <w:pStyle w:val="2"/>
      </w:pPr>
    </w:p>
    <w:p>
      <w:pPr>
        <w:widowControl/>
        <w:spacing w:line="240" w:lineRule="auto"/>
        <w:ind w:firstLine="0" w:firstLineChars="0"/>
        <w:jc w:val="left"/>
      </w:pPr>
      <w:r>
        <w:br w:type="page"/>
      </w:r>
    </w:p>
    <w:p>
      <w:pPr>
        <w:pStyle w:val="2"/>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D0CECE"/>
            <w:vAlign w:val="center"/>
          </w:tcPr>
          <w:p>
            <w:pPr>
              <w:pStyle w:val="31"/>
            </w:pPr>
            <w:r>
              <w:rPr>
                <w:rFonts w:hint="eastAsia"/>
              </w:rPr>
              <w:t>专栏26  文化重点项目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center"/>
          </w:tcPr>
          <w:p>
            <w:pPr>
              <w:rPr>
                <w:sz w:val="24"/>
                <w:szCs w:val="24"/>
              </w:rPr>
            </w:pPr>
            <w:r>
              <w:rPr>
                <w:rFonts w:hint="eastAsia"/>
                <w:b/>
                <w:sz w:val="24"/>
                <w:szCs w:val="24"/>
              </w:rPr>
              <w:t>1.文化公共服务体系：</w:t>
            </w:r>
            <w:r>
              <w:rPr>
                <w:rFonts w:hint="eastAsia"/>
                <w:sz w:val="24"/>
                <w:szCs w:val="24"/>
              </w:rPr>
              <w:t>县级文化馆、图书馆，乡镇文化站、村级文化活动室基础设施升级改造项目；新建村级微博馆、文化院坝；县</w:t>
            </w:r>
            <w:r>
              <w:rPr>
                <w:sz w:val="24"/>
                <w:szCs w:val="24"/>
              </w:rPr>
              <w:t>数字文化馆、图书馆建设</w:t>
            </w:r>
            <w:r>
              <w:rPr>
                <w:rFonts w:hint="eastAsia"/>
                <w:sz w:val="24"/>
                <w:szCs w:val="24"/>
              </w:rPr>
              <w:t>项目；智慧旅游平台建设项目；新时代文明实践中心、实践所、实践站。</w:t>
            </w:r>
          </w:p>
          <w:p>
            <w:pPr>
              <w:rPr>
                <w:sz w:val="24"/>
                <w:szCs w:val="24"/>
              </w:rPr>
            </w:pPr>
            <w:r>
              <w:rPr>
                <w:rFonts w:hint="eastAsia" w:cs="仿宋"/>
                <w:b/>
                <w:sz w:val="24"/>
                <w:szCs w:val="24"/>
              </w:rPr>
              <w:t>2.传统文化保护</w:t>
            </w:r>
            <w:r>
              <w:rPr>
                <w:rFonts w:hint="eastAsia" w:cs="仿宋"/>
                <w:sz w:val="24"/>
                <w:szCs w:val="24"/>
              </w:rPr>
              <w:t>：革命烈士纪念园、</w:t>
            </w:r>
            <w:r>
              <w:rPr>
                <w:rFonts w:hint="eastAsia"/>
                <w:sz w:val="24"/>
                <w:szCs w:val="24"/>
              </w:rPr>
              <w:t>丹巴藏民独立师旧址、红五军政治部遗址、古碉群</w:t>
            </w:r>
            <w:r>
              <w:rPr>
                <w:sz w:val="24"/>
                <w:szCs w:val="24"/>
              </w:rPr>
              <w:t>等历史、革命文物维修与保护</w:t>
            </w:r>
            <w:r>
              <w:rPr>
                <w:rFonts w:hint="eastAsia"/>
                <w:sz w:val="24"/>
                <w:szCs w:val="24"/>
              </w:rPr>
              <w:t>项目；</w:t>
            </w:r>
            <w:r>
              <w:rPr>
                <w:sz w:val="24"/>
                <w:szCs w:val="24"/>
              </w:rPr>
              <w:t>非物质文化遗产保护体系</w:t>
            </w:r>
            <w:r>
              <w:rPr>
                <w:rFonts w:hint="eastAsia"/>
                <w:sz w:val="24"/>
                <w:szCs w:val="24"/>
              </w:rPr>
              <w:t>项目。</w:t>
            </w:r>
          </w:p>
          <w:p>
            <w:pPr>
              <w:rPr>
                <w:sz w:val="24"/>
                <w:szCs w:val="24"/>
              </w:rPr>
            </w:pPr>
            <w:r>
              <w:rPr>
                <w:rFonts w:cs="仿宋"/>
                <w:b/>
                <w:sz w:val="24"/>
                <w:szCs w:val="24"/>
              </w:rPr>
              <w:t>3</w:t>
            </w:r>
            <w:r>
              <w:rPr>
                <w:rFonts w:hint="eastAsia" w:cs="仿宋"/>
                <w:b/>
                <w:sz w:val="24"/>
                <w:szCs w:val="24"/>
              </w:rPr>
              <w:t>.文化产业发展</w:t>
            </w:r>
            <w:r>
              <w:rPr>
                <w:rFonts w:hint="eastAsia" w:cs="仿宋"/>
                <w:sz w:val="24"/>
                <w:szCs w:val="24"/>
              </w:rPr>
              <w:t>：</w:t>
            </w:r>
            <w:r>
              <w:rPr>
                <w:rFonts w:hint="eastAsia"/>
                <w:sz w:val="24"/>
                <w:szCs w:val="24"/>
              </w:rPr>
              <w:t>巩固“中国最美村寨”、4A品牌和全国首批乡村旅游重点村品牌项目。</w:t>
            </w:r>
          </w:p>
          <w:p>
            <w:pPr>
              <w:rPr>
                <w:rFonts w:cs="仿宋"/>
              </w:rPr>
            </w:pPr>
            <w:r>
              <w:rPr>
                <w:rFonts w:hint="eastAsia"/>
                <w:b/>
                <w:sz w:val="24"/>
                <w:szCs w:val="24"/>
              </w:rPr>
              <w:t>4.广电设施建设</w:t>
            </w:r>
            <w:r>
              <w:rPr>
                <w:rFonts w:hint="eastAsia"/>
                <w:sz w:val="24"/>
                <w:szCs w:val="24"/>
              </w:rPr>
              <w:t>：丹巴县广播电视节目覆盖工程项目；藏区有线广播电视传输干线建设项目；丹巴县应急广播体系建设项目；光网传输和5G网络建设项目；新建乡镇广电公共服务站项目。</w:t>
            </w:r>
          </w:p>
        </w:tc>
      </w:tr>
    </w:tbl>
    <w:p>
      <w:pPr>
        <w:pStyle w:val="2"/>
        <w:rPr>
          <w:rFonts w:ascii="Arial" w:hAnsi="Arial" w:eastAsia="方正小标宋简体"/>
          <w:kern w:val="44"/>
          <w:sz w:val="36"/>
          <w:szCs w:val="44"/>
        </w:rPr>
      </w:pPr>
      <w:r>
        <w:br w:type="page"/>
      </w:r>
    </w:p>
    <w:p>
      <w:pPr>
        <w:pStyle w:val="4"/>
      </w:pPr>
      <w:bookmarkStart w:id="254" w:name="_Toc65598015"/>
      <w:r>
        <w:rPr>
          <w:rFonts w:hint="eastAsia"/>
        </w:rPr>
        <w:t>第九篇 深化改革攻坚，提升对外开放水平</w:t>
      </w:r>
      <w:bookmarkEnd w:id="254"/>
    </w:p>
    <w:p>
      <w:pPr>
        <w:pStyle w:val="6"/>
        <w:numPr>
          <w:ilvl w:val="0"/>
          <w:numId w:val="1"/>
        </w:numPr>
        <w:ind w:firstLineChars="0"/>
      </w:pPr>
      <w:r>
        <w:rPr>
          <w:rFonts w:hint="eastAsia"/>
        </w:rPr>
        <w:t xml:space="preserve"> </w:t>
      </w:r>
      <w:bookmarkStart w:id="255" w:name="_Toc65598016"/>
      <w:r>
        <w:rPr>
          <w:rFonts w:hint="eastAsia"/>
        </w:rPr>
        <w:t>深化重点领域和关键环节改革</w:t>
      </w:r>
      <w:bookmarkEnd w:id="255"/>
    </w:p>
    <w:p>
      <w:r>
        <w:rPr>
          <w:rFonts w:hint="eastAsia"/>
        </w:rPr>
        <w:t>坚持以深化供给侧结构性改革为主线，聚焦改革的重点领域和关键环节，激发市场主体活力，强化要素之城，提升创新能力，优化营商环境，增强县域经济发展动能。</w:t>
      </w:r>
    </w:p>
    <w:p>
      <w:pPr>
        <w:pStyle w:val="7"/>
      </w:pPr>
      <w:bookmarkStart w:id="256" w:name="_Toc65598017"/>
      <w:r>
        <w:rPr>
          <w:rFonts w:hint="eastAsia"/>
        </w:rPr>
        <w:t>第一节 创新机制改革</w:t>
      </w:r>
      <w:bookmarkEnd w:id="256"/>
    </w:p>
    <w:p>
      <w:r>
        <w:rPr>
          <w:rFonts w:hint="eastAsia"/>
        </w:rPr>
        <w:t>深化区域合作发展，</w:t>
      </w:r>
      <w:bookmarkStart w:id="257" w:name="_Toc53405354"/>
      <w:r>
        <w:rPr>
          <w:rFonts w:hint="eastAsia"/>
        </w:rPr>
        <w:t>推进开放合作平台载体建设</w:t>
      </w:r>
      <w:bookmarkEnd w:id="257"/>
      <w:r>
        <w:rPr>
          <w:rFonts w:hint="eastAsia"/>
        </w:rPr>
        <w:t>，全面提升开放型经济水平。营造各种所有制经济依法平等使用生产要素、公平参与市场竞争、同等受到法律保护的市场环境。形成公平、法制健全和社会信用体系完善的现代市场体系。积极稳妥推进国有企业混合所有制改革，推动平台公司市场化转型，引导国有资本更好的服务城市发展。加强市场诚信体系建设，建立健全社会信用制度，完善企业和个人信用服务体系，增强全社会信用意识，营造诚实守信的社会环境。深入推进简政放权，鼓励和引导社会组织、企事业单位、人民群众积极参与社会治理。培育一批拥护党的领导、政治上可靠的规范化行业协会商会、公益慈善组织、城乡社区社会组织。健全政府购买服务机制，完善政府向社会组织购买服务清单，把适合由社会组织提供的公共服务和解决事项交由社会组织承担。支持和发展社会工作服务机构和志愿服务组织，加强对社会组织综合监管，规范和引导网络社团社群健康发展。</w:t>
      </w:r>
    </w:p>
    <w:p>
      <w:pPr>
        <w:pStyle w:val="7"/>
      </w:pPr>
      <w:bookmarkStart w:id="258" w:name="_Toc26473"/>
      <w:bookmarkStart w:id="259" w:name="_Toc32453"/>
      <w:bookmarkStart w:id="260" w:name="_Toc57024711"/>
      <w:bookmarkStart w:id="261" w:name="_Toc65598018"/>
      <w:bookmarkStart w:id="262" w:name="_Toc15503"/>
      <w:bookmarkStart w:id="263" w:name="_Toc19276"/>
      <w:bookmarkStart w:id="264" w:name="_Toc26384"/>
      <w:r>
        <w:rPr>
          <w:rFonts w:hint="eastAsia"/>
        </w:rPr>
        <w:t>第二节 深化土地关键环节改革</w:t>
      </w:r>
      <w:bookmarkEnd w:id="258"/>
      <w:bookmarkEnd w:id="259"/>
      <w:bookmarkEnd w:id="260"/>
      <w:bookmarkEnd w:id="261"/>
      <w:bookmarkEnd w:id="262"/>
      <w:bookmarkEnd w:id="263"/>
      <w:bookmarkEnd w:id="264"/>
    </w:p>
    <w:p>
      <w:r>
        <w:rPr>
          <w:rFonts w:hint="eastAsia"/>
        </w:rPr>
        <w:t>深化农村土地制度改革，加快农村土地确权成果使用，稳定农户承包权，放活土地经营权，加强农村土地承包经营权流转管理和服务。整合土地资源，国有土地清理、盘活存量土地资源。加快农村集体产权制度改革，推进农村集体资产清产核资，稳步推进农村集体经营性建设用地入市。探索赋予农民对集体资产股份的占有、收益、有偿退出及抵押、担保、继承权。建立健全农村产权流转交易市场体系和服务体系。创新农村发展投入保障机制，推动农村承包土地经营权、农村住房财产权抵押贷款业务，增加农业农村发展筹融资渠道。</w:t>
      </w:r>
    </w:p>
    <w:p>
      <w:pPr>
        <w:pStyle w:val="7"/>
      </w:pPr>
      <w:bookmarkStart w:id="265" w:name="_Toc59095714"/>
      <w:bookmarkStart w:id="266" w:name="_Toc65598019"/>
      <w:r>
        <w:rPr>
          <w:rFonts w:hint="eastAsia"/>
        </w:rPr>
        <w:t>第三节 强化要素支撑能力</w:t>
      </w:r>
      <w:bookmarkEnd w:id="265"/>
      <w:bookmarkEnd w:id="266"/>
    </w:p>
    <w:p>
      <w:r>
        <w:rPr>
          <w:rFonts w:hint="eastAsia"/>
        </w:rPr>
        <w:t>强化资金支持。完善征信、担保、信用体系建设，提升融资机构担保服务水平，降低中小微企业融资成本，助力企业发展。落实普惠金融定向降准政策，提质增效，增强企业对金融服务的获得感。保障土地供给。增强政府土地收储能力、供给能力和管理力度，充分利用土地现行政策，挖掘土地潜力，争取增量同时，盘活土地存量。充分利用土地增减挂政策，利用农村土地整理复垦的新增建设用地指标来增加建设用地指标，保障民营经济重大项目用地需求。重视解决用地历史遗留问题，统筹协调、加强衔接，积极为已使用土地的民营企业办理用地手续，助力企业健康发展。</w:t>
      </w:r>
    </w:p>
    <w:p>
      <w:pPr>
        <w:pStyle w:val="7"/>
      </w:pPr>
      <w:bookmarkStart w:id="267" w:name="_Toc65598020"/>
      <w:bookmarkStart w:id="268" w:name="_Toc59095713"/>
      <w:r>
        <w:rPr>
          <w:rFonts w:hint="eastAsia"/>
        </w:rPr>
        <w:t>第四节 提升科技创新能力</w:t>
      </w:r>
      <w:bookmarkEnd w:id="267"/>
      <w:bookmarkEnd w:id="268"/>
    </w:p>
    <w:p>
      <w:r>
        <w:rPr>
          <w:rFonts w:hint="eastAsia"/>
        </w:rPr>
        <w:t>实施创新驱动发展战略，推动经济发展逐步向以创新为引领、创业为支撑的方向转型。以优化产业布局、推进资源共享为重点，融入省市区域协同发展大格局，推动创新平台共建共享，形成协同创新共同体。推进“大众创业、万众创新”，建立多元化创业创新平台，鼓励发展众创、众扶、众筹空间，推动科技人才、青年大学生、农村致富能手、返乡农民工、居家妇女，以及其他各类民间能人进入创业创新主战场，以创业带动就业。实施科技型小微企业培育工程，分行业、分领域培育发展一批科技型企业，促进裂变式增长，营造创新创业良好生态。</w:t>
      </w:r>
    </w:p>
    <w:p>
      <w:pPr>
        <w:pStyle w:val="7"/>
      </w:pPr>
      <w:bookmarkStart w:id="269" w:name="_Toc59095715"/>
      <w:bookmarkStart w:id="270" w:name="_Toc65598021"/>
      <w:r>
        <w:rPr>
          <w:rFonts w:hint="eastAsia"/>
        </w:rPr>
        <w:t>第五节 打造一流营商环境</w:t>
      </w:r>
      <w:bookmarkEnd w:id="269"/>
      <w:bookmarkEnd w:id="270"/>
    </w:p>
    <w:p>
      <w:r>
        <w:rPr>
          <w:rFonts w:hint="eastAsia"/>
        </w:rPr>
        <w:t>认真落实党中央国务院和省、州决策部署，持续深化“放管服”改革，不断健全县乡村三级政务体系建设，加快推进“一网通办”前提下的“最多跑一次”改革，全面推行“马上办、网上办、就近办、一次办”审批服务模式，逐步实现政务服务标准化、便捷化、效率化和移动化。加快企业注销登记改革，解决企业“出生容易、退出难”问题。探索“互联网+登记”服务，拓宽电子营业执照的应用范围；鼓励电子商务经营者利用全程电子化登记系统办理登记注册，提升注册登记便利化水平。服务民营经济发展,有效提供民营企业发展要素保障，有效保护民营企业合法权益。大力营造重商、尊商、亲商、安商、富商的浓厚氛围，提振民营经济发展信心。引导民营企业向产业链中高端发展，从单纯加工制造向研发、营销延伸。破解民营企业融资难题，支持民营企业上市融资、提高融资担保能力，切实降低经营成本。</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D0CECE"/>
            <w:vAlign w:val="center"/>
          </w:tcPr>
          <w:p>
            <w:pPr>
              <w:pStyle w:val="31"/>
            </w:pPr>
            <w:r>
              <w:rPr>
                <w:rFonts w:hint="eastAsia"/>
              </w:rPr>
              <w:t xml:space="preserve">专栏27  </w:t>
            </w:r>
            <w:r>
              <w:rPr>
                <w:rFonts w:hint="eastAsia"/>
                <w:bCs/>
              </w:rPr>
              <w:t>健全县乡村三级政务体系建设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center"/>
          </w:tcPr>
          <w:p>
            <w:pPr>
              <w:rPr>
                <w:sz w:val="24"/>
                <w:szCs w:val="24"/>
              </w:rPr>
            </w:pPr>
            <w:r>
              <w:rPr>
                <w:rFonts w:hint="eastAsia"/>
                <w:sz w:val="24"/>
                <w:szCs w:val="24"/>
              </w:rPr>
              <w:t>1.提升改造县级政务服务大厅；</w:t>
            </w:r>
          </w:p>
          <w:p>
            <w:pPr>
              <w:rPr>
                <w:sz w:val="24"/>
                <w:szCs w:val="24"/>
              </w:rPr>
            </w:pPr>
            <w:r>
              <w:rPr>
                <w:rFonts w:hint="eastAsia"/>
                <w:sz w:val="24"/>
                <w:szCs w:val="24"/>
              </w:rPr>
              <w:t>2.建设智慧政务服务；</w:t>
            </w:r>
          </w:p>
          <w:p>
            <w:pPr>
              <w:rPr>
                <w:rFonts w:cs="仿宋"/>
              </w:rPr>
            </w:pPr>
            <w:r>
              <w:rPr>
                <w:rFonts w:hint="eastAsia"/>
                <w:sz w:val="24"/>
                <w:szCs w:val="24"/>
              </w:rPr>
              <w:t>3.提升改造乡镇（村）便民服务中心（室）。</w:t>
            </w:r>
          </w:p>
        </w:tc>
      </w:tr>
    </w:tbl>
    <w:p>
      <w:pPr>
        <w:pStyle w:val="6"/>
        <w:numPr>
          <w:ilvl w:val="0"/>
          <w:numId w:val="1"/>
        </w:numPr>
        <w:ind w:firstLineChars="0"/>
      </w:pPr>
      <w:bookmarkStart w:id="271" w:name="_Toc65598022"/>
      <w:bookmarkStart w:id="272" w:name="_Hlk60484455"/>
      <w:r>
        <w:rPr>
          <w:rFonts w:hint="eastAsia"/>
        </w:rPr>
        <w:t>加强区域交流与合作</w:t>
      </w:r>
      <w:bookmarkEnd w:id="271"/>
    </w:p>
    <w:p>
      <w:bookmarkStart w:id="273" w:name="_Toc433927116"/>
      <w:bookmarkStart w:id="274" w:name="_Toc53405352"/>
      <w:r>
        <w:rPr>
          <w:rFonts w:hint="eastAsia"/>
        </w:rPr>
        <w:t>顺应区域经济一体化趋势，抓住交通区位大改善机遇，结合县域经济特色，找准着力点，深化区域合作</w:t>
      </w:r>
      <w:bookmarkEnd w:id="273"/>
      <w:bookmarkEnd w:id="274"/>
      <w:bookmarkStart w:id="275" w:name="_Toc53405353"/>
      <w:bookmarkStart w:id="276" w:name="_Toc433927117"/>
      <w:r>
        <w:rPr>
          <w:rFonts w:hint="eastAsia"/>
        </w:rPr>
        <w:t>交流，不断拓展区域发展空间，全面提升开放型经济水平</w:t>
      </w:r>
      <w:bookmarkEnd w:id="275"/>
      <w:bookmarkEnd w:id="276"/>
      <w:r>
        <w:rPr>
          <w:rFonts w:hint="eastAsia"/>
        </w:rPr>
        <w:t xml:space="preserve">。 </w:t>
      </w:r>
    </w:p>
    <w:p>
      <w:pPr>
        <w:pStyle w:val="7"/>
        <w:numPr>
          <w:ilvl w:val="0"/>
          <w:numId w:val="4"/>
        </w:numPr>
        <w:ind w:firstLineChars="0"/>
      </w:pPr>
      <w:r>
        <w:rPr>
          <w:rFonts w:hint="eastAsia"/>
        </w:rPr>
        <w:t xml:space="preserve"> </w:t>
      </w:r>
      <w:bookmarkStart w:id="277" w:name="_Toc65598023"/>
      <w:r>
        <w:rPr>
          <w:rFonts w:hint="eastAsia"/>
        </w:rPr>
        <w:t>主动打造康东地区核心增长极</w:t>
      </w:r>
      <w:bookmarkEnd w:id="277"/>
    </w:p>
    <w:p>
      <w:r>
        <w:rPr>
          <w:rFonts w:hint="eastAsia"/>
        </w:rPr>
        <w:t>深化区域合作层次，推动与阿坝州小金、金川经济大融合、交通互联互通、生态环境联防联治、社会治理跨地域合作，推进交界区域发展规划衔接、生态产业互动、旅游环线互通、和谐稳定共建；加强与成都、德阳、绵阳、眉山等省内市州合作，通过各类推介会、投资促进活动将丹巴农特产品、优质景区推向全省全国，促进区域合作共赢；积极引进企业入驻“飞地园区”；积极融入成渝地区双城经济圈建设国家战略，发挥各自优势领域的协同共振效应；全面融入全省“一干多支、五区协同”和</w:t>
      </w:r>
      <w:r>
        <w:t>州委</w:t>
      </w:r>
      <w:r>
        <w:rPr>
          <w:rFonts w:hint="eastAsia"/>
        </w:rPr>
        <w:t>“东部率先、南部崛起、北部加快”区域协调</w:t>
      </w:r>
      <w:r>
        <w:t>发展</w:t>
      </w:r>
      <w:r>
        <w:rPr>
          <w:rFonts w:hint="eastAsia"/>
        </w:rPr>
        <w:t>格局，打造康东地区核心增长极。</w:t>
      </w:r>
    </w:p>
    <w:p>
      <w:pPr>
        <w:pStyle w:val="7"/>
      </w:pPr>
      <w:bookmarkStart w:id="278" w:name="_Toc65598024"/>
      <w:r>
        <w:rPr>
          <w:rFonts w:hint="eastAsia"/>
        </w:rPr>
        <w:t>第二节 发展壮大通道经济和流域经济</w:t>
      </w:r>
      <w:bookmarkEnd w:id="278"/>
    </w:p>
    <w:p>
      <w:r>
        <w:rPr>
          <w:rFonts w:hint="eastAsia"/>
        </w:rPr>
        <w:t>积极融入“一带一路”战略，全面推动川滇青、川甘青结合部交通互联互通，畅通与滇西北、藏东南地区的交通物流大通道，借力云南桥头堡、西藏边境口岸，形成四川通向中印缅孟经济走廊、环喜马拉雅经济合作带的国际大通道的重要门户。协调推动铁路、公路和航空等方面与成渝地区双城经济圈互联互通和延伸，积极引进成渝经济圈通信企业参与丹巴大数据、云计算、能源互联网、工业互联网等新基建，加快打通融入成渝经济圈的大通道。发挥川西旅游环线及甘孜州东大门的重要节点作用，结合都江堰至四姑娘山轻轨建设契机，申报山地轨道（阿坝州小金县至甘孜州丹巴县）延伸工程，结合“两康高速”（阿坝州马尔康至甘孜州康定市）建设，修建接入连接线工程，全方位构建丹巴对外大通道。加强县内外、乡镇、农村通道建设，打通“零距离换乘”和“无缝隙衔接”的便捷交通网络。加强信息化基础设施建设，实施“互联网+”、智慧城市、宽带乡村等试点工程，大力发展大数据、云计算和“共享经济”，拓展通道经济发展的时间和空间范围，将丹巴的资源经济有效转化为通道经济。以山地旅游为依托，以推进大渡河流域乡村振兴示范区为抓手，以文旅融合、农旅融合、城乡融合、景村融合为重点推动全县旅游转型高质量发展提升“古碉·藏寨·美人谷”大渡河流域乡村振兴的品牌影响力。积极对接国家推进长江经济带建设战略，加快长江上游生态屏障建设，全面加强与长江流域沿线地区在旅游、特色农业和水电资源开发等方面合作，共同打造流域特色经济带。</w:t>
      </w:r>
    </w:p>
    <w:p>
      <w:pPr>
        <w:pStyle w:val="7"/>
      </w:pPr>
      <w:bookmarkStart w:id="279" w:name="_Toc65598025"/>
      <w:r>
        <w:rPr>
          <w:rFonts w:hint="eastAsia"/>
        </w:rPr>
        <w:t>第三节 深化拓展对口支援工作</w:t>
      </w:r>
      <w:bookmarkEnd w:id="279"/>
    </w:p>
    <w:p>
      <w:r>
        <w:rPr>
          <w:rFonts w:hint="eastAsia"/>
        </w:rPr>
        <w:t>坚持无偿支援与互利合作相结合，发挥好对口支援平台和桥梁作用，用好对口资源政策，创新丰富对口支援内容，推动对口帮扶向对口合作转变。继续深化与自然资源厅、工商职业技术学院等帮扶部门的交流合作，深化拓展与成都市成华区、省外地区援建工作。创新省外地区对口支援和省内发达市县对口支援，开拓珠三角、长三角、成渝等发达地区市场，重点加强深化公共服务、教育和就业创业、特色优势产业发展、乡村振兴、生态建设和环境保护、人才培养和引进、基层组织和政权建设、扩大交流交往等等重点领域受援对接工作，鼓励和支持援建地区优势企业投资旅游、农牧业、清洁能源等特色产业，加强本地特色优势产品在援建地区的市场开拓和品牌推广。积极配合中央国家机关、省级机关、省内发达市(县)、企事业单位、民主党派等开展对口支援工作。深化厅州、院州、校州合作，推动一批重大合作项目落地。</w:t>
      </w:r>
    </w:p>
    <w:bookmarkEnd w:id="272"/>
    <w:p>
      <w:pPr>
        <w:pStyle w:val="6"/>
        <w:numPr>
          <w:ilvl w:val="0"/>
          <w:numId w:val="1"/>
        </w:numPr>
        <w:ind w:firstLineChars="0"/>
      </w:pPr>
      <w:bookmarkStart w:id="280" w:name="_Toc65598026"/>
      <w:r>
        <w:rPr>
          <w:rFonts w:hint="eastAsia"/>
        </w:rPr>
        <w:t>提高对外开放合作水平</w:t>
      </w:r>
      <w:bookmarkEnd w:id="280"/>
    </w:p>
    <w:p>
      <w:r>
        <w:rPr>
          <w:rFonts w:hint="eastAsia"/>
        </w:rPr>
        <w:t>全面对接国家开放合作大战略，强化开放合作意识，树立互利共赢理念，推进开放合作平台载体建设，提升招商引资质量，加强对外经济合作交流，全面扩大对外开放，努力建设开放新丹巴。</w:t>
      </w:r>
    </w:p>
    <w:p>
      <w:r>
        <w:rPr>
          <w:rFonts w:hint="eastAsia"/>
        </w:rPr>
        <w:t>优化投资促进机制，推进以引资载体为主的硬件和以服务体系、管理机制为主的软件建设，营造良好投资环境。坚持以项目为中心，健全招商引资机制，提高招商引资质量和水平。发挥生态资源比较优势，摸清资源家底，对接国家发展战略，建立电子招商项目库。积极参与和举办各种国际性、区域性招商引资活动，鼓励各类资本投向优势产业，提高外来资金利用水平。优化招商引资结构，瞄准市场前沿需求，突出大数据新能源、新材料、旅游开发、特色农产品加工、中藏医药、特色文化等特色优势产业项目引进。依托西博会、农博会和旅博会等投资促进活动与各类展会，围绕“旅游业康养+休闲”、“农牧业园区+体验”、“中藏药种植+文化品牌”三大名片，加大招商引资力度，促进资金引进向资金、技术、管理和人才引进并重转变。依托甘眉、成甘、雅甘等飞地园区，承接适宜项目转移。加强签约项目跟踪落地，建立完善行业归口管理、部门联席会商和信息化动态跟踪制度。</w:t>
      </w:r>
    </w:p>
    <w:p>
      <w:r>
        <w:rPr>
          <w:rFonts w:hint="eastAsia"/>
        </w:rPr>
        <w:t>深化区域合作层次，加强与川滇青、川甘青周边县市交流合作，推动交界地区发展战略落地实施，推进区域发展规划衔接、生态产业互动、旅游环线互通、和谐稳定共建；加强与成都、德阳、绵阳、雅安等省内市州合作，通过各类推介会、投资促进活动将丹巴农特产品、优质景区推向全省全国，促进区域合作共赢；积极推动大东女国阳光康养度假区发展，做好成甘、甘眉工业园区飞地经济工作。拓展区域合作领域，加强校地合作，在决策咨询、科技成果转化、教育强州、人才交流培训、结对共建等方面与省内外大中专院校开展深入合作，强化“借智引脑”工作，促进区域合作共赢；推动校企合作，推进县内企业与大中专院校在人才培养、科技创新、实践教学等方面深度融合发展；促进政企合作，制定出台扶持政策，激发企业技术、资金和管理创新优势，促进政企深度合作。积极开展国际合作，充分利用互联网、国际性展销会等购销对接和宣传推介平台，利用东部营销、市场优势，大力开拓海外市场，扩大产品外销规模；继续培育壮大优质出口企业和出口品牌，加强特色农产品、中藏药材、手工艺品等系列出口产品生产。以旅游、文化合作为重点，努力扩大服务贸易规模，鼓励外资参与旅游国际化服务；支持高等院校、社会团体和民间组织对外开展文化、学术、宗教交流，积极对外展示形象，提升丹巴文化国际影响力。</w:t>
      </w:r>
    </w:p>
    <w:p>
      <w:pPr>
        <w:pStyle w:val="2"/>
      </w:pPr>
      <w:r>
        <w:br w:type="page"/>
      </w:r>
    </w:p>
    <w:p>
      <w:pPr>
        <w:pStyle w:val="4"/>
      </w:pPr>
      <w:bookmarkStart w:id="281" w:name="_Toc2075"/>
    </w:p>
    <w:p>
      <w:pPr>
        <w:pStyle w:val="4"/>
      </w:pPr>
      <w:bookmarkStart w:id="282" w:name="_Toc65598027"/>
      <w:r>
        <w:rPr>
          <w:rFonts w:hint="eastAsia"/>
        </w:rPr>
        <w:t>第十篇 提升综合治理水平，</w:t>
      </w:r>
      <w:bookmarkEnd w:id="281"/>
      <w:r>
        <w:rPr>
          <w:rFonts w:hint="eastAsia"/>
        </w:rPr>
        <w:t>促进社会长治久安</w:t>
      </w:r>
      <w:bookmarkEnd w:id="282"/>
    </w:p>
    <w:p>
      <w:r>
        <w:rPr>
          <w:rFonts w:hint="eastAsia"/>
        </w:rPr>
        <w:t>以创建全国市域社会治理现代化示范州和全省双拥模范县为抓手，强化党建引领，坚持依法治县、预防为主、综合施策，实行政治引领、自治强基、法治保障、德治教化、智治支撑“五治”融合，提高治理体系和治理能力现代化水平。</w:t>
      </w:r>
    </w:p>
    <w:p>
      <w:pPr>
        <w:pStyle w:val="6"/>
        <w:numPr>
          <w:ilvl w:val="0"/>
          <w:numId w:val="1"/>
        </w:numPr>
        <w:ind w:firstLineChars="0"/>
      </w:pPr>
      <w:bookmarkStart w:id="283" w:name="_Toc65598028"/>
      <w:bookmarkStart w:id="284" w:name="_Toc13013"/>
      <w:r>
        <w:rPr>
          <w:rFonts w:hint="eastAsia"/>
        </w:rPr>
        <w:t>加快推进市域社会治理现代化</w:t>
      </w:r>
      <w:bookmarkEnd w:id="283"/>
    </w:p>
    <w:p>
      <w:r>
        <w:rPr>
          <w:rFonts w:hint="eastAsia"/>
        </w:rPr>
        <w:t>以“5</w:t>
      </w:r>
      <w:r>
        <w:t>31</w:t>
      </w:r>
      <w:r>
        <w:rPr>
          <w:rFonts w:hint="eastAsia"/>
        </w:rPr>
        <w:t>”（5个示范村、3个示范镇、1个示范寺庙）创建工作为抓手，推动市域社会治理现代化工作。加快法制政府建设，提升依法行政能力和水平。深化司法体制综合配套改革，推进执法重心下移和规范化建设，提升严格规范公正文明执法水平。加强基层政权建设，健全县乡村三级政务服务体系，推动政务服务向基层延伸，提升网上政务服务能力。</w:t>
      </w:r>
    </w:p>
    <w:p>
      <w:r>
        <w:rPr>
          <w:rFonts w:hint="eastAsia"/>
        </w:rPr>
        <w:t>优化网格化服务管理体系，加强边界地区卡点、警务室设置，推进城区“1</w:t>
      </w:r>
      <w:r>
        <w:t>+2+</w:t>
      </w:r>
      <w:r>
        <w:rPr>
          <w:rFonts w:hint="eastAsia"/>
        </w:rPr>
        <w:t>N”和农村“一村（格）一（辅）警”社区警务模式，推进城镇、村（社区）和寺庙网格化服务全覆盖。推进城乡社区规范化建设，配套建设城乡社区综合服务设施。进一步做好新时代双拥工作，巩固和发展军政、军民团结，推动创建双拥模范城（县）活动广泛深入持久的开展。</w:t>
      </w:r>
    </w:p>
    <w:p>
      <w:r>
        <w:rPr>
          <w:rFonts w:hint="eastAsia"/>
        </w:rPr>
        <w:t>加强社会治理阵地建设，推动综治中心实体化建设，全面完成县级审判法庭建设。全面实施“八五”普法，统筹开展法治示范创建。</w:t>
      </w:r>
    </w:p>
    <w:p>
      <w:r>
        <w:rPr>
          <w:rFonts w:hint="eastAsia"/>
        </w:rPr>
        <w:t>健全覆盖城乡的现代公共法律服务体系，加快基层管理和服务智能化信息化建设。健全社会组织管理监督机制，支持群团组织，广泛参与社会治理。建设社会信用信息资源共享平台，建立守信联合激励和失信联合惩戒联动机制，全力打造诚信丹巴。做好乡（镇）行政区划和村级建制调整改革“后半篇文章”。</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22" w:type="dxa"/>
            <w:shd w:val="clear" w:color="auto" w:fill="BFBFBF"/>
            <w:vAlign w:val="center"/>
          </w:tcPr>
          <w:p>
            <w:pPr>
              <w:pStyle w:val="31"/>
            </w:pPr>
            <w:r>
              <w:t>专栏</w:t>
            </w:r>
            <w:r>
              <w:rPr>
                <w:rFonts w:hint="eastAsia"/>
              </w:rPr>
              <w:t>28  基层治理</w:t>
            </w:r>
            <w:r>
              <w:t>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22" w:type="dxa"/>
            <w:vAlign w:val="center"/>
          </w:tcPr>
          <w:p>
            <w:pPr>
              <w:rPr>
                <w:sz w:val="24"/>
                <w:szCs w:val="24"/>
              </w:rPr>
            </w:pPr>
            <w:r>
              <w:rPr>
                <w:rFonts w:hint="eastAsia"/>
                <w:b/>
                <w:sz w:val="24"/>
                <w:szCs w:val="24"/>
              </w:rPr>
              <w:t>1.基层管理服务</w:t>
            </w:r>
            <w:r>
              <w:rPr>
                <w:rFonts w:hint="eastAsia"/>
                <w:sz w:val="24"/>
                <w:szCs w:val="24"/>
              </w:rPr>
              <w:t>：扩建丹巴县政务大厅，恢复重建半扇门镇、墨尔多山镇2个乡镇办公</w:t>
            </w:r>
            <w:r>
              <w:rPr>
                <w:sz w:val="24"/>
                <w:szCs w:val="24"/>
              </w:rPr>
              <w:t>服务设施和</w:t>
            </w:r>
            <w:r>
              <w:rPr>
                <w:rFonts w:hint="eastAsia"/>
                <w:sz w:val="24"/>
                <w:szCs w:val="24"/>
              </w:rPr>
              <w:t>8</w:t>
            </w:r>
            <w:r>
              <w:rPr>
                <w:sz w:val="24"/>
                <w:szCs w:val="24"/>
              </w:rPr>
              <w:t>个村级办公场所及综合服务设施</w:t>
            </w:r>
            <w:r>
              <w:rPr>
                <w:rFonts w:hint="eastAsia"/>
                <w:sz w:val="24"/>
                <w:szCs w:val="24"/>
              </w:rPr>
              <w:t>。</w:t>
            </w:r>
            <w:r>
              <w:rPr>
                <w:sz w:val="24"/>
                <w:szCs w:val="24"/>
              </w:rPr>
              <w:t>提升</w:t>
            </w:r>
            <w:r>
              <w:rPr>
                <w:rFonts w:hint="eastAsia"/>
                <w:sz w:val="24"/>
                <w:szCs w:val="24"/>
              </w:rPr>
              <w:t>1</w:t>
            </w:r>
            <w:r>
              <w:rPr>
                <w:sz w:val="24"/>
                <w:szCs w:val="24"/>
              </w:rPr>
              <w:t>2个乡（镇）便民服务等级，改扩建社区服务站。</w:t>
            </w:r>
          </w:p>
          <w:p>
            <w:r>
              <w:rPr>
                <w:rFonts w:hint="eastAsia"/>
                <w:b/>
                <w:sz w:val="24"/>
                <w:szCs w:val="24"/>
              </w:rPr>
              <w:t>2.基层政法</w:t>
            </w:r>
            <w:r>
              <w:rPr>
                <w:rFonts w:hint="eastAsia"/>
                <w:sz w:val="24"/>
                <w:szCs w:val="24"/>
              </w:rPr>
              <w:t>：恢复重建半扇门镇、墨尔多山镇2个乡镇</w:t>
            </w:r>
            <w:r>
              <w:rPr>
                <w:sz w:val="24"/>
                <w:szCs w:val="24"/>
              </w:rPr>
              <w:t>派出所</w:t>
            </w:r>
            <w:r>
              <w:rPr>
                <w:rFonts w:hint="eastAsia"/>
                <w:sz w:val="24"/>
                <w:szCs w:val="24"/>
              </w:rPr>
              <w:t>及</w:t>
            </w:r>
            <w:r>
              <w:rPr>
                <w:sz w:val="24"/>
                <w:szCs w:val="24"/>
              </w:rPr>
              <w:t>标准化乡镇中心司法所。</w:t>
            </w:r>
          </w:p>
        </w:tc>
      </w:tr>
    </w:tbl>
    <w:p>
      <w:pPr>
        <w:pStyle w:val="6"/>
        <w:numPr>
          <w:ilvl w:val="0"/>
          <w:numId w:val="1"/>
        </w:numPr>
        <w:ind w:firstLineChars="0"/>
      </w:pPr>
      <w:bookmarkStart w:id="285" w:name="_Toc65598029"/>
      <w:r>
        <w:rPr>
          <w:rFonts w:hint="eastAsia"/>
        </w:rPr>
        <w:t>深入实施依法治县战略</w:t>
      </w:r>
      <w:bookmarkEnd w:id="284"/>
      <w:bookmarkEnd w:id="285"/>
    </w:p>
    <w:p>
      <w:r>
        <w:rPr>
          <w:rFonts w:hint="eastAsia"/>
        </w:rPr>
        <w:t>坚持依宪执政、依法执政为主线，健全完善全面依法治县工作体制机制，充分发挥法治在推进治理体系和治理能力现代化中的重要作用，努力开创全面依法治县工作新局面，为新时代丹巴高质量发展提供有力法治保障。</w:t>
      </w:r>
    </w:p>
    <w:p>
      <w:pPr>
        <w:pStyle w:val="7"/>
      </w:pPr>
      <w:bookmarkStart w:id="286" w:name="_Toc22553"/>
      <w:bookmarkStart w:id="287" w:name="_Toc65598030"/>
      <w:r>
        <w:rPr>
          <w:rFonts w:hint="eastAsia"/>
        </w:rPr>
        <w:t>第一节 加强民主政治建设</w:t>
      </w:r>
      <w:bookmarkEnd w:id="286"/>
      <w:bookmarkEnd w:id="287"/>
    </w:p>
    <w:p>
      <w:r>
        <w:rPr>
          <w:rFonts w:hint="eastAsia"/>
        </w:rPr>
        <w:t>坚持人民代表大会制度，加强人大对“一府一委两院”的监督，提高人大履职能力。坚持中国共产党领导的多党合作和政治协商制度，加强人民政协专门协商机构建设，提高政治协商、民主监督、参政议政水平。坚持民族区域自治制度，推动民族地区发展。健全基层群众自治制度，提高基层治理水平。加强基层民主，健全基层选举、议事、公开、述职、问责等机制，保障人民知情权、参与权、表达权和监督权。加强工会、共青团、妇联、红会、科协、残联等群团组织建设，健全联系广泛、服务群众的群团工作体系，推进社会主义民主不断向前发展。</w:t>
      </w:r>
    </w:p>
    <w:p>
      <w:pPr>
        <w:pStyle w:val="7"/>
      </w:pPr>
      <w:bookmarkStart w:id="288" w:name="_Toc65598031"/>
      <w:bookmarkStart w:id="289" w:name="_Toc32745"/>
      <w:r>
        <w:rPr>
          <w:rFonts w:hint="eastAsia"/>
        </w:rPr>
        <w:t>第二节 持续推进依法行政</w:t>
      </w:r>
      <w:bookmarkEnd w:id="288"/>
      <w:bookmarkEnd w:id="289"/>
    </w:p>
    <w:p>
      <w:r>
        <w:rPr>
          <w:rFonts w:hint="eastAsia"/>
        </w:rPr>
        <w:t>严格执行《重大行政决策程序暂行条例》，充分发挥法律顾问、公职律师参与行政决策的作用，确保依法科学民主决策。完善权力清单动态管理，深化证明事项清理，持续开展“减政便民”和减政放权工作。深入推进“证照分离”改革，中介收费清理。严格规范公正文明执法，规范行政执法裁量权，持续推进行政执法公示制度、执法全过程记录制度、重大执法决定法制审核制度“三项制度”改革试点。加强行政复议规范化建设，充分发挥行政复议监督行政执法，化解行政纠纷，保护当事人合法权益的功能和作用。</w:t>
      </w:r>
    </w:p>
    <w:p>
      <w:pPr>
        <w:pStyle w:val="7"/>
      </w:pPr>
      <w:bookmarkStart w:id="290" w:name="_Toc17"/>
      <w:bookmarkStart w:id="291" w:name="_Toc65598032"/>
      <w:r>
        <w:rPr>
          <w:rFonts w:hint="eastAsia"/>
        </w:rPr>
        <w:t>第三节 深入推进司法公正</w:t>
      </w:r>
      <w:bookmarkEnd w:id="290"/>
      <w:bookmarkEnd w:id="291"/>
    </w:p>
    <w:p>
      <w:r>
        <w:rPr>
          <w:rFonts w:hint="eastAsia"/>
        </w:rPr>
        <w:t>深化司法体制综合配套改革，全面落实司法责任制，推进以审判为中心的刑事诉讼制度改革，加快构建权责一致的司法权运行新机制。健全执法司法监督制约机制，强化执法司法公开，加快构建与新型审判权力运行模式相适应的制约监督体系。完善信用监督、警示和惩戒体系，建立执行工作联席会议制度，开展专项执行行动。强化司法基础力量，推进法院、检察院、司法行政信息化建设。构建县乡村三级法律援助服务网络，加强对农民、困难群众的法律援助，强化法律服务队伍建设。</w:t>
      </w:r>
    </w:p>
    <w:tbl>
      <w:tblPr>
        <w:tblStyle w:val="23"/>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90" w:type="dxa"/>
            <w:shd w:val="clear" w:color="auto" w:fill="BFBFBF"/>
            <w:vAlign w:val="center"/>
          </w:tcPr>
          <w:p>
            <w:pPr>
              <w:pStyle w:val="31"/>
            </w:pPr>
            <w:r>
              <w:rPr>
                <w:rFonts w:hint="eastAsia"/>
              </w:rPr>
              <w:t>专栏29  依法治县重点工程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vAlign w:val="center"/>
          </w:tcPr>
          <w:p>
            <w:pPr>
              <w:pStyle w:val="2"/>
              <w:spacing w:line="560" w:lineRule="exact"/>
              <w:rPr>
                <w:sz w:val="24"/>
                <w:szCs w:val="24"/>
              </w:rPr>
            </w:pPr>
            <w:r>
              <w:rPr>
                <w:rFonts w:hint="eastAsia"/>
                <w:b/>
                <w:sz w:val="24"/>
                <w:szCs w:val="24"/>
              </w:rPr>
              <w:t>1.综合执法建设项目</w:t>
            </w:r>
            <w:r>
              <w:rPr>
                <w:rFonts w:hint="eastAsia"/>
                <w:sz w:val="24"/>
                <w:szCs w:val="24"/>
              </w:rPr>
              <w:t>：丹巴县综合行政执法局综合业务用房建设项目；乡镇执法所建设项目；丹巴县综合执法指挥中心（智慧服务平台）建设项目；丹巴县法院信息化升级改造项目。</w:t>
            </w:r>
          </w:p>
          <w:p>
            <w:pPr>
              <w:pStyle w:val="2"/>
              <w:spacing w:line="560" w:lineRule="exact"/>
            </w:pPr>
            <w:r>
              <w:rPr>
                <w:rFonts w:hint="eastAsia"/>
                <w:b/>
                <w:sz w:val="24"/>
                <w:szCs w:val="24"/>
              </w:rPr>
              <w:t>2.司法基础设施建设项目：</w:t>
            </w:r>
            <w:r>
              <w:rPr>
                <w:rFonts w:hint="eastAsia"/>
                <w:sz w:val="24"/>
                <w:szCs w:val="24"/>
              </w:rPr>
              <w:t>丹巴县规范化基层司法所建设项目；丹巴县规划社区矫正中心建设项目；丹巴县司法行政信息化建设项目。</w:t>
            </w:r>
          </w:p>
        </w:tc>
      </w:tr>
    </w:tbl>
    <w:p>
      <w:pPr>
        <w:pStyle w:val="2"/>
      </w:pPr>
    </w:p>
    <w:p>
      <w:pPr>
        <w:pStyle w:val="6"/>
        <w:numPr>
          <w:ilvl w:val="0"/>
          <w:numId w:val="1"/>
        </w:numPr>
        <w:ind w:firstLineChars="0"/>
      </w:pPr>
      <w:bookmarkStart w:id="292" w:name="bookmark391"/>
      <w:bookmarkEnd w:id="292"/>
      <w:bookmarkStart w:id="293" w:name="_Toc2622"/>
      <w:bookmarkStart w:id="294" w:name="_Toc65598033"/>
      <w:r>
        <w:rPr>
          <w:rFonts w:hint="eastAsia"/>
        </w:rPr>
        <w:t>全力维护社会稳定</w:t>
      </w:r>
      <w:bookmarkEnd w:id="293"/>
      <w:bookmarkEnd w:id="294"/>
    </w:p>
    <w:p>
      <w:pPr>
        <w:pStyle w:val="7"/>
      </w:pPr>
      <w:bookmarkStart w:id="295" w:name="_Toc65598034"/>
      <w:bookmarkStart w:id="296" w:name="_Toc8542"/>
      <w:r>
        <w:rPr>
          <w:rFonts w:hint="eastAsia"/>
        </w:rPr>
        <w:t>第一节 全力维护国家安全</w:t>
      </w:r>
      <w:bookmarkEnd w:id="295"/>
      <w:bookmarkEnd w:id="296"/>
    </w:p>
    <w:p>
      <w:r>
        <w:rPr>
          <w:rFonts w:hint="eastAsia"/>
        </w:rPr>
        <w:t>始终把维护国家整治安全摆在首要位置，把防范化解政治意识与意识形态摆在突出位置，坚定维护国家政权安全、制度安全、意识形态安全。深化维稳体系建设，严密防范和坚决打击各种渗透颠覆破坏活动、暴力恐怖活动、民族分裂活动、宗教极端活动，加强对探访藏胞、滞留藏胞、境外藏胞、国内亲属以及华侨、归侨、侨眷管理服务和教育引导。积极开展干部群众反分裂斗争意识形态教育，落实意识形态工作责任制，加强阵地建设和管理，牢牢掌握意识形态领导权、管理权、话语权，坚决维护意识形态安全。加强网络和信息安全监管，营造清朗、安全可靠网络空间。强化境外非政府组织、基金会、离岸社团、境外敏感人员活动规范管理。继续强化基层政法基础设施建设，夯实基层治理基础。坚持不懈用习近平新时代中国特色社会主义思想武装头脑，教育引导广大党员干部增强“四个意识”，坚定“四个自信”，做到“两个维护”。推进“不忘初心、牢记使命”制度基层全覆盖，广泛生动开展理想信念教育和中国梦宣传教育，引导广大群众感党恩、听党话、跟党走，坚定不移走中国特色社会主义道路。推进机关、学校、医院、国有企业、农牧区、寺管会、街道（社区）、两新党组织标准化建设，推动基层党组织全面进步、全面过硬。完善基层干部人才队伍建设制度，深入实施“双培双带”先锋工程和万名村级后备力量培育工程，发挥党员干部模范带头作用。继续加强党风廉政建设，坚决整治形式主义、官僚主义。</w:t>
      </w:r>
    </w:p>
    <w:p>
      <w:pPr>
        <w:pStyle w:val="7"/>
      </w:pPr>
      <w:bookmarkStart w:id="297" w:name="_Toc19095"/>
      <w:bookmarkStart w:id="298" w:name="_Toc65598035"/>
      <w:r>
        <w:rPr>
          <w:rFonts w:hint="eastAsia"/>
        </w:rPr>
        <w:t>第二节 加强宗教管理、促进各民族和谐共融</w:t>
      </w:r>
      <w:bookmarkEnd w:id="297"/>
      <w:bookmarkEnd w:id="298"/>
    </w:p>
    <w:p>
      <w:bookmarkStart w:id="299" w:name="bookmark414"/>
      <w:bookmarkEnd w:id="299"/>
      <w:r>
        <w:rPr>
          <w:rFonts w:hint="eastAsia"/>
        </w:rPr>
        <w:t>全面落实党的宗教工作方针，加大对藏传佛教活佛转世管理办法的宣传力度。持续推进藏传佛教坚持中国化方向自觉适应社会变革的倡议活动，培养层次合理、衔接有序的藏传佛教代表人士人才队伍。常态开展文明和谐寺庙创建和“爱国爱教爱家乡”、“五二三学教”等活动，引导僧尼守法持戒。全面落实宗教事务管理法规，坚持依法规范精准管理宗教事务，依法查处打击非法宗教组织、非法宗教活动和涉寺涉僧违法犯罪行为，全面提升寺庙管理法治化水平。实施社会大民生带寺庙小民生工程，继续加强寺庙危房改造、僧尼公寓建设、寺庙电力改造、消防设施、“五通”等基础设施建设，推进公共服务均等化，加强困难僧尼生活保障。改革寺庙民主管理委员会传统管理模式，成立“干部+僧人”的新型寺管会，发挥党组织在寺管会的核心引领作用。依法加强寺庙财税、慈善事业、监控及网络活动监管。落实《甘孜藏族自治州民族团结进步条例》，巩固提升全国民族团结进步示范州成果，牢固树立“三个离不开思想”、强化“五个认同”，在各族群众中铸牢中华民族共同体意识。</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522" w:type="dxa"/>
            <w:shd w:val="clear" w:color="auto" w:fill="BFBFBF"/>
            <w:vAlign w:val="center"/>
          </w:tcPr>
          <w:p>
            <w:pPr>
              <w:pStyle w:val="31"/>
            </w:pPr>
            <w:r>
              <w:t>专栏</w:t>
            </w:r>
            <w:r>
              <w:rPr>
                <w:rFonts w:hint="eastAsia"/>
              </w:rPr>
              <w:t>30  全力维护社会稳定</w:t>
            </w:r>
            <w:r>
              <w:t>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22" w:type="dxa"/>
            <w:vAlign w:val="center"/>
          </w:tcPr>
          <w:p>
            <w:pPr>
              <w:rPr>
                <w:sz w:val="24"/>
                <w:szCs w:val="24"/>
              </w:rPr>
            </w:pPr>
            <w:r>
              <w:rPr>
                <w:rFonts w:hint="eastAsia"/>
                <w:b/>
                <w:sz w:val="24"/>
                <w:szCs w:val="24"/>
              </w:rPr>
              <w:t>1.国家安全意识教育</w:t>
            </w:r>
            <w:r>
              <w:rPr>
                <w:rFonts w:hint="eastAsia"/>
                <w:sz w:val="24"/>
                <w:szCs w:val="24"/>
              </w:rPr>
              <w:t>：开展宗教宣传、正确引导，教育引导广大党员干部增强“四个意识”，坚定“四个自信”，做到“两个维护”。推进“不忘初心、牢记使命</w:t>
            </w:r>
            <w:r>
              <w:rPr>
                <w:rFonts w:hint="eastAsia"/>
                <w:sz w:val="24"/>
                <w:szCs w:val="24"/>
                <w:lang w:val="zh-CN"/>
              </w:rPr>
              <w:t>”制度</w:t>
            </w:r>
            <w:r>
              <w:rPr>
                <w:rFonts w:hint="eastAsia"/>
                <w:sz w:val="24"/>
                <w:szCs w:val="24"/>
              </w:rPr>
              <w:t>基层全覆盖。</w:t>
            </w:r>
          </w:p>
          <w:p>
            <w:pPr>
              <w:rPr>
                <w:sz w:val="24"/>
                <w:szCs w:val="24"/>
              </w:rPr>
            </w:pPr>
            <w:r>
              <w:rPr>
                <w:rFonts w:hint="eastAsia"/>
                <w:b/>
                <w:sz w:val="24"/>
                <w:szCs w:val="24"/>
              </w:rPr>
              <w:t>2.寺庙基础设施建设</w:t>
            </w:r>
            <w:r>
              <w:rPr>
                <w:rFonts w:hint="eastAsia"/>
                <w:sz w:val="24"/>
                <w:szCs w:val="24"/>
              </w:rPr>
              <w:t>：新建僧尼公寓300间，新建23处寺庙安全饮水线路共43km，寺庙电力线路改造（新建35座寺庙入寺线路25km，僧房线路改造48000平方米），新建通寺道路（新建5座寺庙通寺公路8km），新建35座寺庙生态厕所。新建寺庙学习图书室20个。</w:t>
            </w:r>
          </w:p>
          <w:p>
            <w:pPr>
              <w:rPr>
                <w:sz w:val="24"/>
                <w:szCs w:val="24"/>
              </w:rPr>
            </w:pPr>
            <w:r>
              <w:rPr>
                <w:rFonts w:hint="eastAsia"/>
                <w:b/>
                <w:sz w:val="24"/>
                <w:szCs w:val="24"/>
              </w:rPr>
              <w:t>3.寺庙文物保护</w:t>
            </w:r>
            <w:r>
              <w:rPr>
                <w:rFonts w:hint="eastAsia"/>
                <w:sz w:val="24"/>
                <w:szCs w:val="24"/>
              </w:rPr>
              <w:t>：维修加固20座寺庙大殿16000平方米；文物保护安全防护设备，新建35座寺庙消防设施。</w:t>
            </w:r>
          </w:p>
          <w:p>
            <w:r>
              <w:rPr>
                <w:rFonts w:hint="eastAsia"/>
                <w:b/>
                <w:sz w:val="24"/>
                <w:szCs w:val="24"/>
              </w:rPr>
              <w:t>4.寺庙管理</w:t>
            </w:r>
            <w:r>
              <w:rPr>
                <w:rFonts w:hint="eastAsia"/>
                <w:sz w:val="24"/>
                <w:szCs w:val="24"/>
              </w:rPr>
              <w:t>：坚持宗教中国化方向，改革寺庙传统管理模式（成立“干部+僧人”寺管会）</w:t>
            </w:r>
          </w:p>
        </w:tc>
      </w:tr>
    </w:tbl>
    <w:p>
      <w:pPr>
        <w:pStyle w:val="6"/>
        <w:numPr>
          <w:ilvl w:val="0"/>
          <w:numId w:val="1"/>
        </w:numPr>
        <w:ind w:firstLineChars="0"/>
      </w:pPr>
      <w:bookmarkStart w:id="300" w:name="_Toc65598036"/>
      <w:bookmarkStart w:id="301" w:name="_Toc28052"/>
      <w:r>
        <w:rPr>
          <w:rFonts w:hint="eastAsia"/>
        </w:rPr>
        <w:t>深化社会治安综合治理</w:t>
      </w:r>
      <w:bookmarkEnd w:id="300"/>
      <w:bookmarkEnd w:id="301"/>
    </w:p>
    <w:p>
      <w:r>
        <w:rPr>
          <w:rFonts w:hint="eastAsia"/>
        </w:rPr>
        <w:t>构建立体化社会治安防控体系，不断增强社会治安防控能力，增强公共安全保障，深入推进平安丹巴建设。</w:t>
      </w:r>
    </w:p>
    <w:p>
      <w:pPr>
        <w:pStyle w:val="7"/>
      </w:pPr>
      <w:bookmarkStart w:id="302" w:name="_Toc65598037"/>
      <w:bookmarkStart w:id="303" w:name="_Toc55847344"/>
      <w:bookmarkStart w:id="304" w:name="_Toc59095686"/>
      <w:bookmarkStart w:id="305" w:name="_Toc17894"/>
      <w:r>
        <w:rPr>
          <w:rFonts w:hint="eastAsia"/>
        </w:rPr>
        <w:t>第一节 构建立体化社会治安体系</w:t>
      </w:r>
      <w:bookmarkEnd w:id="302"/>
      <w:bookmarkEnd w:id="303"/>
      <w:bookmarkEnd w:id="304"/>
      <w:bookmarkEnd w:id="305"/>
    </w:p>
    <w:p>
      <w:r>
        <w:rPr>
          <w:rFonts w:hint="eastAsia"/>
        </w:rPr>
        <w:t>坚持专群结合、群防群治，加强社会治安防控体系建设。推进社会治安防控网建设，加强公安与武警联勤巡逻，建立健全指挥和保障机制。健全网格化服务管理体系，推动民生服务、社会治理落地基层网格。加强社会治理薄弱环节和重点领域防控，做好流动人口服务管理，加强特殊人群帮教管理和服务。建立健全对突发事件的预防预警和应急处理机制。积极推动人民调解、行政调解、司法调解衔接联动，坚持和发展新时代“枫桥经验”，提高化解矛盾纠纷的能力和效率。健全社会心理服务体系和危机干预机制。落实网络空间管理的法律法规，完善网络安全管理机制、舆情监测体系及网络市场管理体系，推进网络空间的规范化发展。加强网络舆论引导，完善舆情监测预警和应对处理机制。</w:t>
      </w:r>
    </w:p>
    <w:p>
      <w:pPr>
        <w:pStyle w:val="7"/>
      </w:pPr>
      <w:bookmarkStart w:id="306" w:name="_Toc59095687"/>
      <w:bookmarkStart w:id="307" w:name="_Toc65598038"/>
      <w:bookmarkStart w:id="308" w:name="_Toc1781"/>
      <w:bookmarkStart w:id="309" w:name="_Toc55847345"/>
      <w:r>
        <w:rPr>
          <w:rFonts w:hint="eastAsia"/>
        </w:rPr>
        <w:t>第二节 加强治安信息化建设</w:t>
      </w:r>
      <w:bookmarkEnd w:id="306"/>
      <w:bookmarkEnd w:id="307"/>
      <w:bookmarkEnd w:id="308"/>
      <w:bookmarkEnd w:id="309"/>
    </w:p>
    <w:p>
      <w:r>
        <w:rPr>
          <w:rFonts w:hint="eastAsia"/>
        </w:rPr>
        <w:t>提高“雪亮工程”覆盖能力，推进“智慧法院”“智慧公安” “智慧检务”“智慧司法”建设，提升公安“天网工程”。加快县乡村三级综合治理中心建设，联网运行“雪亮工程”，为后期维护管理提供必要的保障。加强治安防控系统中的信息化建设，推动公安指挥中心、县城管理中心深度融合，打造社会治理一体化平台。推动法检两院信息化建设和网络安全体系建设。推进12309检察服务中心、未成年人法制教育基地、廉政文化教育中心、周转房等设施建设。通过完善布局，智慧系统建设，平台打造，形成有效的信息化治安能力。</w:t>
      </w:r>
      <w:bookmarkStart w:id="310" w:name="bookmark417"/>
      <w:bookmarkEnd w:id="310"/>
      <w:bookmarkStart w:id="311" w:name="bookmark416"/>
      <w:bookmarkStart w:id="312" w:name="bookmark418"/>
      <w:bookmarkStart w:id="313" w:name="_Toc28481"/>
      <w:bookmarkStart w:id="314" w:name="bookmark415"/>
      <w:bookmarkStart w:id="315" w:name="_Toc55486731"/>
    </w:p>
    <w:p>
      <w:pPr>
        <w:pStyle w:val="7"/>
      </w:pPr>
      <w:bookmarkStart w:id="316" w:name="_Toc65598039"/>
      <w:r>
        <w:rPr>
          <w:rFonts w:hint="eastAsia"/>
        </w:rPr>
        <w:t>第三节 深化社会治安综合治理</w:t>
      </w:r>
      <w:bookmarkEnd w:id="311"/>
      <w:bookmarkEnd w:id="312"/>
      <w:bookmarkEnd w:id="313"/>
      <w:bookmarkEnd w:id="314"/>
      <w:bookmarkEnd w:id="315"/>
      <w:bookmarkEnd w:id="316"/>
    </w:p>
    <w:p>
      <w:r>
        <w:rPr>
          <w:rFonts w:hint="eastAsia"/>
        </w:rPr>
        <w:t>加强5G、物联网、大数据、人工智能等智能化技术应用，深化综治中心联网应用和监管平台建设，建立全县一体化网络应急指挥体系。加快派出所、交警队、检查站等基础设施建设，构建社会治安立体化智能化防控体系。常态化开展扫黑除恶、缉枪治爆、“民转刑”命案防范、禁毒防艾等工作。深化流动人口和重点行业监管机制，推进流动人口精准化管理制度建设，推动流动人口有序融入城镇或享受同城化待遇。加强刑释人员、社会闲散人员、不良行为青少年、邪教人员、吸毒人员、严重精神障碍患者等管教和帮扶。深化治安安全应急管理机制建设，提高全社会安全防范和应急处突能力。</w:t>
      </w:r>
      <w:r>
        <w:br w:type="page"/>
      </w:r>
    </w:p>
    <w:p>
      <w:pPr>
        <w:pStyle w:val="2"/>
      </w:pPr>
    </w:p>
    <w:p>
      <w:pPr>
        <w:pStyle w:val="3"/>
        <w:rPr>
          <w:color w:val="auto"/>
        </w:rPr>
      </w:pPr>
    </w:p>
    <w:p/>
    <w:tbl>
      <w:tblPr>
        <w:tblStyle w:val="23"/>
        <w:tblpPr w:leftFromText="180" w:rightFromText="180" w:vertAnchor="text" w:horzAnchor="page" w:tblpX="1943" w:tblpY="-86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522" w:type="dxa"/>
            <w:shd w:val="clear" w:color="auto" w:fill="BFBFBF"/>
            <w:vAlign w:val="center"/>
          </w:tcPr>
          <w:p>
            <w:pPr>
              <w:pStyle w:val="31"/>
            </w:pPr>
            <w:r>
              <w:t>专栏</w:t>
            </w:r>
            <w:r>
              <w:rPr>
                <w:rFonts w:hint="eastAsia"/>
              </w:rPr>
              <w:t>31  实现民族地区</w:t>
            </w:r>
            <w:r>
              <w:t>治理</w:t>
            </w:r>
            <w:r>
              <w:rPr>
                <w:rFonts w:hint="eastAsia"/>
              </w:rPr>
              <w:t>现代化</w:t>
            </w:r>
            <w:r>
              <w:t>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22" w:type="dxa"/>
            <w:vAlign w:val="center"/>
          </w:tcPr>
          <w:p>
            <w:pPr>
              <w:rPr>
                <w:sz w:val="24"/>
                <w:szCs w:val="24"/>
              </w:rPr>
            </w:pPr>
            <w:r>
              <w:rPr>
                <w:rFonts w:hint="eastAsia"/>
                <w:b/>
                <w:sz w:val="24"/>
                <w:szCs w:val="24"/>
              </w:rPr>
              <w:t>1.法治丹巴</w:t>
            </w:r>
            <w:r>
              <w:rPr>
                <w:rFonts w:hint="eastAsia"/>
                <w:sz w:val="24"/>
                <w:szCs w:val="24"/>
              </w:rPr>
              <w:t>：争创省级法治示范县；创建省级“枫桥式”司法所；建设公共法律服务中心；推进基层人民调解委员会规范化建设。</w:t>
            </w:r>
          </w:p>
          <w:p>
            <w:pPr>
              <w:rPr>
                <w:sz w:val="24"/>
                <w:szCs w:val="24"/>
              </w:rPr>
            </w:pPr>
            <w:r>
              <w:rPr>
                <w:rFonts w:hint="eastAsia"/>
                <w:b/>
                <w:sz w:val="24"/>
                <w:szCs w:val="24"/>
              </w:rPr>
              <w:t>2.信息化建设</w:t>
            </w:r>
            <w:r>
              <w:rPr>
                <w:rFonts w:hint="eastAsia"/>
                <w:sz w:val="24"/>
                <w:szCs w:val="24"/>
              </w:rPr>
              <w:t>：智慧法院、智慧检务、智慧司法与公安局信息建设项目（智慧公安）。</w:t>
            </w:r>
          </w:p>
          <w:p>
            <w:pPr>
              <w:rPr>
                <w:sz w:val="24"/>
                <w:szCs w:val="24"/>
              </w:rPr>
            </w:pPr>
            <w:r>
              <w:rPr>
                <w:rFonts w:hint="eastAsia"/>
                <w:b/>
                <w:sz w:val="24"/>
                <w:szCs w:val="24"/>
              </w:rPr>
              <w:t>3.政法基础建设</w:t>
            </w:r>
            <w:r>
              <w:rPr>
                <w:rFonts w:hint="eastAsia"/>
                <w:sz w:val="24"/>
                <w:szCs w:val="24"/>
              </w:rPr>
              <w:t>：完善县级、乡镇司法行政指挥中心布局（12309检察服务中心、未成年人法制教育基地、廉政文化教育中心）；司法干警周转房建设（干警周转房30套，每套60平米，建筑占地面积约265平米，同时建设项目所需堡坎工程）；完善派出所、检查站建设；县公安局交通警察大队业务技术用房、车管所技术用房与执法办案中心用房建设项目建设；武警中队营房建设与防爆运兵车购置。</w:t>
            </w:r>
          </w:p>
          <w:p/>
        </w:tc>
      </w:tr>
    </w:tbl>
    <w:p>
      <w:pPr>
        <w:pStyle w:val="2"/>
      </w:pPr>
    </w:p>
    <w:p>
      <w:pPr>
        <w:pStyle w:val="2"/>
        <w:rPr>
          <w:rFonts w:ascii="方正小标宋简体" w:eastAsia="方正小标宋简体"/>
          <w:sz w:val="22"/>
          <w:szCs w:val="28"/>
        </w:rPr>
      </w:pPr>
      <w:bookmarkStart w:id="317" w:name="bookmark421"/>
      <w:bookmarkEnd w:id="317"/>
      <w:r>
        <w:br w:type="page"/>
      </w:r>
    </w:p>
    <w:p>
      <w:pPr>
        <w:pStyle w:val="4"/>
      </w:pPr>
      <w:bookmarkStart w:id="318" w:name="_Toc32614"/>
      <w:bookmarkStart w:id="319" w:name="_Toc65598040"/>
      <w:r>
        <w:rPr>
          <w:rFonts w:hint="eastAsia"/>
        </w:rPr>
        <w:t xml:space="preserve">第十一篇 </w:t>
      </w:r>
      <w:bookmarkEnd w:id="318"/>
      <w:r>
        <w:rPr>
          <w:rFonts w:hint="eastAsia"/>
        </w:rPr>
        <w:t>强化规划实施保障</w:t>
      </w:r>
      <w:bookmarkEnd w:id="319"/>
    </w:p>
    <w:p>
      <w:r>
        <w:rPr>
          <w:rFonts w:hint="eastAsia"/>
        </w:rPr>
        <w:t>坚持和加强党的全面领导，强化规划纲要的引领作用，全面贯彻落实国省州政策，切实履行政府职责，健全规划体系，加强规划实施监督评估，合理配置资源，确保规划目标和任务顺利完成。</w:t>
      </w:r>
    </w:p>
    <w:p>
      <w:pPr>
        <w:pStyle w:val="6"/>
        <w:numPr>
          <w:ilvl w:val="0"/>
          <w:numId w:val="1"/>
        </w:numPr>
        <w:ind w:firstLineChars="0"/>
      </w:pPr>
      <w:bookmarkStart w:id="320" w:name="_Toc65598041"/>
      <w:bookmarkStart w:id="321" w:name="_Toc59095719"/>
      <w:bookmarkStart w:id="322" w:name="_Toc14987"/>
      <w:r>
        <w:rPr>
          <w:rFonts w:hint="eastAsia"/>
        </w:rPr>
        <w:t>加强党的全面领导</w:t>
      </w:r>
      <w:bookmarkEnd w:id="320"/>
      <w:r>
        <w:rPr>
          <w:rFonts w:hint="eastAsia"/>
        </w:rPr>
        <w:t xml:space="preserve"> </w:t>
      </w:r>
      <w:bookmarkEnd w:id="321"/>
      <w:bookmarkEnd w:id="322"/>
    </w:p>
    <w:p>
      <w:pPr>
        <w:pStyle w:val="7"/>
      </w:pPr>
      <w:bookmarkStart w:id="323" w:name="_Toc65598042"/>
      <w:r>
        <w:rPr>
          <w:rFonts w:hint="eastAsia"/>
        </w:rPr>
        <w:t>第一节 加强党的核心领导作用</w:t>
      </w:r>
      <w:bookmarkEnd w:id="323"/>
    </w:p>
    <w:p>
      <w:r>
        <w:rPr>
          <w:rFonts w:hint="eastAsia"/>
        </w:rPr>
        <w:t>充分发挥党总揽全局、协调各方的领导核心作用，强化党领导经济社会工作制度化建设，统筹解决经济社会发展中的重大问题。健全贯彻落实党的决策部署的体制机制，健全决策咨询机制，完善党委研究经济社会发展战略、定期分析经济形势、研究重大方针政策的工作机制，做到一事一主体、一主体一责任人。坚持“党要管党、从严治党”，抓好管党治吏、正风肃纪、惩贪治腐“三场持久战”，切实担当主责主业，锻造坚强领导核心，充分发挥党员领导干部的先锋模范作用，激励广大干部开拓进取、攻坚克难，构建风清气正的良好政治生态、加快发展的良好态势、人心思干的良好氛围。加强领导班子和干部队伍建设，优化各级党委领导班子知识结构和专业结构，注重培养选拔政治强、懂专业、善治理、敢担当、作风正的干部。充分发挥基层党组织在宣传党的主张、贯彻党的决定、领导基层治理、团结动员群众、推动改革发展中的战斗堡垒作用和共产党员的先锋模范作用，带领群众投身建设“富裕美丽、幸福和谐丹巴”的伟大事业。</w:t>
      </w:r>
    </w:p>
    <w:p>
      <w:pPr>
        <w:pStyle w:val="7"/>
      </w:pPr>
      <w:bookmarkStart w:id="324" w:name="_Toc65598043"/>
      <w:r>
        <w:rPr>
          <w:rFonts w:hint="eastAsia"/>
        </w:rPr>
        <w:t>第二节 完善党和国家监督体系</w:t>
      </w:r>
      <w:bookmarkEnd w:id="324"/>
    </w:p>
    <w:p>
      <w:pPr>
        <w:pStyle w:val="21"/>
        <w:shd w:val="clear" w:color="auto" w:fill="FFFFFF"/>
        <w:spacing w:after="240" w:afterAutospacing="0" w:line="480" w:lineRule="auto"/>
        <w:rPr>
          <w:rFonts w:ascii="仿宋" w:eastAsia="仿宋"/>
          <w:sz w:val="32"/>
          <w:szCs w:val="32"/>
        </w:rPr>
      </w:pPr>
      <w:r>
        <w:rPr>
          <w:rStyle w:val="25"/>
          <w:rFonts w:hint="eastAsia" w:ascii="仿宋" w:eastAsia="仿宋"/>
          <w:color w:val="000000"/>
          <w:sz w:val="32"/>
          <w:szCs w:val="32"/>
        </w:rPr>
        <w:t>坚持党的集中统一领导，强化政治监督，坚决做到“两个维护”。</w:t>
      </w:r>
      <w:r>
        <w:rPr>
          <w:rFonts w:hint="eastAsia" w:ascii="仿宋" w:eastAsia="仿宋"/>
          <w:color w:val="000000"/>
          <w:sz w:val="32"/>
          <w:szCs w:val="32"/>
        </w:rPr>
        <w:t>党和国家监督体系始终是在党的集中统一领导下建立健全，也要在党的集中统一领导下坚持完善。坚持党的集中统一领导，就必须强化政治监督，增强“两个维护”的政治自觉。“两个维护”不是抽象的、空洞的，政治监督也不是抽象的、空洞的。坚定不移坚持和巩固支撑中国特色社会主义制度的根本制度、基本制度、重要制度；要推动党中央重大决策部署落实见效，体现在“十四五”实施期间要推动各级党组织尽锐出战、善作善成；要督促落实全面从严治党责任，切实解决基层党的领导和监督虚化、弱化问题，把负责、守责、尽责体现在每个党组织、每个岗位上；要保证权力在正确轨道上运行，坚持民主集中制，形成决策科学、执行坚决、监督有力的权力运行机制，督促公正用权、依法用权、廉洁用权。</w:t>
      </w:r>
      <w:r>
        <w:rPr>
          <w:rStyle w:val="25"/>
          <w:rFonts w:hint="eastAsia" w:ascii="仿宋" w:eastAsia="仿宋"/>
          <w:color w:val="000000"/>
          <w:sz w:val="32"/>
          <w:szCs w:val="32"/>
        </w:rPr>
        <w:t>健全以党内监督为主导的监督体系，推动各类监督有机贯通、相互协调。</w:t>
      </w:r>
      <w:r>
        <w:rPr>
          <w:rFonts w:hint="eastAsia" w:ascii="仿宋" w:eastAsia="仿宋"/>
          <w:color w:val="000000"/>
          <w:sz w:val="32"/>
          <w:szCs w:val="32"/>
        </w:rPr>
        <w:t>强化自上而下的组织监督，改进自下而上的民主监督，发挥同级的相互监督作用；推进监察体制改革，对行使公权力的公职人员实现检查全覆盖；坚持以党内监督带动其他监督，推动党内监督和其他监督有机贯通、相互协调，充分发挥民主监督、群众监督、舆论监督、审计监督、统计监督多种监督作用；健全信息沟通、线索移送、措施配合、成果共享等工作机制，织密监督之网，形成监督合力。</w:t>
      </w:r>
      <w:r>
        <w:rPr>
          <w:rStyle w:val="25"/>
          <w:rFonts w:hint="eastAsia" w:ascii="仿宋" w:eastAsia="仿宋"/>
          <w:color w:val="000000"/>
          <w:sz w:val="32"/>
          <w:szCs w:val="32"/>
        </w:rPr>
        <w:t>完善权力配置和运行制约机制，把权力关进制度的笼子。</w:t>
      </w:r>
      <w:r>
        <w:rPr>
          <w:rFonts w:hint="eastAsia" w:ascii="仿宋" w:eastAsia="仿宋"/>
          <w:color w:val="000000"/>
          <w:sz w:val="32"/>
          <w:szCs w:val="32"/>
        </w:rPr>
        <w:t>完善决策科学、执行坚决、监督有力的权力运行机制。各级党组织和行使公权力的机关、单位在推进机构、职能、权限、程序、责任法定化的基础上，健全分事行权、分岗设权、分级授权、定期轮岗制度，明晰权力边界，规范工作流程；推动权力公开，完善党务、政务、司法和各领域办事公开制度，建立权力运行可查询、可追溯的反馈机制；健全有权必有责、用权受监督、滥权必究的责任追查机制；进一步建立完善容错纠错机制，特别是制定落实“三个区分开来”的具体操作办法，既要防止乱作为，也不能因为规范权力行使而容忍不作为。</w:t>
      </w:r>
      <w:r>
        <w:rPr>
          <w:rStyle w:val="25"/>
          <w:rFonts w:hint="eastAsia" w:ascii="仿宋" w:eastAsia="仿宋"/>
          <w:color w:val="000000"/>
          <w:sz w:val="32"/>
          <w:szCs w:val="32"/>
        </w:rPr>
        <w:t>必须构建一体推进不敢腐、不能腐、不想腐体制机制，巩固和发展反腐败斗争压倒性胜利。</w:t>
      </w:r>
      <w:r>
        <w:rPr>
          <w:rFonts w:hint="eastAsia" w:ascii="仿宋" w:eastAsia="仿宋"/>
          <w:color w:val="000000"/>
          <w:sz w:val="32"/>
          <w:szCs w:val="32"/>
        </w:rPr>
        <w:t>各级党组织必须坚定不移构建一体推进不敢腐、不能腐、不想腐体制机制，巩固和发展反腐败斗争压倒性胜利。一是突出重点，持续强化不敢腐的震慑。继续紧盯关键少数，坚决斩断“围猎”和甘于被“围猎”的利益链，坚决破除权钱交易的关系网。二是健全制度体系，不断扎牢不能腐的笼子。推动审批监管、执法司法、工程建设、资源开发、金融信贷、公共资源交易、公共财政支出等重点领域监督机制改革和制度建设。三是坚持加强思想道德和党纪国法教育，不断筑牢不想腐的思想自觉。坚持用习近平新时代中国特色社会主义思想武装头脑，开展案例教育、警示教育，用身边事教育身边人，解决好世界观、人生观、价值观这个“总开关”问题，从思想源头上消除贪腐之念。</w:t>
      </w:r>
      <w:r>
        <w:rPr>
          <w:rStyle w:val="25"/>
          <w:rFonts w:hint="eastAsia" w:ascii="仿宋" w:eastAsia="仿宋"/>
          <w:color w:val="000000"/>
          <w:sz w:val="32"/>
          <w:szCs w:val="32"/>
        </w:rPr>
        <w:t>必须完善和落实全面从严治党责任制度，切实把制度优势转化为治理效能。</w:t>
      </w:r>
      <w:r>
        <w:rPr>
          <w:rFonts w:hint="eastAsia" w:ascii="仿宋" w:eastAsia="仿宋"/>
          <w:color w:val="000000"/>
          <w:sz w:val="32"/>
          <w:szCs w:val="32"/>
        </w:rPr>
        <w:t>坚持和完善党和国家监督体系，关键是完善和落实全面从严治党责任制度。强化各级党委（党组）特别是主要负责同志的政治担当、主体责任履行，把每条战线、每个领域、每个环节的党建工作抓具体、抓深入；各级纪委要协助党委持续深化全面从严治党，促进管党治党主体责任和监督责任贯通联动，一级抓一级、层层传导压力。坚持失责必问、问责必严，推动各责任主体把管党治党责任记在心上、扛在肩上、落实到行动上，进一步巩固发展全党一起抓监督的良好局面，完善党和国家监督体系，使党在勘误纠错中强身健体、在解决矛盾问题中净化纯洁，永葆旺盛生命力和强大战斗力。</w:t>
      </w:r>
    </w:p>
    <w:p/>
    <w:p>
      <w:pPr>
        <w:pStyle w:val="6"/>
        <w:numPr>
          <w:ilvl w:val="0"/>
          <w:numId w:val="1"/>
        </w:numPr>
        <w:ind w:firstLineChars="0"/>
      </w:pPr>
      <w:bookmarkStart w:id="325" w:name="_Toc65598044"/>
      <w:bookmarkStart w:id="326" w:name="_Toc56418848"/>
      <w:r>
        <w:rPr>
          <w:rFonts w:hint="eastAsia"/>
        </w:rPr>
        <w:t>完善人才队伍支撑体系</w:t>
      </w:r>
      <w:bookmarkEnd w:id="325"/>
    </w:p>
    <w:p>
      <w:pPr>
        <w:spacing w:line="600" w:lineRule="exact"/>
      </w:pPr>
      <w:r>
        <w:rPr>
          <w:rFonts w:hint="eastAsia"/>
          <w:b/>
          <w:bCs/>
        </w:rPr>
        <w:t>培养引进创新人才。</w:t>
      </w:r>
      <w:r>
        <w:rPr>
          <w:rFonts w:hint="eastAsia"/>
        </w:rPr>
        <w:t>实施创新型企业家和本土人才培育计划，培养造就一批产业发展紧缺人才。鼓励高校改革人才教育培养模式，积极开拓定向培养招揽人才模式。统筹推进各类人才队伍建设，强化校企联合培养模式，加快培养技能型产业工人和高技能人才。制定更加开放、更加有效的人才引进政策，大力实施高层次人才引进工程，鼓励企业引进“假日工程师”“银龄工程师”，建立企业首席技术官制。</w:t>
      </w:r>
    </w:p>
    <w:p>
      <w:pPr>
        <w:spacing w:line="600" w:lineRule="exact"/>
      </w:pPr>
      <w:r>
        <w:rPr>
          <w:rFonts w:hint="eastAsia"/>
          <w:b/>
          <w:bCs/>
        </w:rPr>
        <w:t>加强乡村振兴人才队伍建设。</w:t>
      </w:r>
      <w:r>
        <w:rPr>
          <w:rFonts w:hint="eastAsia"/>
        </w:rPr>
        <w:t>围绕乡村人才建设，着力破解基层人才队伍建设短板。建设“丹巴智库”，激励各类人才回到家乡献计献策，充分发挥他们的示范带头作用。鼓励支持人才“上山下乡”，通过各种倾斜性政策吸引大量农业技术人员、优秀农民工、新乡贤等群体下乡支援乡村建设。实施医疗卫生人才培植计划，对医务技术人员、职业医师和注册护士等紧缺人才实施柔性引进措施。发挥本土化人才更愿意扎根农村的显著优势，培养一批“田秀才”“土专家”“农创客”等，为乡村振兴贡献力量。</w:t>
      </w:r>
    </w:p>
    <w:p>
      <w:pPr>
        <w:pStyle w:val="6"/>
        <w:numPr>
          <w:ilvl w:val="0"/>
          <w:numId w:val="1"/>
        </w:numPr>
        <w:ind w:firstLineChars="0"/>
      </w:pPr>
      <w:bookmarkStart w:id="327" w:name="_Toc65598045"/>
      <w:r>
        <w:rPr>
          <w:rFonts w:hint="eastAsia"/>
        </w:rPr>
        <w:t>保障规划实施</w:t>
      </w:r>
      <w:bookmarkEnd w:id="327"/>
    </w:p>
    <w:bookmarkEnd w:id="326"/>
    <w:p>
      <w:pPr>
        <w:pStyle w:val="7"/>
      </w:pPr>
      <w:bookmarkStart w:id="328" w:name="_Toc65598046"/>
      <w:bookmarkStart w:id="329" w:name="_Toc11428"/>
      <w:bookmarkStart w:id="330" w:name="_Toc59095725"/>
      <w:r>
        <w:rPr>
          <w:rFonts w:hint="eastAsia"/>
        </w:rPr>
        <w:t>第一节 加强规划衔接</w:t>
      </w:r>
      <w:bookmarkEnd w:id="328"/>
      <w:bookmarkEnd w:id="329"/>
      <w:bookmarkEnd w:id="330"/>
    </w:p>
    <w:p>
      <w:r>
        <w:rPr>
          <w:rFonts w:hint="eastAsia"/>
        </w:rPr>
        <w:t>十四五规划是一个科学的规划体系，要注重各级规划之间的相互支撑与衔接，空间配置相互协调，时序安排科学有序，不断提高规划管理水平和实施成效。严格按照国家加快健全完善以发展规划为统领，以国土空间规划为基础，以区域规划、专项规划为支撑的统一规划体系要求，突出围绕全域旅游发展、社会治理、生态文明建设、应急救灾等重点领域和行业，编制实施一批重点专项规划，并在发展目标、空间布局、重大项目建设等方面与总体规划衔接。</w:t>
      </w:r>
    </w:p>
    <w:p>
      <w:pPr>
        <w:pStyle w:val="7"/>
      </w:pPr>
      <w:bookmarkStart w:id="331" w:name="_Toc59095726"/>
      <w:bookmarkStart w:id="332" w:name="_Toc56418850"/>
      <w:bookmarkStart w:id="333" w:name="_Toc65598047"/>
      <w:bookmarkStart w:id="334" w:name="_Toc6628"/>
      <w:r>
        <w:rPr>
          <w:rFonts w:hint="eastAsia"/>
        </w:rPr>
        <w:t>第二节 健全目标考核</w:t>
      </w:r>
      <w:bookmarkEnd w:id="331"/>
      <w:bookmarkEnd w:id="332"/>
      <w:r>
        <w:rPr>
          <w:rFonts w:hint="eastAsia"/>
        </w:rPr>
        <w:t>机制</w:t>
      </w:r>
      <w:bookmarkEnd w:id="333"/>
      <w:bookmarkEnd w:id="334"/>
    </w:p>
    <w:p>
      <w:r>
        <w:rPr>
          <w:rFonts w:hint="eastAsia"/>
        </w:rPr>
        <w:t>强化经济社会发展中个人的责任意识和担当意识，切实推动规划纲要提出的各项重点任务切实落实。强化规划纲要年度评估、中期评估、总结评估及专项评估，以目标考核推动各项重点任务落地见效。强化工作任务和目标落实到地区、部门、责任人，确保专注发展定力，全面落实工作目标管理。落实重大事项挂联推进、月度季度工作交账督查、督办事项台账管理、各项督查事项公开公示制度。做好目标考核，科学、合理制定落实规划纲要提出的目标任务的“时间表”和“路线图”，组织开展地方规划纲要、区域规划和专项规划实施情况的督查。</w:t>
      </w:r>
    </w:p>
    <w:p>
      <w:pPr>
        <w:pStyle w:val="7"/>
      </w:pPr>
      <w:bookmarkStart w:id="335" w:name="_Toc59095727"/>
      <w:bookmarkStart w:id="336" w:name="_Toc56418851"/>
      <w:bookmarkStart w:id="337" w:name="_Toc22044"/>
      <w:bookmarkStart w:id="338" w:name="_Toc65598048"/>
      <w:r>
        <w:rPr>
          <w:rFonts w:hint="eastAsia"/>
        </w:rPr>
        <w:t>第三节 强化监督</w:t>
      </w:r>
      <w:bookmarkEnd w:id="335"/>
      <w:bookmarkEnd w:id="336"/>
      <w:r>
        <w:rPr>
          <w:rFonts w:hint="eastAsia"/>
        </w:rPr>
        <w:t>管理</w:t>
      </w:r>
      <w:bookmarkEnd w:id="337"/>
      <w:bookmarkEnd w:id="338"/>
    </w:p>
    <w:p>
      <w:r>
        <w:rPr>
          <w:rFonts w:hint="eastAsia"/>
        </w:rPr>
        <w:t>规划经丹巴县人民代表大会审议批准，具有法律效力，由县人民政府组织实施，各乡镇人民政府、县级各部门要严格遵守总体规划。通过制定和实施国民经济和社会发展年度计划，推动规划确定的重大工程、重大项目、重大政策落实，并向县人民代表大会报告。未经法定程序，任何部门、个人、团体均无权对规划纲要进行修改，切实提高规划的权威性和有效性。进一步健全监督评估机制，主动接受人大、政协和社会各界的监督。强化规划实施过程的动态监测，对实施中出现的问题，县级有关部门负责及时反映和处理。由县政府组织开展规划实施情况的中期评估和总结评估，并提请县人大常委会审议。规划实施过程中出现需要调整情况时，由县政府提出调整方案，报县人民代表大会或县人民代表大会常务委员会批准。</w:t>
      </w:r>
    </w:p>
    <w:sectPr>
      <w:footerReference r:id="rId6" w:type="default"/>
      <w:pgSz w:w="11906" w:h="16838"/>
      <w:pgMar w:top="1928" w:right="1474" w:bottom="1588" w:left="1588" w:header="851" w:footer="1361"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PAGE   \* MERGEFORMAT</w:instrText>
    </w:r>
    <w:r>
      <w:fldChar w:fldCharType="separate"/>
    </w:r>
    <w:r>
      <w:rPr>
        <w:lang w:val="zh-CN"/>
      </w:rPr>
      <w:t>XII</w:t>
    </w:r>
    <w:r>
      <w:rPr>
        <w:lang w:val="zh-CN"/>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143</w:t>
    </w:r>
    <w:r>
      <w:rPr>
        <w:lang w:val="zh-CN"/>
      </w:rPr>
      <w:fldChar w:fldCharType="end"/>
    </w:r>
  </w:p>
  <w:p>
    <w:pPr>
      <w:pStyle w:val="14"/>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E36A9"/>
    <w:multiLevelType w:val="singleLevel"/>
    <w:tmpl w:val="D20E36A9"/>
    <w:lvl w:ilvl="0" w:tentative="0">
      <w:start w:val="2"/>
      <w:numFmt w:val="decimal"/>
      <w:lvlText w:val="%1."/>
      <w:lvlJc w:val="left"/>
      <w:pPr>
        <w:tabs>
          <w:tab w:val="left" w:pos="0"/>
        </w:tabs>
        <w:ind w:left="0" w:firstLine="0"/>
      </w:pPr>
    </w:lvl>
  </w:abstractNum>
  <w:abstractNum w:abstractNumId="1">
    <w:nsid w:val="F26FBCAA"/>
    <w:multiLevelType w:val="singleLevel"/>
    <w:tmpl w:val="F26FBCAA"/>
    <w:lvl w:ilvl="0" w:tentative="0">
      <w:start w:val="1"/>
      <w:numFmt w:val="chineseCounting"/>
      <w:lvlText w:val="第%1章"/>
      <w:lvlJc w:val="left"/>
      <w:pPr>
        <w:tabs>
          <w:tab w:val="left" w:pos="0"/>
        </w:tabs>
        <w:ind w:left="1060" w:hanging="420"/>
      </w:pPr>
      <w:rPr>
        <w:rFonts w:hint="eastAsia"/>
      </w:rPr>
    </w:lvl>
  </w:abstractNum>
  <w:abstractNum w:abstractNumId="2">
    <w:nsid w:val="3D7865F5"/>
    <w:multiLevelType w:val="multilevel"/>
    <w:tmpl w:val="3D7865F5"/>
    <w:lvl w:ilvl="0" w:tentative="0">
      <w:start w:val="1"/>
      <w:numFmt w:val="japaneseCounting"/>
      <w:lvlText w:val="第%1节"/>
      <w:lvlJc w:val="left"/>
      <w:pPr>
        <w:tabs>
          <w:tab w:val="left" w:pos="0"/>
        </w:tabs>
        <w:ind w:left="1758" w:hanging="1118"/>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3">
    <w:nsid w:val="6DDD1104"/>
    <w:multiLevelType w:val="multilevel"/>
    <w:tmpl w:val="6DDD1104"/>
    <w:lvl w:ilvl="0" w:tentative="0">
      <w:start w:val="1"/>
      <w:numFmt w:val="japaneseCounting"/>
      <w:lvlText w:val="第%1节"/>
      <w:lvlJc w:val="left"/>
      <w:pPr>
        <w:tabs>
          <w:tab w:val="left" w:pos="0"/>
        </w:tabs>
        <w:ind w:left="1765" w:hanging="1125"/>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HorizontalSpacing w:val="160"/>
  <w:drawingGridVerticalSpacing w:val="156"/>
  <w:displayHorizontalDrawingGridEvery w:val="0"/>
  <w:displayVerticalDrawingGridEvery w:val="1"/>
  <w:noPunctuationKerning w:val="true"/>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FDD961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仿宋" w:hAnsi="Times New Roman" w:eastAsia="仿宋" w:cs="Times New Roman"/>
      <w:sz w:val="32"/>
      <w:szCs w:val="32"/>
      <w:lang w:val="en-US" w:eastAsia="zh-CN" w:bidi="ar-SA"/>
    </w:rPr>
  </w:style>
  <w:style w:type="paragraph" w:styleId="4">
    <w:name w:val="heading 1"/>
    <w:basedOn w:val="5"/>
    <w:next w:val="1"/>
    <w:qFormat/>
    <w:uiPriority w:val="0"/>
    <w:pPr>
      <w:snapToGrid w:val="0"/>
      <w:spacing w:before="340" w:after="480" w:line="560" w:lineRule="exact"/>
      <w:jc w:val="center"/>
      <w:outlineLvl w:val="0"/>
    </w:pPr>
    <w:rPr>
      <w:rFonts w:eastAsia="方正小标宋简体"/>
      <w:bCs/>
      <w:kern w:val="44"/>
      <w:sz w:val="36"/>
      <w:szCs w:val="44"/>
    </w:rPr>
  </w:style>
  <w:style w:type="paragraph" w:styleId="6">
    <w:name w:val="heading 2"/>
    <w:basedOn w:val="1"/>
    <w:next w:val="1"/>
    <w:qFormat/>
    <w:uiPriority w:val="0"/>
    <w:pPr>
      <w:keepNext/>
      <w:keepLines/>
      <w:widowControl w:val="0"/>
      <w:spacing w:before="260" w:after="260" w:line="415" w:lineRule="auto"/>
      <w:jc w:val="center"/>
      <w:outlineLvl w:val="1"/>
    </w:pPr>
    <w:rPr>
      <w:rFonts w:ascii="Cambria" w:hAnsi="Cambria" w:eastAsia="方正楷体简体"/>
      <w:b/>
      <w:bCs/>
    </w:rPr>
  </w:style>
  <w:style w:type="paragraph" w:styleId="7">
    <w:name w:val="heading 3"/>
    <w:basedOn w:val="1"/>
    <w:next w:val="1"/>
    <w:qFormat/>
    <w:uiPriority w:val="0"/>
    <w:pPr>
      <w:keepNext/>
      <w:keepLines/>
      <w:widowControl w:val="0"/>
      <w:jc w:val="left"/>
      <w:outlineLvl w:val="2"/>
    </w:pPr>
    <w:rPr>
      <w:rFonts w:ascii="Calibri" w:hAnsi="Calibri" w:eastAsia="方正黑体简体"/>
      <w:szCs w:val="24"/>
    </w:rPr>
  </w:style>
  <w:style w:type="paragraph" w:styleId="5">
    <w:name w:val="heading 4"/>
    <w:basedOn w:val="1"/>
    <w:next w:val="1"/>
    <w:qFormat/>
    <w:uiPriority w:val="0"/>
    <w:pPr>
      <w:keepNext/>
      <w:keepLines/>
      <w:widowControl w:val="0"/>
      <w:spacing w:before="280" w:after="290" w:line="372" w:lineRule="auto"/>
      <w:outlineLvl w:val="3"/>
    </w:pPr>
    <w:rPr>
      <w:rFonts w:ascii="Arial" w:hAnsi="Arial" w:eastAsia="黑体"/>
      <w:b/>
      <w:sz w:val="28"/>
    </w:rPr>
  </w:style>
  <w:style w:type="character" w:default="1" w:styleId="24">
    <w:name w:val="Default Paragraph Font"/>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exact"/>
    </w:pPr>
    <w:rPr>
      <w:sz w:val="28"/>
      <w:szCs w:val="20"/>
    </w:rPr>
  </w:style>
  <w:style w:type="paragraph" w:styleId="3">
    <w:name w:val="Title"/>
    <w:basedOn w:val="1"/>
    <w:next w:val="1"/>
    <w:qFormat/>
    <w:uiPriority w:val="0"/>
    <w:pPr>
      <w:jc w:val="center"/>
      <w:outlineLvl w:val="0"/>
    </w:pPr>
    <w:rPr>
      <w:rFonts w:ascii="Arial" w:hAnsi="Arial" w:eastAsia="华文中宋"/>
      <w:b/>
      <w:color w:val="FF0000"/>
      <w:sz w:val="84"/>
    </w:rPr>
  </w:style>
  <w:style w:type="paragraph" w:styleId="8">
    <w:name w:val="toc 7"/>
    <w:basedOn w:val="1"/>
    <w:next w:val="1"/>
    <w:qFormat/>
    <w:uiPriority w:val="0"/>
    <w:pPr>
      <w:ind w:left="1200" w:leftChars="1200"/>
    </w:pPr>
  </w:style>
  <w:style w:type="paragraph" w:styleId="9">
    <w:name w:val="annotation text"/>
    <w:basedOn w:val="1"/>
    <w:qFormat/>
    <w:uiPriority w:val="0"/>
    <w:pPr>
      <w:adjustRightInd w:val="0"/>
      <w:snapToGrid w:val="0"/>
      <w:jc w:val="left"/>
    </w:pPr>
    <w:rPr>
      <w:sz w:val="28"/>
    </w:rPr>
  </w:style>
  <w:style w:type="paragraph" w:styleId="10">
    <w:name w:val="toc 5"/>
    <w:basedOn w:val="1"/>
    <w:next w:val="1"/>
    <w:qFormat/>
    <w:uiPriority w:val="0"/>
    <w:pPr>
      <w:ind w:left="800" w:leftChars="800"/>
    </w:pPr>
  </w:style>
  <w:style w:type="paragraph" w:styleId="11">
    <w:name w:val="toc 3"/>
    <w:basedOn w:val="1"/>
    <w:next w:val="1"/>
    <w:qFormat/>
    <w:uiPriority w:val="0"/>
    <w:pPr>
      <w:ind w:left="400" w:leftChars="400"/>
    </w:pPr>
  </w:style>
  <w:style w:type="paragraph" w:styleId="12">
    <w:name w:val="toc 8"/>
    <w:basedOn w:val="1"/>
    <w:next w:val="1"/>
    <w:qFormat/>
    <w:uiPriority w:val="0"/>
    <w:pPr>
      <w:ind w:left="1400" w:leftChars="1400"/>
    </w:p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4"/>
    <w:basedOn w:val="1"/>
    <w:next w:val="1"/>
    <w:qFormat/>
    <w:uiPriority w:val="0"/>
    <w:pPr>
      <w:ind w:left="600" w:leftChars="600"/>
    </w:pPr>
  </w:style>
  <w:style w:type="paragraph" w:styleId="18">
    <w:name w:val="toc 6"/>
    <w:basedOn w:val="1"/>
    <w:next w:val="1"/>
    <w:qFormat/>
    <w:uiPriority w:val="0"/>
    <w:pPr>
      <w:ind w:left="1000" w:leftChars="1000"/>
    </w:pPr>
  </w:style>
  <w:style w:type="paragraph" w:styleId="19">
    <w:name w:val="toc 2"/>
    <w:basedOn w:val="1"/>
    <w:next w:val="1"/>
    <w:qFormat/>
    <w:uiPriority w:val="0"/>
    <w:pPr>
      <w:ind w:left="200" w:leftChars="200"/>
    </w:pPr>
  </w:style>
  <w:style w:type="paragraph" w:styleId="20">
    <w:name w:val="toc 9"/>
    <w:basedOn w:val="1"/>
    <w:next w:val="1"/>
    <w:qFormat/>
    <w:uiPriority w:val="0"/>
    <w:pPr>
      <w:ind w:left="1600" w:leftChars="1600"/>
    </w:pPr>
  </w:style>
  <w:style w:type="paragraph" w:styleId="21">
    <w:name w:val="Normal (Web)"/>
    <w:basedOn w:val="1"/>
    <w:qFormat/>
    <w:uiPriority w:val="0"/>
    <w:pPr>
      <w:widowControl/>
      <w:spacing w:after="100" w:afterAutospacing="1"/>
      <w:jc w:val="left"/>
    </w:pPr>
    <w:rPr>
      <w:rFonts w:ascii="宋体" w:eastAsia="宋体" w:cs="宋体"/>
      <w:sz w:val="24"/>
      <w:szCs w:val="24"/>
    </w:rPr>
  </w:style>
  <w:style w:type="paragraph" w:styleId="22">
    <w:name w:val="annotation subject"/>
    <w:basedOn w:val="9"/>
    <w:next w:val="9"/>
    <w:qFormat/>
    <w:uiPriority w:val="0"/>
    <w:pPr>
      <w:adjustRightInd/>
      <w:snapToGrid/>
    </w:pPr>
    <w:rPr>
      <w:b/>
      <w:bCs/>
      <w:sz w:val="32"/>
    </w:rPr>
  </w:style>
  <w:style w:type="character" w:styleId="25">
    <w:name w:val="Strong"/>
    <w:basedOn w:val="24"/>
    <w:qFormat/>
    <w:uiPriority w:val="0"/>
    <w:rPr>
      <w:b/>
      <w:bCs/>
    </w:rPr>
  </w:style>
  <w:style w:type="character" w:styleId="26">
    <w:name w:val="Emphasis"/>
    <w:basedOn w:val="24"/>
    <w:qFormat/>
    <w:uiPriority w:val="0"/>
    <w:rPr>
      <w:i/>
      <w:iCs/>
    </w:rPr>
  </w:style>
  <w:style w:type="character" w:styleId="27">
    <w:name w:val="Hyperlink"/>
    <w:basedOn w:val="24"/>
    <w:qFormat/>
    <w:uiPriority w:val="0"/>
    <w:rPr>
      <w:color w:val="0000FF"/>
      <w:u w:val="single"/>
    </w:rPr>
  </w:style>
  <w:style w:type="character" w:styleId="28">
    <w:name w:val="annotation reference"/>
    <w:basedOn w:val="24"/>
    <w:qFormat/>
    <w:uiPriority w:val="0"/>
    <w:rPr>
      <w:sz w:val="21"/>
      <w:szCs w:val="21"/>
    </w:rPr>
  </w:style>
  <w:style w:type="paragraph" w:customStyle="1" w:styleId="29">
    <w:name w:val="标题4"/>
    <w:qFormat/>
    <w:uiPriority w:val="0"/>
    <w:pPr>
      <w:widowControl w:val="0"/>
      <w:adjustRightInd w:val="0"/>
      <w:snapToGrid w:val="0"/>
      <w:spacing w:line="560" w:lineRule="exact"/>
      <w:ind w:firstLine="200" w:firstLineChars="200"/>
      <w:outlineLvl w:val="2"/>
    </w:pPr>
    <w:rPr>
      <w:rFonts w:ascii="Calibri" w:hAnsi="Calibri" w:eastAsia="黑体" w:cs="Times New Roman"/>
      <w:kern w:val="2"/>
      <w:sz w:val="28"/>
      <w:szCs w:val="22"/>
      <w:lang w:val="en-US" w:eastAsia="zh-CN" w:bidi="ar-SA"/>
    </w:rPr>
  </w:style>
  <w:style w:type="paragraph" w:customStyle="1" w:styleId="30">
    <w:name w:val="List Paragraph"/>
    <w:basedOn w:val="1"/>
    <w:qFormat/>
    <w:uiPriority w:val="0"/>
  </w:style>
  <w:style w:type="paragraph" w:customStyle="1" w:styleId="31">
    <w:name w:val="专栏"/>
    <w:qFormat/>
    <w:uiPriority w:val="0"/>
    <w:pPr>
      <w:widowControl w:val="0"/>
      <w:spacing w:line="560" w:lineRule="exact"/>
      <w:jc w:val="center"/>
    </w:pPr>
    <w:rPr>
      <w:rFonts w:ascii="Times New Roman" w:hAnsi="Times New Roman" w:eastAsia="方正仿宋简体" w:cs="Times New Roman"/>
      <w:b/>
      <w:sz w:val="24"/>
      <w:szCs w:val="28"/>
      <w:lang w:val="en-US" w:eastAsia="zh-CN" w:bidi="ar-SA"/>
    </w:rPr>
  </w:style>
  <w:style w:type="paragraph" w:customStyle="1" w:styleId="32">
    <w:name w:val="Char"/>
    <w:basedOn w:val="1"/>
    <w:qFormat/>
    <w:uiPriority w:val="0"/>
    <w:pPr>
      <w:snapToGrid w:val="0"/>
      <w:spacing w:line="520" w:lineRule="exact"/>
    </w:pPr>
    <w:rPr>
      <w:rFonts w:ascii="Calibri" w:hAnsi="Calibri" w:eastAsia="仿宋_GB2312"/>
      <w:sz w:val="30"/>
      <w:szCs w:val="20"/>
    </w:rPr>
  </w:style>
  <w:style w:type="character" w:customStyle="1" w:styleId="33">
    <w:name w:val="标题 2 字符"/>
    <w:basedOn w:val="24"/>
    <w:qFormat/>
    <w:uiPriority w:val="0"/>
    <w:rPr>
      <w:rFonts w:ascii="Cambria" w:hAnsi="Cambria" w:eastAsia="宋体" w:cs="Times New Roman"/>
      <w:b/>
      <w:bCs/>
      <w:sz w:val="32"/>
      <w:szCs w:val="32"/>
    </w:rPr>
  </w:style>
  <w:style w:type="character" w:customStyle="1" w:styleId="34">
    <w:name w:val="未处理的提及1"/>
    <w:basedOn w:val="24"/>
    <w:qFormat/>
    <w:uiPriority w:val="0"/>
    <w:rPr>
      <w:color w:val="605E5C"/>
      <w:shd w:val="clear" w:color="auto" w:fill="E1DFDD"/>
    </w:rPr>
  </w:style>
  <w:style w:type="character" w:customStyle="1" w:styleId="35">
    <w:name w:val="强调 New"/>
    <w:qFormat/>
    <w:uiPriority w:val="0"/>
  </w:style>
  <w:style w:type="paragraph" w:customStyle="1" w:styleId="36">
    <w:name w:val="正文 New New New New New New New New New New New New New New New New New New New New New New New"/>
    <w:qFormat/>
    <w:uiPriority w:val="0"/>
    <w:pPr>
      <w:widowControl w:val="0"/>
      <w:jc w:val="both"/>
    </w:pPr>
    <w:rPr>
      <w:rFonts w:ascii="Calibri" w:hAnsi="Calibri" w:eastAsia="微软雅黑" w:cs="Times New Roman"/>
      <w:kern w:val="2"/>
      <w:sz w:val="21"/>
      <w:szCs w:val="22"/>
      <w:lang w:val="en-US" w:eastAsia="zh-CN" w:bidi="ar-SA"/>
    </w:rPr>
  </w:style>
  <w:style w:type="paragraph" w:customStyle="1" w:styleId="37">
    <w:name w:val="无间隔1"/>
    <w:qFormat/>
    <w:uiPriority w:val="0"/>
    <w:pPr>
      <w:widowControl w:val="0"/>
      <w:jc w:val="both"/>
    </w:pPr>
    <w:rPr>
      <w:rFonts w:ascii="Calibri" w:hAnsi="Calibri" w:eastAsia="宋体" w:cs="Times New Roman"/>
      <w:kern w:val="2"/>
      <w:sz w:val="21"/>
      <w:lang w:val="en-US" w:eastAsia="zh-CN" w:bidi="ar-SA"/>
    </w:rPr>
  </w:style>
  <w:style w:type="paragraph" w:customStyle="1" w:styleId="38">
    <w:name w:val="正文 New New New New New New New New New New New New New New New New New New New New New New"/>
    <w:qFormat/>
    <w:uiPriority w:val="0"/>
    <w:pPr>
      <w:widowControl w:val="0"/>
      <w:jc w:val="both"/>
    </w:pPr>
    <w:rPr>
      <w:rFonts w:ascii="Calibri" w:hAnsi="Calibri" w:eastAsia="仿宋_GB2312" w:cs="Times New Roman"/>
      <w:kern w:val="2"/>
      <w:sz w:val="32"/>
      <w:szCs w:val="22"/>
      <w:lang w:val="en-US" w:eastAsia="zh-CN" w:bidi="ar-SA"/>
    </w:rPr>
  </w:style>
  <w:style w:type="paragraph" w:customStyle="1" w:styleId="39">
    <w:name w:val="列出段落1"/>
    <w:basedOn w:val="1"/>
    <w:qFormat/>
    <w:uiPriority w:val="0"/>
    <w:pPr>
      <w:spacing w:line="240" w:lineRule="auto"/>
    </w:pPr>
    <w:rPr>
      <w:rFonts w:ascii="Calibri" w:hAnsi="Calibri" w:eastAsia="宋体"/>
      <w:kern w:val="2"/>
      <w:sz w:val="21"/>
      <w:szCs w:val="20"/>
    </w:rPr>
  </w:style>
  <w:style w:type="paragraph" w:customStyle="1" w:styleId="40">
    <w:name w:val="正文 New New New New New New New New New New New New New New New New"/>
    <w:qFormat/>
    <w:uiPriority w:val="0"/>
    <w:pPr>
      <w:widowControl w:val="0"/>
      <w:spacing w:line="400" w:lineRule="exact"/>
      <w:ind w:firstLine="200" w:firstLineChars="200"/>
      <w:jc w:val="both"/>
    </w:pPr>
    <w:rPr>
      <w:rFonts w:ascii="Times New Roman" w:hAnsi="Times New Roman" w:eastAsia="宋体" w:cs="Calibri"/>
      <w:sz w:val="21"/>
      <w:szCs w:val="21"/>
      <w:lang w:val="en-US" w:eastAsia="zh-CN" w:bidi="ar-SA"/>
    </w:rPr>
  </w:style>
  <w:style w:type="paragraph" w:customStyle="1" w:styleId="41">
    <w:name w:val="表格"/>
    <w:qFormat/>
    <w:uiPriority w:val="0"/>
    <w:pPr>
      <w:widowControl w:val="0"/>
      <w:spacing w:line="540" w:lineRule="exact"/>
      <w:ind w:firstLine="200" w:firstLineChars="200"/>
      <w:jc w:val="both"/>
    </w:pPr>
    <w:rPr>
      <w:rFonts w:ascii="Times New Roman" w:hAnsi="Times New Roman" w:eastAsia="仿宋" w:cs="Times New Roman"/>
      <w:sz w:val="28"/>
      <w:szCs w:val="28"/>
      <w:lang w:val="en-US" w:eastAsia="zh-CN" w:bidi="ar-SA"/>
    </w:rPr>
  </w:style>
  <w:style w:type="paragraph" w:customStyle="1" w:styleId="42">
    <w:name w:val="Body text|1"/>
    <w:basedOn w:val="1"/>
    <w:qFormat/>
    <w:uiPriority w:val="0"/>
    <w:pPr>
      <w:spacing w:line="456" w:lineRule="auto"/>
      <w:ind w:firstLine="400" w:firstLineChars="0"/>
    </w:pPr>
    <w:rPr>
      <w:rFonts w:ascii="宋体" w:eastAsia="宋体" w:cs="宋体"/>
      <w:kern w:val="2"/>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神州网信技术有限公司</Company>
  <Pages>150</Pages>
  <Words>66092</Words>
  <Characters>67506</Characters>
  <Lines>3052</Lines>
  <Paragraphs>938</Paragraphs>
  <TotalTime>280</TotalTime>
  <ScaleCrop>false</ScaleCrop>
  <LinksUpToDate>false</LinksUpToDate>
  <CharactersWithSpaces>68056</CharactersWithSpaces>
  <Application>WPS Office_11.1.0.10161_F1E327BC-269C-435d-A152-05C5408002CA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2021-01-22T10:14:00Z</dcterms:created>
  <dc:creator>曹頔</dc:creator>
  <cp:lastModifiedBy>ing</cp:lastModifiedBy>
  <cp:lastPrinted>2021-01-04T11:28:00Z</cp:lastPrinted>
  <dcterms:modified xsi:type="dcterms:W3CDTF">2023-02-20T09:24:23Z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