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2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475"/>
      <w:bookmarkStart w:id="1" w:name="_Toc15377193"/>
      <w:bookmarkStart w:id="2" w:name="_Toc15396597"/>
      <w:bookmarkStart w:id="3" w:name="_Toc15378441"/>
      <w:bookmarkStart w:id="4" w:name="_Toc15377425"/>
      <w:bookmarkStart w:id="5" w:name="_Toc15306267"/>
    </w:p>
    <w:p>
      <w:pPr>
        <w:pageBreakBefore w:val="0"/>
        <w:kinsoku/>
        <w:wordWrap/>
        <w:overflowPunct/>
        <w:topLinePunct w:val="0"/>
        <w:bidi w:val="0"/>
        <w:spacing w:line="520" w:lineRule="exact"/>
        <w:jc w:val="center"/>
        <w:outlineLvl w:val="0"/>
        <w:rPr>
          <w:rFonts w:ascii="方正小标宋简体" w:hAnsi="宋体" w:eastAsia="方正小标宋简体"/>
          <w:color w:val="auto"/>
          <w:sz w:val="72"/>
          <w:szCs w:val="72"/>
          <w:highlight w:val="none"/>
        </w:rPr>
      </w:pPr>
    </w:p>
    <w:p>
      <w:pPr>
        <w:pageBreakBefore w:val="0"/>
        <w:kinsoku/>
        <w:wordWrap/>
        <w:overflowPunct/>
        <w:topLinePunct w:val="0"/>
        <w:bidi w:val="0"/>
        <w:spacing w:line="520" w:lineRule="exact"/>
        <w:jc w:val="center"/>
        <w:outlineLvl w:val="0"/>
        <w:rPr>
          <w:rFonts w:ascii="方正小标宋简体" w:hAnsi="宋体" w:eastAsia="方正小标宋简体"/>
          <w:color w:val="auto"/>
          <w:sz w:val="72"/>
          <w:szCs w:val="72"/>
          <w:highlight w:val="none"/>
        </w:rPr>
      </w:pPr>
    </w:p>
    <w:p>
      <w:pPr>
        <w:pageBreakBefore w:val="0"/>
        <w:kinsoku/>
        <w:wordWrap/>
        <w:overflowPunct/>
        <w:topLinePunct w:val="0"/>
        <w:bidi w:val="0"/>
        <w:spacing w:line="52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2022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96598"/>
      <w:bookmarkStart w:id="8" w:name="_Toc15377194"/>
      <w:bookmarkStart w:id="9" w:name="_Toc15396476"/>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石渠县</w:t>
      </w:r>
      <w:r>
        <w:rPr>
          <w:rFonts w:hint="eastAsia" w:ascii="方正小标宋简体" w:hAnsi="方正小标宋简体" w:eastAsia="方正小标宋简体" w:cs="方正小标宋简体"/>
          <w:b/>
          <w:bCs/>
          <w:color w:val="auto"/>
          <w:sz w:val="72"/>
          <w:szCs w:val="72"/>
          <w:highlight w:val="none"/>
          <w:lang w:val="en-US" w:eastAsia="zh-CN"/>
        </w:rPr>
        <w:t>新荣</w:t>
      </w:r>
      <w:r>
        <w:rPr>
          <w:rFonts w:hint="eastAsia" w:ascii="方正小标宋简体" w:hAnsi="方正小标宋简体" w:eastAsia="方正小标宋简体" w:cs="方正小标宋简体"/>
          <w:color w:val="auto"/>
          <w:sz w:val="72"/>
          <w:szCs w:val="72"/>
          <w:highlight w:val="none"/>
          <w:lang w:val="en-US" w:eastAsia="zh-CN"/>
        </w:rPr>
        <w:t>乡人民政府</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pageBreakBefore w:val="0"/>
        <w:widowControl/>
        <w:kinsoku/>
        <w:wordWrap/>
        <w:overflowPunct/>
        <w:topLinePunct w:val="0"/>
        <w:bidi w:val="0"/>
        <w:spacing w:line="520" w:lineRule="exact"/>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ageBreakBefore w:val="0"/>
        <w:widowControl/>
        <w:kinsoku/>
        <w:wordWrap/>
        <w:overflowPunct/>
        <w:topLinePunct w:val="0"/>
        <w:bidi w:val="0"/>
        <w:spacing w:line="520" w:lineRule="exact"/>
        <w:jc w:val="center"/>
        <w:rPr>
          <w:rFonts w:ascii="黑体" w:hAnsi="黑体" w:eastAsia="黑体" w:cstheme="minorBidi"/>
          <w:color w:val="auto"/>
          <w:sz w:val="28"/>
          <w:szCs w:val="28"/>
          <w:highlight w:val="none"/>
        </w:rPr>
      </w:pPr>
    </w:p>
    <w:p>
      <w:pPr>
        <w:pStyle w:val="10"/>
        <w:pageBreakBefore w:val="0"/>
        <w:kinsoku/>
        <w:wordWrap/>
        <w:overflowPunct/>
        <w:topLinePunct w:val="0"/>
        <w:bidi w:val="0"/>
        <w:spacing w:line="520" w:lineRule="exact"/>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pageBreakBefore w:val="0"/>
        <w:kinsoku/>
        <w:wordWrap/>
        <w:overflowPunct/>
        <w:topLinePunct w:val="0"/>
        <w:bidi w:val="0"/>
        <w:spacing w:line="520" w:lineRule="exact"/>
        <w:rPr>
          <w:color w:val="auto"/>
          <w:highlight w:val="none"/>
        </w:rPr>
      </w:pPr>
    </w:p>
    <w:p>
      <w:pPr>
        <w:pStyle w:val="10"/>
        <w:pageBreakBefore w:val="0"/>
        <w:kinsoku/>
        <w:wordWrap/>
        <w:overflowPunct/>
        <w:topLinePunct w:val="0"/>
        <w:bidi w:val="0"/>
        <w:adjustRightInd w:val="0"/>
        <w:snapToGrid w:val="0"/>
        <w:spacing w:before="0" w:line="52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1"/>
        <w:pageBreakBefore w:val="0"/>
        <w:kinsoku/>
        <w:wordWrap/>
        <w:overflowPunct/>
        <w:topLinePunct w:val="0"/>
        <w:bidi w:val="0"/>
        <w:adjustRightInd w:val="0"/>
        <w:snapToGrid w:val="0"/>
        <w:spacing w:line="520" w:lineRule="exact"/>
        <w:jc w:val="left"/>
        <w:rPr>
          <w:rFonts w:ascii="仿宋" w:hAnsi="仿宋" w:eastAsia="仿宋"/>
          <w:color w:val="auto"/>
          <w:sz w:val="24"/>
          <w:highlight w:val="none"/>
        </w:rPr>
      </w:pPr>
      <w:r>
        <w:rPr>
          <w:rFonts w:hint="eastAsia"/>
          <w:color w:val="auto"/>
          <w:sz w:val="24"/>
          <w:highlight w:val="none"/>
        </w:rPr>
        <w:t>一、基本职能及主要工作</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二、机构设置</w:t>
      </w:r>
    </w:p>
    <w:p>
      <w:pPr>
        <w:pStyle w:val="10"/>
        <w:pageBreakBefore w:val="0"/>
        <w:kinsoku/>
        <w:wordWrap/>
        <w:overflowPunct/>
        <w:topLinePunct w:val="0"/>
        <w:bidi w:val="0"/>
        <w:adjustRightInd w:val="0"/>
        <w:snapToGrid w:val="0"/>
        <w:spacing w:before="0" w:line="52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1"/>
        <w:pageBreakBefore w:val="0"/>
        <w:kinsoku/>
        <w:wordWrap/>
        <w:overflowPunct/>
        <w:topLinePunct w:val="0"/>
        <w:bidi w:val="0"/>
        <w:adjustRightInd w:val="0"/>
        <w:snapToGrid w:val="0"/>
        <w:spacing w:line="520" w:lineRule="exact"/>
        <w:ind w:left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16"/>
          <w:rFonts w:hint="eastAsia" w:asciiTheme="minorEastAsia" w:hAnsiTheme="minorEastAsia" w:eastAsiaTheme="minorEastAsia" w:cstheme="minorEastAsia"/>
          <w:color w:val="auto"/>
          <w:sz w:val="24"/>
          <w:highlight w:val="none"/>
          <w:u w:val="none"/>
          <w:lang w:eastAsia="zh-CN"/>
        </w:rPr>
        <w:t>十</w:t>
      </w:r>
      <w:r>
        <w:rPr>
          <w:rStyle w:val="16"/>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p>
    <w:p>
      <w:pPr>
        <w:pStyle w:val="10"/>
        <w:pageBreakBefore w:val="0"/>
        <w:kinsoku/>
        <w:wordWrap/>
        <w:overflowPunct/>
        <w:topLinePunct w:val="0"/>
        <w:bidi w:val="0"/>
        <w:adjustRightInd w:val="0"/>
        <w:snapToGrid w:val="0"/>
        <w:spacing w:before="0" w:line="52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0"/>
        <w:pageBreakBefore w:val="0"/>
        <w:kinsoku/>
        <w:wordWrap/>
        <w:overflowPunct/>
        <w:topLinePunct w:val="0"/>
        <w:bidi w:val="0"/>
        <w:adjustRightInd w:val="0"/>
        <w:snapToGrid w:val="0"/>
        <w:spacing w:before="0" w:line="52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0"/>
        <w:pageBreakBefore w:val="0"/>
        <w:kinsoku/>
        <w:wordWrap/>
        <w:overflowPunct/>
        <w:topLinePunct w:val="0"/>
        <w:bidi w:val="0"/>
        <w:adjustRightInd w:val="0"/>
        <w:snapToGrid w:val="0"/>
        <w:spacing w:before="0" w:line="52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1"/>
        <w:pageBreakBefore w:val="0"/>
        <w:kinsoku/>
        <w:wordWrap/>
        <w:overflowPunct/>
        <w:topLinePunct w:val="0"/>
        <w:bidi w:val="0"/>
        <w:adjustRightInd w:val="0"/>
        <w:snapToGrid w:val="0"/>
        <w:spacing w:line="520" w:lineRule="exact"/>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四、财政拨款收入支出决算总表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五、财政拨款支出决算明细表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pPr>
        <w:pStyle w:val="11"/>
        <w:pageBreakBefore w:val="0"/>
        <w:kinsoku/>
        <w:wordWrap/>
        <w:overflowPunct/>
        <w:topLinePunct w:val="0"/>
        <w:bidi w:val="0"/>
        <w:adjustRightInd w:val="0"/>
        <w:snapToGrid w:val="0"/>
        <w:spacing w:line="5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pPr>
        <w:pageBreakBefore w:val="0"/>
        <w:widowControl/>
        <w:kinsoku/>
        <w:wordWrap/>
        <w:overflowPunct/>
        <w:topLinePunct w:val="0"/>
        <w:bidi w:val="0"/>
        <w:adjustRightInd w:val="0"/>
        <w:snapToGrid w:val="0"/>
        <w:spacing w:line="52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请部门根据实际注明页码</w:t>
      </w:r>
      <w:r>
        <w:rPr>
          <w:rFonts w:ascii="仿宋" w:hAnsi="仿宋" w:eastAsia="仿宋"/>
          <w:color w:val="auto"/>
          <w:sz w:val="24"/>
          <w:highlight w:val="none"/>
        </w:rPr>
        <w:t>)</w:t>
      </w:r>
    </w:p>
    <w:p>
      <w:pPr>
        <w:pageBreakBefore w:val="0"/>
        <w:widowControl/>
        <w:kinsoku/>
        <w:wordWrap/>
        <w:overflowPunct/>
        <w:topLinePunct w:val="0"/>
        <w:bidi w:val="0"/>
        <w:spacing w:line="52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2"/>
        <w:pageBreakBefore w:val="0"/>
        <w:kinsoku/>
        <w:wordWrap/>
        <w:overflowPunct/>
        <w:topLinePunct w:val="0"/>
        <w:bidi w:val="0"/>
        <w:spacing w:line="520" w:lineRule="exact"/>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5"/>
          <w:rFonts w:hint="eastAsia" w:ascii="黑体" w:hAnsi="黑体" w:eastAsia="黑体"/>
          <w:b w:val="0"/>
          <w:bCs w:val="0"/>
          <w:color w:val="auto"/>
          <w:highlight w:val="none"/>
        </w:rPr>
        <w:t>部门概况</w:t>
      </w:r>
      <w:bookmarkEnd w:id="12"/>
      <w:bookmarkEnd w:id="13"/>
    </w:p>
    <w:p>
      <w:pPr>
        <w:pageBreakBefore w:val="0"/>
        <w:widowControl/>
        <w:kinsoku/>
        <w:wordWrap/>
        <w:overflowPunct/>
        <w:topLinePunct w:val="0"/>
        <w:bidi w:val="0"/>
        <w:spacing w:line="520" w:lineRule="exact"/>
        <w:jc w:val="left"/>
        <w:rPr>
          <w:rFonts w:ascii="黑体" w:eastAsia="黑体"/>
          <w:color w:val="auto"/>
          <w:sz w:val="32"/>
          <w:szCs w:val="32"/>
          <w:highlight w:val="none"/>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4" w:name="_Toc15396602"/>
      <w:bookmarkStart w:id="15" w:name="_Toc15377204"/>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600" w:lineRule="exact"/>
        <w:ind w:firstLine="640" w:firstLineChars="200"/>
        <w:rPr>
          <w:rFonts w:hint="eastAsia" w:ascii="楷体" w:hAnsi="楷体" w:eastAsia="楷体" w:cs="楷体"/>
          <w:color w:val="333333"/>
          <w:sz w:val="32"/>
          <w:szCs w:val="32"/>
          <w:shd w:val="clear" w:color="auto" w:fill="FFFFFF"/>
          <w:lang w:val="zh-CN"/>
        </w:rPr>
      </w:pPr>
      <w:r>
        <w:rPr>
          <w:rFonts w:hint="eastAsia" w:ascii="楷体" w:hAnsi="楷体" w:eastAsia="楷体" w:cs="楷体"/>
          <w:color w:val="333333"/>
          <w:sz w:val="32"/>
          <w:szCs w:val="32"/>
          <w:shd w:val="clear" w:color="auto" w:fill="FFFFFF"/>
          <w:lang w:val="zh-CN"/>
        </w:rPr>
        <w:t>（一）机构组成。</w:t>
      </w:r>
    </w:p>
    <w:p>
      <w:pPr>
        <w:spacing w:line="600" w:lineRule="exact"/>
        <w:ind w:firstLine="640" w:firstLineChars="200"/>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lang w:eastAsia="zh-CN"/>
        </w:rPr>
        <w:t>我</w:t>
      </w:r>
      <w:r>
        <w:rPr>
          <w:rFonts w:hint="eastAsia" w:ascii="华文仿宋" w:hAnsi="华文仿宋" w:eastAsia="华文仿宋" w:cs="仿宋"/>
          <w:color w:val="333333"/>
          <w:sz w:val="32"/>
          <w:szCs w:val="32"/>
          <w:shd w:val="clear" w:color="auto" w:fill="FFFFFF"/>
          <w:lang w:val="en-US" w:eastAsia="zh-CN"/>
        </w:rPr>
        <w:t>乡</w:t>
      </w:r>
      <w:r>
        <w:rPr>
          <w:rFonts w:hint="eastAsia" w:ascii="华文仿宋" w:hAnsi="华文仿宋" w:eastAsia="华文仿宋" w:cs="仿宋"/>
          <w:color w:val="333333"/>
          <w:sz w:val="32"/>
          <w:szCs w:val="32"/>
          <w:shd w:val="clear" w:color="auto" w:fill="FFFFFF"/>
        </w:rPr>
        <w:t>根据本工作的基本职能，按照县委编办的要求，</w:t>
      </w:r>
      <w:r>
        <w:rPr>
          <w:rFonts w:hint="eastAsia" w:ascii="华文仿宋" w:hAnsi="华文仿宋" w:eastAsia="华文仿宋" w:cs="仿宋"/>
          <w:color w:val="333333"/>
          <w:sz w:val="32"/>
          <w:szCs w:val="32"/>
          <w:shd w:val="clear" w:color="auto" w:fill="FFFFFF"/>
          <w:lang w:eastAsia="zh-CN"/>
        </w:rPr>
        <w:t>乡</w:t>
      </w:r>
      <w:r>
        <w:rPr>
          <w:rFonts w:hint="eastAsia" w:ascii="华文仿宋" w:hAnsi="华文仿宋" w:eastAsia="华文仿宋" w:cs="仿宋"/>
          <w:color w:val="333333"/>
          <w:sz w:val="32"/>
          <w:szCs w:val="32"/>
          <w:shd w:val="clear" w:color="auto" w:fill="FFFFFF"/>
        </w:rPr>
        <w:t>政府机关设立</w:t>
      </w:r>
      <w:r>
        <w:rPr>
          <w:rFonts w:hint="eastAsia" w:ascii="华文仿宋" w:hAnsi="华文仿宋" w:eastAsia="华文仿宋" w:cs="仿宋"/>
          <w:color w:val="333333"/>
          <w:sz w:val="32"/>
          <w:szCs w:val="32"/>
          <w:shd w:val="clear" w:color="auto" w:fill="FFFFFF"/>
          <w:lang w:val="en-US" w:eastAsia="zh-CN"/>
        </w:rPr>
        <w:t>4</w:t>
      </w:r>
      <w:r>
        <w:rPr>
          <w:rFonts w:hint="eastAsia" w:ascii="华文仿宋" w:hAnsi="华文仿宋" w:eastAsia="华文仿宋" w:cs="仿宋"/>
          <w:color w:val="333333"/>
          <w:sz w:val="32"/>
          <w:szCs w:val="32"/>
          <w:shd w:val="clear" w:color="auto" w:fill="FFFFFF"/>
        </w:rPr>
        <w:t>个职能办公室</w:t>
      </w:r>
      <w:r>
        <w:rPr>
          <w:rFonts w:hint="eastAsia" w:ascii="华文仿宋" w:hAnsi="华文仿宋" w:eastAsia="华文仿宋" w:cs="仿宋"/>
          <w:color w:val="333333"/>
          <w:sz w:val="32"/>
          <w:szCs w:val="32"/>
          <w:shd w:val="clear" w:color="auto" w:fill="FFFFFF"/>
          <w:lang w:val="en-US" w:eastAsia="zh-CN"/>
        </w:rPr>
        <w:t>及3个直属事业机构</w:t>
      </w:r>
      <w:r>
        <w:rPr>
          <w:rFonts w:hint="eastAsia" w:ascii="华文仿宋" w:hAnsi="华文仿宋" w:eastAsia="华文仿宋" w:cs="仿宋"/>
          <w:color w:val="333333"/>
          <w:sz w:val="32"/>
          <w:szCs w:val="32"/>
          <w:shd w:val="clear" w:color="auto" w:fill="FFFFFF"/>
          <w:lang w:eastAsia="zh-CN"/>
        </w:rPr>
        <w:t>，分别是</w:t>
      </w:r>
      <w:r>
        <w:rPr>
          <w:rFonts w:hint="eastAsia" w:ascii="华文仿宋" w:hAnsi="华文仿宋" w:eastAsia="华文仿宋" w:cs="仿宋"/>
          <w:color w:val="333333"/>
          <w:sz w:val="32"/>
          <w:szCs w:val="32"/>
          <w:shd w:val="clear" w:color="auto" w:fill="FFFFFF"/>
          <w:lang w:val="en-US" w:eastAsia="zh-CN"/>
        </w:rPr>
        <w:t>党建与</w:t>
      </w:r>
      <w:r>
        <w:rPr>
          <w:rFonts w:hint="eastAsia" w:ascii="华文仿宋" w:hAnsi="华文仿宋" w:eastAsia="华文仿宋" w:cs="仿宋"/>
          <w:color w:val="333333"/>
          <w:sz w:val="32"/>
          <w:szCs w:val="32"/>
          <w:shd w:val="clear" w:color="auto" w:fill="FFFFFF"/>
          <w:lang w:eastAsia="zh-CN"/>
        </w:rPr>
        <w:t>综合办公室、</w:t>
      </w:r>
      <w:r>
        <w:rPr>
          <w:rFonts w:hint="eastAsia" w:ascii="华文仿宋" w:hAnsi="华文仿宋" w:eastAsia="华文仿宋" w:cs="仿宋"/>
          <w:color w:val="333333"/>
          <w:sz w:val="32"/>
          <w:szCs w:val="32"/>
          <w:shd w:val="clear" w:color="auto" w:fill="FFFFFF"/>
          <w:lang w:val="en-US" w:eastAsia="zh-CN"/>
        </w:rPr>
        <w:t>社会事务与经济发展</w:t>
      </w:r>
      <w:r>
        <w:rPr>
          <w:rFonts w:hint="eastAsia" w:ascii="华文仿宋" w:hAnsi="华文仿宋" w:eastAsia="华文仿宋" w:cs="仿宋"/>
          <w:color w:val="333333"/>
          <w:sz w:val="32"/>
          <w:szCs w:val="32"/>
          <w:shd w:val="clear" w:color="auto" w:fill="FFFFFF"/>
          <w:lang w:eastAsia="zh-CN"/>
        </w:rPr>
        <w:t>办公室、</w:t>
      </w:r>
      <w:r>
        <w:rPr>
          <w:rFonts w:hint="eastAsia" w:ascii="华文仿宋" w:hAnsi="华文仿宋" w:eastAsia="华文仿宋" w:cs="仿宋"/>
          <w:color w:val="333333"/>
          <w:sz w:val="32"/>
          <w:szCs w:val="32"/>
          <w:shd w:val="clear" w:color="auto" w:fill="FFFFFF"/>
          <w:lang w:val="en-US" w:eastAsia="zh-CN"/>
        </w:rPr>
        <w:t>综合行政执法办公室、寺庙管理所、新荣乡综合服务站、新荣乡便民服务中心、新荣乡文化旅游服务站</w:t>
      </w:r>
      <w:r>
        <w:rPr>
          <w:rFonts w:hint="eastAsia" w:ascii="华文仿宋" w:hAnsi="华文仿宋" w:eastAsia="华文仿宋" w:cs="仿宋"/>
          <w:color w:val="333333"/>
          <w:sz w:val="32"/>
          <w:szCs w:val="32"/>
          <w:shd w:val="clear" w:color="auto" w:fill="FFFFFF"/>
        </w:rPr>
        <w:t>。</w:t>
      </w:r>
    </w:p>
    <w:p>
      <w:pPr>
        <w:spacing w:line="600" w:lineRule="exact"/>
        <w:ind w:firstLine="640" w:firstLineChars="200"/>
        <w:rPr>
          <w:rFonts w:hint="eastAsia" w:ascii="楷体" w:hAnsi="楷体" w:eastAsia="楷体" w:cs="楷体"/>
          <w:color w:val="333333"/>
          <w:sz w:val="32"/>
          <w:szCs w:val="32"/>
          <w:shd w:val="clear" w:color="auto" w:fill="FFFFFF"/>
          <w:lang w:val="zh-CN"/>
        </w:rPr>
      </w:pPr>
      <w:r>
        <w:rPr>
          <w:rFonts w:hint="eastAsia" w:ascii="楷体" w:hAnsi="楷体" w:eastAsia="楷体" w:cs="楷体"/>
          <w:color w:val="333333"/>
          <w:sz w:val="32"/>
          <w:szCs w:val="32"/>
          <w:shd w:val="clear" w:color="auto" w:fill="FFFFFF"/>
          <w:lang w:val="zh-CN"/>
        </w:rPr>
        <w:t>（二）机构职能。</w:t>
      </w:r>
    </w:p>
    <w:p>
      <w:pPr>
        <w:spacing w:line="600" w:lineRule="exact"/>
        <w:ind w:firstLine="640" w:firstLineChars="200"/>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lang w:val="en-US" w:eastAsia="zh-CN"/>
        </w:rPr>
        <w:t>1.党建与</w:t>
      </w:r>
      <w:r>
        <w:rPr>
          <w:rFonts w:hint="eastAsia" w:ascii="华文仿宋" w:hAnsi="华文仿宋" w:eastAsia="华文仿宋" w:cs="仿宋"/>
          <w:color w:val="333333"/>
          <w:sz w:val="32"/>
          <w:szCs w:val="32"/>
          <w:shd w:val="clear" w:color="auto" w:fill="FFFFFF"/>
          <w:lang w:eastAsia="zh-CN"/>
        </w:rPr>
        <w:t>综合办公室</w:t>
      </w:r>
      <w:r>
        <w:rPr>
          <w:rFonts w:hint="eastAsia" w:ascii="华文仿宋" w:hAnsi="华文仿宋" w:eastAsia="华文仿宋" w:cs="仿宋"/>
          <w:color w:val="333333"/>
          <w:sz w:val="32"/>
          <w:szCs w:val="32"/>
          <w:shd w:val="clear" w:color="auto" w:fill="FFFFFF"/>
        </w:rPr>
        <w:t>。</w:t>
      </w:r>
    </w:p>
    <w:p>
      <w:pPr>
        <w:spacing w:line="600" w:lineRule="exact"/>
        <w:ind w:firstLine="640" w:firstLineChars="200"/>
        <w:rPr>
          <w:rFonts w:hint="default" w:ascii="华文仿宋" w:hAnsi="华文仿宋" w:eastAsia="华文仿宋" w:cs="仿宋"/>
          <w:color w:val="333333"/>
          <w:sz w:val="32"/>
          <w:szCs w:val="32"/>
          <w:shd w:val="clear" w:color="auto" w:fill="FFFFFF"/>
          <w:lang w:val="en-US" w:eastAsia="zh-CN"/>
        </w:rPr>
      </w:pPr>
      <w:r>
        <w:rPr>
          <w:rFonts w:hint="eastAsia" w:ascii="华文仿宋" w:hAnsi="华文仿宋" w:eastAsia="华文仿宋" w:cs="仿宋"/>
          <w:color w:val="333333"/>
          <w:sz w:val="32"/>
          <w:szCs w:val="32"/>
          <w:shd w:val="clear" w:color="auto" w:fill="FFFFFF"/>
        </w:rPr>
        <w:t xml:space="preserve">  </w:t>
      </w:r>
      <w:r>
        <w:rPr>
          <w:rFonts w:hint="eastAsia" w:ascii="华文仿宋" w:hAnsi="华文仿宋" w:eastAsia="华文仿宋" w:cs="仿宋"/>
          <w:color w:val="333333"/>
          <w:sz w:val="32"/>
          <w:szCs w:val="32"/>
          <w:shd w:val="clear" w:color="auto" w:fill="FFFFFF"/>
          <w:lang w:val="en-US" w:eastAsia="zh-CN"/>
        </w:rPr>
        <w:t>主要负责日常运转，承担文电、会务、机构编制、干部人事管理、信息、档案、保密、固定资产、后勤保障等职责。负责人大议案、代表批评建议意见和政协委员提案的办理和答复。负责对基层党组织建设的统筹指导,承担党建、意识形态、宣传、人大、工青妇群团组织、党风廉政建设、群众工作等职责。</w:t>
      </w:r>
    </w:p>
    <w:p>
      <w:pPr>
        <w:spacing w:line="600" w:lineRule="exact"/>
        <w:ind w:firstLine="640" w:firstLineChars="200"/>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lang w:val="en-US" w:eastAsia="zh-CN"/>
        </w:rPr>
        <w:t>2.社会事务与经济发展</w:t>
      </w:r>
      <w:r>
        <w:rPr>
          <w:rFonts w:hint="eastAsia" w:ascii="华文仿宋" w:hAnsi="华文仿宋" w:eastAsia="华文仿宋" w:cs="仿宋"/>
          <w:color w:val="333333"/>
          <w:sz w:val="32"/>
          <w:szCs w:val="32"/>
          <w:shd w:val="clear" w:color="auto" w:fill="FFFFFF"/>
          <w:lang w:eastAsia="zh-CN"/>
        </w:rPr>
        <w:t>办公室</w:t>
      </w:r>
      <w:r>
        <w:rPr>
          <w:rFonts w:hint="eastAsia" w:ascii="华文仿宋" w:hAnsi="华文仿宋" w:eastAsia="华文仿宋" w:cs="仿宋"/>
          <w:color w:val="333333"/>
          <w:sz w:val="32"/>
          <w:szCs w:val="32"/>
          <w:shd w:val="clear" w:color="auto" w:fill="FFFFFF"/>
        </w:rPr>
        <w:t>。</w:t>
      </w:r>
    </w:p>
    <w:p>
      <w:pPr>
        <w:spacing w:line="600" w:lineRule="exact"/>
        <w:ind w:firstLine="640" w:firstLineChars="200"/>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rPr>
        <w:t xml:space="preserve"> 承担乡</w:t>
      </w:r>
      <w:r>
        <w:rPr>
          <w:rFonts w:hint="eastAsia" w:ascii="华文仿宋" w:hAnsi="华文仿宋" w:eastAsia="华文仿宋" w:cs="仿宋"/>
          <w:color w:val="333333"/>
          <w:sz w:val="32"/>
          <w:szCs w:val="32"/>
          <w:shd w:val="clear" w:color="auto" w:fill="FFFFFF"/>
          <w:lang w:eastAsia="zh-CN"/>
        </w:rPr>
        <w:t>乡</w:t>
      </w:r>
      <w:r>
        <w:rPr>
          <w:rFonts w:hint="eastAsia" w:ascii="华文仿宋" w:hAnsi="华文仿宋" w:eastAsia="华文仿宋" w:cs="仿宋"/>
          <w:color w:val="333333"/>
          <w:sz w:val="32"/>
          <w:szCs w:val="32"/>
          <w:shd w:val="clear" w:color="auto" w:fill="FFFFFF"/>
        </w:rPr>
        <w:t>经济发展规划、重大项目建设协调、乡村振兴、农牧农村科技、乡</w:t>
      </w:r>
      <w:r>
        <w:rPr>
          <w:rFonts w:hint="eastAsia" w:ascii="华文仿宋" w:hAnsi="华文仿宋" w:eastAsia="华文仿宋" w:cs="仿宋"/>
          <w:color w:val="333333"/>
          <w:sz w:val="32"/>
          <w:szCs w:val="32"/>
          <w:shd w:val="clear" w:color="auto" w:fill="FFFFFF"/>
          <w:lang w:eastAsia="zh-CN"/>
        </w:rPr>
        <w:t>乡</w:t>
      </w:r>
      <w:r>
        <w:rPr>
          <w:rFonts w:hint="eastAsia" w:ascii="华文仿宋" w:hAnsi="华文仿宋" w:eastAsia="华文仿宋" w:cs="仿宋"/>
          <w:color w:val="333333"/>
          <w:sz w:val="32"/>
          <w:szCs w:val="32"/>
          <w:shd w:val="clear" w:color="auto" w:fill="FFFFFF"/>
        </w:rPr>
        <w:t>规划建设、招商引资、项目管理、乡</w:t>
      </w:r>
      <w:r>
        <w:rPr>
          <w:rFonts w:hint="eastAsia" w:ascii="华文仿宋" w:hAnsi="华文仿宋" w:eastAsia="华文仿宋" w:cs="仿宋"/>
          <w:color w:val="333333"/>
          <w:sz w:val="32"/>
          <w:szCs w:val="32"/>
          <w:shd w:val="clear" w:color="auto" w:fill="FFFFFF"/>
          <w:lang w:eastAsia="zh-CN"/>
        </w:rPr>
        <w:t>乡</w:t>
      </w:r>
      <w:r>
        <w:rPr>
          <w:rFonts w:hint="eastAsia" w:ascii="华文仿宋" w:hAnsi="华文仿宋" w:eastAsia="华文仿宋" w:cs="仿宋"/>
          <w:color w:val="333333"/>
          <w:sz w:val="32"/>
          <w:szCs w:val="32"/>
          <w:shd w:val="clear" w:color="auto" w:fill="FFFFFF"/>
        </w:rPr>
        <w:t>企业、林业草原（森林草原防灭火防治)、水利(防汛抗旱防治)、统计等职责;负责五大振兴、农业农村改革、脱贫攻坚、驻村、集体经济组织指导等工作。承担教育体育、民政、人力资源社会保障、退役军人事务、文化旅游广播电视、卫生健康、粮食、扶贫开发、移民安置等职责。承担环境保护、生态文明建设、城乡提升、自然资源管理（地质灾害防治)、市场监管等职责;负责农村人居环境整治工作;承办县委农村工作领导小组及其办公室交办工作。</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3.</w:t>
      </w:r>
      <w:r>
        <w:rPr>
          <w:rFonts w:hint="eastAsia" w:ascii="华文仿宋" w:hAnsi="华文仿宋" w:eastAsia="华文仿宋" w:cs="仿宋"/>
          <w:color w:val="333333"/>
          <w:sz w:val="32"/>
          <w:szCs w:val="32"/>
          <w:shd w:val="clear" w:color="auto" w:fill="FFFFFF"/>
          <w:lang w:val="zh-CN"/>
        </w:rPr>
        <w:t>综合行政执法办公室。</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整合基层站所执法力量和资源,采取合署办公等方式,强化对行政执法的统一指挥和统筹协调。负责辖区内行政执法的统一指挥和综合协调;综合协调并联系派驻乡乡的片区执法中队、市场监管所和自然资源所。承担社会治理、平安创建、综治维稳、群众信访、统战宗教、公共安全、依法治理、应急管理(森林草原、防汛抗旱、地质灾害等“全灾种”的应急处置和救援)、安全</w:t>
      </w:r>
      <w:r>
        <w:rPr>
          <w:rFonts w:hint="eastAsia" w:ascii="华文仿宋" w:hAnsi="华文仿宋" w:eastAsia="华文仿宋" w:cs="仿宋"/>
          <w:color w:val="333333"/>
          <w:sz w:val="32"/>
          <w:szCs w:val="32"/>
          <w:shd w:val="clear" w:color="auto" w:fill="FFFFFF"/>
          <w:lang w:val="en-US" w:eastAsia="zh-CN"/>
        </w:rPr>
        <w:t>生产监督、地</w:t>
      </w:r>
      <w:r>
        <w:rPr>
          <w:rFonts w:hint="eastAsia" w:ascii="华文仿宋" w:hAnsi="华文仿宋" w:eastAsia="华文仿宋" w:cs="仿宋"/>
          <w:color w:val="333333"/>
          <w:sz w:val="32"/>
          <w:szCs w:val="32"/>
          <w:shd w:val="clear" w:color="auto" w:fill="FFFFFF"/>
          <w:lang w:val="zh-CN"/>
        </w:rPr>
        <w:t>震灾害的防治救、人民武装、</w:t>
      </w:r>
      <w:r>
        <w:rPr>
          <w:rFonts w:hint="eastAsia" w:ascii="华文仿宋" w:hAnsi="华文仿宋" w:eastAsia="华文仿宋" w:cs="仿宋"/>
          <w:color w:val="333333"/>
          <w:sz w:val="32"/>
          <w:szCs w:val="32"/>
          <w:shd w:val="clear" w:color="auto" w:fill="FFFFFF"/>
          <w:lang w:val="en-US" w:eastAsia="zh-CN"/>
        </w:rPr>
        <w:t>交通运输、矛盾纠纷排查化解</w:t>
      </w:r>
      <w:r>
        <w:rPr>
          <w:rFonts w:hint="eastAsia" w:ascii="华文仿宋" w:hAnsi="华文仿宋" w:eastAsia="华文仿宋" w:cs="仿宋"/>
          <w:color w:val="333333"/>
          <w:sz w:val="32"/>
          <w:szCs w:val="32"/>
          <w:shd w:val="clear" w:color="auto" w:fill="FFFFFF"/>
          <w:lang w:val="zh-CN"/>
        </w:rPr>
        <w:t>等职责:综合协调和联系派驻乡</w:t>
      </w:r>
      <w:r>
        <w:rPr>
          <w:rFonts w:hint="eastAsia" w:ascii="华文仿宋" w:hAnsi="华文仿宋" w:eastAsia="华文仿宋" w:cs="仿宋"/>
          <w:color w:val="333333"/>
          <w:sz w:val="32"/>
          <w:szCs w:val="32"/>
          <w:shd w:val="clear" w:color="auto" w:fill="FFFFFF"/>
          <w:lang w:val="en-US" w:eastAsia="zh-CN"/>
        </w:rPr>
        <w:t>乡</w:t>
      </w:r>
      <w:r>
        <w:rPr>
          <w:rFonts w:hint="eastAsia" w:ascii="华文仿宋" w:hAnsi="华文仿宋" w:eastAsia="华文仿宋" w:cs="仿宋"/>
          <w:color w:val="333333"/>
          <w:sz w:val="32"/>
          <w:szCs w:val="32"/>
          <w:shd w:val="clear" w:color="auto" w:fill="FFFFFF"/>
          <w:lang w:val="zh-CN"/>
        </w:rPr>
        <w:t>的派出所、司动所。</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4.</w:t>
      </w:r>
      <w:r>
        <w:rPr>
          <w:rFonts w:hint="eastAsia" w:ascii="华文仿宋" w:hAnsi="华文仿宋" w:eastAsia="华文仿宋" w:cs="仿宋"/>
          <w:color w:val="333333"/>
          <w:sz w:val="32"/>
          <w:szCs w:val="32"/>
          <w:shd w:val="clear" w:color="auto" w:fill="FFFFFF"/>
          <w:lang w:val="zh-CN"/>
        </w:rPr>
        <w:t>寺庙管理所。</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负</w:t>
      </w:r>
      <w:r>
        <w:rPr>
          <w:rFonts w:hint="eastAsia" w:ascii="华文仿宋" w:hAnsi="华文仿宋" w:eastAsia="华文仿宋" w:cs="仿宋"/>
          <w:color w:val="333333"/>
          <w:sz w:val="32"/>
          <w:szCs w:val="32"/>
          <w:shd w:val="clear" w:color="auto" w:fill="FFFFFF"/>
          <w:lang w:val="en-US" w:eastAsia="zh-CN"/>
        </w:rPr>
        <w:t>责宣</w:t>
      </w:r>
      <w:r>
        <w:rPr>
          <w:rFonts w:hint="eastAsia" w:ascii="华文仿宋" w:hAnsi="华文仿宋" w:eastAsia="华文仿宋" w:cs="仿宋"/>
          <w:color w:val="333333"/>
          <w:sz w:val="32"/>
          <w:szCs w:val="32"/>
          <w:shd w:val="clear" w:color="auto" w:fill="FFFFFF"/>
          <w:lang w:val="zh-CN"/>
        </w:rPr>
        <w:t>传贯彻执行党和国家关干</w:t>
      </w:r>
      <w:r>
        <w:rPr>
          <w:rFonts w:hint="eastAsia" w:ascii="华文仿宋" w:hAnsi="华文仿宋" w:eastAsia="华文仿宋" w:cs="仿宋"/>
          <w:color w:val="333333"/>
          <w:sz w:val="32"/>
          <w:szCs w:val="32"/>
          <w:shd w:val="clear" w:color="auto" w:fill="FFFFFF"/>
          <w:lang w:val="en-US" w:eastAsia="zh-CN"/>
        </w:rPr>
        <w:t>寺</w:t>
      </w:r>
      <w:r>
        <w:rPr>
          <w:rFonts w:hint="eastAsia" w:ascii="华文仿宋" w:hAnsi="华文仿宋" w:eastAsia="华文仿宋" w:cs="仿宋"/>
          <w:color w:val="333333"/>
          <w:sz w:val="32"/>
          <w:szCs w:val="32"/>
          <w:shd w:val="clear" w:color="auto" w:fill="FFFFFF"/>
          <w:lang w:val="zh-CN"/>
        </w:rPr>
        <w:t>庙管理的方针政策和法律法规,执行落实新时代党的治藏方略;负责民族宗教工作、按照统战、民宗、佛协的安排部暑落实藏传佛教寺庙管理工作、促进藏传佛教中国化发展;负责辖区内寺庙、露天佛像、僧人、佛事活动、财税、宗教事务的管理工作:负责宣传、教育引导寺庙深入开展民族团结,和谐寺庙创建等活动、加强寺庙重点人员联系和管理工作:协调做好宗教活动场所、宗教教职人员的基础设施建设和公共服务工作:承办乡乡党委、政府和上级有关部门交办的其他工作</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完成乡乡党委和乡政府交办的其他任务。</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5.新荣乡</w:t>
      </w:r>
      <w:r>
        <w:rPr>
          <w:rFonts w:hint="eastAsia" w:ascii="华文仿宋" w:hAnsi="华文仿宋" w:eastAsia="华文仿宋" w:cs="仿宋"/>
          <w:color w:val="333333"/>
          <w:sz w:val="32"/>
          <w:szCs w:val="32"/>
          <w:shd w:val="clear" w:color="auto" w:fill="FFFFFF"/>
          <w:lang w:val="zh-CN"/>
        </w:rPr>
        <w:t>综合服务站。</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主要负责乡乡农业、畜牧、林草、水利等相关技术服务、支撑与保障及退役军人服务等工作。</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6.新荣乡</w:t>
      </w:r>
      <w:r>
        <w:rPr>
          <w:rFonts w:hint="eastAsia" w:ascii="华文仿宋" w:hAnsi="华文仿宋" w:eastAsia="华文仿宋" w:cs="仿宋"/>
          <w:color w:val="333333"/>
          <w:sz w:val="32"/>
          <w:szCs w:val="32"/>
          <w:shd w:val="clear" w:color="auto" w:fill="FFFFFF"/>
          <w:lang w:val="zh-CN"/>
        </w:rPr>
        <w:t>便民服务中心。</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主要负责乡乡便民服务、公共服务、农民工服务等工作。</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en-US" w:eastAsia="zh-CN"/>
        </w:rPr>
        <w:t>7.新荣乡</w:t>
      </w:r>
      <w:r>
        <w:rPr>
          <w:rFonts w:hint="eastAsia" w:ascii="华文仿宋" w:hAnsi="华文仿宋" w:eastAsia="华文仿宋" w:cs="仿宋"/>
          <w:color w:val="333333"/>
          <w:sz w:val="32"/>
          <w:szCs w:val="32"/>
          <w:shd w:val="clear" w:color="auto" w:fill="FFFFFF"/>
          <w:lang w:val="zh-CN"/>
        </w:rPr>
        <w:t>文化旅游服务站。</w:t>
      </w:r>
    </w:p>
    <w:p>
      <w:pPr>
        <w:numPr>
          <w:ilvl w:val="0"/>
          <w:numId w:val="0"/>
        </w:numPr>
        <w:spacing w:line="600" w:lineRule="exact"/>
        <w:ind w:firstLine="640" w:firstLineChars="200"/>
        <w:rPr>
          <w:rFonts w:hint="eastAsia" w:ascii="华文仿宋" w:hAnsi="华文仿宋" w:eastAsia="华文仿宋" w:cs="仿宋"/>
          <w:color w:val="333333"/>
          <w:sz w:val="32"/>
          <w:szCs w:val="32"/>
          <w:shd w:val="clear" w:color="auto" w:fill="FFFFFF"/>
          <w:lang w:val="zh-CN"/>
        </w:rPr>
      </w:pPr>
      <w:r>
        <w:rPr>
          <w:rFonts w:hint="eastAsia" w:ascii="华文仿宋" w:hAnsi="华文仿宋" w:eastAsia="华文仿宋" w:cs="仿宋"/>
          <w:color w:val="333333"/>
          <w:sz w:val="32"/>
          <w:szCs w:val="32"/>
          <w:shd w:val="clear" w:color="auto" w:fill="FFFFFF"/>
          <w:lang w:val="zh-CN"/>
        </w:rPr>
        <w:t>主要负责乡乡文化,旅游,广播电视等相关技术服务支持和保障工作。</w:t>
      </w:r>
    </w:p>
    <w:p>
      <w:pPr>
        <w:spacing w:line="600" w:lineRule="exact"/>
        <w:ind w:firstLine="640" w:firstLineChars="200"/>
        <w:rPr>
          <w:rFonts w:hint="eastAsia" w:ascii="楷体" w:hAnsi="楷体" w:eastAsia="楷体" w:cs="楷体"/>
          <w:color w:val="333333"/>
          <w:sz w:val="32"/>
          <w:szCs w:val="32"/>
          <w:shd w:val="clear" w:color="auto" w:fill="FFFFFF"/>
          <w:lang w:val="zh-CN"/>
        </w:rPr>
      </w:pPr>
      <w:r>
        <w:rPr>
          <w:rFonts w:hint="eastAsia" w:ascii="楷体" w:hAnsi="楷体" w:eastAsia="楷体" w:cs="楷体"/>
          <w:color w:val="333333"/>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rPr>
        <w:t>新荣乡行政编制17名。其中,党委书记1名;人大主席1名;副书记、乡长1名;副书记兼宣传委员、统战委员1名;组织委员1名;政法委员1名;纪委书记兼监察室主任1名(由乡镇党委委员兼任);人武部长兼副乡长1名;副乡长2名。</w:t>
      </w:r>
    </w:p>
    <w:p>
      <w:pPr>
        <w:widowControl/>
        <w:adjustRightInd w:val="0"/>
        <w:snapToGrid w:val="0"/>
        <w:spacing w:line="580" w:lineRule="exact"/>
        <w:ind w:firstLine="640" w:firstLineChars="200"/>
        <w:contextualSpacing/>
        <w:jc w:val="left"/>
        <w:rPr>
          <w:rFonts w:hint="eastAsia" w:ascii="华文仿宋" w:hAnsi="华文仿宋" w:eastAsia="华文仿宋" w:cs="仿宋"/>
          <w:color w:val="333333"/>
          <w:sz w:val="32"/>
          <w:szCs w:val="32"/>
          <w:shd w:val="clear" w:color="auto" w:fill="FFFFFF"/>
        </w:rPr>
      </w:pPr>
      <w:r>
        <w:rPr>
          <w:rFonts w:hint="eastAsia" w:ascii="华文仿宋" w:hAnsi="华文仿宋" w:eastAsia="华文仿宋" w:cs="仿宋"/>
          <w:color w:val="333333"/>
          <w:sz w:val="32"/>
          <w:szCs w:val="32"/>
          <w:shd w:val="clear" w:color="auto" w:fill="FFFFFF"/>
        </w:rPr>
        <w:t>工勤人员控制数2名。</w:t>
      </w:r>
    </w:p>
    <w:p>
      <w:pPr>
        <w:pStyle w:val="2"/>
        <w:pageBreakBefore w:val="0"/>
        <w:kinsoku/>
        <w:wordWrap/>
        <w:overflowPunct/>
        <w:topLinePunct w:val="0"/>
        <w:bidi w:val="0"/>
        <w:spacing w:line="520" w:lineRule="exact"/>
        <w:ind w:right="440"/>
        <w:jc w:val="center"/>
        <w:rPr>
          <w:rStyle w:val="25"/>
          <w:rFonts w:ascii="黑体" w:hAnsi="黑体" w:eastAsia="黑体"/>
          <w:b w:val="0"/>
          <w:bCs/>
          <w:color w:val="auto"/>
          <w:highlight w:val="none"/>
        </w:rPr>
      </w:pPr>
      <w:bookmarkStart w:id="65" w:name="_GoBack"/>
      <w:bookmarkEnd w:id="65"/>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5"/>
          <w:rFonts w:hint="eastAsia" w:ascii="黑体" w:hAnsi="黑体" w:eastAsia="黑体"/>
          <w:b w:val="0"/>
          <w:bCs/>
          <w:color w:val="auto"/>
          <w:highlight w:val="none"/>
        </w:rPr>
        <w:t>部门决算情况说明</w:t>
      </w:r>
      <w:bookmarkEnd w:id="14"/>
      <w:bookmarkEnd w:id="15"/>
    </w:p>
    <w:p>
      <w:pPr>
        <w:pageBreakBefore w:val="0"/>
        <w:kinsoku/>
        <w:wordWrap/>
        <w:overflowPunct/>
        <w:topLinePunct w:val="0"/>
        <w:bidi w:val="0"/>
        <w:spacing w:line="520" w:lineRule="exact"/>
        <w:rPr>
          <w:color w:val="auto"/>
          <w:highlight w:val="none"/>
        </w:rPr>
      </w:pPr>
    </w:p>
    <w:p>
      <w:pPr>
        <w:pStyle w:val="24"/>
        <w:pageBreakBefore w:val="0"/>
        <w:numPr>
          <w:ilvl w:val="0"/>
          <w:numId w:val="1"/>
        </w:numPr>
        <w:kinsoku/>
        <w:wordWrap/>
        <w:overflowPunct/>
        <w:topLinePunct w:val="0"/>
        <w:bidi w:val="0"/>
        <w:spacing w:line="520" w:lineRule="exact"/>
        <w:ind w:firstLineChars="0"/>
        <w:outlineLvl w:val="1"/>
        <w:rPr>
          <w:rStyle w:val="26"/>
          <w:rFonts w:ascii="黑体" w:hAnsi="黑体" w:eastAsia="黑体"/>
          <w:b w:val="0"/>
          <w:color w:val="auto"/>
          <w:highlight w:val="none"/>
        </w:rPr>
      </w:pPr>
      <w:bookmarkStart w:id="16" w:name="_Toc15396603"/>
      <w:bookmarkStart w:id="17"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6"/>
      <w:bookmarkEnd w:id="17"/>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816.81</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2021</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增加172.7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增加26.81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财政预算增加。</w:t>
      </w:r>
    </w:p>
    <w:p>
      <w:pPr>
        <w:pStyle w:val="24"/>
        <w:pageBreakBefore w:val="0"/>
        <w:numPr>
          <w:ilvl w:val="0"/>
          <w:numId w:val="1"/>
        </w:numPr>
        <w:kinsoku/>
        <w:wordWrap/>
        <w:overflowPunct/>
        <w:topLinePunct w:val="0"/>
        <w:bidi w:val="0"/>
        <w:spacing w:line="520" w:lineRule="exact"/>
        <w:ind w:firstLineChars="0"/>
        <w:outlineLvl w:val="1"/>
        <w:rPr>
          <w:rStyle w:val="26"/>
          <w:rFonts w:ascii="黑体" w:hAnsi="黑体" w:eastAsia="黑体"/>
          <w:b w:val="0"/>
          <w:color w:val="auto"/>
          <w:highlight w:val="none"/>
        </w:rPr>
      </w:pPr>
      <w:bookmarkStart w:id="18" w:name="_Toc15377206"/>
      <w:bookmarkStart w:id="19"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18"/>
      <w:bookmarkEnd w:id="19"/>
    </w:p>
    <w:p>
      <w:pPr>
        <w:pageBreakBefore w:val="0"/>
        <w:kinsoku/>
        <w:wordWrap/>
        <w:overflowPunct/>
        <w:topLinePunct w:val="0"/>
        <w:bidi w:val="0"/>
        <w:spacing w:line="52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816.81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816.81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line="52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，仅罗列本部门涉及的收入。</w:t>
      </w:r>
      <w:r>
        <w:rPr>
          <w:rFonts w:ascii="仿宋" w:hAnsi="仿宋" w:eastAsia="仿宋"/>
          <w:b/>
          <w:color w:val="auto"/>
          <w:sz w:val="32"/>
          <w:szCs w:val="32"/>
          <w:highlight w:val="none"/>
        </w:rPr>
        <w:t>）</w:t>
      </w:r>
    </w:p>
    <w:p>
      <w:pPr>
        <w:pStyle w:val="24"/>
        <w:pageBreakBefore w:val="0"/>
        <w:numPr>
          <w:ilvl w:val="0"/>
          <w:numId w:val="1"/>
        </w:numPr>
        <w:kinsoku/>
        <w:wordWrap/>
        <w:overflowPunct/>
        <w:topLinePunct w:val="0"/>
        <w:bidi w:val="0"/>
        <w:spacing w:line="520" w:lineRule="exact"/>
        <w:ind w:firstLineChars="0"/>
        <w:outlineLvl w:val="1"/>
        <w:rPr>
          <w:rStyle w:val="26"/>
          <w:rFonts w:ascii="黑体" w:hAnsi="黑体" w:eastAsia="黑体"/>
          <w:b w:val="0"/>
          <w:color w:val="auto"/>
          <w:highlight w:val="none"/>
        </w:rPr>
      </w:pPr>
      <w:bookmarkStart w:id="20" w:name="_Toc15396605"/>
      <w:bookmarkStart w:id="21"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0"/>
      <w:bookmarkEnd w:id="21"/>
    </w:p>
    <w:p>
      <w:pPr>
        <w:pageBreakBefore w:val="0"/>
        <w:kinsoku/>
        <w:wordWrap/>
        <w:overflowPunct/>
        <w:topLinePunct w:val="0"/>
        <w:bidi w:val="0"/>
        <w:spacing w:line="52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816.81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748.81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line="520" w:lineRule="exact"/>
        <w:outlineLvl w:val="1"/>
        <w:rPr>
          <w:rFonts w:ascii="仿宋_GB2312" w:eastAsia="仿宋_GB2312"/>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，仅罗列本部门涉及的支出。</w:t>
      </w:r>
      <w:r>
        <w:rPr>
          <w:rFonts w:hint="eastAsia" w:ascii="仿宋" w:hAnsi="仿宋" w:eastAsia="仿宋"/>
          <w:b/>
          <w:color w:val="auto"/>
          <w:sz w:val="32"/>
          <w:szCs w:val="32"/>
          <w:highlight w:val="none"/>
        </w:rPr>
        <w:t>）</w:t>
      </w:r>
    </w:p>
    <w:p>
      <w:pPr>
        <w:pageBreakBefore w:val="0"/>
        <w:kinsoku/>
        <w:wordWrap/>
        <w:overflowPunct/>
        <w:topLinePunct w:val="0"/>
        <w:bidi w:val="0"/>
        <w:spacing w:line="520" w:lineRule="exact"/>
        <w:ind w:firstLine="640" w:firstLineChars="200"/>
        <w:outlineLvl w:val="1"/>
        <w:rPr>
          <w:rStyle w:val="26"/>
          <w:rFonts w:ascii="黑体" w:hAnsi="黑体" w:eastAsia="黑体"/>
          <w:b w:val="0"/>
          <w:color w:val="auto"/>
          <w:highlight w:val="none"/>
        </w:rPr>
      </w:pPr>
      <w:bookmarkStart w:id="22" w:name="_Toc15377208"/>
      <w:bookmarkStart w:id="23"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2"/>
      <w:bookmarkEnd w:id="23"/>
    </w:p>
    <w:p>
      <w:pPr>
        <w:pageBreakBefore w:val="0"/>
        <w:kinsoku/>
        <w:wordWrap/>
        <w:overflowPunct/>
        <w:topLinePunct w:val="0"/>
        <w:bidi w:val="0"/>
        <w:spacing w:line="520" w:lineRule="exact"/>
        <w:ind w:firstLine="64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816.81</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2021</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增加172.7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增加26.81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2022年度财政预算增加。</w:t>
      </w:r>
    </w:p>
    <w:p>
      <w:pPr>
        <w:pageBreakBefore w:val="0"/>
        <w:kinsoku/>
        <w:wordWrap/>
        <w:overflowPunct/>
        <w:topLinePunct w:val="0"/>
        <w:bidi w:val="0"/>
        <w:spacing w:line="52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pageBreakBefore w:val="0"/>
        <w:kinsoku/>
        <w:wordWrap/>
        <w:overflowPunct/>
        <w:topLinePunct w:val="0"/>
        <w:bidi w:val="0"/>
        <w:spacing w:line="520" w:lineRule="exact"/>
        <w:ind w:firstLine="640" w:firstLineChars="200"/>
        <w:outlineLvl w:val="1"/>
        <w:rPr>
          <w:rStyle w:val="26"/>
          <w:rFonts w:ascii="黑体" w:hAnsi="黑体" w:eastAsia="黑体"/>
          <w:b w:val="0"/>
          <w:color w:val="auto"/>
          <w:highlight w:val="none"/>
        </w:rPr>
      </w:pPr>
      <w:bookmarkStart w:id="24" w:name="_Toc15396607"/>
      <w:bookmarkStart w:id="25"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4"/>
      <w:bookmarkEnd w:id="25"/>
    </w:p>
    <w:p>
      <w:pPr>
        <w:pageBreakBefore w:val="0"/>
        <w:kinsoku/>
        <w:wordWrap/>
        <w:overflowPunct/>
        <w:topLinePunct w:val="0"/>
        <w:bidi w:val="0"/>
        <w:spacing w:line="520" w:lineRule="exact"/>
        <w:ind w:firstLine="643" w:firstLineChars="200"/>
        <w:outlineLvl w:val="2"/>
        <w:rPr>
          <w:rFonts w:ascii="仿宋" w:hAnsi="仿宋" w:eastAsia="仿宋"/>
          <w:b/>
          <w:color w:val="auto"/>
          <w:sz w:val="32"/>
          <w:szCs w:val="32"/>
          <w:highlight w:val="none"/>
        </w:rPr>
      </w:pPr>
      <w:bookmarkStart w:id="26" w:name="_Toc15377210"/>
      <w:r>
        <w:rPr>
          <w:rFonts w:hint="eastAsia" w:ascii="仿宋" w:hAnsi="仿宋" w:eastAsia="仿宋"/>
          <w:b/>
          <w:color w:val="auto"/>
          <w:sz w:val="32"/>
          <w:szCs w:val="32"/>
          <w:highlight w:val="none"/>
        </w:rPr>
        <w:t>（一）一般公共预算财政拨款支出决算总体情况</w:t>
      </w:r>
      <w:bookmarkEnd w:id="26"/>
    </w:p>
    <w:p>
      <w:pPr>
        <w:pageBreakBefore w:val="0"/>
        <w:kinsoku/>
        <w:wordWrap/>
        <w:overflowPunct/>
        <w:topLinePunct w:val="0"/>
        <w:bidi w:val="0"/>
        <w:spacing w:line="52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816.81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增加172.7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增加26.81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2022年度财政预算增加。</w:t>
      </w:r>
    </w:p>
    <w:p>
      <w:pPr>
        <w:pageBreakBefore w:val="0"/>
        <w:kinsoku/>
        <w:wordWrap/>
        <w:overflowPunct/>
        <w:topLinePunct w:val="0"/>
        <w:bidi w:val="0"/>
        <w:spacing w:line="520" w:lineRule="exact"/>
        <w:ind w:firstLine="643" w:firstLineChars="200"/>
        <w:outlineLvl w:val="2"/>
        <w:rPr>
          <w:rFonts w:ascii="仿宋" w:hAnsi="仿宋" w:eastAsia="仿宋"/>
          <w:b/>
          <w:color w:val="auto"/>
          <w:sz w:val="32"/>
          <w:szCs w:val="32"/>
          <w:highlight w:val="none"/>
        </w:rPr>
      </w:pPr>
      <w:bookmarkStart w:id="27" w:name="_Toc15377211"/>
      <w:r>
        <w:rPr>
          <w:rFonts w:hint="eastAsia" w:ascii="仿宋" w:hAnsi="仿宋" w:eastAsia="仿宋"/>
          <w:b/>
          <w:color w:val="auto"/>
          <w:sz w:val="32"/>
          <w:szCs w:val="32"/>
          <w:highlight w:val="none"/>
        </w:rPr>
        <w:t>（二）一般公共预算财政拨款支出决算结构情况</w:t>
      </w:r>
      <w:bookmarkEnd w:id="27"/>
    </w:p>
    <w:p>
      <w:pPr>
        <w:pageBreakBefore w:val="0"/>
        <w:kinsoku/>
        <w:wordWrap/>
        <w:overflowPunct/>
        <w:topLinePunct w:val="0"/>
        <w:bidi w:val="0"/>
        <w:spacing w:line="52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816.81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599.17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72.92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23.79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2.91</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54.95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，农林水支出</w:t>
      </w:r>
      <w:r>
        <w:rPr>
          <w:rFonts w:hint="eastAsia" w:ascii="仿宋" w:hAnsi="仿宋" w:eastAsia="仿宋"/>
          <w:color w:val="auto"/>
          <w:sz w:val="32"/>
          <w:szCs w:val="32"/>
          <w:highlight w:val="none"/>
          <w:lang w:val="en-US" w:eastAsia="zh-CN"/>
        </w:rPr>
        <w:t>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pacing w:line="52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本部门涉及的全部</w:t>
      </w:r>
      <w:r>
        <w:rPr>
          <w:rFonts w:hint="eastAsia" w:ascii="仿宋" w:hAnsi="仿宋" w:eastAsia="仿宋"/>
          <w:b/>
          <w:color w:val="auto"/>
          <w:sz w:val="32"/>
          <w:szCs w:val="32"/>
          <w:highlight w:val="none"/>
        </w:rPr>
        <w:t>功能分类科目，至类级。）</w:t>
      </w:r>
    </w:p>
    <w:p>
      <w:pPr>
        <w:pageBreakBefore w:val="0"/>
        <w:kinsoku/>
        <w:wordWrap/>
        <w:overflowPunct/>
        <w:topLinePunct w:val="0"/>
        <w:bidi w:val="0"/>
        <w:spacing w:line="520" w:lineRule="exact"/>
        <w:ind w:firstLine="643" w:firstLineChars="200"/>
        <w:outlineLvl w:val="2"/>
        <w:rPr>
          <w:rFonts w:ascii="仿宋" w:hAnsi="仿宋" w:eastAsia="仿宋"/>
          <w:b/>
          <w:color w:val="auto"/>
          <w:sz w:val="32"/>
          <w:szCs w:val="32"/>
          <w:highlight w:val="none"/>
        </w:rPr>
      </w:pPr>
      <w:bookmarkStart w:id="28" w:name="_Toc15377212"/>
      <w:r>
        <w:rPr>
          <w:rFonts w:hint="eastAsia" w:ascii="仿宋" w:hAnsi="仿宋" w:eastAsia="仿宋"/>
          <w:b/>
          <w:color w:val="auto"/>
          <w:sz w:val="32"/>
          <w:szCs w:val="32"/>
          <w:highlight w:val="none"/>
        </w:rPr>
        <w:t>（三）一般公共预算财政拨款支出决算具体情况</w:t>
      </w:r>
      <w:bookmarkEnd w:id="28"/>
    </w:p>
    <w:p>
      <w:pPr>
        <w:pageBreakBefore w:val="0"/>
        <w:kinsoku/>
        <w:wordWrap/>
        <w:overflowPunct/>
        <w:topLinePunct w:val="0"/>
        <w:bidi w:val="0"/>
        <w:spacing w:line="520" w:lineRule="exact"/>
        <w:ind w:firstLine="643" w:firstLineChars="200"/>
        <w:outlineLvl w:val="2"/>
        <w:rPr>
          <w:rFonts w:ascii="仿宋" w:hAnsi="仿宋" w:eastAsia="仿宋"/>
          <w:color w:val="auto"/>
          <w:sz w:val="32"/>
          <w:szCs w:val="32"/>
          <w:highlight w:val="none"/>
        </w:rPr>
      </w:pPr>
      <w:bookmarkStart w:id="29" w:name="_Toc15377213"/>
      <w:bookmarkStart w:id="30" w:name="_Toc15378460"/>
      <w:bookmarkStart w:id="31" w:name="_Toc15377444"/>
      <w:r>
        <w:rPr>
          <w:rFonts w:hint="eastAsia" w:ascii="仿宋" w:hAnsi="仿宋" w:eastAsia="仿宋"/>
          <w:b/>
          <w:color w:val="auto"/>
          <w:sz w:val="32"/>
          <w:szCs w:val="32"/>
          <w:highlight w:val="none"/>
          <w:lang w:eastAsia="zh-CN"/>
        </w:rPr>
        <w:t>2022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816.81万元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29"/>
      <w:bookmarkEnd w:id="30"/>
      <w:bookmarkEnd w:id="31"/>
    </w:p>
    <w:p>
      <w:pPr>
        <w:pageBreakBefore w:val="0"/>
        <w:numPr>
          <w:ilvl w:val="0"/>
          <w:numId w:val="2"/>
        </w:numPr>
        <w:kinsoku/>
        <w:wordWrap/>
        <w:overflowPunct/>
        <w:topLinePunct w:val="0"/>
        <w:bidi w:val="0"/>
        <w:spacing w:line="52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rPr>
        <w:t>一般公共服务（类）</w:t>
      </w:r>
      <w:r>
        <w:rPr>
          <w:rStyle w:val="15"/>
          <w:rFonts w:hint="eastAsia" w:ascii="仿宋" w:hAnsi="仿宋" w:eastAsia="仿宋"/>
          <w:bCs/>
          <w:color w:val="auto"/>
          <w:sz w:val="32"/>
          <w:szCs w:val="32"/>
          <w:highlight w:val="none"/>
          <w:lang w:val="en-US" w:eastAsia="zh-CN"/>
        </w:rPr>
        <w:t>201</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34</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599.17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等于</w:t>
      </w:r>
      <w:r>
        <w:rPr>
          <w:rStyle w:val="15"/>
          <w:rFonts w:hint="eastAsia" w:ascii="仿宋" w:hAnsi="仿宋" w:eastAsia="仿宋"/>
          <w:b w:val="0"/>
          <w:bCs/>
          <w:color w:val="auto"/>
          <w:sz w:val="32"/>
          <w:szCs w:val="32"/>
          <w:highlight w:val="none"/>
        </w:rPr>
        <w:t>预算数。</w:t>
      </w:r>
    </w:p>
    <w:p>
      <w:pPr>
        <w:pStyle w:val="5"/>
        <w:numPr>
          <w:ilvl w:val="0"/>
          <w:numId w:val="0"/>
        </w:numPr>
        <w:rPr>
          <w:rFonts w:hint="eastAsia" w:eastAsia="仿宋"/>
          <w:lang w:val="en-US" w:eastAsia="zh-CN"/>
        </w:rPr>
      </w:pPr>
      <w:r>
        <w:rPr>
          <w:rFonts w:hint="eastAsia"/>
          <w:lang w:val="en-US" w:eastAsia="zh-CN"/>
        </w:rPr>
        <w:t xml:space="preserve">    </w:t>
      </w: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教育（类）</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（款）</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等于</w:t>
      </w:r>
      <w:r>
        <w:rPr>
          <w:rStyle w:val="15"/>
          <w:rFonts w:hint="eastAsia" w:ascii="仿宋" w:hAnsi="仿宋" w:eastAsia="仿宋"/>
          <w:b w:val="0"/>
          <w:bCs/>
          <w:color w:val="auto"/>
          <w:sz w:val="32"/>
          <w:szCs w:val="32"/>
          <w:highlight w:val="none"/>
        </w:rPr>
        <w:t>预算数。</w:t>
      </w:r>
    </w:p>
    <w:p>
      <w:pPr>
        <w:pageBreakBefore w:val="0"/>
        <w:kinsoku/>
        <w:wordWrap/>
        <w:overflowPunct/>
        <w:topLinePunct w:val="0"/>
        <w:bidi w:val="0"/>
        <w:spacing w:line="52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val="en-US" w:eastAsia="zh-CN"/>
        </w:rPr>
        <w:t>2060</w:t>
      </w:r>
      <w:r>
        <w:rPr>
          <w:rStyle w:val="15"/>
          <w:rFonts w:hint="eastAsia" w:ascii="仿宋" w:hAnsi="仿宋" w:eastAsia="仿宋"/>
          <w:bCs/>
          <w:color w:val="auto"/>
          <w:sz w:val="32"/>
          <w:szCs w:val="32"/>
          <w:highlight w:val="none"/>
        </w:rPr>
        <w:t>（款）</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72.92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等于</w:t>
      </w:r>
      <w:r>
        <w:rPr>
          <w:rStyle w:val="15"/>
          <w:rFonts w:hint="eastAsia" w:ascii="仿宋" w:hAnsi="仿宋" w:eastAsia="仿宋"/>
          <w:b w:val="0"/>
          <w:bCs/>
          <w:color w:val="auto"/>
          <w:sz w:val="32"/>
          <w:szCs w:val="32"/>
          <w:highlight w:val="none"/>
        </w:rPr>
        <w:t>预算数。</w:t>
      </w:r>
    </w:p>
    <w:p>
      <w:pPr>
        <w:pageBreakBefore w:val="0"/>
        <w:kinsoku/>
        <w:wordWrap/>
        <w:overflowPunct/>
        <w:topLinePunct w:val="0"/>
        <w:bidi w:val="0"/>
        <w:spacing w:line="52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val="en-US" w:eastAsia="zh-CN"/>
        </w:rPr>
        <w:t>210</w:t>
      </w:r>
      <w:r>
        <w:rPr>
          <w:rStyle w:val="15"/>
          <w:rFonts w:hint="eastAsia" w:ascii="仿宋" w:hAnsi="仿宋" w:eastAsia="仿宋"/>
          <w:bCs/>
          <w:color w:val="auto"/>
          <w:sz w:val="32"/>
          <w:szCs w:val="32"/>
          <w:highlight w:val="none"/>
        </w:rPr>
        <w:t>（款）</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23.79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等于</w:t>
      </w:r>
      <w:r>
        <w:rPr>
          <w:rStyle w:val="15"/>
          <w:rFonts w:hint="eastAsia" w:ascii="仿宋" w:hAnsi="仿宋" w:eastAsia="仿宋"/>
          <w:b w:val="0"/>
          <w:bCs/>
          <w:color w:val="auto"/>
          <w:sz w:val="32"/>
          <w:szCs w:val="32"/>
          <w:highlight w:val="none"/>
        </w:rPr>
        <w:t>预算数。</w:t>
      </w:r>
    </w:p>
    <w:p>
      <w:pPr>
        <w:pageBreakBefore w:val="0"/>
        <w:kinsoku/>
        <w:wordWrap/>
        <w:overflowPunct/>
        <w:topLinePunct w:val="0"/>
        <w:bidi w:val="0"/>
        <w:spacing w:line="52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5</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bCs/>
          <w:color w:val="auto"/>
          <w:sz w:val="32"/>
          <w:szCs w:val="32"/>
          <w:highlight w:val="none"/>
          <w:lang w:val="en-US" w:eastAsia="zh-CN"/>
        </w:rPr>
        <w:t>2</w:t>
      </w:r>
      <w:r>
        <w:rPr>
          <w:rStyle w:val="15"/>
          <w:rFonts w:hint="eastAsia" w:ascii="仿宋" w:hAnsi="仿宋" w:eastAsia="仿宋"/>
          <w:bCs/>
          <w:color w:val="auto"/>
          <w:sz w:val="32"/>
          <w:szCs w:val="32"/>
          <w:highlight w:val="none"/>
          <w:lang w:val="en-US" w:eastAsia="zh-CN"/>
        </w:rPr>
        <w:t>21</w:t>
      </w:r>
      <w:r>
        <w:rPr>
          <w:rStyle w:val="15"/>
          <w:rFonts w:hint="eastAsia" w:ascii="仿宋" w:hAnsi="仿宋" w:eastAsia="仿宋"/>
          <w:bCs/>
          <w:color w:val="auto"/>
          <w:sz w:val="32"/>
          <w:szCs w:val="32"/>
          <w:highlight w:val="none"/>
        </w:rPr>
        <w:t>（款）</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54.95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等于</w:t>
      </w:r>
      <w:r>
        <w:rPr>
          <w:rStyle w:val="15"/>
          <w:rFonts w:hint="eastAsia" w:ascii="仿宋" w:hAnsi="仿宋" w:eastAsia="仿宋"/>
          <w:b w:val="0"/>
          <w:bCs/>
          <w:color w:val="auto"/>
          <w:sz w:val="32"/>
          <w:szCs w:val="32"/>
          <w:highlight w:val="none"/>
        </w:rPr>
        <w:t>预算数。</w:t>
      </w:r>
    </w:p>
    <w:p>
      <w:pPr>
        <w:pageBreakBefore w:val="0"/>
        <w:kinsoku/>
        <w:wordWrap/>
        <w:overflowPunct/>
        <w:topLinePunct w:val="0"/>
        <w:bidi w:val="0"/>
        <w:spacing w:line="520" w:lineRule="exact"/>
        <w:ind w:firstLine="64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6.</w:t>
      </w:r>
      <w:r>
        <w:rPr>
          <w:rFonts w:hint="eastAsia" w:ascii="仿宋" w:hAnsi="仿宋" w:eastAsia="仿宋"/>
          <w:color w:val="auto"/>
          <w:sz w:val="32"/>
          <w:szCs w:val="32"/>
          <w:highlight w:val="none"/>
          <w:lang w:eastAsia="zh-CN"/>
        </w:rPr>
        <w:t>农林水支出</w:t>
      </w:r>
      <w:r>
        <w:rPr>
          <w:rFonts w:hint="eastAsia" w:ascii="仿宋" w:hAnsi="仿宋" w:eastAsia="仿宋"/>
          <w:color w:val="auto"/>
          <w:sz w:val="32"/>
          <w:szCs w:val="32"/>
          <w:highlight w:val="none"/>
          <w:lang w:val="en-US" w:eastAsia="zh-CN"/>
        </w:rPr>
        <w:t>66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等于</w:t>
      </w:r>
      <w:r>
        <w:rPr>
          <w:rStyle w:val="15"/>
          <w:rFonts w:hint="eastAsia" w:ascii="仿宋" w:hAnsi="仿宋" w:eastAsia="仿宋"/>
          <w:b w:val="0"/>
          <w:bCs/>
          <w:color w:val="auto"/>
          <w:sz w:val="32"/>
          <w:szCs w:val="32"/>
          <w:highlight w:val="none"/>
        </w:rPr>
        <w:t>预算数。</w:t>
      </w:r>
    </w:p>
    <w:p>
      <w:pPr>
        <w:pageBreakBefore w:val="0"/>
        <w:kinsoku/>
        <w:wordWrap/>
        <w:overflowPunct/>
        <w:topLinePunct w:val="0"/>
        <w:bidi w:val="0"/>
        <w:spacing w:line="52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060表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至项级。上述“预算”口径为调整预算数。增减变动原因为决算数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和调整预算数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pageBreakBefore w:val="0"/>
        <w:kinsoku/>
        <w:wordWrap/>
        <w:overflowPunct/>
        <w:topLinePunct w:val="0"/>
        <w:bidi w:val="0"/>
        <w:spacing w:line="520" w:lineRule="exact"/>
        <w:ind w:firstLine="640"/>
        <w:rPr>
          <w:rFonts w:ascii="仿宋" w:hAnsi="仿宋" w:eastAsia="仿宋"/>
          <w:b/>
          <w:color w:val="auto"/>
          <w:sz w:val="32"/>
          <w:szCs w:val="32"/>
          <w:highlight w:val="none"/>
        </w:rPr>
      </w:pPr>
    </w:p>
    <w:p>
      <w:pPr>
        <w:pageBreakBefore w:val="0"/>
        <w:tabs>
          <w:tab w:val="right" w:pos="8306"/>
        </w:tabs>
        <w:kinsoku/>
        <w:wordWrap/>
        <w:overflowPunct/>
        <w:topLinePunct w:val="0"/>
        <w:bidi w:val="0"/>
        <w:spacing w:line="520" w:lineRule="exact"/>
        <w:ind w:firstLine="640"/>
        <w:outlineLvl w:val="1"/>
        <w:rPr>
          <w:rStyle w:val="26"/>
          <w:color w:val="auto"/>
          <w:highlight w:val="none"/>
        </w:rPr>
      </w:pPr>
      <w:bookmarkStart w:id="32" w:name="_Toc15396608"/>
      <w:bookmarkStart w:id="33"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2"/>
      <w:bookmarkEnd w:id="33"/>
      <w:r>
        <w:rPr>
          <w:rStyle w:val="26"/>
          <w:rFonts w:ascii="黑体" w:hAnsi="黑体" w:eastAsia="黑体"/>
          <w:b w:val="0"/>
          <w:color w:val="auto"/>
          <w:highlight w:val="none"/>
        </w:rPr>
        <w:tab/>
      </w:r>
    </w:p>
    <w:p>
      <w:pPr>
        <w:pageBreakBefore w:val="0"/>
        <w:kinsoku/>
        <w:wordWrap/>
        <w:overflowPunct/>
        <w:topLinePunct w:val="0"/>
        <w:bidi w:val="0"/>
        <w:spacing w:line="52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748.81</w:t>
      </w:r>
      <w:r>
        <w:rPr>
          <w:rFonts w:hint="eastAsia" w:ascii="仿宋" w:hAnsi="仿宋" w:eastAsia="仿宋"/>
          <w:color w:val="auto"/>
          <w:sz w:val="32"/>
          <w:szCs w:val="32"/>
          <w:highlight w:val="none"/>
        </w:rPr>
        <w:t>万元，其中：</w:t>
      </w:r>
    </w:p>
    <w:p>
      <w:pPr>
        <w:pageBreakBefore w:val="0"/>
        <w:kinsoku/>
        <w:wordWrap/>
        <w:overflowPunct/>
        <w:topLinePunct w:val="0"/>
        <w:bidi w:val="0"/>
        <w:spacing w:line="52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721.72</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ageBreakBefore w:val="0"/>
        <w:kinsoku/>
        <w:wordWrap/>
        <w:overflowPunct/>
        <w:topLinePunct w:val="0"/>
        <w:bidi w:val="0"/>
        <w:spacing w:line="52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27.09</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2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060-1表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本部门实际支出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pageBreakBefore w:val="0"/>
        <w:kinsoku/>
        <w:wordWrap/>
        <w:overflowPunct/>
        <w:topLinePunct w:val="0"/>
        <w:bidi w:val="0"/>
        <w:spacing w:line="520" w:lineRule="exact"/>
        <w:outlineLvl w:val="1"/>
        <w:rPr>
          <w:rStyle w:val="26"/>
          <w:rFonts w:ascii="黑体" w:hAnsi="黑体" w:eastAsia="黑体"/>
          <w:b w:val="0"/>
          <w:color w:val="auto"/>
          <w:highlight w:val="none"/>
        </w:rPr>
      </w:pPr>
      <w:bookmarkStart w:id="34" w:name="_Toc15377215"/>
      <w:bookmarkStart w:id="35" w:name="_Toc1539660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4"/>
      <w:bookmarkEnd w:id="35"/>
    </w:p>
    <w:p>
      <w:pPr>
        <w:pageBreakBefore w:val="0"/>
        <w:kinsoku/>
        <w:wordWrap/>
        <w:overflowPunct/>
        <w:topLinePunct w:val="0"/>
        <w:bidi w:val="0"/>
        <w:spacing w:line="520" w:lineRule="exact"/>
        <w:ind w:firstLine="640"/>
        <w:outlineLvl w:val="2"/>
        <w:rPr>
          <w:rFonts w:ascii="仿宋" w:hAnsi="仿宋" w:eastAsia="仿宋"/>
          <w:b/>
          <w:color w:val="auto"/>
          <w:sz w:val="32"/>
          <w:szCs w:val="32"/>
          <w:highlight w:val="none"/>
        </w:rPr>
      </w:pPr>
      <w:bookmarkStart w:id="36" w:name="_Toc15377216"/>
      <w:r>
        <w:rPr>
          <w:rFonts w:hint="eastAsia" w:ascii="仿宋" w:hAnsi="仿宋" w:eastAsia="仿宋"/>
          <w:b/>
          <w:color w:val="auto"/>
          <w:sz w:val="32"/>
          <w:szCs w:val="32"/>
          <w:highlight w:val="none"/>
        </w:rPr>
        <w:t>（一）“三公”经费财政拨款支出决算总体情况说明</w:t>
      </w:r>
      <w:bookmarkEnd w:id="36"/>
    </w:p>
    <w:p>
      <w:pPr>
        <w:pageBreakBefore w:val="0"/>
        <w:kinsoku/>
        <w:wordWrap/>
        <w:overflowPunct/>
        <w:topLinePunct w:val="0"/>
        <w:bidi w:val="0"/>
        <w:spacing w:line="520" w:lineRule="exact"/>
        <w:ind w:firstLine="64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3.48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我单位</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val="en-US" w:eastAsia="zh-CN"/>
        </w:rPr>
        <w:t>等</w:t>
      </w:r>
      <w:r>
        <w:rPr>
          <w:rFonts w:hint="eastAsia" w:ascii="仿宋" w:hAnsi="仿宋" w:eastAsia="仿宋"/>
          <w:color w:val="auto"/>
          <w:sz w:val="32"/>
          <w:szCs w:val="32"/>
          <w:highlight w:val="none"/>
        </w:rPr>
        <w:t>于预算数</w:t>
      </w:r>
      <w:r>
        <w:rPr>
          <w:rFonts w:hint="eastAsia" w:ascii="仿宋" w:hAnsi="仿宋" w:eastAsia="仿宋"/>
          <w:color w:val="auto"/>
          <w:sz w:val="32"/>
          <w:szCs w:val="32"/>
          <w:highlight w:val="none"/>
          <w:lang w:val="en-US" w:eastAsia="zh-CN"/>
        </w:rPr>
        <w:t>。</w:t>
      </w:r>
      <w:r>
        <w:rPr>
          <w:rFonts w:hint="eastAsia" w:ascii="仿宋" w:hAnsi="仿宋" w:eastAsia="仿宋"/>
          <w:b/>
          <w:color w:val="auto"/>
          <w:sz w:val="32"/>
          <w:szCs w:val="32"/>
          <w:highlight w:val="none"/>
        </w:rPr>
        <w:t>（注：上述“预算”口径为调整预算数。）</w:t>
      </w:r>
    </w:p>
    <w:p>
      <w:pPr>
        <w:pageBreakBefore w:val="0"/>
        <w:kinsoku/>
        <w:wordWrap/>
        <w:overflowPunct/>
        <w:topLinePunct w:val="0"/>
        <w:bidi w:val="0"/>
        <w:spacing w:line="520" w:lineRule="exact"/>
        <w:ind w:firstLine="640"/>
        <w:outlineLvl w:val="2"/>
        <w:rPr>
          <w:rFonts w:ascii="仿宋" w:hAnsi="仿宋" w:eastAsia="仿宋"/>
          <w:b/>
          <w:color w:val="auto"/>
          <w:sz w:val="32"/>
          <w:szCs w:val="32"/>
          <w:highlight w:val="none"/>
        </w:rPr>
      </w:pPr>
      <w:bookmarkStart w:id="37" w:name="_Toc15377217"/>
      <w:r>
        <w:rPr>
          <w:rFonts w:hint="eastAsia" w:ascii="仿宋" w:hAnsi="仿宋" w:eastAsia="仿宋"/>
          <w:b/>
          <w:color w:val="auto"/>
          <w:sz w:val="32"/>
          <w:szCs w:val="32"/>
          <w:highlight w:val="none"/>
        </w:rPr>
        <w:t>（二）“三公”经费财政拨款支出决算具体情况说明</w:t>
      </w:r>
      <w:bookmarkEnd w:id="37"/>
    </w:p>
    <w:p>
      <w:pPr>
        <w:pageBreakBefore w:val="0"/>
        <w:kinsoku/>
        <w:wordWrap/>
        <w:overflowPunct/>
        <w:topLinePunct w:val="0"/>
        <w:bidi w:val="0"/>
        <w:spacing w:line="52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ageBreakBefore w:val="0"/>
        <w:kinsoku/>
        <w:wordWrap/>
        <w:overflowPunct/>
        <w:topLinePunct w:val="0"/>
        <w:bidi w:val="0"/>
        <w:spacing w:line="52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bidi w:val="0"/>
        <w:spacing w:line="520" w:lineRule="exact"/>
        <w:ind w:firstLine="640"/>
        <w:rPr>
          <w:rFonts w:hint="default" w:ascii="仿宋_GB2312" w:eastAsia="仿宋_GB2312"/>
          <w:b/>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增加0.20</w:t>
      </w:r>
      <w:r>
        <w:rPr>
          <w:rFonts w:hint="eastAsia" w:ascii="仿宋_GB2312" w:eastAsia="仿宋_GB2312"/>
          <w:color w:val="auto"/>
          <w:sz w:val="32"/>
          <w:szCs w:val="32"/>
          <w:highlight w:val="none"/>
        </w:rPr>
        <w:t>万元，较2021年度预算增加</w:t>
      </w:r>
      <w:r>
        <w:rPr>
          <w:rFonts w:hint="eastAsia" w:ascii="仿宋_GB2312" w:eastAsia="仿宋_GB2312"/>
          <w:color w:val="auto"/>
          <w:sz w:val="32"/>
          <w:szCs w:val="32"/>
          <w:highlight w:val="none"/>
          <w:lang w:val="en-US" w:eastAsia="zh-CN"/>
        </w:rPr>
        <w:t>。</w:t>
      </w:r>
    </w:p>
    <w:p>
      <w:pPr>
        <w:pageBreakBefore w:val="0"/>
        <w:kinsoku/>
        <w:wordWrap/>
        <w:overflowPunct/>
        <w:topLinePunct w:val="0"/>
        <w:bidi w:val="0"/>
        <w:spacing w:line="52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pageBreakBefore w:val="0"/>
        <w:kinsoku/>
        <w:wordWrap/>
        <w:overflowPunct/>
        <w:topLinePunct w:val="0"/>
        <w:bidi w:val="0"/>
        <w:spacing w:line="52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3.00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单位公共</w:t>
      </w:r>
      <w:r>
        <w:rPr>
          <w:rFonts w:hint="eastAsia" w:ascii="仿宋_GB2312" w:eastAsia="仿宋_GB2312"/>
          <w:color w:val="auto"/>
          <w:sz w:val="32"/>
          <w:szCs w:val="32"/>
          <w:highlight w:val="none"/>
        </w:rPr>
        <w:t>所需的公务用车燃料费、维修费、过路过桥费、保险费等支出。</w:t>
      </w:r>
    </w:p>
    <w:p>
      <w:pPr>
        <w:pageBreakBefore w:val="0"/>
        <w:kinsoku/>
        <w:wordWrap/>
        <w:overflowPunct/>
        <w:topLinePunct w:val="0"/>
        <w:bidi w:val="0"/>
        <w:spacing w:line="52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0.48</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减少94</w:t>
      </w:r>
      <w:r>
        <w:rPr>
          <w:rFonts w:hint="eastAsia" w:ascii="仿宋_GB2312" w:eastAsia="仿宋_GB2312"/>
          <w:color w:val="auto"/>
          <w:sz w:val="32"/>
          <w:szCs w:val="32"/>
          <w:highlight w:val="none"/>
        </w:rPr>
        <w:t>元，</w:t>
      </w:r>
      <w:r>
        <w:rPr>
          <w:rFonts w:hint="eastAsia" w:ascii="仿宋_GB2312" w:eastAsia="仿宋_GB2312"/>
          <w:color w:val="auto"/>
          <w:sz w:val="32"/>
          <w:szCs w:val="32"/>
          <w:highlight w:val="none"/>
          <w:lang w:val="en-US" w:eastAsia="zh-CN"/>
        </w:rPr>
        <w:t>减少1.91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2022年我单位</w:t>
      </w:r>
      <w:r>
        <w:rPr>
          <w:rFonts w:hint="eastAsia" w:ascii="仿宋_GB2312" w:eastAsia="仿宋_GB2312"/>
          <w:color w:val="auto"/>
          <w:sz w:val="32"/>
          <w:szCs w:val="32"/>
          <w:highlight w:val="none"/>
        </w:rPr>
        <w:t>公务接待</w:t>
      </w:r>
      <w:r>
        <w:rPr>
          <w:rFonts w:hint="eastAsia" w:ascii="仿宋_GB2312" w:eastAsia="仿宋_GB2312"/>
          <w:color w:val="auto"/>
          <w:sz w:val="32"/>
          <w:szCs w:val="32"/>
          <w:highlight w:val="none"/>
          <w:lang w:val="en-US" w:eastAsia="zh-CN"/>
        </w:rPr>
        <w:t>减少</w:t>
      </w:r>
      <w:r>
        <w:rPr>
          <w:rFonts w:hint="eastAsia" w:ascii="仿宋_GB2312" w:eastAsia="仿宋_GB2312"/>
          <w:color w:val="auto"/>
          <w:sz w:val="32"/>
          <w:szCs w:val="32"/>
          <w:highlight w:val="none"/>
        </w:rPr>
        <w:t>。</w:t>
      </w:r>
    </w:p>
    <w:p>
      <w:pPr>
        <w:pageBreakBefore w:val="0"/>
        <w:kinsoku/>
        <w:wordWrap/>
        <w:overflowPunct/>
        <w:topLinePunct w:val="0"/>
        <w:bidi w:val="0"/>
        <w:spacing w:line="52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0.48</w:t>
      </w:r>
      <w:r>
        <w:rPr>
          <w:rFonts w:hint="eastAsia" w:ascii="仿宋_GB2312" w:eastAsia="仿宋_GB2312"/>
          <w:color w:val="auto"/>
          <w:sz w:val="32"/>
          <w:szCs w:val="32"/>
          <w:highlight w:val="none"/>
        </w:rPr>
        <w:t>万元。</w:t>
      </w:r>
    </w:p>
    <w:p>
      <w:pPr>
        <w:pageBreakBefore w:val="0"/>
        <w:kinsoku/>
        <w:wordWrap/>
        <w:overflowPunct/>
        <w:topLinePunct w:val="0"/>
        <w:bidi w:val="0"/>
        <w:spacing w:line="520" w:lineRule="exact"/>
        <w:ind w:firstLine="643"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pageBreakBefore w:val="0"/>
        <w:kinsoku/>
        <w:wordWrap/>
        <w:overflowPunct/>
        <w:topLinePunct w:val="0"/>
        <w:bidi w:val="0"/>
        <w:spacing w:line="520" w:lineRule="exact"/>
        <w:ind w:firstLine="640"/>
        <w:outlineLvl w:val="1"/>
        <w:rPr>
          <w:rFonts w:ascii="黑体" w:eastAsia="黑体"/>
          <w:color w:val="auto"/>
          <w:sz w:val="32"/>
          <w:szCs w:val="32"/>
          <w:highlight w:val="none"/>
        </w:rPr>
      </w:pPr>
      <w:bookmarkStart w:id="38" w:name="_Toc15377218"/>
      <w:bookmarkStart w:id="39" w:name="_Toc15396610"/>
    </w:p>
    <w:p>
      <w:pPr>
        <w:pageBreakBefore w:val="0"/>
        <w:kinsoku/>
        <w:wordWrap/>
        <w:overflowPunct/>
        <w:topLinePunct w:val="0"/>
        <w:bidi w:val="0"/>
        <w:spacing w:line="52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38"/>
      <w:bookmarkEnd w:id="39"/>
    </w:p>
    <w:p>
      <w:pPr>
        <w:pageBreakBefore w:val="0"/>
        <w:kinsoku/>
        <w:wordWrap/>
        <w:overflowPunct/>
        <w:topLinePunct w:val="0"/>
        <w:bidi w:val="0"/>
        <w:spacing w:line="52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20" w:lineRule="exact"/>
        <w:ind w:firstLine="640"/>
        <w:rPr>
          <w:rFonts w:ascii="仿宋_GB2312" w:eastAsia="仿宋_GB2312"/>
          <w:color w:val="auto"/>
          <w:sz w:val="32"/>
          <w:szCs w:val="32"/>
          <w:highlight w:val="none"/>
        </w:rPr>
      </w:pPr>
    </w:p>
    <w:p>
      <w:pPr>
        <w:pageBreakBefore w:val="0"/>
        <w:numPr>
          <w:ilvl w:val="0"/>
          <w:numId w:val="3"/>
        </w:numPr>
        <w:kinsoku/>
        <w:wordWrap/>
        <w:overflowPunct/>
        <w:topLinePunct w:val="0"/>
        <w:bidi w:val="0"/>
        <w:spacing w:line="520" w:lineRule="exact"/>
        <w:ind w:firstLine="640"/>
        <w:outlineLvl w:val="1"/>
        <w:rPr>
          <w:rStyle w:val="26"/>
          <w:rFonts w:ascii="黑体" w:hAnsi="黑体" w:eastAsia="黑体"/>
          <w:b w:val="0"/>
          <w:color w:val="auto"/>
          <w:highlight w:val="none"/>
        </w:rPr>
      </w:pPr>
      <w:bookmarkStart w:id="40" w:name="_Toc15396611"/>
      <w:bookmarkStart w:id="41" w:name="_Toc15377219"/>
      <w:r>
        <w:rPr>
          <w:rStyle w:val="26"/>
          <w:rFonts w:hint="eastAsia" w:ascii="黑体" w:hAnsi="黑体" w:eastAsia="黑体"/>
          <w:b w:val="0"/>
          <w:color w:val="auto"/>
          <w:highlight w:val="none"/>
        </w:rPr>
        <w:t>国有资本经营预算支出决算情况说明</w:t>
      </w:r>
      <w:bookmarkEnd w:id="40"/>
      <w:bookmarkEnd w:id="41"/>
    </w:p>
    <w:p>
      <w:pPr>
        <w:pageBreakBefore w:val="0"/>
        <w:kinsoku/>
        <w:wordWrap/>
        <w:overflowPunct/>
        <w:topLinePunct w:val="0"/>
        <w:bidi w:val="0"/>
        <w:spacing w:line="52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20" w:lineRule="exact"/>
        <w:jc w:val="center"/>
        <w:rPr>
          <w:rFonts w:ascii="方正小标宋简体" w:hAnsi="方正小标宋简体" w:eastAsia="方正小标宋简体" w:cs="方正小标宋简体"/>
          <w:color w:val="auto"/>
          <w:sz w:val="44"/>
          <w:szCs w:val="44"/>
          <w:highlight w:val="none"/>
        </w:rPr>
      </w:pPr>
    </w:p>
    <w:p>
      <w:pPr>
        <w:pageBreakBefore w:val="0"/>
        <w:numPr>
          <w:ilvl w:val="0"/>
          <w:numId w:val="3"/>
        </w:numPr>
        <w:kinsoku/>
        <w:wordWrap/>
        <w:overflowPunct/>
        <w:topLinePunct w:val="0"/>
        <w:bidi w:val="0"/>
        <w:spacing w:line="520" w:lineRule="exact"/>
        <w:ind w:firstLine="640"/>
        <w:outlineLvl w:val="1"/>
        <w:rPr>
          <w:rStyle w:val="26"/>
          <w:rFonts w:hint="eastAsia" w:ascii="黑体" w:hAnsi="黑体" w:eastAsia="黑体"/>
          <w:b w:val="0"/>
          <w:color w:val="auto"/>
          <w:highlight w:val="none"/>
        </w:rPr>
      </w:pPr>
      <w:bookmarkStart w:id="42" w:name="_Toc15396612"/>
      <w:bookmarkStart w:id="43" w:name="_Toc15377221"/>
      <w:r>
        <w:rPr>
          <w:rStyle w:val="26"/>
          <w:rFonts w:hint="eastAsia" w:ascii="黑体" w:hAnsi="黑体" w:eastAsia="黑体"/>
          <w:b w:val="0"/>
          <w:color w:val="auto"/>
          <w:highlight w:val="none"/>
        </w:rPr>
        <w:t>其他重要事项的情况说明</w:t>
      </w:r>
      <w:bookmarkEnd w:id="42"/>
      <w:bookmarkEnd w:id="43"/>
    </w:p>
    <w:p>
      <w:pPr>
        <w:pageBreakBefore w:val="0"/>
        <w:kinsoku/>
        <w:wordWrap/>
        <w:overflowPunct/>
        <w:topLinePunct w:val="0"/>
        <w:bidi w:val="0"/>
        <w:spacing w:line="520" w:lineRule="exact"/>
        <w:ind w:firstLine="643" w:firstLineChars="200"/>
        <w:outlineLvl w:val="2"/>
        <w:rPr>
          <w:rFonts w:ascii="仿宋" w:hAnsi="仿宋" w:eastAsia="仿宋"/>
          <w:color w:val="auto"/>
          <w:sz w:val="32"/>
          <w:szCs w:val="32"/>
          <w:highlight w:val="none"/>
        </w:rPr>
      </w:pPr>
      <w:bookmarkStart w:id="44" w:name="_Toc15377222"/>
      <w:r>
        <w:rPr>
          <w:rFonts w:hint="eastAsia" w:ascii="仿宋" w:hAnsi="仿宋" w:eastAsia="仿宋"/>
          <w:b/>
          <w:color w:val="auto"/>
          <w:sz w:val="32"/>
          <w:szCs w:val="32"/>
          <w:highlight w:val="none"/>
        </w:rPr>
        <w:t>（一）机关运行经费支出情况</w:t>
      </w:r>
      <w:bookmarkEnd w:id="44"/>
    </w:p>
    <w:p>
      <w:pPr>
        <w:pageBreakBefore w:val="0"/>
        <w:kinsoku/>
        <w:wordWrap/>
        <w:overflowPunct/>
        <w:topLinePunct w:val="0"/>
        <w:bidi w:val="0"/>
        <w:spacing w:line="52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石渠县新荣乡人民政府</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27.09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较</w:t>
      </w: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年决算数</w:t>
      </w:r>
      <w:r>
        <w:rPr>
          <w:rFonts w:hint="eastAsia" w:ascii="仿宋_GB2312" w:eastAsia="仿宋_GB2312"/>
          <w:color w:val="auto"/>
          <w:sz w:val="32"/>
          <w:szCs w:val="32"/>
          <w:highlight w:val="none"/>
          <w:lang w:val="en-US" w:eastAsia="zh-CN"/>
        </w:rPr>
        <w:t>增加4.89万元，增加</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2.02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2022年度决算增加</w:t>
      </w:r>
      <w:r>
        <w:rPr>
          <w:rFonts w:hint="eastAsia" w:ascii="仿宋_GB2312" w:eastAsia="仿宋_GB2312"/>
          <w:color w:val="auto"/>
          <w:sz w:val="32"/>
          <w:szCs w:val="32"/>
          <w:highlight w:val="none"/>
          <w:lang w:eastAsia="zh-CN"/>
        </w:rPr>
        <w:t>。</w:t>
      </w:r>
    </w:p>
    <w:p>
      <w:pPr>
        <w:pageBreakBefore w:val="0"/>
        <w:kinsoku/>
        <w:wordWrap/>
        <w:overflowPunct/>
        <w:topLinePunct w:val="0"/>
        <w:bidi w:val="0"/>
        <w:spacing w:line="52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pageBreakBefore w:val="0"/>
        <w:kinsoku/>
        <w:wordWrap/>
        <w:overflowPunct/>
        <w:topLinePunct w:val="0"/>
        <w:autoSpaceDE w:val="0"/>
        <w:autoSpaceDN w:val="0"/>
        <w:bidi w:val="0"/>
        <w:adjustRightInd w:val="0"/>
        <w:spacing w:line="520" w:lineRule="exact"/>
        <w:ind w:firstLine="643" w:firstLineChars="200"/>
        <w:jc w:val="left"/>
        <w:outlineLvl w:val="2"/>
        <w:rPr>
          <w:rFonts w:ascii="仿宋" w:hAnsi="仿宋" w:eastAsia="仿宋"/>
          <w:b/>
          <w:color w:val="auto"/>
          <w:sz w:val="32"/>
          <w:szCs w:val="32"/>
          <w:highlight w:val="none"/>
        </w:rPr>
      </w:pPr>
      <w:bookmarkStart w:id="45" w:name="_Toc15377223"/>
      <w:r>
        <w:rPr>
          <w:rFonts w:hint="eastAsia" w:ascii="仿宋" w:hAnsi="仿宋" w:eastAsia="仿宋"/>
          <w:b/>
          <w:color w:val="auto"/>
          <w:sz w:val="32"/>
          <w:szCs w:val="32"/>
          <w:highlight w:val="none"/>
        </w:rPr>
        <w:t>（二）政府采购支出情况</w:t>
      </w:r>
      <w:bookmarkEnd w:id="45"/>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石渠县新荣乡人民政府</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2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pageBreakBefore w:val="0"/>
        <w:kinsoku/>
        <w:wordWrap/>
        <w:overflowPunct/>
        <w:topLinePunct w:val="0"/>
        <w:autoSpaceDE w:val="0"/>
        <w:autoSpaceDN w:val="0"/>
        <w:bidi w:val="0"/>
        <w:adjustRightInd w:val="0"/>
        <w:spacing w:line="520" w:lineRule="exact"/>
        <w:ind w:firstLine="643" w:firstLineChars="200"/>
        <w:jc w:val="left"/>
        <w:outlineLvl w:val="2"/>
        <w:rPr>
          <w:rFonts w:ascii="仿宋" w:hAnsi="仿宋" w:eastAsia="仿宋"/>
          <w:b/>
          <w:color w:val="auto"/>
          <w:sz w:val="32"/>
          <w:szCs w:val="32"/>
          <w:highlight w:val="none"/>
        </w:rPr>
      </w:pPr>
      <w:bookmarkStart w:id="46" w:name="_Toc15377224"/>
      <w:r>
        <w:rPr>
          <w:rFonts w:hint="eastAsia" w:ascii="仿宋" w:hAnsi="仿宋" w:eastAsia="仿宋"/>
          <w:b/>
          <w:color w:val="auto"/>
          <w:sz w:val="32"/>
          <w:szCs w:val="32"/>
          <w:highlight w:val="none"/>
        </w:rPr>
        <w:t>（三）国有资产占有使用情况</w:t>
      </w:r>
      <w:bookmarkEnd w:id="46"/>
    </w:p>
    <w:p>
      <w:pPr>
        <w:pageBreakBefore w:val="0"/>
        <w:kinsoku/>
        <w:wordWrap/>
        <w:overflowPunct/>
        <w:topLinePunct w:val="0"/>
        <w:autoSpaceDE w:val="0"/>
        <w:autoSpaceDN w:val="0"/>
        <w:bidi w:val="0"/>
        <w:adjustRightInd w:val="0"/>
        <w:spacing w:line="52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石渠县新荣乡人民政府</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单位日常工作，公务</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ageBreakBefore w:val="0"/>
        <w:kinsoku/>
        <w:wordWrap/>
        <w:overflowPunct/>
        <w:topLinePunct w:val="0"/>
        <w:autoSpaceDE w:val="0"/>
        <w:autoSpaceDN w:val="0"/>
        <w:bidi w:val="0"/>
        <w:adjustRightInd w:val="0"/>
        <w:spacing w:line="52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pPr>
        <w:pageBreakBefore w:val="0"/>
        <w:kinsoku/>
        <w:wordWrap/>
        <w:overflowPunct/>
        <w:topLinePunct w:val="0"/>
        <w:autoSpaceDE w:val="0"/>
        <w:autoSpaceDN w:val="0"/>
        <w:bidi w:val="0"/>
        <w:adjustRightInd w:val="0"/>
        <w:spacing w:line="52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2022年度</w:t>
      </w:r>
      <w:r>
        <w:rPr>
          <w:rFonts w:hint="eastAsia" w:ascii="仿宋_GB2312" w:hAnsi="仿宋_GB2312" w:eastAsia="仿宋_GB2312" w:cs="仿宋_GB2312"/>
          <w:color w:val="auto"/>
          <w:sz w:val="32"/>
          <w:szCs w:val="32"/>
          <w:highlight w:val="none"/>
        </w:rPr>
        <w:t>预算编制阶段，组织对</w:t>
      </w:r>
      <w:r>
        <w:rPr>
          <w:rFonts w:hint="eastAsia" w:ascii="仿宋_GB2312" w:eastAsia="仿宋_GB2312"/>
          <w:color w:val="auto"/>
          <w:sz w:val="32"/>
          <w:szCs w:val="32"/>
          <w:highlight w:val="none"/>
          <w:lang w:val="en-US" w:eastAsia="zh-CN"/>
        </w:rPr>
        <w:t>石渠县新荣乡人民政府</w:t>
      </w:r>
      <w:r>
        <w:rPr>
          <w:rFonts w:hint="eastAsia" w:ascii="仿宋_GB2312" w:hAnsi="仿宋_GB2312" w:eastAsia="仿宋_GB2312" w:cs="仿宋_GB2312"/>
          <w:color w:val="auto"/>
          <w:sz w:val="32"/>
          <w:szCs w:val="32"/>
          <w:highlight w:val="none"/>
          <w:lang w:val="en-US" w:eastAsia="zh-CN"/>
        </w:rPr>
        <w:t>专用经费</w:t>
      </w:r>
      <w:r>
        <w:rPr>
          <w:rFonts w:hint="eastAsia" w:ascii="仿宋_GB2312" w:hAnsi="仿宋_GB2312" w:eastAsia="仿宋_GB2312" w:cs="仿宋_GB2312"/>
          <w:color w:val="auto"/>
          <w:sz w:val="32"/>
          <w:szCs w:val="32"/>
          <w:highlight w:val="none"/>
        </w:rPr>
        <w:t>项目开展了预算事前绩效评估，对</w:t>
      </w:r>
      <w:r>
        <w:rPr>
          <w:rFonts w:hint="eastAsia" w:ascii="仿宋_GB2312" w:eastAsia="仿宋_GB2312"/>
          <w:color w:val="auto"/>
          <w:sz w:val="32"/>
          <w:szCs w:val="32"/>
          <w:highlight w:val="none"/>
          <w:lang w:val="en-US" w:eastAsia="zh-CN"/>
        </w:rPr>
        <w:t>石渠县新荣乡人民政府</w:t>
      </w:r>
      <w:r>
        <w:rPr>
          <w:rFonts w:hint="eastAsia" w:ascii="仿宋_GB2312" w:hAnsi="仿宋_GB2312" w:eastAsia="仿宋_GB2312" w:cs="仿宋_GB2312"/>
          <w:color w:val="auto"/>
          <w:sz w:val="32"/>
          <w:szCs w:val="32"/>
          <w:highlight w:val="none"/>
          <w:lang w:val="en-US" w:eastAsia="zh-CN"/>
        </w:rPr>
        <w:t>专用经费</w:t>
      </w:r>
      <w:r>
        <w:rPr>
          <w:rFonts w:hint="eastAsia" w:ascii="仿宋_GB2312" w:hAnsi="仿宋_GB2312" w:eastAsia="仿宋_GB2312" w:cs="仿宋_GB2312"/>
          <w:color w:val="auto"/>
          <w:sz w:val="32"/>
          <w:szCs w:val="32"/>
          <w:highlight w:val="none"/>
        </w:rPr>
        <w:t>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w:t>
      </w:r>
      <w:r>
        <w:rPr>
          <w:rFonts w:hint="eastAsia" w:ascii="仿宋_GB2312" w:hAnsi="仿宋_GB2312" w:eastAsia="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年部门整体开展绩效自评，《</w:t>
      </w:r>
      <w:r>
        <w:rPr>
          <w:rFonts w:hint="eastAsia" w:ascii="仿宋_GB2312" w:hAnsi="仿宋_GB2312" w:eastAsia="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石渠县新荣乡人民政府</w:t>
      </w:r>
      <w:r>
        <w:rPr>
          <w:rFonts w:hint="eastAsia" w:ascii="仿宋_GB2312" w:hAnsi="仿宋_GB2312" w:eastAsia="仿宋_GB2312" w:cs="仿宋_GB2312"/>
          <w:color w:val="auto"/>
          <w:sz w:val="32"/>
          <w:szCs w:val="32"/>
          <w:highlight w:val="none"/>
        </w:rPr>
        <w:t>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pageBreakBefore w:val="0"/>
        <w:widowControl/>
        <w:kinsoku/>
        <w:wordWrap/>
        <w:overflowPunct/>
        <w:topLinePunct w:val="0"/>
        <w:bidi w:val="0"/>
        <w:spacing w:line="520" w:lineRule="exact"/>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ageBreakBefore w:val="0"/>
        <w:numPr>
          <w:ilvl w:val="0"/>
          <w:numId w:val="4"/>
        </w:numPr>
        <w:kinsoku/>
        <w:wordWrap/>
        <w:overflowPunct/>
        <w:topLinePunct w:val="0"/>
        <w:bidi w:val="0"/>
        <w:spacing w:line="520" w:lineRule="exact"/>
        <w:ind w:firstLine="660" w:firstLineChars="150"/>
        <w:jc w:val="center"/>
        <w:outlineLvl w:val="0"/>
        <w:rPr>
          <w:rStyle w:val="25"/>
          <w:rFonts w:ascii="黑体" w:hAnsi="黑体" w:eastAsia="黑体"/>
          <w:b w:val="0"/>
          <w:color w:val="auto"/>
          <w:highlight w:val="none"/>
        </w:rPr>
      </w:pPr>
      <w:bookmarkStart w:id="47" w:name="_Toc15377225"/>
      <w:bookmarkStart w:id="48"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7"/>
      <w:bookmarkEnd w:id="48"/>
    </w:p>
    <w:p>
      <w:pPr>
        <w:pageBreakBefore w:val="0"/>
        <w:kinsoku/>
        <w:wordWrap/>
        <w:overflowPunct/>
        <w:topLinePunct w:val="0"/>
        <w:bidi w:val="0"/>
        <w:spacing w:line="520" w:lineRule="exact"/>
        <w:jc w:val="left"/>
        <w:rPr>
          <w:rFonts w:ascii="宋体"/>
          <w:b/>
          <w:color w:val="auto"/>
          <w:sz w:val="44"/>
          <w:szCs w:val="44"/>
          <w:highlight w:val="none"/>
        </w:rPr>
      </w:pP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60</w:t>
      </w:r>
      <w:r>
        <w:rPr>
          <w:rFonts w:hint="eastAsia" w:ascii="仿宋_GB2312" w:eastAsia="仿宋_GB2312"/>
          <w:color w:val="auto"/>
          <w:sz w:val="32"/>
          <w:szCs w:val="32"/>
          <w:highlight w:val="none"/>
        </w:rPr>
        <w:t>、年末结转和结余：指单位按有关规定结转到下年或以后年度继续使用的资金。</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外交（类）…（款）…（项）：指……。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公共安全（类）…（款）…（项）：指……。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教育（类）…（款）…（项）：指……。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科学技术（类）…（款）…（项）：指……。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rPr>
        <w:t>文化体育与传媒（类）…（款）…（项）：指……。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社会保障和就业（类）…（款）…（项）：指……。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olor w:val="auto"/>
          <w:sz w:val="32"/>
          <w:szCs w:val="32"/>
          <w:highlight w:val="none"/>
        </w:rPr>
        <w:t>医疗卫生与计划生育（类）…（款）…（项）：指……。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节能环保（类）…（款）…（项）：指……。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eastAsia="zh-CN"/>
        </w:rPr>
        <w:t>60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农林水（类）…（款）…（项）：指……。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交通运输（类）…（款）…（项）：指……。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olor w:val="auto"/>
          <w:sz w:val="32"/>
          <w:szCs w:val="32"/>
          <w:highlight w:val="none"/>
        </w:rPr>
        <w:t>资源勘探信息等（类）…（款）…（项）：指……。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olor w:val="auto"/>
          <w:sz w:val="32"/>
          <w:szCs w:val="32"/>
          <w:highlight w:val="none"/>
        </w:rPr>
        <w:t>商业服务业（类）…（款）…（项）：指……。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金融（类）…（款）…（项）：指……。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24.</w:t>
      </w:r>
      <w:r>
        <w:rPr>
          <w:rFonts w:hint="eastAsia" w:ascii="仿宋_GB2312" w:eastAsia="仿宋_GB2312"/>
          <w:color w:val="auto"/>
          <w:sz w:val="32"/>
          <w:szCs w:val="32"/>
          <w:highlight w:val="none"/>
        </w:rPr>
        <w:t>国土海洋气象等（类）…（款）…（项）：指……。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olor w:val="auto"/>
          <w:sz w:val="32"/>
          <w:szCs w:val="32"/>
          <w:highlight w:val="none"/>
        </w:rPr>
        <w:t>住房保障（类）…（款）…（项）：指……。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26.</w:t>
      </w:r>
      <w:r>
        <w:rPr>
          <w:rFonts w:hint="eastAsia" w:ascii="仿宋_GB2312" w:eastAsia="仿宋_GB2312"/>
          <w:color w:val="auto"/>
          <w:sz w:val="32"/>
          <w:szCs w:val="32"/>
          <w:highlight w:val="none"/>
        </w:rPr>
        <w:t>粮油物资储备（类）…（款）…（项）：指……。</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pageBreakBefore w:val="0"/>
        <w:kinsoku/>
        <w:wordWrap/>
        <w:overflowPunct/>
        <w:topLinePunct w:val="0"/>
        <w:bidi w:val="0"/>
        <w:spacing w:line="52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hint="eastAsia" w:ascii="仿宋" w:hAnsi="仿宋" w:eastAsia="仿宋"/>
          <w:b/>
          <w:color w:val="auto"/>
          <w:sz w:val="32"/>
          <w:szCs w:val="32"/>
          <w:highlight w:val="none"/>
          <w:lang w:eastAsia="zh-CN"/>
        </w:rPr>
        <w:t>2022</w:t>
      </w:r>
      <w:r>
        <w:rPr>
          <w:rFonts w:hint="eastAsia" w:ascii="仿宋" w:hAnsi="仿宋" w:eastAsia="仿宋"/>
          <w:b/>
          <w:color w:val="auto"/>
          <w:sz w:val="32"/>
          <w:szCs w:val="32"/>
          <w:highlight w:val="none"/>
        </w:rPr>
        <w:t>年政府收支分类科目》增减内容。）</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eastAsia="zh-CN"/>
        </w:rPr>
        <w:t>60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pageBreakBefore w:val="0"/>
        <w:kinsoku/>
        <w:wordWrap/>
        <w:overflowPunct/>
        <w:topLinePunct w:val="0"/>
        <w:bidi w:val="0"/>
        <w:spacing w:line="52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p>
    <w:p>
      <w:pPr>
        <w:pStyle w:val="23"/>
        <w:pageBreakBefore w:val="0"/>
        <w:kinsoku/>
        <w:wordWrap/>
        <w:overflowPunct/>
        <w:topLinePunct w:val="0"/>
        <w:bidi w:val="0"/>
        <w:spacing w:line="520" w:lineRule="exact"/>
        <w:ind w:firstLine="640" w:firstLineChars="200"/>
        <w:rPr>
          <w:rFonts w:ascii="仿宋_GB2312" w:eastAsia="仿宋_GB2312" w:cs="黑体"/>
          <w:color w:val="auto"/>
          <w:sz w:val="32"/>
          <w:szCs w:val="32"/>
          <w:highlight w:val="none"/>
        </w:rPr>
      </w:pPr>
    </w:p>
    <w:p>
      <w:pPr>
        <w:pageBreakBefore w:val="0"/>
        <w:kinsoku/>
        <w:wordWrap/>
        <w:overflowPunct/>
        <w:topLinePunct w:val="0"/>
        <w:bidi w:val="0"/>
        <w:spacing w:line="52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pPr>
        <w:pageBreakBefore w:val="0"/>
        <w:kinsoku/>
        <w:wordWrap/>
        <w:overflowPunct/>
        <w:topLinePunct w:val="0"/>
        <w:bidi w:val="0"/>
        <w:spacing w:line="520" w:lineRule="exact"/>
        <w:jc w:val="center"/>
        <w:outlineLvl w:val="0"/>
        <w:rPr>
          <w:rStyle w:val="25"/>
          <w:rFonts w:hint="eastAsia" w:ascii="黑体" w:hAnsi="黑体" w:eastAsia="黑体"/>
          <w:b w:val="0"/>
          <w:color w:val="auto"/>
          <w:highlight w:val="none"/>
          <w:lang w:eastAsia="zh-CN"/>
        </w:rPr>
      </w:pPr>
      <w:bookmarkStart w:id="49" w:name="_Toc15377226"/>
      <w:r>
        <w:rPr>
          <w:rFonts w:ascii="宋体"/>
          <w:b/>
          <w:color w:val="auto"/>
          <w:sz w:val="44"/>
          <w:szCs w:val="44"/>
          <w:highlight w:val="none"/>
        </w:rPr>
        <w:br w:type="page"/>
      </w:r>
      <w:bookmarkStart w:id="50"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0"/>
    </w:p>
    <w:p>
      <w:pPr>
        <w:keepNext w:val="0"/>
        <w:keepLines w:val="0"/>
        <w:pageBreakBefore w:val="0"/>
        <w:kinsoku/>
        <w:wordWrap/>
        <w:overflowPunct/>
        <w:topLinePunct w:val="0"/>
        <w:autoSpaceDE/>
        <w:autoSpaceDN/>
        <w:bidi w:val="0"/>
        <w:spacing w:line="520"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20"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lang w:eastAsia="zh-CN"/>
        </w:rPr>
        <w:t>2022</w:t>
      </w:r>
      <w:r>
        <w:rPr>
          <w:rFonts w:hint="eastAsia" w:ascii="方正小标宋简体" w:hAnsi="宋体" w:eastAsia="方正小标宋简体"/>
          <w:color w:val="auto"/>
          <w:kern w:val="0"/>
          <w:sz w:val="40"/>
          <w:szCs w:val="44"/>
          <w:highlight w:val="none"/>
        </w:rPr>
        <w:t>年XX部门整体绩效评价报告</w:t>
      </w:r>
    </w:p>
    <w:p>
      <w:pPr>
        <w:keepNext w:val="0"/>
        <w:keepLines w:val="0"/>
        <w:pageBreakBefore w:val="0"/>
        <w:widowControl/>
        <w:kinsoku/>
        <w:wordWrap/>
        <w:overflowPunct/>
        <w:topLinePunct w:val="0"/>
        <w:autoSpaceDE/>
        <w:autoSpaceDN/>
        <w:bidi w:val="0"/>
        <w:spacing w:line="520" w:lineRule="exact"/>
        <w:ind w:firstLine="640" w:firstLineChars="200"/>
        <w:contextualSpacing/>
        <w:jc w:val="center"/>
        <w:textAlignment w:val="auto"/>
        <w:rPr>
          <w:rFonts w:ascii="仿宋_GB2312" w:hAnsi="宋体" w:eastAsia="仿宋_GB2312"/>
          <w:color w:val="auto"/>
          <w:sz w:val="32"/>
          <w:szCs w:val="32"/>
          <w:highlight w:val="none"/>
          <w:shd w:val="clear" w:color="auto" w:fill="FFFFFF"/>
        </w:rPr>
      </w:pPr>
      <w:r>
        <w:rPr>
          <w:rFonts w:hint="eastAsia" w:ascii="仿宋_GB2312" w:hAnsi="宋体" w:eastAsia="仿宋_GB2312"/>
          <w:color w:val="auto"/>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（二）机构职能。</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部门整体预算绩效管理情况</w:t>
      </w:r>
      <w:r>
        <w:rPr>
          <w:rFonts w:hint="eastAsia" w:ascii="黑体" w:hAnsi="宋体" w:eastAsia="黑体" w:cs="宋体"/>
          <w:color w:val="auto"/>
          <w:kern w:val="0"/>
          <w:sz w:val="32"/>
          <w:szCs w:val="32"/>
          <w:highlight w:val="none"/>
          <w:shd w:val="clear" w:color="auto" w:fill="FFFFFF"/>
        </w:rPr>
        <w:t>（</w:t>
      </w:r>
      <w:r>
        <w:rPr>
          <w:rFonts w:hint="eastAsia" w:ascii="黑体" w:hAnsi="宋体" w:eastAsia="黑体" w:cs="宋体"/>
          <w:color w:val="auto"/>
          <w:kern w:val="0"/>
          <w:sz w:val="32"/>
          <w:szCs w:val="32"/>
          <w:highlight w:val="none"/>
          <w:shd w:val="clear" w:color="auto" w:fill="FFFFFF"/>
          <w:lang w:eastAsia="zh-CN"/>
        </w:rPr>
        <w:t>涉及到有专项预算的部门，专项预算项目自评报告作为附件报送；</w:t>
      </w:r>
      <w:r>
        <w:rPr>
          <w:rFonts w:hint="eastAsia" w:ascii="黑体" w:hAnsi="宋体" w:eastAsia="黑体" w:cs="宋体"/>
          <w:color w:val="auto"/>
          <w:kern w:val="0"/>
          <w:sz w:val="32"/>
          <w:szCs w:val="32"/>
          <w:highlight w:val="none"/>
          <w:shd w:val="clear" w:color="auto" w:fill="FFFFFF"/>
          <w:lang w:val="en-US" w:eastAsia="zh-CN"/>
        </w:rPr>
        <w:t>特定目标类部门预算项目绩效目标自评表作为附表报送</w:t>
      </w:r>
      <w:r>
        <w:rPr>
          <w:rFonts w:hint="eastAsia" w:ascii="黑体" w:hAnsi="宋体" w:eastAsia="黑体" w:cs="宋体"/>
          <w:color w:val="auto"/>
          <w:kern w:val="0"/>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包括部门绩效目标制定、目标实现（按人员类、运转类、特定目标类项目分类阐述）、支出控制、及时处置、执行进度、预算完成情况、资金结余率（低效无效率）和违规记录等情况。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包括内部应用、自评公开、问题整改和应用反馈等情况。</w:t>
      </w:r>
    </w:p>
    <w:p>
      <w:pPr>
        <w:pageBreakBefore w:val="0"/>
        <w:widowControl/>
        <w:numPr>
          <w:ilvl w:val="0"/>
          <w:numId w:val="5"/>
        </w:numPr>
        <w:kinsoku/>
        <w:wordWrap/>
        <w:overflowPunct/>
        <w:topLinePunct w:val="0"/>
        <w:bidi w:val="0"/>
        <w:adjustRightInd w:val="0"/>
        <w:snapToGrid w:val="0"/>
        <w:spacing w:line="520" w:lineRule="exact"/>
        <w:ind w:firstLine="640" w:firstLineChars="200"/>
        <w:contextualSpacing/>
        <w:jc w:val="left"/>
        <w:rPr>
          <w:rFonts w:hint="eastAsia" w:ascii="仿宋_GB2312" w:hAnsi="宋体" w:eastAsia="仿宋_GB2312" w:cs="宋体"/>
          <w:color w:val="auto"/>
          <w:kern w:val="0"/>
          <w:sz w:val="32"/>
          <w:szCs w:val="32"/>
          <w:highlight w:val="none"/>
          <w:u w:val="none"/>
          <w:shd w:val="clear" w:color="auto" w:fill="FFFFFF"/>
          <w:lang w:val="zh-CN"/>
        </w:rPr>
      </w:pPr>
      <w:r>
        <w:rPr>
          <w:rFonts w:hint="eastAsia" w:ascii="仿宋_GB2312" w:hAnsi="宋体" w:eastAsia="仿宋_GB2312" w:cs="宋体"/>
          <w:color w:val="auto"/>
          <w:kern w:val="0"/>
          <w:sz w:val="32"/>
          <w:szCs w:val="32"/>
          <w:highlight w:val="none"/>
          <w:u w:val="none"/>
          <w:shd w:val="clear" w:color="auto" w:fill="FFFFFF"/>
          <w:lang w:val="zh-CN"/>
        </w:rPr>
        <w:t>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 xml:space="preserve">    包括评价部门整体支出自评准确情况。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（三）改进建议。</w:t>
      </w:r>
    </w:p>
    <w:p>
      <w:pPr>
        <w:pStyle w:val="5"/>
        <w:pageBreakBefore w:val="0"/>
        <w:kinsoku/>
        <w:wordWrap/>
        <w:overflowPunct/>
        <w:topLinePunct w:val="0"/>
        <w:bidi w:val="0"/>
        <w:spacing w:line="520" w:lineRule="exact"/>
        <w:rPr>
          <w:rFonts w:hint="eastAsia" w:hAnsi="宋体" w:cs="宋体"/>
          <w:color w:val="auto"/>
          <w:kern w:val="0"/>
          <w:sz w:val="32"/>
          <w:szCs w:val="32"/>
          <w:highlight w:val="none"/>
          <w:shd w:val="clear" w:color="auto" w:fill="FFFFFF"/>
          <w:lang w:val="zh-CN"/>
        </w:rPr>
      </w:pPr>
    </w:p>
    <w:p>
      <w:pPr>
        <w:pStyle w:val="5"/>
        <w:pageBreakBefore w:val="0"/>
        <w:kinsoku/>
        <w:wordWrap/>
        <w:overflowPunct/>
        <w:topLinePunct w:val="0"/>
        <w:bidi w:val="0"/>
        <w:spacing w:line="520" w:lineRule="exact"/>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p>
    <w:p>
      <w:pPr>
        <w:keepNext w:val="0"/>
        <w:keepLines w:val="0"/>
        <w:pageBreakBefore w:val="0"/>
        <w:widowControl w:val="0"/>
        <w:kinsoku/>
        <w:wordWrap/>
        <w:overflowPunct/>
        <w:topLinePunct w:val="0"/>
        <w:autoSpaceDE/>
        <w:autoSpaceDN/>
        <w:bidi w:val="0"/>
        <w:spacing w:line="520" w:lineRule="exact"/>
        <w:ind w:firstLine="883"/>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（主管部门自评）</w:t>
      </w:r>
    </w:p>
    <w:p>
      <w:pPr>
        <w:keepNext w:val="0"/>
        <w:keepLines w:val="0"/>
        <w:pageBreakBefore w:val="0"/>
        <w:widowControl w:val="0"/>
        <w:kinsoku/>
        <w:wordWrap/>
        <w:overflowPunct/>
        <w:topLinePunct w:val="0"/>
        <w:autoSpaceDE/>
        <w:autoSpaceDN/>
        <w:bidi w:val="0"/>
        <w:spacing w:line="52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4．资金分配的原则及考虑因素。</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说明项目资金申报、批复及预算调整等程序的相关情况。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r>
        <w:rPr>
          <w:rFonts w:hint="eastAsia" w:ascii="仿宋_GB2312" w:hAnsi="宋体" w:eastAsia="仿宋_GB2312" w:cs="Times New Roman"/>
          <w:color w:val="auto"/>
          <w:sz w:val="32"/>
          <w:szCs w:val="32"/>
          <w:highlight w:val="none"/>
          <w:lang w:val="zh-CN"/>
        </w:rPr>
        <w:t>在说明该项目全省资金计划的基础上，分项目大类或市（州）分别说明各类资金计划情况，包括中央、省、市（州）、县（市、区）财政资金、项目单位自筹、其他渠道资金（包括银行贷款及其他资金等）。</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2．资金到位。</w:t>
      </w:r>
      <w:r>
        <w:rPr>
          <w:rFonts w:hint="eastAsia" w:ascii="仿宋_GB2312" w:hAnsi="宋体" w:eastAsia="仿宋_GB2312" w:cs="Times New Roman"/>
          <w:color w:val="auto"/>
          <w:sz w:val="32"/>
          <w:szCs w:val="32"/>
          <w:highlight w:val="none"/>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3．资金使用。</w:t>
      </w:r>
      <w:r>
        <w:rPr>
          <w:rFonts w:hint="eastAsia" w:ascii="仿宋_GB2312" w:hAnsi="宋体" w:eastAsia="仿宋_GB2312" w:cs="Times New Roman"/>
          <w:color w:val="auto"/>
          <w:sz w:val="32"/>
          <w:szCs w:val="32"/>
          <w:highlight w:val="none"/>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总体评价各项目实施单位财务管理制度是否健全，是否严格执行财务管理制度，账务处理是否及时，会计核算是否规范等。</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sz w:val="32"/>
          <w:szCs w:val="32"/>
          <w:highlight w:val="none"/>
          <w:lang w:val="zh-CN"/>
        </w:rPr>
        <w:t>结合项目特点，总体评价各项目实施单位执行相关法律法规及项目管理制度等情况，如招投标、政府采购、项目公示制等相关规定。</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sz w:val="32"/>
          <w:szCs w:val="32"/>
          <w:highlight w:val="none"/>
          <w:lang w:val="zh-CN"/>
        </w:rPr>
        <w:t>说明项目主管部门为加强项目管理所采取的监管手段、监管程序、监管工作开展情况及实现的效果等。</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仿宋_GB2312" w:hAnsi="宋体" w:eastAsia="仿宋_GB2312" w:cs="Times New Roman"/>
          <w:color w:val="auto"/>
          <w:sz w:val="32"/>
          <w:szCs w:val="32"/>
          <w:highlight w:val="none"/>
          <w:lang w:val="zh-CN"/>
        </w:rPr>
        <w:t>包括项目完成数量、质量、时效、成本等情况，资金结余情况，违规记录等，对照项目计划完成目标，对截止评价时点的任务量完成、质量标准、进度计划、成本控制目标的实现程度进行评价，并进行分析说明。</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从项目经济效益、社会效益、生态效益、可持续效益以及服务对象满意度等方面对项目效益进行全面分析评价。</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cs="Times New Roman"/>
          <w:color w:val="auto"/>
          <w:sz w:val="32"/>
          <w:szCs w:val="32"/>
          <w:highlight w:val="none"/>
          <w:lang w:val="zh-CN"/>
        </w:rPr>
        <w:t>结合项目自身特点、评价重点及管理办法等要求，围绕专项项目支出绩效评价指标体系对项目进行总体评价。</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结合自评情况，分析存在的问题及原因。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针对项目自评中发现的问题，提出下一步改进完善的意见及有关政策性建议。</w:t>
      </w: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p>
      <w:pPr>
        <w:pStyle w:val="5"/>
        <w:pageBreakBefore w:val="0"/>
        <w:kinsoku/>
        <w:wordWrap/>
        <w:overflowPunct/>
        <w:topLinePunct w:val="0"/>
        <w:bidi w:val="0"/>
        <w:spacing w:line="520" w:lineRule="exact"/>
        <w:rPr>
          <w:rFonts w:hint="eastAsia"/>
          <w:color w:val="auto"/>
          <w:highlight w:val="none"/>
          <w:lang w:val="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Autospacing="0" w:line="520" w:lineRule="exact"/>
              <w:jc w:val="both"/>
              <w:textAlignment w:val="center"/>
              <w:rPr>
                <w:rFonts w:hint="eastAsia" w:ascii="宋体" w:hAnsi="宋体" w:eastAsia="宋体" w:cs="宋体"/>
                <w:b/>
                <w:i w:val="0"/>
                <w:color w:val="auto"/>
                <w:sz w:val="32"/>
                <w:szCs w:val="32"/>
                <w:highlight w:val="none"/>
                <w:u w:val="none"/>
              </w:rPr>
            </w:pPr>
            <w:r>
              <w:rPr>
                <w:rFonts w:hint="eastAsia" w:ascii="宋体" w:hAnsi="宋体" w:cs="宋体"/>
                <w:b/>
                <w:i w:val="0"/>
                <w:color w:val="auto"/>
                <w:sz w:val="32"/>
                <w:szCs w:val="32"/>
                <w:highlight w:val="none"/>
                <w:u w:val="none"/>
                <w:lang w:val="en-US" w:eastAsia="zh-CN"/>
              </w:rPr>
              <w:t>2022</w:t>
            </w:r>
            <w:r>
              <w:rPr>
                <w:rFonts w:hint="eastAsia" w:ascii="宋体" w:hAnsi="宋体" w:eastAsia="宋体" w:cs="宋体"/>
                <w:b/>
                <w:i w:val="0"/>
                <w:color w:val="auto"/>
                <w:sz w:val="32"/>
                <w:szCs w:val="32"/>
                <w:highlight w:val="none"/>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top"/>
              <w:rPr>
                <w:rFonts w:hint="eastAsia" w:ascii="宋体" w:hAnsi="宋体" w:eastAsia="宋体" w:cs="宋体"/>
                <w:i w:val="0"/>
                <w:color w:val="auto"/>
                <w:sz w:val="24"/>
                <w:szCs w:val="24"/>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top"/>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ind w:left="463" w:leftChars="87" w:hanging="280" w:hangingChars="10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仿宋_GB2312" w:hAnsi="仿宋_GB2312" w:eastAsia="仿宋_GB2312" w:cs="仿宋_GB2312"/>
                <w:i w:val="0"/>
                <w:color w:val="auto"/>
                <w:sz w:val="28"/>
                <w:szCs w:val="28"/>
                <w:highlight w:val="none"/>
                <w:u w:val="none"/>
              </w:rPr>
            </w:pPr>
          </w:p>
        </w:tc>
      </w:tr>
    </w:tbl>
    <w:p>
      <w:pPr>
        <w:keepNext w:val="0"/>
        <w:keepLines w:val="0"/>
        <w:pageBreakBefore w:val="0"/>
        <w:widowControl/>
        <w:kinsoku/>
        <w:wordWrap/>
        <w:overflowPunct/>
        <w:topLinePunct w:val="0"/>
        <w:autoSpaceDE/>
        <w:autoSpaceDN/>
        <w:bidi w:val="0"/>
        <w:adjustRightInd w:val="0"/>
        <w:snapToGrid w:val="0"/>
        <w:spacing w:afterAutospacing="0" w:line="520" w:lineRule="exact"/>
        <w:ind w:firstLine="640" w:firstLineChars="200"/>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pageBreakBefore w:val="0"/>
        <w:widowControl/>
        <w:kinsoku/>
        <w:wordWrap/>
        <w:overflowPunct/>
        <w:topLinePunct w:val="0"/>
        <w:bidi w:val="0"/>
        <w:adjustRightInd w:val="0"/>
        <w:snapToGrid w:val="0"/>
        <w:spacing w:line="520" w:lineRule="exact"/>
        <w:contextualSpacing/>
        <w:jc w:val="left"/>
        <w:rPr>
          <w:color w:val="auto"/>
          <w:highlight w:val="none"/>
        </w:rPr>
      </w:pPr>
      <w:r>
        <w:rPr>
          <w:rFonts w:hint="eastAsia" w:ascii="仿宋_GB2312" w:hAnsi="宋体" w:eastAsia="仿宋_GB2312" w:cs="宋体"/>
          <w:color w:val="auto"/>
          <w:kern w:val="0"/>
          <w:sz w:val="32"/>
          <w:szCs w:val="32"/>
          <w:highlight w:val="none"/>
          <w:shd w:val="clear" w:color="auto" w:fill="FFFFFF"/>
          <w:lang w:val="en-US" w:eastAsia="zh-CN"/>
        </w:rPr>
        <w:t>（注：有两个及以上100万元以上（含）特定目标类部门预算项目的，需分别开展绩效目标自评并填写附表）</w:t>
      </w:r>
    </w:p>
    <w:p>
      <w:pPr>
        <w:pageBreakBefore w:val="0"/>
        <w:kinsoku/>
        <w:wordWrap/>
        <w:overflowPunct/>
        <w:topLinePunct w:val="0"/>
        <w:bidi w:val="0"/>
        <w:spacing w:line="520" w:lineRule="exact"/>
        <w:rPr>
          <w:rStyle w:val="25"/>
          <w:rFonts w:ascii="黑体" w:hAnsi="黑体" w:eastAsia="黑体"/>
          <w:b w:val="0"/>
          <w:color w:val="auto"/>
          <w:highlight w:val="none"/>
        </w:rPr>
      </w:pPr>
    </w:p>
    <w:p>
      <w:pPr>
        <w:pageBreakBefore w:val="0"/>
        <w:widowControl/>
        <w:kinsoku/>
        <w:wordWrap/>
        <w:overflowPunct/>
        <w:topLinePunct w:val="0"/>
        <w:bidi w:val="0"/>
        <w:spacing w:line="520" w:lineRule="exact"/>
        <w:jc w:val="left"/>
        <w:rPr>
          <w:rStyle w:val="25"/>
          <w:rFonts w:ascii="黑体" w:hAnsi="黑体" w:eastAsia="黑体"/>
          <w:b w:val="0"/>
          <w:color w:val="auto"/>
          <w:highlight w:val="none"/>
        </w:rPr>
      </w:pPr>
      <w:r>
        <w:rPr>
          <w:rStyle w:val="25"/>
          <w:rFonts w:ascii="黑体" w:hAnsi="黑体" w:eastAsia="黑体"/>
          <w:b w:val="0"/>
          <w:color w:val="auto"/>
          <w:highlight w:val="none"/>
        </w:rPr>
        <w:br w:type="page"/>
      </w:r>
    </w:p>
    <w:p>
      <w:pPr>
        <w:pageBreakBefore w:val="0"/>
        <w:kinsoku/>
        <w:wordWrap/>
        <w:overflowPunct/>
        <w:topLinePunct w:val="0"/>
        <w:bidi w:val="0"/>
        <w:spacing w:line="520" w:lineRule="exact"/>
        <w:jc w:val="center"/>
        <w:outlineLvl w:val="0"/>
        <w:rPr>
          <w:rFonts w:hint="eastAsia" w:ascii="仿宋" w:hAnsi="仿宋" w:eastAsia="仿宋"/>
          <w:b w:val="0"/>
          <w:color w:val="auto"/>
          <w:highlight w:val="none"/>
        </w:rPr>
      </w:pPr>
      <w:bookmarkStart w:id="51" w:name="_Toc15396618"/>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49"/>
      <w:bookmarkEnd w:id="51"/>
      <w:bookmarkStart w:id="52" w:name="_Toc15396619"/>
    </w:p>
    <w:p>
      <w:pPr>
        <w:pStyle w:val="3"/>
        <w:pageBreakBefore w:val="0"/>
        <w:kinsoku/>
        <w:wordWrap/>
        <w:overflowPunct/>
        <w:topLinePunct w:val="0"/>
        <w:bidi w:val="0"/>
        <w:spacing w:line="520" w:lineRule="exact"/>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2"/>
    </w:p>
    <w:p>
      <w:pPr>
        <w:pStyle w:val="3"/>
        <w:pageBreakBefore w:val="0"/>
        <w:kinsoku/>
        <w:wordWrap/>
        <w:overflowPunct/>
        <w:topLinePunct w:val="0"/>
        <w:bidi w:val="0"/>
        <w:spacing w:line="520" w:lineRule="exact"/>
        <w:rPr>
          <w:rFonts w:ascii="仿宋" w:hAnsi="仿宋" w:eastAsia="仿宋"/>
          <w:color w:val="auto"/>
          <w:highlight w:val="none"/>
        </w:rPr>
      </w:pPr>
      <w:bookmarkStart w:id="53"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3"/>
    </w:p>
    <w:p>
      <w:pPr>
        <w:pStyle w:val="3"/>
        <w:pageBreakBefore w:val="0"/>
        <w:kinsoku/>
        <w:wordWrap/>
        <w:overflowPunct/>
        <w:topLinePunct w:val="0"/>
        <w:bidi w:val="0"/>
        <w:spacing w:line="520" w:lineRule="exact"/>
        <w:rPr>
          <w:rFonts w:ascii="仿宋" w:hAnsi="仿宋" w:eastAsia="仿宋"/>
          <w:color w:val="auto"/>
          <w:highlight w:val="none"/>
        </w:rPr>
      </w:pPr>
      <w:bookmarkStart w:id="54"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4"/>
    </w:p>
    <w:p>
      <w:pPr>
        <w:pStyle w:val="3"/>
        <w:pageBreakBefore w:val="0"/>
        <w:kinsoku/>
        <w:wordWrap/>
        <w:overflowPunct/>
        <w:topLinePunct w:val="0"/>
        <w:bidi w:val="0"/>
        <w:spacing w:line="520" w:lineRule="exact"/>
        <w:rPr>
          <w:rFonts w:ascii="仿宋" w:hAnsi="仿宋" w:eastAsia="仿宋"/>
          <w:b w:val="0"/>
          <w:color w:val="auto"/>
          <w:highlight w:val="none"/>
        </w:rPr>
      </w:pPr>
      <w:bookmarkStart w:id="55"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5"/>
    </w:p>
    <w:p>
      <w:pPr>
        <w:pStyle w:val="3"/>
        <w:pageBreakBefore w:val="0"/>
        <w:kinsoku/>
        <w:wordWrap/>
        <w:overflowPunct/>
        <w:topLinePunct w:val="0"/>
        <w:bidi w:val="0"/>
        <w:spacing w:line="520" w:lineRule="exact"/>
        <w:rPr>
          <w:rStyle w:val="26"/>
          <w:rFonts w:ascii="仿宋" w:hAnsi="仿宋" w:eastAsia="仿宋"/>
          <w:b w:val="0"/>
          <w:bCs w:val="0"/>
          <w:color w:val="auto"/>
          <w:highlight w:val="none"/>
        </w:rPr>
      </w:pPr>
      <w:bookmarkStart w:id="56"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6"/>
      <w:bookmarkStart w:id="57" w:name="_Toc15396624"/>
    </w:p>
    <w:p>
      <w:pPr>
        <w:pStyle w:val="3"/>
        <w:pageBreakBefore w:val="0"/>
        <w:kinsoku/>
        <w:wordWrap/>
        <w:overflowPunct/>
        <w:topLinePunct w:val="0"/>
        <w:bidi w:val="0"/>
        <w:spacing w:line="520" w:lineRule="exact"/>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7"/>
    </w:p>
    <w:p>
      <w:pPr>
        <w:pStyle w:val="3"/>
        <w:pageBreakBefore w:val="0"/>
        <w:kinsoku/>
        <w:wordWrap/>
        <w:overflowPunct/>
        <w:topLinePunct w:val="0"/>
        <w:bidi w:val="0"/>
        <w:spacing w:line="520" w:lineRule="exact"/>
        <w:rPr>
          <w:rFonts w:ascii="仿宋" w:hAnsi="仿宋" w:eastAsia="仿宋"/>
          <w:color w:val="auto"/>
          <w:highlight w:val="none"/>
        </w:rPr>
      </w:pPr>
      <w:bookmarkStart w:id="58"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58"/>
    </w:p>
    <w:p>
      <w:pPr>
        <w:pStyle w:val="3"/>
        <w:pageBreakBefore w:val="0"/>
        <w:kinsoku/>
        <w:wordWrap/>
        <w:overflowPunct/>
        <w:topLinePunct w:val="0"/>
        <w:bidi w:val="0"/>
        <w:spacing w:line="520" w:lineRule="exact"/>
        <w:rPr>
          <w:rFonts w:ascii="仿宋" w:hAnsi="仿宋" w:eastAsia="仿宋"/>
          <w:color w:val="auto"/>
          <w:highlight w:val="none"/>
        </w:rPr>
      </w:pPr>
      <w:bookmarkStart w:id="59"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59"/>
    </w:p>
    <w:p>
      <w:pPr>
        <w:pStyle w:val="3"/>
        <w:pageBreakBefore w:val="0"/>
        <w:kinsoku/>
        <w:wordWrap/>
        <w:overflowPunct/>
        <w:topLinePunct w:val="0"/>
        <w:bidi w:val="0"/>
        <w:spacing w:line="520" w:lineRule="exact"/>
        <w:rPr>
          <w:rFonts w:ascii="仿宋" w:hAnsi="仿宋" w:eastAsia="仿宋"/>
          <w:color w:val="auto"/>
          <w:highlight w:val="none"/>
        </w:rPr>
      </w:pPr>
      <w:bookmarkStart w:id="60"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0"/>
    </w:p>
    <w:p>
      <w:pPr>
        <w:pStyle w:val="3"/>
        <w:pageBreakBefore w:val="0"/>
        <w:kinsoku/>
        <w:wordWrap/>
        <w:overflowPunct/>
        <w:topLinePunct w:val="0"/>
        <w:bidi w:val="0"/>
        <w:spacing w:line="520" w:lineRule="exact"/>
        <w:rPr>
          <w:rFonts w:ascii="仿宋" w:hAnsi="仿宋" w:eastAsia="仿宋"/>
          <w:color w:val="auto"/>
          <w:highlight w:val="none"/>
        </w:rPr>
      </w:pPr>
      <w:bookmarkStart w:id="61"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1"/>
    </w:p>
    <w:p>
      <w:pPr>
        <w:pStyle w:val="3"/>
        <w:pageBreakBefore w:val="0"/>
        <w:kinsoku/>
        <w:wordWrap/>
        <w:overflowPunct/>
        <w:topLinePunct w:val="0"/>
        <w:bidi w:val="0"/>
        <w:spacing w:line="520" w:lineRule="exact"/>
        <w:rPr>
          <w:rFonts w:ascii="仿宋" w:hAnsi="仿宋" w:eastAsia="仿宋"/>
          <w:color w:val="auto"/>
          <w:highlight w:val="none"/>
        </w:rPr>
      </w:pPr>
      <w:bookmarkStart w:id="62"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2"/>
    </w:p>
    <w:p>
      <w:pPr>
        <w:pStyle w:val="3"/>
        <w:pageBreakBefore w:val="0"/>
        <w:kinsoku/>
        <w:wordWrap/>
        <w:overflowPunct/>
        <w:topLinePunct w:val="0"/>
        <w:bidi w:val="0"/>
        <w:spacing w:line="520" w:lineRule="exact"/>
        <w:rPr>
          <w:rFonts w:ascii="仿宋" w:hAnsi="仿宋" w:eastAsia="仿宋"/>
          <w:color w:val="auto"/>
          <w:highlight w:val="none"/>
        </w:rPr>
      </w:pPr>
      <w:bookmarkStart w:id="63"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63"/>
    </w:p>
    <w:p>
      <w:pPr>
        <w:pStyle w:val="3"/>
        <w:pageBreakBefore w:val="0"/>
        <w:kinsoku/>
        <w:wordWrap/>
        <w:overflowPunct/>
        <w:topLinePunct w:val="0"/>
        <w:bidi w:val="0"/>
        <w:spacing w:line="520" w:lineRule="exact"/>
        <w:rPr>
          <w:rStyle w:val="26"/>
          <w:rFonts w:hint="eastAsia" w:ascii="仿宋" w:hAnsi="仿宋" w:eastAsia="仿宋"/>
          <w:b w:val="0"/>
          <w:bCs w:val="0"/>
          <w:color w:val="auto"/>
          <w:highlight w:val="none"/>
        </w:rPr>
      </w:pPr>
      <w:bookmarkStart w:id="64"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4"/>
    </w:p>
    <w:p>
      <w:pPr>
        <w:pageBreakBefore w:val="0"/>
        <w:kinsoku/>
        <w:wordWrap/>
        <w:overflowPunct/>
        <w:topLinePunct w:val="0"/>
        <w:bidi w:val="0"/>
        <w:spacing w:line="520" w:lineRule="exact"/>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59358B-A126-40D3-9DC5-1BBB517822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F7ABCC9D-BD73-461E-8554-B837681A7606}"/>
  </w:font>
  <w:font w:name="仿宋_GB2312">
    <w:panose1 w:val="02010609030101010101"/>
    <w:charset w:val="86"/>
    <w:family w:val="modern"/>
    <w:pitch w:val="default"/>
    <w:sig w:usb0="00000001" w:usb1="080E0000" w:usb2="00000000" w:usb3="00000000" w:csb0="00040000" w:csb1="00000000"/>
    <w:embedRegular r:id="rId3" w:fontKey="{2E120754-A610-44C8-9528-96045B55B556}"/>
  </w:font>
  <w:font w:name="仿宋">
    <w:panose1 w:val="02010609060101010101"/>
    <w:charset w:val="86"/>
    <w:family w:val="auto"/>
    <w:pitch w:val="default"/>
    <w:sig w:usb0="800002BF" w:usb1="38CF7CFA" w:usb2="00000016" w:usb3="00000000" w:csb0="00040001" w:csb1="00000000"/>
    <w:embedRegular r:id="rId4" w:fontKey="{520190EB-421C-438E-9DBE-B2106EB9CAEC}"/>
  </w:font>
  <w:font w:name="方正小标宋简体">
    <w:panose1 w:val="02000000000000000000"/>
    <w:charset w:val="86"/>
    <w:family w:val="script"/>
    <w:pitch w:val="default"/>
    <w:sig w:usb0="00000001" w:usb1="08000000" w:usb2="00000000" w:usb3="00000000" w:csb0="00040000" w:csb1="00000000"/>
    <w:embedRegular r:id="rId5" w:fontKey="{A66497B5-E3AA-40F8-8AE2-74F907803CF0}"/>
  </w:font>
  <w:font w:name="楷体_GB2312">
    <w:panose1 w:val="02010609030101010101"/>
    <w:charset w:val="86"/>
    <w:family w:val="auto"/>
    <w:pitch w:val="default"/>
    <w:sig w:usb0="00000001" w:usb1="080E0000" w:usb2="00000000" w:usb3="00000000" w:csb0="00040000" w:csb1="00000000"/>
    <w:embedRegular r:id="rId6" w:fontKey="{5D053C32-4E3D-4258-A8C5-5A535A9737D4}"/>
  </w:font>
  <w:font w:name="楷体">
    <w:panose1 w:val="02010609060101010101"/>
    <w:charset w:val="86"/>
    <w:family w:val="auto"/>
    <w:pitch w:val="default"/>
    <w:sig w:usb0="800002BF" w:usb1="38CF7CFA" w:usb2="00000016" w:usb3="00000000" w:csb0="00040001" w:csb1="00000000"/>
    <w:embedRegular r:id="rId7" w:fontKey="{668E7945-3573-4A8E-9BEC-71BDE55EDA5E}"/>
  </w:font>
  <w:font w:name="华文仿宋">
    <w:panose1 w:val="02010600040101010101"/>
    <w:charset w:val="86"/>
    <w:family w:val="auto"/>
    <w:pitch w:val="default"/>
    <w:sig w:usb0="00000287" w:usb1="080F0000" w:usb2="00000000" w:usb3="00000000" w:csb0="0004009F" w:csb1="DFD70000"/>
    <w:embedRegular r:id="rId8" w:fontKey="{80BDDC56-1824-4A67-BB00-C5F4009296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3CEB548"/>
    <w:multiLevelType w:val="singleLevel"/>
    <w:tmpl w:val="D3CEB548"/>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GNiNzY2MWE2MjcyY2JkZjY1MjNiMzBiMTBiN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71332"/>
    <w:rsid w:val="066E0107"/>
    <w:rsid w:val="07996F6E"/>
    <w:rsid w:val="08900373"/>
    <w:rsid w:val="09AB25C8"/>
    <w:rsid w:val="0A2032A3"/>
    <w:rsid w:val="0E812980"/>
    <w:rsid w:val="101860EC"/>
    <w:rsid w:val="10C055FF"/>
    <w:rsid w:val="118107EC"/>
    <w:rsid w:val="13D50BC4"/>
    <w:rsid w:val="14B4140E"/>
    <w:rsid w:val="16BB723D"/>
    <w:rsid w:val="1BE8440E"/>
    <w:rsid w:val="1C4F324A"/>
    <w:rsid w:val="1D155CEE"/>
    <w:rsid w:val="1E001BA6"/>
    <w:rsid w:val="1F846F2D"/>
    <w:rsid w:val="23860B96"/>
    <w:rsid w:val="240371BF"/>
    <w:rsid w:val="25EB7751"/>
    <w:rsid w:val="268F2A55"/>
    <w:rsid w:val="26CD1C32"/>
    <w:rsid w:val="29FD04D3"/>
    <w:rsid w:val="2C8A61B5"/>
    <w:rsid w:val="2DF04E50"/>
    <w:rsid w:val="31735ED0"/>
    <w:rsid w:val="319F7F4E"/>
    <w:rsid w:val="336C06CE"/>
    <w:rsid w:val="36AA5135"/>
    <w:rsid w:val="37E16F03"/>
    <w:rsid w:val="3A5F69B5"/>
    <w:rsid w:val="3D98207C"/>
    <w:rsid w:val="44E268DA"/>
    <w:rsid w:val="4A627F82"/>
    <w:rsid w:val="4A8767F3"/>
    <w:rsid w:val="4B4F25DA"/>
    <w:rsid w:val="4BE068DB"/>
    <w:rsid w:val="4D577224"/>
    <w:rsid w:val="4EAB630A"/>
    <w:rsid w:val="4ECE2238"/>
    <w:rsid w:val="5246001F"/>
    <w:rsid w:val="52CC7A6B"/>
    <w:rsid w:val="56A74600"/>
    <w:rsid w:val="5AF92295"/>
    <w:rsid w:val="5BF22FC6"/>
    <w:rsid w:val="5CD71FC4"/>
    <w:rsid w:val="602D6EC7"/>
    <w:rsid w:val="61C64CD9"/>
    <w:rsid w:val="61E330E9"/>
    <w:rsid w:val="66727B46"/>
    <w:rsid w:val="667C3D4B"/>
    <w:rsid w:val="6C4A05C8"/>
    <w:rsid w:val="6E7E3605"/>
    <w:rsid w:val="6FF5CC65"/>
    <w:rsid w:val="715C0E4B"/>
    <w:rsid w:val="7224193D"/>
    <w:rsid w:val="72734D90"/>
    <w:rsid w:val="73AD73D5"/>
    <w:rsid w:val="73B6EB34"/>
    <w:rsid w:val="78C20F55"/>
    <w:rsid w:val="79EE5BA4"/>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6975</Words>
  <Characters>7464</Characters>
  <Lines>61</Lines>
  <Paragraphs>17</Paragraphs>
  <TotalTime>0</TotalTime>
  <ScaleCrop>false</ScaleCrop>
  <LinksUpToDate>false</LinksUpToDate>
  <CharactersWithSpaces>7505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AAAAA简   单</cp:lastModifiedBy>
  <cp:lastPrinted>2022-08-08T09:11:00Z</cp:lastPrinted>
  <dcterms:modified xsi:type="dcterms:W3CDTF">2023-12-08T05:43:34Z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2C7AD9C96BAC4A4ABC3B051BDF85EA6F_13</vt:lpwstr>
  </property>
</Properties>
</file>