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仿宋_GB2312" w:hAnsi="宋体"/>
          <w:szCs w:val="32"/>
          <w:lang w:val="zh-CN"/>
        </w:rPr>
      </w:pPr>
      <w:r>
        <w:rPr>
          <w:rFonts w:hint="eastAsia" w:ascii="仿宋_GB2312" w:hAnsi="宋体"/>
          <w:szCs w:val="32"/>
          <w:lang w:val="zh-CN"/>
        </w:rPr>
        <w:t>附件10</w:t>
      </w:r>
    </w:p>
    <w:p>
      <w:pPr>
        <w:widowControl/>
        <w:spacing w:line="580" w:lineRule="exact"/>
        <w:ind w:firstLine="2650" w:firstLineChars="600"/>
        <w:contextualSpacing/>
        <w:jc w:val="both"/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spacing w:line="580" w:lineRule="exact"/>
        <w:ind w:firstLine="2650" w:firstLineChars="600"/>
        <w:contextualSpacing/>
        <w:jc w:val="both"/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spacing w:line="580" w:lineRule="exact"/>
        <w:ind w:firstLine="2650" w:firstLineChars="600"/>
        <w:contextualSpacing/>
        <w:jc w:val="both"/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spacing w:line="580" w:lineRule="exact"/>
        <w:ind w:firstLine="2650" w:firstLineChars="600"/>
        <w:contextualSpacing/>
        <w:jc w:val="both"/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spacing w:line="580" w:lineRule="exact"/>
        <w:ind w:firstLine="2650" w:firstLineChars="600"/>
        <w:contextualSpacing/>
        <w:jc w:val="both"/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spacing w:line="580" w:lineRule="exact"/>
        <w:ind w:firstLine="2650" w:firstLineChars="600"/>
        <w:contextualSpacing/>
        <w:jc w:val="both"/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spacing w:line="580" w:lineRule="exact"/>
        <w:ind w:firstLine="2650" w:firstLineChars="600"/>
        <w:contextualSpacing/>
        <w:jc w:val="both"/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spacing w:line="580" w:lineRule="exact"/>
        <w:ind w:firstLine="2650" w:firstLineChars="600"/>
        <w:contextualSpacing/>
        <w:jc w:val="both"/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spacing w:line="580" w:lineRule="exact"/>
        <w:contextualSpacing/>
        <w:jc w:val="center"/>
        <w:rPr>
          <w:rFonts w:hint="default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>石渠县新荣乡人民政府</w:t>
      </w:r>
    </w:p>
    <w:p>
      <w:pPr>
        <w:widowControl/>
        <w:spacing w:line="580" w:lineRule="exact"/>
        <w:contextualSpacing/>
        <w:jc w:val="center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>2021</w:t>
      </w:r>
      <w:r>
        <w:rPr>
          <w:rFonts w:ascii="方正小标宋简体" w:hAnsi="宋体" w:eastAsia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部门整体支出绩效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自评</w:t>
      </w:r>
    </w:p>
    <w:p>
      <w:pPr>
        <w:widowControl/>
        <w:spacing w:line="580" w:lineRule="exact"/>
        <w:contextualSpacing/>
        <w:jc w:val="center"/>
        <w:rPr>
          <w:rFonts w:ascii="方正小标宋简体" w:hAnsi="宋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报告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  <w:lang w:val="zh-CN"/>
        </w:rPr>
        <w:t>部门（单位）概况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  <w:t>（一）机构组成。</w:t>
      </w:r>
    </w:p>
    <w:p>
      <w:p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我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根据本工作的基本职能，按照县委编办的要求，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政府机关设立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个职能办公室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及3个直属事业机构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，分别是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党建与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综合办公室、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社会事务与经济发展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办公室、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综合行政执法办公室、寺庙管理所、新荣乡综合服务站、新荣乡便民服务中心、新荣乡文化旅游服务站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  <w:t>（二）机构职能。</w:t>
      </w:r>
    </w:p>
    <w:p>
      <w:p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1.党建与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综合办公室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default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主要负责日常运转，承担文电、会务、机构编制、干部人事管理、信息、档案、保密、固定资产、后勤保障等职责。负责人大议案、代表批评建议意见和政协委员提案的办理和答复。负责对基层党组织建设的统筹指导,承担党建、意识形态、宣传、人大、工青妇群团组织、党风廉政建设、群众工作等职责。</w:t>
      </w:r>
    </w:p>
    <w:p>
      <w:p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2.社会事务与经济发展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办公室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 xml:space="preserve"> 承担乡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经济发展规划、重大项目建设协调、乡村振兴、农牧农村科技、乡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规划建设、招商引资、项目管理、乡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企业、林业草原（森林草原防灭火防治)、水利(防汛抗旱防治)、统计等职责;负责五大振兴、农业农村改革、脱贫攻坚、驻村、集体经济组织指导等工作。承担教育体育、民政、人力资源社会保障、退役军人事务、文化旅游广播电视、卫生健康、粮食、扶贫开发、移民安置等职责。承担环境保护、生态文明建设、城乡提升、自然资源管理（地质灾害防治)、市场监管等职责;负责农村人居环境整治工作;承办县委农村工作领导小组及其办公室交办工作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综合行政执法办公室。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整合基层站所执法力量和资源,采取合署办公等方式,强化对行政执法的统一指挥和统筹协调。负责辖区内行政执法的统一指挥和综合协调;综合协调并联系派驻乡乡的片区执法中队、市场监管所和自然资源所。承担社会治理、平安创建、综治维稳、群众信访、统战宗教、公共安全、依法治理、应急管理(森林草原、防汛抗旱、地质灾害等“全灾种”的应急处置和救援)、安全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生产监督、地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震灾害的防治救、人民武装、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交通运输、矛盾纠纷排查化解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等职责:综合协调和联系派驻乡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的派出所、司动所。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寺庙管理所。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负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责宣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传贯彻执行党和国家关干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寺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庙管理的方针政策和法律法规,执行落实新时代党的治藏方略;负责民族宗教工作、按照统战、民宗、佛协的安排部暑落实藏传佛教寺庙管理工作、促进藏传佛教中国化发展;负责辖区内寺庙、露天佛像、僧人、佛事活动、财税、宗教事务的管理工作:负责宣传、教育引导寺庙深入开展民族团结,和谐寺庙创建等活动、加强寺庙重点人员联系和管理工作:协调做好宗教活动场所、宗教教职人员的基础设施建设和公共服务工作:承办乡乡党委、政府和上级有关部门交办的其他工作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完成乡乡党委和乡政府交办的其他任务。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5.新荣乡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综合服务站。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主要负责乡乡农业、畜牧、林草、水利等相关技术服务、支撑与保障及退役军人服务等工作。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6.新荣乡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便民服务中心。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主要负责乡乡便民服务、公共服务、农民工服务等工作。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7.新荣乡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文化旅游服务站。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  <w:t>主要负责乡乡文化,旅游,广播电视等相关技术服务支持和保障工作。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  <w:t>（三）人员概况。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新荣乡行政编制17名。其中,党委书记1名;人大主席1名;副书记、乡长1名;副书记兼宣传委员、统战委员1名;组织委员1名;政法委员1名;纪委书记兼监察室主任1名(由乡镇党委委员兼任);人武部长兼副乡长1名;副乡长2名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工勤人员控制数2名。</w:t>
      </w:r>
    </w:p>
    <w:p>
      <w:pPr>
        <w:widowControl/>
        <w:adjustRightInd w:val="0"/>
        <w:snapToGrid w:val="0"/>
        <w:spacing w:line="580" w:lineRule="exact"/>
        <w:contextualSpacing/>
        <w:jc w:val="left"/>
        <w:rPr>
          <w:rFonts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二、部门财政资金收支情况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  <w:t>（一）部门财政资金收入情况。</w:t>
      </w:r>
    </w:p>
    <w:p>
      <w:p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年部门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一般公共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预算收入总数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605.29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万元，其中：上年结转0万元，占0%，一般公共预算拨款收入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605.29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万元，占100%，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其中包括行政运行预算收入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406.45万元，其他政府办公厅（室）及相关机构事务预算收入2.00万元，机关事业单位基本养老保险缴费预算收入39.54万元，机关事业单位职业年金缴费预算收入19.51万元，其他残疾人事业支出预算收入4.24万元，其他社会保障和就业支出预算收入1.33万元，行政、事业单位及公务员医疗补助预算收入22.45万元，对村民委员会和村党支部的补助预算收入66.00万元，住房公积金预算收入43.78万元；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政府性基金预算拨款收入0万元，占0%，国有资本经营预算拨款收入0万元，占0%。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val="zh-CN"/>
        </w:rPr>
        <w:t>（二）部门财政资金支出情况。</w:t>
      </w:r>
    </w:p>
    <w:p>
      <w:pPr>
        <w:spacing w:line="600" w:lineRule="exact"/>
        <w:ind w:firstLine="640" w:firstLineChars="200"/>
        <w:rPr>
          <w:rFonts w:hint="default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年部门预算支出总数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605.29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万元，其中：基本支出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536.79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万元，占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88.68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%，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其中包括：行政运行预算支出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405.95万元，机关事业单位基本养老保险缴费预算支出39.54万元，机关事业单位职业年金缴费预算支出19.51万元，其他残疾人事业预算支出4.24万元，其他社会保障和就业预算支出1.33万元，行政、事业单位及公务员医疗补助预算支出22.45万元，住房公积金预算支出43.78万元；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项目支出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68.50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万元，占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11.32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%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，其中包括：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其他政府办公厅（室）及相关机构事务预算支出2.00万元，对村民委员会和村党支部的补助预算支出66.00万元，2021年度乡乡人大主席团工作专项经费0.5万元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  <w:t>（一）部门预算管理。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部门绩效目标制定及实现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我乡结合县财政局给予的的乡委办职能、职责和年度各项工作目标任务，设立了完整、客观和科学的2021年度部门整体支出绩效指标，共有一级指标3个，二级指标6个，三级指标28个，具体情况详见附件2《部门整体支出绩效目标申报表》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我乡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严格按照预算管理的相关规定和县级部门预算编制要求,科学合理编制预算,按时完成了20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部门绩效目标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工作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附件11《部门整体支出绩效目标自评表》。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2.预算编制的准确性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我乡要求负责预算编制的财务人员不断加强理论学习，提高财政预算管理管理水平，深入调研，立足实际，确定客观可行的预算绩效数据，重视财政预算执行过程控制，严格预算执行效力，提高预算编制的准确性。</w:t>
      </w:r>
    </w:p>
    <w:p>
      <w:pPr>
        <w:numPr>
          <w:ilvl w:val="0"/>
          <w:numId w:val="0"/>
        </w:numPr>
        <w:spacing w:line="600" w:lineRule="exact"/>
        <w:ind w:left="320" w:leftChars="0" w:firstLine="320" w:firstLineChars="100"/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3.支出控制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华文仿宋" w:hAnsi="华文仿宋" w:eastAsia="华文仿宋" w:cs="仿宋"/>
          <w:color w:val="333333"/>
          <w:sz w:val="32"/>
          <w:szCs w:val="32"/>
          <w:shd w:val="clear" w:color="auto" w:fill="FFFFFF"/>
        </w:rPr>
      </w:pPr>
      <w:r>
        <w:rPr>
          <w:rFonts w:ascii="华文仿宋" w:hAnsi="华文仿宋" w:eastAsia="华文仿宋" w:cs="仿宋"/>
          <w:color w:val="333333"/>
          <w:sz w:val="32"/>
          <w:szCs w:val="32"/>
          <w:shd w:val="clear" w:color="auto" w:fill="FFFFFF"/>
        </w:rPr>
        <w:t>优化支出结构，保障社会协调发展。围绕公共财政建设目标，不断调整优化支出结构，努力实现社会事业的全面协调发展。坚持“保工资、保运转、保民生、促发展”原则，统筹安排资金，优先安排人员经费，保证公共职能运转，保障民政优抚、尊老金、重残、五保低保等人员经费正常足额发放。统筹资金用于各村党员活动室维护活动室院坝硬化工作、所在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乡</w:t>
      </w:r>
      <w:r>
        <w:rPr>
          <w:rFonts w:ascii="华文仿宋" w:hAnsi="华文仿宋" w:eastAsia="华文仿宋" w:cs="仿宋"/>
          <w:color w:val="333333"/>
          <w:sz w:val="32"/>
          <w:szCs w:val="32"/>
          <w:shd w:val="clear" w:color="auto" w:fill="FFFFFF"/>
        </w:rPr>
        <w:t>辖区内道路扩建、卫生环境整治等基础建设，有效促进了生态环境改善，保证了社会事业发展。精准发力促脱贫，增活力，为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eastAsia="zh-CN"/>
        </w:rPr>
        <w:t>乡</w:t>
      </w:r>
      <w:r>
        <w:rPr>
          <w:rFonts w:ascii="华文仿宋" w:hAnsi="华文仿宋" w:eastAsia="华文仿宋" w:cs="仿宋"/>
          <w:color w:val="333333"/>
          <w:sz w:val="32"/>
          <w:szCs w:val="32"/>
          <w:shd w:val="clear" w:color="auto" w:fill="FFFFFF"/>
        </w:rPr>
        <w:t>村振兴建设奠定了良好的基础，持续加大对重点产业投入力度和特色建设上。有力的财力保障，提高了人民群众的获得感、幸福感、安全感。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4.执行进度</w:t>
      </w:r>
    </w:p>
    <w:p>
      <w:pPr>
        <w:pStyle w:val="5"/>
        <w:numPr>
          <w:ilvl w:val="0"/>
          <w:numId w:val="0"/>
        </w:numPr>
        <w:spacing w:line="600" w:lineRule="exact"/>
        <w:ind w:firstLine="640" w:firstLineChars="200"/>
        <w:outlineLvl w:val="2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我乡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年部门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一般公共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预算收入总数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605.29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截至到2021年12月31日，我乡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一般公共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预算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支出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总数</w:t>
      </w:r>
      <w:r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  <w:lang w:val="en-US" w:eastAsia="zh-CN"/>
        </w:rPr>
        <w:t>605.29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执行进度100%完成。</w:t>
      </w:r>
    </w:p>
    <w:p>
      <w:pPr>
        <w:pStyle w:val="5"/>
        <w:numPr>
          <w:ilvl w:val="0"/>
          <w:numId w:val="0"/>
        </w:numPr>
        <w:spacing w:line="600" w:lineRule="exact"/>
        <w:ind w:firstLine="640" w:firstLineChars="200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预算完成情况和违规记录等情况</w:t>
      </w:r>
    </w:p>
    <w:p>
      <w:p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43434"/>
          <w:sz w:val="32"/>
          <w:szCs w:val="32"/>
          <w:lang w:bidi="ar"/>
        </w:rPr>
        <w:t>我单位在20</w:t>
      </w:r>
      <w:r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343434"/>
          <w:sz w:val="32"/>
          <w:szCs w:val="32"/>
          <w:lang w:bidi="ar"/>
        </w:rPr>
        <w:t>年积极履职，强化管理，较好地完成了年度工作目标。通过加强预算收支管理，不断建立健全内部管理制度，梳理内部管理流程，部门整体支出管理水平得到提升。单位在日常管理中能做到各司其职，正常有序开展工作。专项资金的管理也是严格执行相关财务制度及上级要求，无不合理违规之处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  <w:t>（二）结果应用情况。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  <w:t>1.绩效自评公开情况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  <w:t>2021年，我乡严格按照县委、县政府和县财政局关于全面推进政府信息公开工作的统一安排部署，突出重点，狠抓落实，细化公开内容，拓宽公开渠道，不断提高政府信息公开的质量和实效。2021年，我乡主动公开政府信息73条，其中：通过政府网站公开政府信息73条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评价结果整改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343434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  <w:t>（1）</w:t>
      </w:r>
      <w:r>
        <w:rPr>
          <w:rFonts w:hint="eastAsia" w:ascii="仿宋" w:hAnsi="仿宋" w:eastAsia="仿宋" w:cs="仿宋"/>
          <w:color w:val="343434"/>
          <w:sz w:val="32"/>
          <w:szCs w:val="32"/>
          <w:lang w:bidi="ar"/>
        </w:rPr>
        <w:t>强化预算管理</w:t>
      </w:r>
      <w:r>
        <w:rPr>
          <w:rFonts w:hint="eastAsia" w:ascii="仿宋" w:hAnsi="仿宋" w:eastAsia="仿宋" w:cs="仿宋"/>
          <w:color w:val="343434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  <w:t>提高预算管理监控</w:t>
      </w:r>
      <w:r>
        <w:rPr>
          <w:rFonts w:hint="eastAsia" w:ascii="仿宋" w:hAnsi="仿宋" w:eastAsia="仿宋" w:cs="仿宋"/>
          <w:color w:val="343434"/>
          <w:sz w:val="32"/>
          <w:szCs w:val="32"/>
          <w:lang w:bidi="ar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343434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343434"/>
          <w:sz w:val="32"/>
          <w:szCs w:val="32"/>
          <w:lang w:bidi="ar"/>
        </w:rPr>
        <w:t>从细化部门预算编制入手，提高部门预算编制的科学性、合理性，强化财政宏观调控职能，通过预算调整和优化财政支出结构，努力降低行政运行成本，压缩一般性支出，支持我</w:t>
      </w:r>
      <w:r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  <w:t>乡</w:t>
      </w:r>
      <w:r>
        <w:rPr>
          <w:rFonts w:hint="eastAsia" w:ascii="仿宋" w:hAnsi="仿宋" w:eastAsia="仿宋" w:cs="仿宋"/>
          <w:color w:val="343434"/>
          <w:sz w:val="32"/>
          <w:szCs w:val="32"/>
          <w:lang w:bidi="ar"/>
        </w:rPr>
        <w:t>经济平稳较快的发展。严格工程项目管理，全程参与立项、设计、预算、施工、验收、决算审计等环节，有效地节约财政资金。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应用结果反馈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4343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43434"/>
          <w:sz w:val="32"/>
          <w:szCs w:val="32"/>
          <w:lang w:val="en-US" w:eastAsia="zh-CN" w:bidi="ar"/>
        </w:rPr>
        <w:t>在我乡部门整体绩效目标工作的执行过程中，结合最终评价结果，严格按照工作计划，合理安排预算资金使用，加强了预算管理制度的建设。我乡在2021年未被纳入县级部门整体支出复评范围，无相关整改通知及结果应用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华文仿宋" w:hAnsi="华文仿宋" w:eastAsia="华文仿宋" w:cs="仿宋"/>
          <w:color w:val="343434"/>
          <w:sz w:val="32"/>
          <w:szCs w:val="32"/>
          <w:lang w:val="zh-CN" w:eastAsia="zh-CN" w:bidi="ar"/>
        </w:rPr>
      </w:pPr>
      <w:r>
        <w:rPr>
          <w:rFonts w:hint="eastAsia" w:ascii="华文仿宋" w:hAnsi="华文仿宋" w:eastAsia="华文仿宋" w:cs="仿宋"/>
          <w:color w:val="343434"/>
          <w:sz w:val="32"/>
          <w:szCs w:val="32"/>
          <w:lang w:val="en-US" w:eastAsia="zh-CN" w:bidi="ar"/>
        </w:rPr>
        <w:t>2021</w:t>
      </w:r>
      <w:r>
        <w:rPr>
          <w:rFonts w:hint="default" w:ascii="华文仿宋" w:hAnsi="华文仿宋" w:eastAsia="华文仿宋" w:cs="仿宋"/>
          <w:color w:val="343434"/>
          <w:sz w:val="32"/>
          <w:szCs w:val="32"/>
          <w:lang w:val="en-US" w:eastAsia="zh-CN" w:bidi="ar"/>
        </w:rPr>
        <w:t>年，我</w:t>
      </w:r>
      <w:r>
        <w:rPr>
          <w:rFonts w:hint="eastAsia" w:ascii="华文仿宋" w:hAnsi="华文仿宋" w:eastAsia="华文仿宋" w:cs="仿宋"/>
          <w:color w:val="343434"/>
          <w:sz w:val="32"/>
          <w:szCs w:val="32"/>
          <w:lang w:val="en-US" w:eastAsia="zh-CN" w:bidi="ar"/>
        </w:rPr>
        <w:t>乡</w:t>
      </w:r>
      <w:r>
        <w:rPr>
          <w:rFonts w:hint="default" w:ascii="华文仿宋" w:hAnsi="华文仿宋" w:eastAsia="华文仿宋" w:cs="仿宋"/>
          <w:color w:val="343434"/>
          <w:sz w:val="32"/>
          <w:szCs w:val="32"/>
          <w:lang w:val="en-US" w:eastAsia="zh-CN" w:bidi="ar"/>
        </w:rPr>
        <w:t>严格按照年初预算批复认真组织实施,严格执行财经纪律相关管理规定，做到各项收支安排使用符合事业发展计划和财政政策的要求，确保了单位正常运行和重大项目的实施，较好地完成了20</w:t>
      </w:r>
      <w:r>
        <w:rPr>
          <w:rFonts w:hint="eastAsia" w:ascii="华文仿宋" w:hAnsi="华文仿宋" w:eastAsia="华文仿宋" w:cs="仿宋"/>
          <w:color w:val="343434"/>
          <w:sz w:val="32"/>
          <w:szCs w:val="32"/>
          <w:lang w:val="en-US" w:eastAsia="zh-CN" w:bidi="ar"/>
        </w:rPr>
        <w:t>21</w:t>
      </w:r>
      <w:r>
        <w:rPr>
          <w:rFonts w:hint="default" w:ascii="华文仿宋" w:hAnsi="华文仿宋" w:eastAsia="华文仿宋" w:cs="仿宋"/>
          <w:color w:val="343434"/>
          <w:sz w:val="32"/>
          <w:szCs w:val="32"/>
          <w:lang w:val="en-US" w:eastAsia="zh-CN" w:bidi="ar"/>
        </w:rPr>
        <w:t>年部门预算编制和决算汇总工作, 20</w:t>
      </w:r>
      <w:r>
        <w:rPr>
          <w:rFonts w:hint="eastAsia" w:ascii="华文仿宋" w:hAnsi="华文仿宋" w:eastAsia="华文仿宋" w:cs="仿宋"/>
          <w:color w:val="343434"/>
          <w:sz w:val="32"/>
          <w:szCs w:val="32"/>
          <w:lang w:val="en-US" w:eastAsia="zh-CN" w:bidi="ar"/>
        </w:rPr>
        <w:t>21</w:t>
      </w:r>
      <w:r>
        <w:rPr>
          <w:rFonts w:hint="default" w:ascii="华文仿宋" w:hAnsi="华文仿宋" w:eastAsia="华文仿宋" w:cs="仿宋"/>
          <w:color w:val="343434"/>
          <w:sz w:val="32"/>
          <w:szCs w:val="32"/>
          <w:lang w:val="en-US" w:eastAsia="zh-CN" w:bidi="ar"/>
        </w:rPr>
        <w:t>年目标任务基本完成，预算执行情况较好。但仍存在预算编制不够完善,绩效管理工作有待加强等问题。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338" w:firstLine="640"/>
        <w:jc w:val="both"/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</w:pPr>
      <w:r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1.在部门预算编制</w:t>
      </w:r>
      <w:r>
        <w:rPr>
          <w:rFonts w:hint="eastAsia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中</w:t>
      </w:r>
      <w:r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，特别是编制项目预算和绩效目标不够精细以及不够全面。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338" w:firstLine="640"/>
        <w:jc w:val="both"/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由于预算管理绩效工作开展时间短，缺乏系统的理论知识培训，人员认识不到位，理解不充分，对预算绩效管理业务不了解，</w:t>
      </w:r>
      <w:bookmarkStart w:id="0" w:name="_GoBack"/>
      <w:bookmarkEnd w:id="0"/>
      <w:r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不熟悉，对工作重点理解把握不到位。由此造成预算绩效评价工作不能很好的完成。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zh-CN"/>
        </w:rPr>
        <w:t>（三）改进建议。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338" w:firstLine="640"/>
        <w:jc w:val="both"/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</w:pPr>
      <w:r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1.不断加强内部财务会计监督和控制，严格执行相关财务制度和规定，加强业务知识的学习，进一步做好我单位支出绩效管理和自评各项工作。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338" w:firstLine="640"/>
        <w:jc w:val="both"/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严格按照州</w:t>
      </w:r>
      <w:r>
        <w:rPr>
          <w:rFonts w:hint="eastAsia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县</w:t>
      </w:r>
      <w:r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政局的相关规定和制度，按照预算支出进度，执行好单位的支出管理，用好各项专项资金，保质保量的完成支持进度。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338" w:firstLine="640"/>
        <w:jc w:val="both"/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  <w:t>加强预算编制工作，将预算编制与业务工作紧密联系起来，提高预算编制的科学性和科执行性。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338" w:firstLine="640"/>
        <w:jc w:val="both"/>
        <w:rPr>
          <w:rFonts w:hint="default" w:ascii="华文仿宋" w:hAnsi="华文仿宋" w:eastAsia="华文仿宋" w:cs="仿宋"/>
          <w:color w:val="343434"/>
          <w:kern w:val="2"/>
          <w:sz w:val="32"/>
          <w:szCs w:val="32"/>
          <w:lang w:val="en-US" w:eastAsia="zh-CN" w:bidi="ar"/>
        </w:rPr>
      </w:pPr>
    </w:p>
    <w:p/>
    <w:p>
      <w:pPr>
        <w:ind w:left="5250" w:hanging="5250" w:hangingChars="2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石渠县新荣乡人民政府                                                      2022年6月26日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OTA2YmM3MTc0ZGZhZWQwMjBiZjYxYTMzOGUyYTcifQ=="/>
  </w:docVars>
  <w:rsids>
    <w:rsidRoot w:val="57C66052"/>
    <w:rsid w:val="03B56FB3"/>
    <w:rsid w:val="03BF61FA"/>
    <w:rsid w:val="0B615A38"/>
    <w:rsid w:val="1F73734D"/>
    <w:rsid w:val="21677F14"/>
    <w:rsid w:val="22F9364F"/>
    <w:rsid w:val="250E0FD8"/>
    <w:rsid w:val="2CE816B3"/>
    <w:rsid w:val="2D8F6358"/>
    <w:rsid w:val="34211A8B"/>
    <w:rsid w:val="36B54D4D"/>
    <w:rsid w:val="45306A73"/>
    <w:rsid w:val="48CB5297"/>
    <w:rsid w:val="57C66052"/>
    <w:rsid w:val="5CBE561C"/>
    <w:rsid w:val="6BB9667C"/>
    <w:rsid w:val="6F60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3569</Words>
  <Characters>3770</Characters>
  <Lines>0</Lines>
  <Paragraphs>0</Paragraphs>
  <TotalTime>57</TotalTime>
  <ScaleCrop>false</ScaleCrop>
  <LinksUpToDate>false</LinksUpToDate>
  <CharactersWithSpaces>3877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2021-10-25T09:50:00Z</dcterms:created>
  <dc:creator>李能(LVN)</dc:creator>
  <cp:lastModifiedBy>李能(LVN)</cp:lastModifiedBy>
  <dcterms:modified xsi:type="dcterms:W3CDTF">2022-08-06T07:58:41Z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F9A6744B332B42C193ECF071EC89FB53</vt:lpwstr>
  </property>
</Properties>
</file>