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/>
          <w:color w:val="333333"/>
          <w:sz w:val="44"/>
          <w:szCs w:val="44"/>
          <w:shd w:val="clear" w:color="auto" w:fill="FFFFFF"/>
        </w:rPr>
        <w:t>甘孜县农牧农村和科技局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b/>
          <w:color w:val="333333"/>
          <w:sz w:val="44"/>
          <w:szCs w:val="44"/>
          <w:shd w:val="clear" w:color="auto" w:fill="FFFFFF"/>
        </w:rPr>
        <w:t>20</w:t>
      </w:r>
      <w:r>
        <w:rPr>
          <w:rFonts w:hint="eastAsia" w:ascii="方正小标宋简体" w:hAnsi="方正小标宋简体" w:eastAsia="方正小标宋简体" w:cs="方正小标宋简体"/>
          <w:b/>
          <w:color w:val="333333"/>
          <w:sz w:val="44"/>
          <w:szCs w:val="44"/>
          <w:shd w:val="clear" w:color="auto" w:fill="FFFFFF"/>
          <w:lang w:val="en-US" w:eastAsia="zh-CN"/>
        </w:rPr>
        <w:t>20</w:t>
      </w:r>
      <w:r>
        <w:rPr>
          <w:rFonts w:hint="eastAsia" w:ascii="方正小标宋简体" w:hAnsi="方正小标宋简体" w:eastAsia="方正小标宋简体" w:cs="方正小标宋简体"/>
          <w:b/>
          <w:color w:val="333333"/>
          <w:sz w:val="44"/>
          <w:szCs w:val="44"/>
          <w:shd w:val="clear" w:color="auto" w:fill="FFFFFF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《中华人民共和国政府信息公开条例》有关规定和要求，特向社会公布甘孜县农牧农村和科技局2020年度政府信息公开工作年度报告。本报告由总体情况、主动公开政府信息情况、收到和处理政府信息公开申请情况、政府信息公开行政复议与行政诉讼情况、存在的主要问题及改进情况、其他需要报告的事项共六个部分组成。所列数据的统计时限自2020年1月1日起至2020年12月31日止。如对本年报有任何疑问，请与甘孜县农牧农村和科技局联系（地址：甘孜县东大街90号，邮编：626700，电话：0836-7523303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　</w:t>
      </w:r>
      <w:r>
        <w:rPr>
          <w:rFonts w:hint="eastAsia" w:ascii="黑体" w:hAnsi="黑体" w:eastAsia="黑体" w:cs="黑体"/>
          <w:sz w:val="32"/>
          <w:szCs w:val="32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2020年，在局党委的正确领导下，在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信息办公开办正确指导下，认真贯彻落实《中华人民共和国政府信息公开条例》，致力机制建设，致力主动公开，致力依申请公开，切实做到公开为常态、不公开为例外。把政务公开工作作为推进依法行政、建设法治政府的一项重要内容，列入全局工作重要议事日程和考核范围，并把决策、执行、管理、服务、结果“五公开”要求纳入办文、办会工作制度。健全政府信息发布审核机制、保密审查制度和责任追究制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建立信息发布台账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完善依申请公开案件登记备案制度。所有发布的信息切实做到格式规范、分类准确，有效确保信息发布的时效性、有效性、完整性和规范性。原则按照公开是常态、不公开是例外原则，在严格保密审查基础上，对全局所有政务信息做到应发尽发，最大程度提高政务透明度，切实保障公众知情权、参与权和监督权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0" w:afterAutospacing="0" w:line="576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  <w:t>　</w:t>
      </w:r>
      <w:r>
        <w:rPr>
          <w:rFonts w:hint="default" w:ascii="方正黑体_gbk" w:hAnsi="方正黑体_gbk" w:eastAsia="方正黑体_gbk" w:cs="方正黑体_gbk"/>
          <w:i w:val="0"/>
          <w:caps w:val="0"/>
          <w:color w:val="333333"/>
          <w:spacing w:val="0"/>
          <w:sz w:val="32"/>
          <w:szCs w:val="32"/>
          <w:shd w:val="clear" w:fill="FFFFFF"/>
        </w:rPr>
        <w:t>二、主动公开政府信息情况</w:t>
      </w:r>
    </w:p>
    <w:tbl>
      <w:tblPr>
        <w:tblStyle w:val="3"/>
        <w:tblpPr w:leftFromText="180" w:rightFromText="180" w:vertAnchor="text" w:horzAnchor="page" w:tblpX="1773" w:tblpY="36"/>
        <w:tblOverlap w:val="never"/>
        <w:tblW w:w="7236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28"/>
        <w:gridCol w:w="1680"/>
        <w:gridCol w:w="1704"/>
        <w:gridCol w:w="182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723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第二十条第（一）项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20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信息内容</w:t>
            </w:r>
          </w:p>
        </w:tc>
        <w:tc>
          <w:tcPr>
            <w:tcW w:w="16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本年新制作数量</w:t>
            </w:r>
          </w:p>
        </w:tc>
        <w:tc>
          <w:tcPr>
            <w:tcW w:w="1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本年新公开数量</w:t>
            </w:r>
          </w:p>
        </w:tc>
        <w:tc>
          <w:tcPr>
            <w:tcW w:w="18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对外公开总数量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20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规章</w:t>
            </w:r>
          </w:p>
        </w:tc>
        <w:tc>
          <w:tcPr>
            <w:tcW w:w="16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  <w:tc>
          <w:tcPr>
            <w:tcW w:w="1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  <w:tc>
          <w:tcPr>
            <w:tcW w:w="18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20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规范性文件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（有规范性文件登记号）</w:t>
            </w:r>
          </w:p>
        </w:tc>
        <w:tc>
          <w:tcPr>
            <w:tcW w:w="16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  <w:tc>
          <w:tcPr>
            <w:tcW w:w="1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  <w:tc>
          <w:tcPr>
            <w:tcW w:w="18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723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第二十条第（五）项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20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信息内容</w:t>
            </w:r>
          </w:p>
        </w:tc>
        <w:tc>
          <w:tcPr>
            <w:tcW w:w="16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上一年项目数量</w:t>
            </w:r>
          </w:p>
        </w:tc>
        <w:tc>
          <w:tcPr>
            <w:tcW w:w="1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本年增/减</w:t>
            </w:r>
          </w:p>
        </w:tc>
        <w:tc>
          <w:tcPr>
            <w:tcW w:w="18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处理决定数量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20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行政许可</w:t>
            </w:r>
          </w:p>
        </w:tc>
        <w:tc>
          <w:tcPr>
            <w:tcW w:w="16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  <w:tc>
          <w:tcPr>
            <w:tcW w:w="1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  <w:tc>
          <w:tcPr>
            <w:tcW w:w="18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20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其他对外管理服务事项</w:t>
            </w:r>
          </w:p>
        </w:tc>
        <w:tc>
          <w:tcPr>
            <w:tcW w:w="16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  <w:tc>
          <w:tcPr>
            <w:tcW w:w="1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eastAsiaTheme="minorEastAsia"/>
                <w:sz w:val="19"/>
                <w:szCs w:val="19"/>
                <w:lang w:val="en-US" w:eastAsia="zh-CN"/>
              </w:rPr>
            </w:pPr>
            <w:r>
              <w:rPr>
                <w:rFonts w:hint="eastAsia"/>
                <w:sz w:val="19"/>
                <w:szCs w:val="19"/>
                <w:lang w:val="en-US" w:eastAsia="zh-CN"/>
              </w:rPr>
              <w:t>0</w:t>
            </w:r>
          </w:p>
        </w:tc>
        <w:tc>
          <w:tcPr>
            <w:tcW w:w="18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eastAsiaTheme="minorEastAsia"/>
                <w:sz w:val="19"/>
                <w:szCs w:val="19"/>
                <w:lang w:eastAsia="zh-CN"/>
              </w:rPr>
            </w:pPr>
            <w:r>
              <w:rPr>
                <w:rFonts w:hint="eastAsia" w:ascii="Helvetica" w:hAnsi="Helvetica" w:eastAsia="宋体" w:cs="Helvetica"/>
                <w:i w:val="0"/>
                <w:caps w:val="0"/>
                <w:color w:val="333333"/>
                <w:spacing w:val="0"/>
                <w:sz w:val="19"/>
                <w:szCs w:val="19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723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第二十条第（六）项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20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信息内容</w:t>
            </w:r>
          </w:p>
        </w:tc>
        <w:tc>
          <w:tcPr>
            <w:tcW w:w="16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上一年项目数量</w:t>
            </w:r>
          </w:p>
        </w:tc>
        <w:tc>
          <w:tcPr>
            <w:tcW w:w="1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本年增/减</w:t>
            </w:r>
          </w:p>
        </w:tc>
        <w:tc>
          <w:tcPr>
            <w:tcW w:w="18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处理决定数量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20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行政处罚</w:t>
            </w:r>
          </w:p>
        </w:tc>
        <w:tc>
          <w:tcPr>
            <w:tcW w:w="16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  <w:tc>
          <w:tcPr>
            <w:tcW w:w="1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  <w:tc>
          <w:tcPr>
            <w:tcW w:w="18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20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行政强制</w:t>
            </w:r>
          </w:p>
        </w:tc>
        <w:tc>
          <w:tcPr>
            <w:tcW w:w="16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  <w:tc>
          <w:tcPr>
            <w:tcW w:w="1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  <w:tc>
          <w:tcPr>
            <w:tcW w:w="18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723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第二十条第（八）项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20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信息内容</w:t>
            </w:r>
          </w:p>
        </w:tc>
        <w:tc>
          <w:tcPr>
            <w:tcW w:w="16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上一年项目数量</w:t>
            </w:r>
          </w:p>
        </w:tc>
        <w:tc>
          <w:tcPr>
            <w:tcW w:w="352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本年增/减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20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行政事业性收费</w:t>
            </w:r>
          </w:p>
        </w:tc>
        <w:tc>
          <w:tcPr>
            <w:tcW w:w="16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  <w:tc>
          <w:tcPr>
            <w:tcW w:w="352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723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第二十条第（九）项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20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信息内容</w:t>
            </w:r>
          </w:p>
        </w:tc>
        <w:tc>
          <w:tcPr>
            <w:tcW w:w="16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采购项目数量</w:t>
            </w:r>
          </w:p>
        </w:tc>
        <w:tc>
          <w:tcPr>
            <w:tcW w:w="352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采购总金额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20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政府集中采购</w:t>
            </w:r>
          </w:p>
        </w:tc>
        <w:tc>
          <w:tcPr>
            <w:tcW w:w="16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  <w:tc>
          <w:tcPr>
            <w:tcW w:w="352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0" w:afterAutospacing="0" w:line="576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  <w:t>　　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0" w:afterAutospacing="0" w:line="576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0" w:afterAutospacing="0" w:line="576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  <w:t> 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0" w:afterAutospacing="0" w:line="576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  <w:t>　　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0" w:afterAutospacing="0" w:line="576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0" w:afterAutospacing="0" w:line="576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0" w:afterAutospacing="0" w:line="576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0" w:afterAutospacing="0" w:line="576" w:lineRule="exact"/>
        <w:ind w:left="0" w:right="0" w:firstLine="0"/>
        <w:jc w:val="left"/>
        <w:textAlignment w:val="auto"/>
        <w:rPr>
          <w:rFonts w:hint="default" w:ascii="方正黑体_gbk" w:hAnsi="方正黑体_gbk" w:eastAsia="方正黑体_gbk" w:cs="方正黑体_gbk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0" w:afterAutospacing="0" w:line="576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　</w:t>
      </w:r>
      <w:r>
        <w:rPr>
          <w:rFonts w:hint="default" w:ascii="方正黑体_gbk" w:hAnsi="方正黑体_gbk" w:eastAsia="方正黑体_gbk" w:cs="方正黑体_gbk"/>
          <w:i w:val="0"/>
          <w:caps w:val="0"/>
          <w:color w:val="333333"/>
          <w:spacing w:val="0"/>
          <w:sz w:val="32"/>
          <w:szCs w:val="32"/>
          <w:shd w:val="clear" w:fill="FFFFFF"/>
        </w:rPr>
        <w:t>三、收到和处理政府信息公开申请情况</w:t>
      </w:r>
    </w:p>
    <w:tbl>
      <w:tblPr>
        <w:tblStyle w:val="3"/>
        <w:tblpPr w:leftFromText="180" w:rightFromText="180" w:vertAnchor="text" w:horzAnchor="page" w:tblpX="1795" w:tblpY="701"/>
        <w:tblOverlap w:val="never"/>
        <w:tblW w:w="726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8"/>
        <w:gridCol w:w="696"/>
        <w:gridCol w:w="1656"/>
        <w:gridCol w:w="648"/>
        <w:gridCol w:w="600"/>
        <w:gridCol w:w="600"/>
        <w:gridCol w:w="648"/>
        <w:gridCol w:w="768"/>
        <w:gridCol w:w="564"/>
        <w:gridCol w:w="55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2880" w:type="dxa"/>
            <w:gridSpan w:val="3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（本列数据的勾稽关系为：第一项加第二项之和，等于第三项加第四项之和）</w:t>
            </w:r>
          </w:p>
        </w:tc>
        <w:tc>
          <w:tcPr>
            <w:tcW w:w="4380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申请人情况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2880" w:type="dxa"/>
            <w:gridSpan w:val="3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48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自然人</w:t>
            </w:r>
          </w:p>
        </w:tc>
        <w:tc>
          <w:tcPr>
            <w:tcW w:w="3180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法人或其他组织</w:t>
            </w:r>
          </w:p>
        </w:tc>
        <w:tc>
          <w:tcPr>
            <w:tcW w:w="552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总计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2880" w:type="dxa"/>
            <w:gridSpan w:val="3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4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商业企业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科研机构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社会公益组织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法律服务机构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其他</w:t>
            </w:r>
          </w:p>
        </w:tc>
        <w:tc>
          <w:tcPr>
            <w:tcW w:w="55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288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一、本年新收政府信息公开申请数量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eastAsia="宋体"/>
                <w:sz w:val="19"/>
                <w:szCs w:val="19"/>
                <w:lang w:eastAsia="zh-CN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</w:t>
            </w:r>
            <w:r>
              <w:rPr>
                <w:rFonts w:hint="eastAsia" w:ascii="Helvetica" w:hAnsi="Helvetica" w:eastAsia="宋体" w:cs="Helvetica"/>
                <w:i w:val="0"/>
                <w:caps w:val="0"/>
                <w:color w:val="333333"/>
                <w:spacing w:val="0"/>
                <w:sz w:val="19"/>
                <w:szCs w:val="19"/>
                <w:lang w:val="en-US" w:eastAsia="zh-CN"/>
              </w:rPr>
              <w:t>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eastAsiaTheme="minorEastAsia"/>
                <w:sz w:val="19"/>
                <w:szCs w:val="19"/>
                <w:lang w:eastAsia="zh-CN"/>
              </w:rPr>
            </w:pPr>
            <w:r>
              <w:rPr>
                <w:rFonts w:hint="eastAsia" w:ascii="Helvetica" w:hAnsi="Helvetica" w:eastAsia="宋体" w:cs="Helvetica"/>
                <w:i w:val="0"/>
                <w:caps w:val="0"/>
                <w:color w:val="333333"/>
                <w:spacing w:val="0"/>
                <w:sz w:val="19"/>
                <w:szCs w:val="19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288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二、上年结转政府信息公开申请数量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28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三、本年度办理结果</w:t>
            </w:r>
          </w:p>
        </w:tc>
        <w:tc>
          <w:tcPr>
            <w:tcW w:w="235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（一）予以公开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eastAsia="宋体"/>
                <w:sz w:val="19"/>
                <w:szCs w:val="19"/>
                <w:lang w:eastAsia="zh-CN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</w:t>
            </w:r>
            <w:r>
              <w:rPr>
                <w:rFonts w:hint="eastAsia" w:ascii="Helvetica" w:hAnsi="Helvetica" w:eastAsia="宋体" w:cs="Helvetica"/>
                <w:i w:val="0"/>
                <w:caps w:val="0"/>
                <w:color w:val="333333"/>
                <w:spacing w:val="0"/>
                <w:sz w:val="19"/>
                <w:szCs w:val="19"/>
                <w:lang w:val="en-US" w:eastAsia="zh-CN"/>
              </w:rPr>
              <w:t>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eastAsia="宋体"/>
                <w:sz w:val="19"/>
                <w:szCs w:val="19"/>
                <w:lang w:eastAsia="zh-CN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</w:t>
            </w:r>
            <w:r>
              <w:rPr>
                <w:rFonts w:hint="eastAsia" w:ascii="Helvetica" w:hAnsi="Helvetica" w:eastAsia="宋体" w:cs="Helvetica"/>
                <w:i w:val="0"/>
                <w:caps w:val="0"/>
                <w:color w:val="333333"/>
                <w:spacing w:val="0"/>
                <w:sz w:val="19"/>
                <w:szCs w:val="19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2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235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（二）部分公开（区分处理的，只计这一情形，不计其他情形）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2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96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（三）不予公开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1.属于国家秘密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2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9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2.其他法律行政法规禁止公开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2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9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3.危及“三安全一稳定”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2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9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4.保护第三方合法权益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2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9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5.属于三类内部事务信息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2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9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6.属于四类过程性信息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2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9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7.属于行政执法案卷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2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9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8.属于行政查询事项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2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96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（四）无法提供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1.本机关不掌握相关政府信息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2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9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2.没有现成信息需要另行制作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2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9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3.补正后申请内容仍不明确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2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96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（五）不予处理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1.信访举报投诉类申请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2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9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2.重复申请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2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9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3.要求提供公开出版物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2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9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4.无正当理由大量反复申请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2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9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5.要求行政机关确认或重新出具已获取信息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2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235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（六）其他处理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2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235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（七）总计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eastAsiaTheme="minorEastAsia"/>
                <w:sz w:val="19"/>
                <w:szCs w:val="19"/>
                <w:lang w:eastAsia="zh-CN"/>
              </w:rPr>
            </w:pPr>
            <w:r>
              <w:rPr>
                <w:rFonts w:hint="eastAsia" w:ascii="Helvetica" w:hAnsi="Helvetica" w:eastAsia="宋体" w:cs="Helvetica"/>
                <w:i w:val="0"/>
                <w:caps w:val="0"/>
                <w:color w:val="333333"/>
                <w:spacing w:val="0"/>
                <w:sz w:val="19"/>
                <w:szCs w:val="19"/>
                <w:lang w:val="en-US" w:eastAsia="zh-CN"/>
              </w:rPr>
              <w:t>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eastAsiaTheme="minorEastAsia"/>
                <w:sz w:val="19"/>
                <w:szCs w:val="19"/>
                <w:lang w:eastAsia="zh-CN"/>
              </w:rPr>
            </w:pPr>
            <w:r>
              <w:rPr>
                <w:rFonts w:hint="eastAsia" w:ascii="Helvetica" w:hAnsi="Helvetica" w:eastAsia="宋体" w:cs="Helvetica"/>
                <w:i w:val="0"/>
                <w:caps w:val="0"/>
                <w:color w:val="333333"/>
                <w:spacing w:val="0"/>
                <w:sz w:val="19"/>
                <w:szCs w:val="19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288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四、结转下年度继续办理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6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40" w:beforeAutospacing="0" w:after="0" w:afterAutospacing="0" w:line="24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  <w:t>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40" w:beforeAutospacing="0" w:after="0" w:afterAutospacing="0" w:line="24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40" w:beforeAutospacing="0" w:after="0" w:afterAutospacing="0" w:line="24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40" w:beforeAutospacing="0" w:after="0" w:afterAutospacing="0" w:line="24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40" w:beforeAutospacing="0" w:after="0" w:afterAutospacing="0" w:line="24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40" w:beforeAutospacing="0" w:after="0" w:afterAutospacing="0" w:line="24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40" w:beforeAutospacing="0" w:after="0" w:afterAutospacing="0" w:line="24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40" w:beforeAutospacing="0" w:after="0" w:afterAutospacing="0" w:line="24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40" w:beforeAutospacing="0" w:after="0" w:afterAutospacing="0" w:line="24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40" w:beforeAutospacing="0" w:after="0" w:afterAutospacing="0" w:line="24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40" w:beforeAutospacing="0" w:after="0" w:afterAutospacing="0" w:line="24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40" w:beforeAutospacing="0" w:after="0" w:afterAutospacing="0" w:line="24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40" w:beforeAutospacing="0" w:after="0" w:afterAutospacing="0" w:line="24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40" w:beforeAutospacing="0" w:after="0" w:afterAutospacing="0" w:line="24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  <w:t>　</w:t>
      </w:r>
      <w:r>
        <w:rPr>
          <w:rFonts w:hint="default" w:ascii="方正黑体_gbk" w:hAnsi="方正黑体_gbk" w:eastAsia="方正黑体_gbk" w:cs="方正黑体_gbk"/>
          <w:i w:val="0"/>
          <w:caps w:val="0"/>
          <w:color w:val="333333"/>
          <w:spacing w:val="0"/>
          <w:sz w:val="32"/>
          <w:szCs w:val="32"/>
          <w:shd w:val="clear" w:fill="FFFFFF"/>
        </w:rPr>
        <w:t>四、政府信息公开行政复议、行政诉讼情况</w:t>
      </w:r>
    </w:p>
    <w:tbl>
      <w:tblPr>
        <w:tblStyle w:val="3"/>
        <w:tblpPr w:leftFromText="180" w:rightFromText="180" w:vertAnchor="text" w:horzAnchor="page" w:tblpX="1937" w:tblpY="341"/>
        <w:tblOverlap w:val="never"/>
        <w:tblW w:w="726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0"/>
        <w:gridCol w:w="480"/>
        <w:gridCol w:w="480"/>
        <w:gridCol w:w="480"/>
        <w:gridCol w:w="540"/>
        <w:gridCol w:w="444"/>
        <w:gridCol w:w="480"/>
        <w:gridCol w:w="480"/>
        <w:gridCol w:w="480"/>
        <w:gridCol w:w="492"/>
        <w:gridCol w:w="480"/>
        <w:gridCol w:w="480"/>
        <w:gridCol w:w="480"/>
        <w:gridCol w:w="480"/>
        <w:gridCol w:w="50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2460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行政复议</w:t>
            </w:r>
          </w:p>
        </w:tc>
        <w:tc>
          <w:tcPr>
            <w:tcW w:w="4800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行政诉讼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8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结果维持</w:t>
            </w:r>
          </w:p>
        </w:tc>
        <w:tc>
          <w:tcPr>
            <w:tcW w:w="48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结果纠正</w:t>
            </w:r>
          </w:p>
        </w:tc>
        <w:tc>
          <w:tcPr>
            <w:tcW w:w="48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其他结果</w:t>
            </w:r>
          </w:p>
        </w:tc>
        <w:tc>
          <w:tcPr>
            <w:tcW w:w="48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尚未审结</w:t>
            </w:r>
          </w:p>
        </w:tc>
        <w:tc>
          <w:tcPr>
            <w:tcW w:w="54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总计</w:t>
            </w:r>
          </w:p>
        </w:tc>
        <w:tc>
          <w:tcPr>
            <w:tcW w:w="2376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未经复议直接起诉</w:t>
            </w:r>
          </w:p>
        </w:tc>
        <w:tc>
          <w:tcPr>
            <w:tcW w:w="242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复议后起诉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8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48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48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48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54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44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结果维持</w:t>
            </w:r>
          </w:p>
        </w:tc>
        <w:tc>
          <w:tcPr>
            <w:tcW w:w="4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结果纠正</w:t>
            </w:r>
          </w:p>
        </w:tc>
        <w:tc>
          <w:tcPr>
            <w:tcW w:w="4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其他结果</w:t>
            </w:r>
          </w:p>
        </w:tc>
        <w:tc>
          <w:tcPr>
            <w:tcW w:w="4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尚未审结</w:t>
            </w:r>
          </w:p>
        </w:tc>
        <w:tc>
          <w:tcPr>
            <w:tcW w:w="4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总计</w:t>
            </w:r>
          </w:p>
        </w:tc>
        <w:tc>
          <w:tcPr>
            <w:tcW w:w="4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结果维持</w:t>
            </w:r>
          </w:p>
        </w:tc>
        <w:tc>
          <w:tcPr>
            <w:tcW w:w="4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结果纠正</w:t>
            </w:r>
          </w:p>
        </w:tc>
        <w:tc>
          <w:tcPr>
            <w:tcW w:w="4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其他结果</w:t>
            </w:r>
          </w:p>
        </w:tc>
        <w:tc>
          <w:tcPr>
            <w:tcW w:w="4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尚未审结</w:t>
            </w:r>
          </w:p>
        </w:tc>
        <w:tc>
          <w:tcPr>
            <w:tcW w:w="5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总计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4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4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4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  <w:tc>
          <w:tcPr>
            <w:tcW w:w="44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4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4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4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4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4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4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4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4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 0</w:t>
            </w:r>
          </w:p>
        </w:tc>
        <w:tc>
          <w:tcPr>
            <w:tcW w:w="5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sz w:val="19"/>
                <w:szCs w:val="19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0"/>
                <w:sz w:val="19"/>
                <w:szCs w:val="19"/>
              </w:rPr>
              <w:t>0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40" w:beforeAutospacing="0" w:after="0" w:afterAutospacing="0" w:line="24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  <w:t>　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40" w:beforeAutospacing="0" w:after="0" w:afterAutospacing="0" w:line="24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五、工作的主要问题及改进情况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主要问题：政务公开工作力量有待进一步加强、公开内容有待进一步深化、工作协调机制有待进一步优化。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改进方向：加强组织领导，配强工作力量，抓好主动公开和依申请公开，扩大信息公开渠道和公开的影响力。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　　　　　　　　　甘孜县农牧农村和科技局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　　　　　　　　　　　　　　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2020年12月31日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2D124F"/>
    <w:rsid w:val="382D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2023-12-22T03:14:00Z</dcterms:created>
  <dc:creator>Administrator</dc:creator>
  <cp:lastModifiedBy>Administrator</cp:lastModifiedBy>
  <dcterms:modified xsi:type="dcterms:W3CDTF">2023-12-22T03:25:35Z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