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spacing w:line="480" w:lineRule="auto"/>
        <w:jc w:val="both"/>
        <w:rPr>
          <w:rFonts w:hint="default" w:ascii="Times New Roman" w:hAnsi="Times New Roman" w:cs="Times New Roman"/>
          <w:color w:val="auto"/>
          <w:sz w:val="22"/>
          <w:szCs w:val="22"/>
          <w:highlight w:val="none"/>
        </w:rPr>
      </w:pPr>
      <w:r>
        <w:rPr>
          <w:rFonts w:hint="default" w:ascii="Times New Roman" w:hAnsi="Times New Roman" w:cs="Times New Roman"/>
          <w:b/>
          <w:color w:val="auto"/>
          <w:sz w:val="28"/>
          <w:szCs w:val="28"/>
          <w:highlight w:val="none"/>
          <w:lang w:bidi="ar"/>
        </w:rPr>
        <w:t>项目名称：</w:t>
      </w:r>
      <w:r>
        <w:rPr>
          <w:rFonts w:hint="default" w:ascii="Times New Roman" w:hAnsi="Times New Roman" w:cs="Times New Roman"/>
          <w:color w:val="auto"/>
          <w:highlight w:val="none"/>
          <w:lang w:bidi="ar"/>
        </w:rPr>
        <w:t xml:space="preserve">乡城县香巴拉七湖风景名胜区总体规划（2022-2035年） </w:t>
      </w:r>
    </w:p>
    <w:p>
      <w:pPr>
        <w:widowControl/>
        <w:autoSpaceDE/>
        <w:autoSpaceDN/>
        <w:spacing w:line="480" w:lineRule="auto"/>
        <w:rPr>
          <w:rFonts w:hint="default" w:ascii="Times New Roman" w:hAnsi="Times New Roman" w:cs="Times New Roman"/>
          <w:color w:val="auto"/>
          <w:sz w:val="20"/>
          <w:szCs w:val="20"/>
          <w:highlight w:val="none"/>
        </w:rPr>
      </w:pPr>
      <w:r>
        <w:rPr>
          <w:rFonts w:hint="default" w:ascii="Times New Roman" w:hAnsi="Times New Roman" w:cs="Times New Roman"/>
          <w:b/>
          <w:color w:val="auto"/>
          <w:sz w:val="28"/>
          <w:szCs w:val="28"/>
          <w:highlight w:val="none"/>
          <w:lang w:bidi="ar"/>
        </w:rPr>
        <w:t>组织编制单位：</w:t>
      </w:r>
      <w:r>
        <w:rPr>
          <w:rFonts w:hint="default" w:ascii="Times New Roman" w:hAnsi="Times New Roman" w:cs="Times New Roman"/>
          <w:color w:val="auto"/>
          <w:highlight w:val="none"/>
          <w:lang w:bidi="ar"/>
        </w:rPr>
        <w:t>乡城县人民政府</w:t>
      </w:r>
      <w:r>
        <w:rPr>
          <w:rFonts w:hint="default" w:ascii="Times New Roman" w:hAnsi="Times New Roman" w:cs="Times New Roman"/>
          <w:color w:val="auto"/>
          <w:sz w:val="22"/>
          <w:szCs w:val="22"/>
          <w:highlight w:val="none"/>
          <w:lang w:bidi="ar"/>
        </w:rPr>
        <w:t xml:space="preserve"> </w:t>
      </w:r>
    </w:p>
    <w:p>
      <w:pPr>
        <w:widowControl/>
        <w:autoSpaceDE/>
        <w:autoSpaceDN/>
        <w:spacing w:line="480" w:lineRule="auto"/>
        <w:rPr>
          <w:rFonts w:hint="default" w:ascii="Times New Roman" w:hAnsi="Times New Roman" w:cs="Times New Roman"/>
          <w:color w:val="auto"/>
          <w:highlight w:val="none"/>
          <w:lang w:bidi="ar"/>
        </w:rPr>
      </w:pPr>
      <w:r>
        <w:rPr>
          <w:rFonts w:hint="default" w:ascii="Times New Roman" w:hAnsi="Times New Roman" w:cs="Times New Roman"/>
          <w:b/>
          <w:color w:val="auto"/>
          <w:sz w:val="28"/>
          <w:szCs w:val="28"/>
          <w:highlight w:val="none"/>
          <w:lang w:bidi="ar"/>
        </w:rPr>
        <w:t>承担编制单位：</w:t>
      </w:r>
      <w:r>
        <w:rPr>
          <w:rFonts w:hint="default" w:ascii="Times New Roman" w:hAnsi="Times New Roman" w:cs="Times New Roman"/>
          <w:color w:val="auto"/>
          <w:highlight w:val="none"/>
          <w:lang w:bidi="ar"/>
        </w:rPr>
        <w:t xml:space="preserve">中社科（北京）城乡规划设计研究院 </w:t>
      </w:r>
    </w:p>
    <w:p>
      <w:pPr>
        <w:widowControl/>
        <w:autoSpaceDE/>
        <w:autoSpaceDN/>
        <w:spacing w:line="480" w:lineRule="auto"/>
        <w:rPr>
          <w:rFonts w:hint="default" w:ascii="Times New Roman" w:hAnsi="Times New Roman" w:cs="Times New Roman"/>
          <w:color w:val="auto"/>
          <w:sz w:val="22"/>
          <w:szCs w:val="22"/>
          <w:highlight w:val="none"/>
        </w:rPr>
      </w:pPr>
      <w:r>
        <w:rPr>
          <w:rFonts w:hint="default" w:ascii="Times New Roman" w:hAnsi="Times New Roman" w:cs="Times New Roman"/>
          <w:b/>
          <w:color w:val="auto"/>
          <w:sz w:val="28"/>
          <w:szCs w:val="28"/>
          <w:highlight w:val="none"/>
          <w:lang w:bidi="ar"/>
        </w:rPr>
        <w:t>城乡规划编制资质证书等级：</w:t>
      </w:r>
      <w:r>
        <w:rPr>
          <w:rFonts w:hint="default" w:ascii="Times New Roman" w:hAnsi="Times New Roman" w:cs="Times New Roman"/>
          <w:color w:val="auto"/>
          <w:highlight w:val="none"/>
          <w:lang w:bidi="ar"/>
        </w:rPr>
        <w:t>甲级</w:t>
      </w:r>
      <w:r>
        <w:rPr>
          <w:rFonts w:hint="default" w:ascii="Times New Roman" w:hAnsi="Times New Roman" w:cs="Times New Roman"/>
          <w:color w:val="auto"/>
          <w:sz w:val="28"/>
          <w:szCs w:val="28"/>
          <w:highlight w:val="none"/>
          <w:lang w:bidi="ar"/>
        </w:rPr>
        <w:t xml:space="preserve"> </w:t>
      </w:r>
    </w:p>
    <w:p>
      <w:pPr>
        <w:widowControl/>
        <w:autoSpaceDE/>
        <w:autoSpaceDN/>
        <w:spacing w:line="480" w:lineRule="auto"/>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8"/>
          <w:szCs w:val="28"/>
          <w:highlight w:val="none"/>
          <w:lang w:bidi="ar"/>
        </w:rPr>
        <w:t>城乡规划编制资质证书编号：</w:t>
      </w:r>
      <w:r>
        <w:rPr>
          <w:rFonts w:hint="default" w:ascii="Times New Roman" w:hAnsi="Times New Roman" w:cs="Times New Roman"/>
          <w:color w:val="auto"/>
          <w:highlight w:val="none"/>
          <w:lang w:bidi="ar"/>
        </w:rPr>
        <w:t xml:space="preserve">自资规甲字 21110014 </w:t>
      </w:r>
    </w:p>
    <w:p>
      <w:pPr>
        <w:widowControl/>
        <w:autoSpaceDE/>
        <w:autoSpaceDN/>
        <w:spacing w:line="360" w:lineRule="auto"/>
        <w:rPr>
          <w:rFonts w:hint="default" w:ascii="Times New Roman" w:hAnsi="Times New Roman" w:cs="Times New Roman"/>
          <w:color w:val="auto"/>
          <w:sz w:val="22"/>
          <w:szCs w:val="22"/>
          <w:highlight w:val="none"/>
        </w:rPr>
      </w:pPr>
      <w:r>
        <w:rPr>
          <w:rFonts w:hint="default" w:ascii="Times New Roman" w:hAnsi="Times New Roman" w:cs="Times New Roman"/>
          <w:b/>
          <w:color w:val="auto"/>
          <w:sz w:val="28"/>
          <w:szCs w:val="28"/>
          <w:highlight w:val="none"/>
          <w:lang w:bidi="ar"/>
        </w:rPr>
        <w:t xml:space="preserve">院   </w:t>
      </w:r>
      <w:r>
        <w:rPr>
          <w:rFonts w:hint="eastAsia" w:ascii="Times New Roman" w:cs="Times New Roman"/>
          <w:b/>
          <w:color w:val="auto"/>
          <w:sz w:val="28"/>
          <w:szCs w:val="28"/>
          <w:highlight w:val="none"/>
          <w:lang w:val="en-US" w:eastAsia="zh-CN" w:bidi="ar"/>
        </w:rPr>
        <w:t xml:space="preserve">    </w:t>
      </w:r>
      <w:r>
        <w:rPr>
          <w:rFonts w:hint="default" w:ascii="Times New Roman" w:hAnsi="Times New Roman" w:cs="Times New Roman"/>
          <w:b/>
          <w:color w:val="auto"/>
          <w:sz w:val="28"/>
          <w:szCs w:val="28"/>
          <w:highlight w:val="none"/>
          <w:lang w:bidi="ar"/>
        </w:rPr>
        <w:t xml:space="preserve"> 长：</w:t>
      </w:r>
      <w:r>
        <w:rPr>
          <w:rFonts w:hint="eastAsia" w:ascii="Times New Roman" w:cs="Times New Roman"/>
          <w:b/>
          <w:color w:val="auto"/>
          <w:sz w:val="28"/>
          <w:szCs w:val="28"/>
          <w:highlight w:val="none"/>
          <w:lang w:val="en-US" w:eastAsia="zh-CN" w:bidi="ar"/>
        </w:rPr>
        <w:t xml:space="preserve">        </w:t>
      </w:r>
      <w:r>
        <w:rPr>
          <w:rFonts w:hint="default" w:ascii="Times New Roman" w:hAnsi="Times New Roman" w:cs="Times New Roman"/>
          <w:color w:val="auto"/>
          <w:highlight w:val="none"/>
          <w:lang w:bidi="ar"/>
        </w:rPr>
        <w:t xml:space="preserve">朱光辉 </w:t>
      </w:r>
      <w:r>
        <w:rPr>
          <w:rFonts w:hint="eastAsia" w:ascii="Times New Roman" w:cs="Times New Roman"/>
          <w:color w:val="auto"/>
          <w:highlight w:val="none"/>
          <w:lang w:val="en-US" w:eastAsia="zh-CN" w:bidi="ar"/>
        </w:rPr>
        <w:t xml:space="preserve">      </w:t>
      </w:r>
      <w:r>
        <w:rPr>
          <w:rFonts w:hint="default" w:ascii="Times New Roman" w:hAnsi="Times New Roman" w:cs="Times New Roman"/>
          <w:color w:val="auto"/>
          <w:highlight w:val="none"/>
          <w:lang w:bidi="ar"/>
        </w:rPr>
        <w:t xml:space="preserve">教授级高级工程师 </w:t>
      </w:r>
      <w:r>
        <w:rPr>
          <w:rFonts w:hint="eastAsia" w:ascii="Times New Roman" w:cs="Times New Roman"/>
          <w:color w:val="auto"/>
          <w:highlight w:val="none"/>
          <w:lang w:val="en-US" w:eastAsia="zh-CN" w:bidi="ar"/>
        </w:rPr>
        <w:t xml:space="preserve">  </w:t>
      </w:r>
      <w:r>
        <w:rPr>
          <w:rFonts w:hint="default" w:ascii="Times New Roman" w:hAnsi="Times New Roman" w:cs="Times New Roman"/>
          <w:color w:val="auto"/>
          <w:highlight w:val="none"/>
          <w:lang w:bidi="ar"/>
        </w:rPr>
        <w:t>注册城乡规划师</w:t>
      </w:r>
      <w:r>
        <w:rPr>
          <w:rFonts w:hint="default" w:ascii="Times New Roman" w:hAnsi="Times New Roman" w:cs="Times New Roman"/>
          <w:color w:val="auto"/>
          <w:sz w:val="28"/>
          <w:szCs w:val="28"/>
          <w:highlight w:val="none"/>
          <w:lang w:bidi="ar"/>
        </w:rPr>
        <w:t xml:space="preserve"> </w:t>
      </w:r>
    </w:p>
    <w:p>
      <w:pPr>
        <w:widowControl/>
        <w:autoSpaceDE/>
        <w:autoSpaceDN/>
        <w:spacing w:line="360" w:lineRule="auto"/>
        <w:rPr>
          <w:rFonts w:hint="default" w:ascii="Times New Roman" w:hAnsi="Times New Roman" w:cs="Times New Roman"/>
          <w:color w:val="auto"/>
          <w:highlight w:val="none"/>
          <w:lang w:bidi="ar"/>
        </w:rPr>
      </w:pPr>
      <w:r>
        <w:rPr>
          <w:rFonts w:hint="default" w:ascii="Times New Roman" w:hAnsi="Times New Roman" w:cs="Times New Roman"/>
          <w:b/>
          <w:color w:val="auto"/>
          <w:sz w:val="28"/>
          <w:szCs w:val="28"/>
          <w:highlight w:val="none"/>
          <w:lang w:bidi="ar"/>
        </w:rPr>
        <w:t>分管领导：</w:t>
      </w:r>
      <w:r>
        <w:rPr>
          <w:rFonts w:hint="eastAsia" w:ascii="Times New Roman" w:cs="Times New Roman"/>
          <w:b/>
          <w:color w:val="auto"/>
          <w:sz w:val="28"/>
          <w:szCs w:val="28"/>
          <w:highlight w:val="none"/>
          <w:lang w:val="en-US" w:eastAsia="zh-CN" w:bidi="ar"/>
        </w:rPr>
        <w:t xml:space="preserve">        </w:t>
      </w:r>
      <w:r>
        <w:rPr>
          <w:rFonts w:hint="default" w:ascii="Times New Roman" w:hAnsi="Times New Roman" w:cs="Times New Roman"/>
          <w:color w:val="auto"/>
          <w:szCs w:val="32"/>
          <w:highlight w:val="none"/>
        </w:rPr>
        <w:t xml:space="preserve">陈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 果</w:t>
      </w:r>
      <w:r>
        <w:rPr>
          <w:rFonts w:hint="default" w:ascii="Times New Roman" w:hAnsi="Times New Roman" w:cs="Times New Roman"/>
          <w:color w:val="auto"/>
          <w:sz w:val="28"/>
          <w:szCs w:val="28"/>
          <w:highlight w:val="none"/>
          <w:lang w:bidi="ar"/>
        </w:rPr>
        <w:t xml:space="preserve">  </w:t>
      </w:r>
      <w:r>
        <w:rPr>
          <w:rFonts w:hint="eastAsia" w:ascii="Times New Roman" w:cs="Times New Roman"/>
          <w:color w:val="auto"/>
          <w:sz w:val="28"/>
          <w:szCs w:val="28"/>
          <w:highlight w:val="none"/>
          <w:lang w:val="en-US" w:eastAsia="zh-CN" w:bidi="ar"/>
        </w:rPr>
        <w:t xml:space="preserve">    </w:t>
      </w:r>
      <w:r>
        <w:rPr>
          <w:rFonts w:hint="default" w:ascii="Times New Roman" w:hAnsi="Times New Roman" w:cs="Times New Roman"/>
          <w:color w:val="auto"/>
          <w:highlight w:val="none"/>
          <w:lang w:bidi="ar"/>
        </w:rPr>
        <w:t xml:space="preserve">高级工程师 </w:t>
      </w:r>
      <w:r>
        <w:rPr>
          <w:rFonts w:hint="eastAsia" w:ascii="Times New Roman" w:cs="Times New Roman"/>
          <w:color w:val="auto"/>
          <w:highlight w:val="none"/>
          <w:lang w:val="en-US" w:eastAsia="zh-CN" w:bidi="ar"/>
        </w:rPr>
        <w:t xml:space="preserve">  </w:t>
      </w:r>
      <w:r>
        <w:rPr>
          <w:rFonts w:hint="default" w:ascii="Times New Roman" w:hAnsi="Times New Roman" w:cs="Times New Roman"/>
          <w:color w:val="auto"/>
          <w:highlight w:val="none"/>
          <w:lang w:bidi="ar"/>
        </w:rPr>
        <w:t xml:space="preserve">注册城乡规划师 </w:t>
      </w:r>
    </w:p>
    <w:p>
      <w:pPr>
        <w:widowControl/>
        <w:autoSpaceDE/>
        <w:autoSpaceDN/>
        <w:spacing w:line="360" w:lineRule="auto"/>
        <w:rPr>
          <w:rFonts w:hint="default" w:ascii="Times New Roman" w:hAnsi="Times New Roman" w:cs="Times New Roman"/>
          <w:color w:val="auto"/>
          <w:highlight w:val="none"/>
          <w:lang w:bidi="ar"/>
        </w:rPr>
      </w:pPr>
      <w:r>
        <w:rPr>
          <w:rFonts w:hint="default" w:ascii="Times New Roman" w:hAnsi="Times New Roman" w:cs="Times New Roman"/>
          <w:b/>
          <w:color w:val="auto"/>
          <w:sz w:val="28"/>
          <w:szCs w:val="28"/>
          <w:highlight w:val="none"/>
          <w:lang w:bidi="ar"/>
        </w:rPr>
        <w:t>项目负责人</w:t>
      </w:r>
      <w:r>
        <w:rPr>
          <w:rFonts w:hint="eastAsia" w:ascii="Times New Roman" w:cs="Times New Roman"/>
          <w:b/>
          <w:color w:val="auto"/>
          <w:sz w:val="28"/>
          <w:szCs w:val="28"/>
          <w:highlight w:val="none"/>
          <w:lang w:eastAsia="zh-CN" w:bidi="ar"/>
        </w:rPr>
        <w:t>：</w:t>
      </w:r>
      <w:r>
        <w:rPr>
          <w:rFonts w:hint="eastAsia" w:ascii="Times New Roman" w:cs="Times New Roman"/>
          <w:b/>
          <w:color w:val="auto"/>
          <w:sz w:val="28"/>
          <w:szCs w:val="28"/>
          <w:highlight w:val="none"/>
          <w:lang w:val="en-US" w:eastAsia="zh-CN" w:bidi="ar"/>
        </w:rPr>
        <w:t xml:space="preserve">    </w:t>
      </w:r>
      <w:r>
        <w:rPr>
          <w:rFonts w:hint="default" w:ascii="Times New Roman" w:hAnsi="Times New Roman" w:cs="Times New Roman"/>
          <w:color w:val="auto"/>
          <w:szCs w:val="32"/>
          <w:highlight w:val="none"/>
        </w:rPr>
        <w:t>朱</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磊</w:t>
      </w:r>
      <w:r>
        <w:rPr>
          <w:rFonts w:hint="default" w:ascii="Times New Roman" w:hAnsi="Times New Roman" w:cs="Times New Roman"/>
          <w:color w:val="auto"/>
          <w:sz w:val="28"/>
          <w:szCs w:val="28"/>
          <w:highlight w:val="none"/>
          <w:lang w:bidi="ar"/>
        </w:rPr>
        <w:t xml:space="preserve"> </w:t>
      </w:r>
      <w:r>
        <w:rPr>
          <w:rFonts w:hint="eastAsia" w:ascii="Times New Roman" w:cs="Times New Roman"/>
          <w:color w:val="auto"/>
          <w:sz w:val="28"/>
          <w:szCs w:val="28"/>
          <w:highlight w:val="none"/>
          <w:lang w:val="en-US" w:eastAsia="zh-CN" w:bidi="ar"/>
        </w:rPr>
        <w:t xml:space="preserve">     </w:t>
      </w:r>
      <w:r>
        <w:rPr>
          <w:rFonts w:hint="default" w:ascii="Times New Roman" w:hAnsi="Times New Roman" w:cs="Times New Roman"/>
          <w:color w:val="auto"/>
          <w:highlight w:val="none"/>
          <w:lang w:bidi="ar"/>
        </w:rPr>
        <w:t xml:space="preserve">高级工程师 </w:t>
      </w:r>
      <w:r>
        <w:rPr>
          <w:rFonts w:hint="eastAsia" w:ascii="Times New Roman" w:cs="Times New Roman"/>
          <w:color w:val="auto"/>
          <w:highlight w:val="none"/>
          <w:lang w:val="en-US" w:eastAsia="zh-CN" w:bidi="ar"/>
        </w:rPr>
        <w:t xml:space="preserve">  </w:t>
      </w:r>
      <w:r>
        <w:rPr>
          <w:rFonts w:hint="default" w:ascii="Times New Roman" w:hAnsi="Times New Roman" w:cs="Times New Roman"/>
          <w:color w:val="auto"/>
          <w:highlight w:val="none"/>
          <w:lang w:bidi="ar"/>
        </w:rPr>
        <w:t xml:space="preserve">注册城乡规划师 </w:t>
      </w:r>
    </w:p>
    <w:p>
      <w:pPr>
        <w:pStyle w:val="2"/>
        <w:spacing w:line="360" w:lineRule="auto"/>
        <w:ind w:left="0" w:leftChars="0" w:firstLine="0" w:firstLineChars="0"/>
        <w:rPr>
          <w:rFonts w:hint="eastAsia" w:ascii="Times New Roman" w:cs="Times New Roman"/>
          <w:color w:val="auto"/>
          <w:sz w:val="24"/>
          <w:szCs w:val="24"/>
          <w:highlight w:val="none"/>
          <w:lang w:val="en-US" w:eastAsia="zh-CN" w:bidi="ar"/>
        </w:rPr>
      </w:pPr>
      <w:r>
        <w:rPr>
          <w:rFonts w:hint="eastAsia" w:ascii="Times New Roman" w:hAnsi="Times New Roman" w:eastAsia="宋体" w:cs="Times New Roman"/>
          <w:b/>
          <w:color w:val="auto"/>
          <w:sz w:val="28"/>
          <w:szCs w:val="28"/>
          <w:highlight w:val="none"/>
          <w:lang w:val="en-US" w:eastAsia="zh-CN" w:bidi="ar"/>
        </w:rPr>
        <w:t>技术负责人</w:t>
      </w:r>
      <w:r>
        <w:rPr>
          <w:rFonts w:hint="eastAsia" w:ascii="Times New Roman" w:cs="Times New Roman"/>
          <w:b/>
          <w:color w:val="auto"/>
          <w:sz w:val="28"/>
          <w:szCs w:val="28"/>
          <w:highlight w:val="none"/>
          <w:lang w:val="en-US" w:eastAsia="zh-CN" w:bidi="ar"/>
        </w:rPr>
        <w:t xml:space="preserve">：    </w:t>
      </w:r>
      <w:r>
        <w:rPr>
          <w:rFonts w:hint="eastAsia" w:ascii="Times New Roman" w:hAnsi="Times New Roman" w:eastAsia="宋体" w:cs="Times New Roman"/>
          <w:color w:val="auto"/>
          <w:sz w:val="24"/>
          <w:szCs w:val="24"/>
          <w:highlight w:val="none"/>
          <w:lang w:val="en-US" w:eastAsia="zh-CN" w:bidi="ar"/>
        </w:rPr>
        <w:t xml:space="preserve">杨金山  </w:t>
      </w:r>
      <w:r>
        <w:rPr>
          <w:rFonts w:hint="eastAsia" w:ascii="Times New Roman" w:cs="Times New Roman"/>
          <w:color w:val="auto"/>
          <w:sz w:val="24"/>
          <w:szCs w:val="24"/>
          <w:highlight w:val="none"/>
          <w:lang w:val="en-US" w:eastAsia="zh-CN" w:bidi="ar"/>
        </w:rPr>
        <w:t xml:space="preserve">     注册建造师</w:t>
      </w:r>
    </w:p>
    <w:p>
      <w:pPr>
        <w:pStyle w:val="2"/>
        <w:spacing w:line="360" w:lineRule="auto"/>
        <w:ind w:left="0" w:leftChars="0" w:firstLine="1124" w:firstLineChars="400"/>
        <w:rPr>
          <w:rFonts w:hint="default" w:ascii="Times New Roman" w:cs="Times New Roman"/>
          <w:color w:val="auto"/>
          <w:sz w:val="24"/>
          <w:szCs w:val="24"/>
          <w:highlight w:val="none"/>
          <w:lang w:val="en-US" w:eastAsia="zh-CN" w:bidi="ar"/>
        </w:rPr>
      </w:pPr>
      <w:r>
        <w:rPr>
          <w:rFonts w:hint="eastAsia" w:ascii="Times New Roman" w:cs="Times New Roman"/>
          <w:b/>
          <w:color w:val="auto"/>
          <w:sz w:val="28"/>
          <w:szCs w:val="28"/>
          <w:highlight w:val="none"/>
          <w:lang w:val="en-US" w:eastAsia="zh-CN" w:bidi="ar"/>
        </w:rPr>
        <w:t xml:space="preserve">            </w:t>
      </w:r>
      <w:r>
        <w:rPr>
          <w:rFonts w:hint="eastAsia" w:ascii="Times New Roman" w:cs="Times New Roman"/>
          <w:color w:val="auto"/>
          <w:sz w:val="24"/>
          <w:szCs w:val="24"/>
          <w:highlight w:val="none"/>
          <w:lang w:val="en-US" w:eastAsia="zh-CN" w:bidi="ar"/>
        </w:rPr>
        <w:t>徐    玲</w:t>
      </w:r>
      <w:r>
        <w:rPr>
          <w:rFonts w:hint="eastAsia" w:ascii="Times New Roman" w:hAnsi="Times New Roman" w:eastAsia="宋体" w:cs="Times New Roman"/>
          <w:color w:val="auto"/>
          <w:sz w:val="24"/>
          <w:szCs w:val="24"/>
          <w:highlight w:val="none"/>
          <w:lang w:val="en-US" w:eastAsia="zh-CN" w:bidi="ar"/>
        </w:rPr>
        <w:t xml:space="preserve">  </w:t>
      </w:r>
      <w:r>
        <w:rPr>
          <w:rFonts w:hint="eastAsia" w:ascii="Times New Roman" w:cs="Times New Roman"/>
          <w:color w:val="auto"/>
          <w:sz w:val="24"/>
          <w:szCs w:val="24"/>
          <w:highlight w:val="none"/>
          <w:lang w:val="en-US" w:eastAsia="zh-CN" w:bidi="ar"/>
        </w:rPr>
        <w:t xml:space="preserve">     注册城乡规划师</w:t>
      </w:r>
    </w:p>
    <w:p>
      <w:pPr>
        <w:widowControl/>
        <w:tabs>
          <w:tab w:val="left" w:pos="1744"/>
        </w:tabs>
        <w:autoSpaceDE/>
        <w:autoSpaceDN/>
        <w:spacing w:line="312" w:lineRule="auto"/>
        <w:rPr>
          <w:rFonts w:hint="default" w:ascii="Times New Roman" w:hAnsi="Times New Roman" w:cs="Times New Roman"/>
          <w:color w:val="auto"/>
          <w:szCs w:val="32"/>
          <w:highlight w:val="none"/>
        </w:rPr>
      </w:pPr>
      <w:r>
        <w:rPr>
          <w:rFonts w:hint="default" w:ascii="Times New Roman" w:hAnsi="Times New Roman" w:cs="Times New Roman"/>
          <w:b/>
          <w:color w:val="auto"/>
          <w:sz w:val="28"/>
          <w:szCs w:val="28"/>
          <w:highlight w:val="none"/>
          <w:lang w:bidi="ar"/>
        </w:rPr>
        <w:t>参加编制人员：</w:t>
      </w:r>
      <w:r>
        <w:rPr>
          <w:rFonts w:hint="default" w:ascii="Times New Roman" w:hAnsi="Times New Roman" w:cs="Times New Roman"/>
          <w:color w:val="auto"/>
          <w:szCs w:val="32"/>
          <w:highlight w:val="none"/>
        </w:rPr>
        <w:t xml:space="preserve">屈    伸  </w:t>
      </w:r>
      <w:r>
        <w:rPr>
          <w:rFonts w:hint="eastAsia" w:ascii="Times New Roman" w:hAns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 </w:t>
      </w:r>
      <w:r>
        <w:rPr>
          <w:rFonts w:hint="eastAsia" w:ascii="Times New Roman" w:hAnsi="Times New Roman" w:cs="Times New Roman"/>
          <w:color w:val="auto"/>
          <w:szCs w:val="32"/>
          <w:highlight w:val="none"/>
          <w:lang w:val="en-US" w:eastAsia="zh-CN"/>
        </w:rPr>
        <w:t xml:space="preserve">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高级工程师 </w:t>
      </w:r>
    </w:p>
    <w:p>
      <w:pPr>
        <w:widowControl/>
        <w:tabs>
          <w:tab w:val="left" w:pos="1744"/>
        </w:tabs>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杨颖坤   </w:t>
      </w:r>
      <w:r>
        <w:rPr>
          <w:rFonts w:hint="eastAsia" w:ascii="Times New Roman" w:hAns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高级工程师 </w:t>
      </w:r>
    </w:p>
    <w:p>
      <w:pPr>
        <w:widowControl/>
        <w:tabs>
          <w:tab w:val="left" w:pos="1744"/>
        </w:tabs>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唐永洪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高级工程师 </w:t>
      </w:r>
    </w:p>
    <w:p>
      <w:pPr>
        <w:widowControl/>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欧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杨   </w:t>
      </w:r>
      <w:r>
        <w:rPr>
          <w:rFonts w:hint="eastAsia" w:ascii="Times New Roman" w:cs="Times New Roman"/>
          <w:color w:val="auto"/>
          <w:szCs w:val="32"/>
          <w:highlight w:val="none"/>
          <w:lang w:val="en-US" w:eastAsia="zh-CN"/>
        </w:rPr>
        <w:t xml:space="preserve">    高级</w:t>
      </w:r>
      <w:r>
        <w:rPr>
          <w:rFonts w:hint="default" w:ascii="Times New Roman" w:hAnsi="Times New Roman" w:cs="Times New Roman"/>
          <w:color w:val="auto"/>
          <w:szCs w:val="32"/>
          <w:highlight w:val="none"/>
        </w:rPr>
        <w:t>工程师</w:t>
      </w:r>
    </w:p>
    <w:p>
      <w:pPr>
        <w:widowControl/>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赵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 娟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工程师</w:t>
      </w:r>
      <w:bookmarkStart w:id="177" w:name="_GoBack"/>
      <w:bookmarkEnd w:id="177"/>
    </w:p>
    <w:p>
      <w:pPr>
        <w:widowControl/>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唐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 权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 xml:space="preserve">工程师 </w:t>
      </w:r>
    </w:p>
    <w:p>
      <w:pPr>
        <w:widowControl/>
        <w:autoSpaceDE/>
        <w:autoSpaceDN/>
        <w:spacing w:line="312" w:lineRule="auto"/>
        <w:ind w:firstLine="1963" w:firstLineChars="818"/>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 xml:space="preserve">杨贵龙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rPr>
        <w:t>助理工程师</w:t>
      </w:r>
    </w:p>
    <w:p>
      <w:pPr>
        <w:pStyle w:val="2"/>
        <w:ind w:left="0" w:leftChars="0" w:firstLine="0" w:firstLineChars="0"/>
        <w:rPr>
          <w:rFonts w:hint="eastAsia" w:ascii="Times New Roman" w:hAnsi="Times New Roman" w:eastAsia="宋体" w:cs="Times New Roman"/>
          <w:b/>
          <w:color w:val="auto"/>
          <w:sz w:val="28"/>
          <w:szCs w:val="28"/>
          <w:highlight w:val="none"/>
          <w:lang w:val="en-US" w:eastAsia="zh-CN" w:bidi="ar"/>
        </w:rPr>
      </w:pPr>
      <w:r>
        <w:rPr>
          <w:rFonts w:hint="eastAsia" w:ascii="Times New Roman" w:hAnsi="Times New Roman" w:eastAsia="宋体" w:cs="Times New Roman"/>
          <w:b/>
          <w:color w:val="auto"/>
          <w:sz w:val="28"/>
          <w:szCs w:val="28"/>
          <w:highlight w:val="none"/>
          <w:lang w:val="en-US" w:eastAsia="zh-CN" w:bidi="ar"/>
        </w:rPr>
        <w:t>参与人员</w:t>
      </w:r>
      <w:r>
        <w:rPr>
          <w:rFonts w:hint="eastAsia" w:ascii="Times New Roman" w:cs="Times New Roman"/>
          <w:b/>
          <w:color w:val="auto"/>
          <w:sz w:val="28"/>
          <w:szCs w:val="28"/>
          <w:highlight w:val="none"/>
          <w:lang w:val="en-US" w:eastAsia="zh-CN" w:bidi="ar"/>
        </w:rPr>
        <w:t>名单</w:t>
      </w:r>
      <w:r>
        <w:rPr>
          <w:rFonts w:hint="eastAsia" w:ascii="Times New Roman" w:hAnsi="Times New Roman" w:eastAsia="宋体" w:cs="Times New Roman"/>
          <w:b/>
          <w:color w:val="auto"/>
          <w:sz w:val="28"/>
          <w:szCs w:val="28"/>
          <w:highlight w:val="none"/>
          <w:lang w:val="en-US" w:eastAsia="zh-CN" w:bidi="ar"/>
        </w:rPr>
        <w:t>：</w:t>
      </w:r>
    </w:p>
    <w:p>
      <w:pPr>
        <w:widowControl/>
        <w:autoSpaceDE/>
        <w:autoSpaceDN/>
        <w:spacing w:line="312" w:lineRule="auto"/>
        <w:ind w:firstLine="1963" w:firstLineChars="818"/>
        <w:rPr>
          <w:rFonts w:hint="default" w:ascii="Times New Roman" w:hAnsi="Times New Roman" w:cs="Times New Roman"/>
          <w:color w:val="auto"/>
          <w:szCs w:val="32"/>
          <w:highlight w:val="none"/>
          <w:lang w:val="en-US" w:eastAsia="zh-CN"/>
        </w:rPr>
      </w:pPr>
      <w:r>
        <w:rPr>
          <w:rFonts w:hint="default" w:ascii="Times New Roman" w:hAnsi="Times New Roman" w:cs="Times New Roman"/>
          <w:color w:val="auto"/>
          <w:szCs w:val="32"/>
          <w:highlight w:val="none"/>
          <w:lang w:val="en-US" w:eastAsia="zh-CN"/>
        </w:rPr>
        <w:t>尼玛西日</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乡城县人民政府县长</w:t>
      </w:r>
    </w:p>
    <w:p>
      <w:pPr>
        <w:widowControl/>
        <w:autoSpaceDE/>
        <w:autoSpaceDN/>
        <w:spacing w:line="312" w:lineRule="auto"/>
        <w:ind w:firstLine="1963" w:firstLineChars="818"/>
        <w:rPr>
          <w:rFonts w:hint="default" w:ascii="Times New Roman" w:hAnsi="Times New Roman" w:cs="Times New Roman"/>
          <w:color w:val="auto"/>
          <w:szCs w:val="32"/>
          <w:highlight w:val="none"/>
          <w:lang w:val="en-US" w:eastAsia="zh-CN"/>
        </w:rPr>
      </w:pPr>
      <w:r>
        <w:rPr>
          <w:rFonts w:hint="default" w:ascii="Times New Roman" w:hAnsi="Times New Roman" w:cs="Times New Roman"/>
          <w:color w:val="auto"/>
          <w:szCs w:val="32"/>
          <w:highlight w:val="none"/>
          <w:lang w:val="en-US" w:eastAsia="zh-CN"/>
        </w:rPr>
        <w:t>陈文铭</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乡城县人民政府副县长</w:t>
      </w:r>
    </w:p>
    <w:p>
      <w:pPr>
        <w:widowControl/>
        <w:autoSpaceDE/>
        <w:autoSpaceDN/>
        <w:spacing w:line="312" w:lineRule="auto"/>
        <w:ind w:firstLine="1963" w:firstLineChars="818"/>
        <w:rPr>
          <w:rFonts w:hint="default" w:ascii="Times New Roman" w:hAnsi="Times New Roman" w:cs="Times New Roman"/>
          <w:color w:val="auto"/>
          <w:szCs w:val="32"/>
          <w:highlight w:val="none"/>
          <w:lang w:val="en-US" w:eastAsia="zh-CN"/>
        </w:rPr>
      </w:pPr>
      <w:r>
        <w:rPr>
          <w:rFonts w:hint="default" w:ascii="Times New Roman" w:hAnsi="Times New Roman" w:cs="Times New Roman"/>
          <w:color w:val="auto"/>
          <w:szCs w:val="32"/>
          <w:highlight w:val="none"/>
          <w:lang w:val="en-US" w:eastAsia="zh-CN"/>
        </w:rPr>
        <w:t>丁    泉</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乡城县林业和草原局局长</w:t>
      </w:r>
    </w:p>
    <w:p>
      <w:pPr>
        <w:widowControl/>
        <w:autoSpaceDE/>
        <w:autoSpaceDN/>
        <w:spacing w:line="312" w:lineRule="auto"/>
        <w:ind w:firstLine="1963" w:firstLineChars="818"/>
        <w:rPr>
          <w:rFonts w:hint="default" w:ascii="Times New Roman" w:hAnsi="Times New Roman" w:cs="Times New Roman"/>
          <w:color w:val="auto"/>
          <w:szCs w:val="32"/>
          <w:highlight w:val="none"/>
          <w:lang w:val="en-US" w:eastAsia="zh-CN"/>
        </w:rPr>
      </w:pPr>
      <w:r>
        <w:rPr>
          <w:rFonts w:hint="default" w:ascii="Times New Roman" w:hAnsi="Times New Roman" w:cs="Times New Roman"/>
          <w:color w:val="auto"/>
          <w:szCs w:val="32"/>
          <w:highlight w:val="none"/>
          <w:lang w:val="en-US" w:eastAsia="zh-CN"/>
        </w:rPr>
        <w:t xml:space="preserve">钟 </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 xml:space="preserve"> 娟</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乡城县林业和草原局野保股工作人员</w:t>
      </w:r>
    </w:p>
    <w:p>
      <w:pPr>
        <w:widowControl/>
        <w:autoSpaceDE/>
        <w:autoSpaceDN/>
        <w:spacing w:line="312" w:lineRule="auto"/>
        <w:ind w:firstLine="1963" w:firstLineChars="818"/>
        <w:rPr>
          <w:rFonts w:hint="default" w:ascii="Times New Roman" w:hAnsi="Times New Roman" w:cs="Times New Roman"/>
          <w:color w:val="auto"/>
          <w:szCs w:val="32"/>
          <w:highlight w:val="none"/>
          <w:lang w:val="en-US" w:eastAsia="zh-CN"/>
        </w:rPr>
        <w:sectPr>
          <w:headerReference r:id="rId3" w:type="default"/>
          <w:footerReference r:id="rId5" w:type="default"/>
          <w:headerReference r:id="rId4" w:type="even"/>
          <w:pgSz w:w="11910" w:h="16840"/>
          <w:pgMar w:top="1500" w:right="1680" w:bottom="1980" w:left="1680" w:header="0" w:footer="1791" w:gutter="0"/>
          <w:pgNumType w:start="1"/>
          <w:cols w:space="720" w:num="1"/>
        </w:sectPr>
      </w:pPr>
      <w:r>
        <w:rPr>
          <w:rFonts w:hint="default" w:ascii="Times New Roman" w:hAnsi="Times New Roman" w:cs="Times New Roman"/>
          <w:color w:val="auto"/>
          <w:szCs w:val="32"/>
          <w:highlight w:val="none"/>
          <w:lang w:val="en-US" w:eastAsia="zh-CN"/>
        </w:rPr>
        <w:t>卓玛拉西</w:t>
      </w:r>
      <w:r>
        <w:rPr>
          <w:rFonts w:hint="eastAsia" w:ascii="Times New Roman" w:cs="Times New Roman"/>
          <w:color w:val="auto"/>
          <w:szCs w:val="32"/>
          <w:highlight w:val="none"/>
          <w:lang w:val="en-US" w:eastAsia="zh-CN"/>
        </w:rPr>
        <w:t xml:space="preserve">   </w:t>
      </w:r>
      <w:r>
        <w:rPr>
          <w:rFonts w:hint="default" w:ascii="Times New Roman" w:hAnsi="Times New Roman" w:cs="Times New Roman"/>
          <w:color w:val="auto"/>
          <w:szCs w:val="32"/>
          <w:highlight w:val="none"/>
          <w:lang w:val="en-US" w:eastAsia="zh-CN"/>
        </w:rPr>
        <w:t>乡城县林业和草原局工作人员</w:t>
      </w:r>
    </w:p>
    <w:p>
      <w:pPr>
        <w:pStyle w:val="14"/>
        <w:widowControl/>
        <w:autoSpaceDE/>
        <w:autoSpaceDN/>
        <w:spacing w:before="41"/>
        <w:rPr>
          <w:rFonts w:hint="default" w:ascii="Times New Roman" w:hAnsi="Times New Roman" w:cs="Times New Roman"/>
          <w:color w:val="auto"/>
          <w:sz w:val="36"/>
          <w:szCs w:val="36"/>
          <w:highlight w:val="none"/>
        </w:rPr>
        <w:sectPr>
          <w:headerReference r:id="rId6" w:type="default"/>
          <w:footerReference r:id="rId7" w:type="default"/>
          <w:pgSz w:w="11910" w:h="16840"/>
          <w:pgMar w:top="1500" w:right="1680" w:bottom="1980" w:left="1680" w:header="0" w:footer="1791" w:gutter="0"/>
          <w:cols w:space="720" w:num="1"/>
        </w:sectPr>
      </w:pPr>
      <w:r>
        <w:rPr>
          <w:rFonts w:hint="default" w:ascii="Times New Roman" w:hAnsi="Times New Roman" w:cs="Times New Roman"/>
          <w:color w:val="auto"/>
          <w:sz w:val="36"/>
          <w:szCs w:val="36"/>
          <w:highlight w:val="none"/>
        </w:rPr>
        <mc:AlternateContent>
          <mc:Choice Requires="wps">
            <w:drawing>
              <wp:anchor distT="0" distB="0" distL="114300" distR="114300" simplePos="0" relativeHeight="251665408" behindDoc="0" locked="0" layoutInCell="1" allowOverlap="1">
                <wp:simplePos x="0" y="0"/>
                <wp:positionH relativeFrom="column">
                  <wp:posOffset>-111125</wp:posOffset>
                </wp:positionH>
                <wp:positionV relativeFrom="paragraph">
                  <wp:posOffset>-938530</wp:posOffset>
                </wp:positionV>
                <wp:extent cx="5969000" cy="709295"/>
                <wp:effectExtent l="0" t="0" r="0" b="0"/>
                <wp:wrapNone/>
                <wp:docPr id="3" name="矩形 3"/>
                <wp:cNvGraphicFramePr/>
                <a:graphic xmlns:a="http://schemas.openxmlformats.org/drawingml/2006/main">
                  <a:graphicData uri="http://schemas.microsoft.com/office/word/2010/wordprocessingShape">
                    <wps:wsp>
                      <wps:cNvSpPr/>
                      <wps:spPr>
                        <a:xfrm>
                          <a:off x="0" y="0"/>
                          <a:ext cx="5969256" cy="709124"/>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73.9pt;height:55.85pt;width:470pt;z-index:251665408;v-text-anchor:middle;mso-width-relative:page;mso-height-relative:page;" fillcolor="#FFFFFF [3201]" filled="t" stroked="f" coordsize="21600,21600" o:gfxdata="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cT7NdsAAAAMAQAADwAAAAAAAAABACAAAAAiAAAAZHJz&#10;L2Rvd25yZXYueG1sUEsBAhQAFAAAAAgAh07iQKI2BW9zAgAA1gQAAA4AAAAAAAAAAQAgAAAAKgEA&#10;AGRycy9lMm9Eb2MueG1sUEsFBgAAAAAGAAYAWQEAAA8GAAAAAA==&#10;">
                <v:fill on="t" focussize="0,0"/>
                <v:stroke on="f" weight="1pt"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color w:val="auto"/>
          <w:sz w:val="36"/>
          <w:szCs w:val="36"/>
          <w:highlight w:val="none"/>
        </w:rPr>
        <w:drawing>
          <wp:anchor distT="0" distB="0" distL="114300" distR="114300" simplePos="0" relativeHeight="251660288" behindDoc="0" locked="0" layoutInCell="1" allowOverlap="1">
            <wp:simplePos x="0" y="0"/>
            <wp:positionH relativeFrom="column">
              <wp:posOffset>-250190</wp:posOffset>
            </wp:positionH>
            <wp:positionV relativeFrom="paragraph">
              <wp:posOffset>123825</wp:posOffset>
            </wp:positionV>
            <wp:extent cx="5909945" cy="8138795"/>
            <wp:effectExtent l="0" t="0" r="0" b="0"/>
            <wp:wrapTopAndBottom/>
            <wp:docPr id="5" name="图片 2" descr="F:\10-香巴拉七湖\资质最新-中社科(北京)城乡规划设计研究院-1680075138889 (1).jpg资质最新-中社科(北京)城乡规划设计研究院-168007513888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10-香巴拉七湖\资质最新-中社科(北京)城乡规划设计研究院-1680075138889 (1).jpg资质最新-中社科(北京)城乡规划设计研究院-1680075138889 (1)"/>
                    <pic:cNvPicPr>
                      <a:picLocks noChangeAspect="1"/>
                    </pic:cNvPicPr>
                  </pic:nvPicPr>
                  <pic:blipFill>
                    <a:blip r:embed="rId15"/>
                    <a:srcRect l="3769" t="4116" r="2742" b="4864"/>
                    <a:stretch>
                      <a:fillRect/>
                    </a:stretch>
                  </pic:blipFill>
                  <pic:spPr>
                    <a:xfrm>
                      <a:off x="0" y="0"/>
                      <a:ext cx="5909945" cy="8138795"/>
                    </a:xfrm>
                    <a:prstGeom prst="rect">
                      <a:avLst/>
                    </a:prstGeom>
                    <a:noFill/>
                    <a:ln>
                      <a:noFill/>
                    </a:ln>
                  </pic:spPr>
                </pic:pic>
              </a:graphicData>
            </a:graphic>
          </wp:anchor>
        </w:drawing>
      </w:r>
    </w:p>
    <w:sdt>
      <w:sdtPr>
        <w:rPr>
          <w:rFonts w:hint="default" w:ascii="Times New Roman" w:hAnsi="Times New Roman" w:cs="Times New Roman"/>
          <w:color w:val="auto"/>
          <w:sz w:val="21"/>
          <w:highlight w:val="none"/>
        </w:rPr>
        <w:id w:val="147473094"/>
        <w:docPartObj>
          <w:docPartGallery w:val="Table of Contents"/>
          <w:docPartUnique/>
        </w:docPartObj>
      </w:sdtPr>
      <w:sdtEndPr>
        <w:rPr>
          <w:rFonts w:hint="default" w:ascii="Times New Roman" w:hAnsi="Times New Roman" w:cs="Times New Roman"/>
          <w:b/>
          <w:bCs/>
          <w:color w:val="auto"/>
          <w:sz w:val="24"/>
          <w:szCs w:val="28"/>
          <w:highlight w:val="none"/>
        </w:rPr>
      </w:sdtEndPr>
      <w:sdtContent>
        <w:p>
          <w:pPr>
            <w:jc w:val="center"/>
            <w:rPr>
              <w:rFonts w:hint="default" w:ascii="Times New Roman" w:hAnsi="Times New Roman" w:cs="Times New Roman"/>
              <w:color w:val="auto"/>
              <w:highlight w:val="none"/>
            </w:rPr>
          </w:pPr>
          <w:bookmarkStart w:id="0" w:name="_Toc4570"/>
          <w:bookmarkStart w:id="1" w:name="_Toc11893"/>
          <w:bookmarkStart w:id="2" w:name="_Toc19532"/>
          <w:r>
            <w:rPr>
              <w:rFonts w:hint="default" w:ascii="Times New Roman" w:hAnsi="Times New Roman" w:cs="Times New Roman"/>
              <w:b/>
              <w:bCs/>
              <w:color w:val="auto"/>
              <w:sz w:val="28"/>
              <w:szCs w:val="36"/>
              <w:highlight w:val="none"/>
            </w:rPr>
            <w:t>目 录</w:t>
          </w:r>
        </w:p>
        <w:p>
          <w:pPr>
            <w:pStyle w:val="18"/>
            <w:tabs>
              <w:tab w:val="right" w:leader="dot" w:pos="9110"/>
            </w:tabs>
            <w:rPr>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TOC \o "1-2" \h \u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_Toc3290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第一章 规划总则</w:t>
          </w:r>
          <w:r>
            <w:rPr>
              <w:highlight w:val="none"/>
            </w:rPr>
            <w:tab/>
          </w:r>
          <w:r>
            <w:rPr>
              <w:highlight w:val="none"/>
            </w:rPr>
            <w:fldChar w:fldCharType="begin"/>
          </w:r>
          <w:r>
            <w:rPr>
              <w:highlight w:val="none"/>
            </w:rPr>
            <w:instrText xml:space="preserve"> PAGEREF _Toc3290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_Toc26403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第一条 规划目的</w:t>
          </w:r>
          <w:r>
            <w:rPr>
              <w:highlight w:val="none"/>
            </w:rPr>
            <w:tab/>
          </w:r>
          <w:r>
            <w:rPr>
              <w:highlight w:val="none"/>
            </w:rPr>
            <w:fldChar w:fldCharType="begin"/>
          </w:r>
          <w:r>
            <w:rPr>
              <w:highlight w:val="none"/>
            </w:rPr>
            <w:instrText xml:space="preserve"> PAGEREF _Toc26403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_Toc20097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第二条 规划范围与面积</w:t>
          </w:r>
          <w:r>
            <w:rPr>
              <w:highlight w:val="none"/>
            </w:rPr>
            <w:tab/>
          </w:r>
          <w:r>
            <w:rPr>
              <w:highlight w:val="none"/>
            </w:rPr>
            <w:fldChar w:fldCharType="begin"/>
          </w:r>
          <w:r>
            <w:rPr>
              <w:highlight w:val="none"/>
            </w:rPr>
            <w:instrText xml:space="preserve"> PAGEREF _Toc20097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_Toc10280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第三条 风景名胜区性质与资源特色</w:t>
          </w:r>
          <w:r>
            <w:rPr>
              <w:highlight w:val="none"/>
            </w:rPr>
            <w:tab/>
          </w:r>
          <w:r>
            <w:rPr>
              <w:highlight w:val="none"/>
            </w:rPr>
            <w:fldChar w:fldCharType="begin"/>
          </w:r>
          <w:r>
            <w:rPr>
              <w:highlight w:val="none"/>
            </w:rPr>
            <w:instrText xml:space="preserve"> PAGEREF _Toc10280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_Toc21659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第四条 规划期限</w:t>
          </w:r>
          <w:r>
            <w:rPr>
              <w:highlight w:val="none"/>
            </w:rPr>
            <w:tab/>
          </w:r>
          <w:r>
            <w:rPr>
              <w:highlight w:val="none"/>
            </w:rPr>
            <w:fldChar w:fldCharType="begin"/>
          </w:r>
          <w:r>
            <w:rPr>
              <w:highlight w:val="none"/>
            </w:rPr>
            <w:instrText xml:space="preserve"> PAGEREF _Toc21659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_Toc10489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第五条 功能分区</w:t>
          </w:r>
          <w:r>
            <w:rPr>
              <w:highlight w:val="none"/>
            </w:rPr>
            <w:tab/>
          </w:r>
          <w:r>
            <w:rPr>
              <w:highlight w:val="none"/>
            </w:rPr>
            <w:fldChar w:fldCharType="begin"/>
          </w:r>
          <w:r>
            <w:rPr>
              <w:highlight w:val="none"/>
            </w:rPr>
            <w:instrText xml:space="preserve"> PAGEREF _Toc10489 </w:instrText>
          </w:r>
          <w:r>
            <w:rPr>
              <w:highlight w:val="none"/>
            </w:rPr>
            <w:fldChar w:fldCharType="separate"/>
          </w:r>
          <w:r>
            <w:rPr>
              <w:highlight w:val="none"/>
            </w:rPr>
            <w:t>1</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_Toc19693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第二章 保护培育规划</w:t>
          </w:r>
          <w:r>
            <w:rPr>
              <w:highlight w:val="none"/>
            </w:rPr>
            <w:tab/>
          </w:r>
          <w:r>
            <w:rPr>
              <w:highlight w:val="none"/>
            </w:rPr>
            <w:fldChar w:fldCharType="begin"/>
          </w:r>
          <w:r>
            <w:rPr>
              <w:highlight w:val="none"/>
            </w:rPr>
            <w:instrText xml:space="preserve"> PAGEREF _Toc19693 </w:instrText>
          </w:r>
          <w:r>
            <w:rPr>
              <w:highlight w:val="none"/>
            </w:rPr>
            <w:fldChar w:fldCharType="separate"/>
          </w:r>
          <w:r>
            <w:rPr>
              <w:highlight w:val="none"/>
            </w:rPr>
            <w:t>3</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_Toc13142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第六条 资源分级保护</w:t>
          </w:r>
          <w:r>
            <w:rPr>
              <w:highlight w:val="none"/>
            </w:rPr>
            <w:tab/>
          </w:r>
          <w:r>
            <w:rPr>
              <w:highlight w:val="none"/>
            </w:rPr>
            <w:fldChar w:fldCharType="begin"/>
          </w:r>
          <w:r>
            <w:rPr>
              <w:highlight w:val="none"/>
            </w:rPr>
            <w:instrText xml:space="preserve"> PAGEREF _Toc13142 </w:instrText>
          </w:r>
          <w:r>
            <w:rPr>
              <w:highlight w:val="none"/>
            </w:rPr>
            <w:fldChar w:fldCharType="separate"/>
          </w:r>
          <w:r>
            <w:rPr>
              <w:highlight w:val="none"/>
            </w:rPr>
            <w:t>3</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_Toc10493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第七条 资源分类保护</w:t>
          </w:r>
          <w:r>
            <w:rPr>
              <w:highlight w:val="none"/>
            </w:rPr>
            <w:tab/>
          </w:r>
          <w:r>
            <w:rPr>
              <w:highlight w:val="none"/>
            </w:rPr>
            <w:fldChar w:fldCharType="begin"/>
          </w:r>
          <w:r>
            <w:rPr>
              <w:highlight w:val="none"/>
            </w:rPr>
            <w:instrText xml:space="preserve"> PAGEREF _Toc10493 </w:instrText>
          </w:r>
          <w:r>
            <w:rPr>
              <w:highlight w:val="none"/>
            </w:rPr>
            <w:fldChar w:fldCharType="separate"/>
          </w:r>
          <w:r>
            <w:rPr>
              <w:highlight w:val="none"/>
            </w:rPr>
            <w:t>4</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_Toc11854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第八条 建设控制管理</w:t>
          </w:r>
          <w:r>
            <w:rPr>
              <w:highlight w:val="none"/>
            </w:rPr>
            <w:tab/>
          </w:r>
          <w:r>
            <w:rPr>
              <w:highlight w:val="none"/>
            </w:rPr>
            <w:fldChar w:fldCharType="begin"/>
          </w:r>
          <w:r>
            <w:rPr>
              <w:highlight w:val="none"/>
            </w:rPr>
            <w:instrText xml:space="preserve"> PAGEREF _Toc11854 </w:instrText>
          </w:r>
          <w:r>
            <w:rPr>
              <w:highlight w:val="none"/>
            </w:rPr>
            <w:fldChar w:fldCharType="separate"/>
          </w:r>
          <w:r>
            <w:rPr>
              <w:highlight w:val="none"/>
            </w:rPr>
            <w:t>8</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_Toc2235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第九条 生态环境保护</w:t>
          </w:r>
          <w:r>
            <w:rPr>
              <w:highlight w:val="none"/>
            </w:rPr>
            <w:tab/>
          </w:r>
          <w:r>
            <w:rPr>
              <w:highlight w:val="none"/>
            </w:rPr>
            <w:fldChar w:fldCharType="begin"/>
          </w:r>
          <w:r>
            <w:rPr>
              <w:highlight w:val="none"/>
            </w:rPr>
            <w:instrText xml:space="preserve"> PAGEREF _Toc2235 </w:instrText>
          </w:r>
          <w:r>
            <w:rPr>
              <w:highlight w:val="none"/>
            </w:rPr>
            <w:fldChar w:fldCharType="separate"/>
          </w:r>
          <w:r>
            <w:rPr>
              <w:highlight w:val="none"/>
            </w:rPr>
            <w:t>9</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_Toc8903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第三章 游赏规划</w:t>
          </w:r>
          <w:r>
            <w:rPr>
              <w:highlight w:val="none"/>
            </w:rPr>
            <w:tab/>
          </w:r>
          <w:r>
            <w:rPr>
              <w:highlight w:val="none"/>
            </w:rPr>
            <w:fldChar w:fldCharType="begin"/>
          </w:r>
          <w:r>
            <w:rPr>
              <w:highlight w:val="none"/>
            </w:rPr>
            <w:instrText xml:space="preserve"> PAGEREF _Toc8903 </w:instrText>
          </w:r>
          <w:r>
            <w:rPr>
              <w:highlight w:val="none"/>
            </w:rPr>
            <w:fldChar w:fldCharType="separate"/>
          </w:r>
          <w:r>
            <w:rPr>
              <w:highlight w:val="none"/>
            </w:rPr>
            <w:t>10</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_Toc24412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第十条 游客容量</w:t>
          </w:r>
          <w:r>
            <w:rPr>
              <w:highlight w:val="none"/>
            </w:rPr>
            <w:tab/>
          </w:r>
          <w:r>
            <w:rPr>
              <w:highlight w:val="none"/>
            </w:rPr>
            <w:fldChar w:fldCharType="begin"/>
          </w:r>
          <w:r>
            <w:rPr>
              <w:highlight w:val="none"/>
            </w:rPr>
            <w:instrText xml:space="preserve"> PAGEREF _Toc24412 </w:instrText>
          </w:r>
          <w:r>
            <w:rPr>
              <w:highlight w:val="none"/>
            </w:rPr>
            <w:fldChar w:fldCharType="separate"/>
          </w:r>
          <w:r>
            <w:rPr>
              <w:highlight w:val="none"/>
            </w:rPr>
            <w:t>10</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_Toc13663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第十一条 景区规划</w:t>
          </w:r>
          <w:r>
            <w:rPr>
              <w:highlight w:val="none"/>
            </w:rPr>
            <w:tab/>
          </w:r>
          <w:r>
            <w:rPr>
              <w:highlight w:val="none"/>
            </w:rPr>
            <w:fldChar w:fldCharType="begin"/>
          </w:r>
          <w:r>
            <w:rPr>
              <w:highlight w:val="none"/>
            </w:rPr>
            <w:instrText xml:space="preserve"> PAGEREF _Toc13663 </w:instrText>
          </w:r>
          <w:r>
            <w:rPr>
              <w:highlight w:val="none"/>
            </w:rPr>
            <w:fldChar w:fldCharType="separate"/>
          </w:r>
          <w:r>
            <w:rPr>
              <w:highlight w:val="none"/>
            </w:rPr>
            <w:t>10</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_Toc19520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第十二条 典型景观规划</w:t>
          </w:r>
          <w:r>
            <w:rPr>
              <w:highlight w:val="none"/>
            </w:rPr>
            <w:tab/>
          </w:r>
          <w:r>
            <w:rPr>
              <w:highlight w:val="none"/>
            </w:rPr>
            <w:fldChar w:fldCharType="begin"/>
          </w:r>
          <w:r>
            <w:rPr>
              <w:highlight w:val="none"/>
            </w:rPr>
            <w:instrText xml:space="preserve"> PAGEREF _Toc19520 </w:instrText>
          </w:r>
          <w:r>
            <w:rPr>
              <w:highlight w:val="none"/>
            </w:rPr>
            <w:fldChar w:fldCharType="separate"/>
          </w:r>
          <w:r>
            <w:rPr>
              <w:highlight w:val="none"/>
            </w:rPr>
            <w:t>11</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_Toc18505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第十三条 解说展示场所与方式</w:t>
          </w:r>
          <w:r>
            <w:rPr>
              <w:highlight w:val="none"/>
            </w:rPr>
            <w:tab/>
          </w:r>
          <w:r>
            <w:rPr>
              <w:highlight w:val="none"/>
            </w:rPr>
            <w:fldChar w:fldCharType="begin"/>
          </w:r>
          <w:r>
            <w:rPr>
              <w:highlight w:val="none"/>
            </w:rPr>
            <w:instrText xml:space="preserve"> PAGEREF _Toc18505 </w:instrText>
          </w:r>
          <w:r>
            <w:rPr>
              <w:highlight w:val="none"/>
            </w:rPr>
            <w:fldChar w:fldCharType="separate"/>
          </w:r>
          <w:r>
            <w:rPr>
              <w:highlight w:val="none"/>
            </w:rPr>
            <w:t>12</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_Toc12252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第四章 设施规划</w:t>
          </w:r>
          <w:r>
            <w:rPr>
              <w:highlight w:val="none"/>
            </w:rPr>
            <w:tab/>
          </w:r>
          <w:r>
            <w:rPr>
              <w:highlight w:val="none"/>
            </w:rPr>
            <w:fldChar w:fldCharType="begin"/>
          </w:r>
          <w:r>
            <w:rPr>
              <w:highlight w:val="none"/>
            </w:rPr>
            <w:instrText xml:space="preserve"> PAGEREF _Toc12252 </w:instrText>
          </w:r>
          <w:r>
            <w:rPr>
              <w:highlight w:val="none"/>
            </w:rPr>
            <w:fldChar w:fldCharType="separate"/>
          </w:r>
          <w:r>
            <w:rPr>
              <w:highlight w:val="none"/>
            </w:rPr>
            <w:t>13</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_Toc19724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第十四条 旅游服务设施规划</w:t>
          </w:r>
          <w:r>
            <w:rPr>
              <w:highlight w:val="none"/>
            </w:rPr>
            <w:tab/>
          </w:r>
          <w:r>
            <w:rPr>
              <w:highlight w:val="none"/>
            </w:rPr>
            <w:fldChar w:fldCharType="begin"/>
          </w:r>
          <w:r>
            <w:rPr>
              <w:highlight w:val="none"/>
            </w:rPr>
            <w:instrText xml:space="preserve"> PAGEREF _Toc19724 </w:instrText>
          </w:r>
          <w:r>
            <w:rPr>
              <w:highlight w:val="none"/>
            </w:rPr>
            <w:fldChar w:fldCharType="separate"/>
          </w:r>
          <w:r>
            <w:rPr>
              <w:highlight w:val="none"/>
            </w:rPr>
            <w:t>13</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_Toc1264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第十五条 道路交通规划</w:t>
          </w:r>
          <w:r>
            <w:rPr>
              <w:highlight w:val="none"/>
            </w:rPr>
            <w:tab/>
          </w:r>
          <w:r>
            <w:rPr>
              <w:highlight w:val="none"/>
            </w:rPr>
            <w:fldChar w:fldCharType="begin"/>
          </w:r>
          <w:r>
            <w:rPr>
              <w:highlight w:val="none"/>
            </w:rPr>
            <w:instrText xml:space="preserve"> PAGEREF _Toc1264 </w:instrText>
          </w:r>
          <w:r>
            <w:rPr>
              <w:highlight w:val="none"/>
            </w:rPr>
            <w:fldChar w:fldCharType="separate"/>
          </w:r>
          <w:r>
            <w:rPr>
              <w:highlight w:val="none"/>
            </w:rPr>
            <w:t>14</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_Toc19798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第十六条 综合防灾避险规划</w:t>
          </w:r>
          <w:r>
            <w:rPr>
              <w:highlight w:val="none"/>
            </w:rPr>
            <w:tab/>
          </w:r>
          <w:r>
            <w:rPr>
              <w:highlight w:val="none"/>
            </w:rPr>
            <w:fldChar w:fldCharType="begin"/>
          </w:r>
          <w:r>
            <w:rPr>
              <w:highlight w:val="none"/>
            </w:rPr>
            <w:instrText xml:space="preserve"> PAGEREF _Toc19798 </w:instrText>
          </w:r>
          <w:r>
            <w:rPr>
              <w:highlight w:val="none"/>
            </w:rPr>
            <w:fldChar w:fldCharType="separate"/>
          </w:r>
          <w:r>
            <w:rPr>
              <w:highlight w:val="none"/>
            </w:rPr>
            <w:t>15</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_Toc2210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第十七条 基础工程规划</w:t>
          </w:r>
          <w:r>
            <w:rPr>
              <w:highlight w:val="none"/>
            </w:rPr>
            <w:tab/>
          </w:r>
          <w:r>
            <w:rPr>
              <w:highlight w:val="none"/>
            </w:rPr>
            <w:fldChar w:fldCharType="begin"/>
          </w:r>
          <w:r>
            <w:rPr>
              <w:highlight w:val="none"/>
            </w:rPr>
            <w:instrText xml:space="preserve"> PAGEREF _Toc2210 </w:instrText>
          </w:r>
          <w:r>
            <w:rPr>
              <w:highlight w:val="none"/>
            </w:rPr>
            <w:fldChar w:fldCharType="separate"/>
          </w:r>
          <w:r>
            <w:rPr>
              <w:highlight w:val="none"/>
            </w:rPr>
            <w:t>16</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_Toc11065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第五章 居民社会调控与经济发展引导规划</w:t>
          </w:r>
          <w:r>
            <w:rPr>
              <w:highlight w:val="none"/>
            </w:rPr>
            <w:tab/>
          </w:r>
          <w:r>
            <w:rPr>
              <w:highlight w:val="none"/>
            </w:rPr>
            <w:fldChar w:fldCharType="begin"/>
          </w:r>
          <w:r>
            <w:rPr>
              <w:highlight w:val="none"/>
            </w:rPr>
            <w:instrText xml:space="preserve"> PAGEREF _Toc11065 </w:instrText>
          </w:r>
          <w:r>
            <w:rPr>
              <w:highlight w:val="none"/>
            </w:rPr>
            <w:fldChar w:fldCharType="separate"/>
          </w:r>
          <w:r>
            <w:rPr>
              <w:highlight w:val="none"/>
            </w:rPr>
            <w:t>19</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_Toc20525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第十</w:t>
          </w:r>
          <w:r>
            <w:rPr>
              <w:rFonts w:hint="eastAsia" w:ascii="Times New Roman" w:hAnsi="Times New Roman" w:cs="Times New Roman"/>
              <w:szCs w:val="52"/>
              <w:highlight w:val="none"/>
              <w:lang w:val="en-US" w:eastAsia="zh-CN"/>
            </w:rPr>
            <w:t>八</w:t>
          </w:r>
          <w:r>
            <w:rPr>
              <w:rFonts w:hint="default" w:ascii="Times New Roman" w:hAnsi="Times New Roman" w:cs="Times New Roman"/>
              <w:szCs w:val="52"/>
              <w:highlight w:val="none"/>
            </w:rPr>
            <w:t>条 居民点调控规划</w:t>
          </w:r>
          <w:r>
            <w:rPr>
              <w:highlight w:val="none"/>
            </w:rPr>
            <w:tab/>
          </w:r>
          <w:r>
            <w:rPr>
              <w:highlight w:val="none"/>
            </w:rPr>
            <w:fldChar w:fldCharType="begin"/>
          </w:r>
          <w:r>
            <w:rPr>
              <w:highlight w:val="none"/>
            </w:rPr>
            <w:instrText xml:space="preserve"> PAGEREF _Toc20525 </w:instrText>
          </w:r>
          <w:r>
            <w:rPr>
              <w:highlight w:val="none"/>
            </w:rPr>
            <w:fldChar w:fldCharType="separate"/>
          </w:r>
          <w:r>
            <w:rPr>
              <w:highlight w:val="none"/>
            </w:rPr>
            <w:t>19</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_Toc23701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w:t>
          </w:r>
          <w:r>
            <w:rPr>
              <w:rFonts w:hint="eastAsia" w:ascii="Times New Roman" w:hAnsi="Times New Roman" w:cs="Times New Roman"/>
              <w:szCs w:val="52"/>
              <w:highlight w:val="none"/>
              <w:lang w:val="en-US" w:eastAsia="zh-CN"/>
            </w:rPr>
            <w:t>十九</w:t>
          </w:r>
          <w:r>
            <w:rPr>
              <w:rFonts w:hint="default" w:ascii="Times New Roman" w:hAnsi="Times New Roman" w:cs="Times New Roman"/>
              <w:szCs w:val="52"/>
              <w:highlight w:val="none"/>
            </w:rPr>
            <w:t>条 经济发展引导规划</w:t>
          </w:r>
          <w:r>
            <w:rPr>
              <w:highlight w:val="none"/>
            </w:rPr>
            <w:tab/>
          </w:r>
          <w:r>
            <w:rPr>
              <w:highlight w:val="none"/>
            </w:rPr>
            <w:fldChar w:fldCharType="begin"/>
          </w:r>
          <w:r>
            <w:rPr>
              <w:highlight w:val="none"/>
            </w:rPr>
            <w:instrText xml:space="preserve"> PAGEREF _Toc23701 </w:instrText>
          </w:r>
          <w:r>
            <w:rPr>
              <w:highlight w:val="none"/>
            </w:rPr>
            <w:fldChar w:fldCharType="separate"/>
          </w:r>
          <w:r>
            <w:rPr>
              <w:highlight w:val="none"/>
            </w:rPr>
            <w:t>19</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_Toc8516 </w:instrText>
          </w:r>
          <w:r>
            <w:rPr>
              <w:rFonts w:hint="default" w:ascii="Times New Roman" w:hAnsi="Times New Roman" w:cs="Times New Roman"/>
              <w:bCs/>
              <w:highlight w:val="none"/>
            </w:rPr>
            <w:fldChar w:fldCharType="separate"/>
          </w:r>
          <w:r>
            <w:rPr>
              <w:rFonts w:hint="eastAsia" w:ascii="Times New Roman" w:hAnsi="Times New Roman" w:cs="Times New Roman"/>
              <w:highlight w:val="none"/>
            </w:rPr>
            <w:t xml:space="preserve">第六章 </w:t>
          </w:r>
          <w:r>
            <w:rPr>
              <w:rFonts w:hint="default" w:ascii="Times New Roman" w:hAnsi="Times New Roman" w:cs="Times New Roman"/>
              <w:highlight w:val="none"/>
            </w:rPr>
            <w:t>相关规划协调</w:t>
          </w:r>
          <w:r>
            <w:rPr>
              <w:highlight w:val="none"/>
            </w:rPr>
            <w:tab/>
          </w:r>
          <w:r>
            <w:rPr>
              <w:highlight w:val="none"/>
            </w:rPr>
            <w:fldChar w:fldCharType="begin"/>
          </w:r>
          <w:r>
            <w:rPr>
              <w:highlight w:val="none"/>
            </w:rPr>
            <w:instrText xml:space="preserve"> PAGEREF _Toc8516 </w:instrText>
          </w:r>
          <w:r>
            <w:rPr>
              <w:highlight w:val="none"/>
            </w:rPr>
            <w:fldChar w:fldCharType="separate"/>
          </w:r>
          <w:r>
            <w:rPr>
              <w:highlight w:val="none"/>
            </w:rPr>
            <w:t>20</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_Toc17012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第二十条 与国土空间规划协调</w:t>
          </w:r>
          <w:r>
            <w:rPr>
              <w:highlight w:val="none"/>
            </w:rPr>
            <w:tab/>
          </w:r>
          <w:r>
            <w:rPr>
              <w:highlight w:val="none"/>
            </w:rPr>
            <w:fldChar w:fldCharType="begin"/>
          </w:r>
          <w:r>
            <w:rPr>
              <w:highlight w:val="none"/>
            </w:rPr>
            <w:instrText xml:space="preserve"> PAGEREF _Toc17012 </w:instrText>
          </w:r>
          <w:r>
            <w:rPr>
              <w:highlight w:val="none"/>
            </w:rPr>
            <w:fldChar w:fldCharType="separate"/>
          </w:r>
          <w:r>
            <w:rPr>
              <w:highlight w:val="none"/>
            </w:rPr>
            <w:t>20</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_Toc19037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第二十</w:t>
          </w:r>
          <w:r>
            <w:rPr>
              <w:rFonts w:hint="eastAsia" w:ascii="Times New Roman" w:hAnsi="Times New Roman" w:cs="Times New Roman"/>
              <w:szCs w:val="52"/>
              <w:highlight w:val="none"/>
              <w:lang w:val="en-US" w:eastAsia="zh-CN"/>
            </w:rPr>
            <w:t>一</w:t>
          </w:r>
          <w:r>
            <w:rPr>
              <w:rFonts w:hint="default" w:ascii="Times New Roman" w:hAnsi="Times New Roman" w:cs="Times New Roman"/>
              <w:szCs w:val="52"/>
              <w:highlight w:val="none"/>
            </w:rPr>
            <w:t>条 其他相关规划与管理规定协调</w:t>
          </w:r>
          <w:r>
            <w:rPr>
              <w:highlight w:val="none"/>
            </w:rPr>
            <w:tab/>
          </w:r>
          <w:r>
            <w:rPr>
              <w:highlight w:val="none"/>
            </w:rPr>
            <w:fldChar w:fldCharType="begin"/>
          </w:r>
          <w:r>
            <w:rPr>
              <w:highlight w:val="none"/>
            </w:rPr>
            <w:instrText xml:space="preserve"> PAGEREF _Toc19037 </w:instrText>
          </w:r>
          <w:r>
            <w:rPr>
              <w:highlight w:val="none"/>
            </w:rPr>
            <w:fldChar w:fldCharType="separate"/>
          </w:r>
          <w:r>
            <w:rPr>
              <w:highlight w:val="none"/>
            </w:rPr>
            <w:t>22</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_Toc1187 </w:instrText>
          </w:r>
          <w:r>
            <w:rPr>
              <w:rFonts w:hint="default" w:ascii="Times New Roman" w:hAnsi="Times New Roman" w:cs="Times New Roman"/>
              <w:bCs/>
              <w:highlight w:val="none"/>
            </w:rPr>
            <w:fldChar w:fldCharType="separate"/>
          </w:r>
          <w:r>
            <w:rPr>
              <w:rFonts w:hint="default" w:ascii="Times New Roman" w:hAnsi="Times New Roman" w:cs="Times New Roman"/>
              <w:highlight w:val="none"/>
            </w:rPr>
            <w:t>第七章 分期规划实施</w:t>
          </w:r>
          <w:r>
            <w:rPr>
              <w:highlight w:val="none"/>
            </w:rPr>
            <w:tab/>
          </w:r>
          <w:r>
            <w:rPr>
              <w:highlight w:val="none"/>
            </w:rPr>
            <w:fldChar w:fldCharType="begin"/>
          </w:r>
          <w:r>
            <w:rPr>
              <w:highlight w:val="none"/>
            </w:rPr>
            <w:instrText xml:space="preserve"> PAGEREF _Toc1187 </w:instrText>
          </w:r>
          <w:r>
            <w:rPr>
              <w:highlight w:val="none"/>
            </w:rPr>
            <w:fldChar w:fldCharType="separate"/>
          </w:r>
          <w:r>
            <w:rPr>
              <w:highlight w:val="none"/>
            </w:rPr>
            <w:t>24</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_Toc25213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第二十</w:t>
          </w:r>
          <w:r>
            <w:rPr>
              <w:rFonts w:hint="eastAsia" w:ascii="Times New Roman" w:hAnsi="Times New Roman" w:cs="Times New Roman"/>
              <w:szCs w:val="52"/>
              <w:highlight w:val="none"/>
              <w:lang w:val="en-US" w:eastAsia="zh-CN"/>
            </w:rPr>
            <w:t>二</w:t>
          </w:r>
          <w:r>
            <w:rPr>
              <w:rFonts w:hint="default" w:ascii="Times New Roman" w:hAnsi="Times New Roman" w:cs="Times New Roman"/>
              <w:szCs w:val="52"/>
              <w:highlight w:val="none"/>
            </w:rPr>
            <w:t>条 近期实施重点</w:t>
          </w:r>
          <w:r>
            <w:rPr>
              <w:highlight w:val="none"/>
            </w:rPr>
            <w:tab/>
          </w:r>
          <w:r>
            <w:rPr>
              <w:highlight w:val="none"/>
            </w:rPr>
            <w:fldChar w:fldCharType="begin"/>
          </w:r>
          <w:r>
            <w:rPr>
              <w:highlight w:val="none"/>
            </w:rPr>
            <w:instrText xml:space="preserve"> PAGEREF _Toc25213 </w:instrText>
          </w:r>
          <w:r>
            <w:rPr>
              <w:highlight w:val="none"/>
            </w:rPr>
            <w:fldChar w:fldCharType="separate"/>
          </w:r>
          <w:r>
            <w:rPr>
              <w:highlight w:val="none"/>
            </w:rPr>
            <w:t>24</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_Toc23256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第二十</w:t>
          </w:r>
          <w:r>
            <w:rPr>
              <w:rFonts w:hint="eastAsia" w:ascii="Times New Roman" w:hAnsi="Times New Roman" w:cs="Times New Roman"/>
              <w:szCs w:val="52"/>
              <w:highlight w:val="none"/>
              <w:lang w:val="en-US" w:eastAsia="zh-CN"/>
            </w:rPr>
            <w:t>三</w:t>
          </w:r>
          <w:r>
            <w:rPr>
              <w:rFonts w:hint="default" w:ascii="Times New Roman" w:hAnsi="Times New Roman" w:cs="Times New Roman"/>
              <w:szCs w:val="52"/>
              <w:highlight w:val="none"/>
            </w:rPr>
            <w:t>条 远期规划</w:t>
          </w:r>
          <w:r>
            <w:rPr>
              <w:highlight w:val="none"/>
            </w:rPr>
            <w:tab/>
          </w:r>
          <w:r>
            <w:rPr>
              <w:highlight w:val="none"/>
            </w:rPr>
            <w:fldChar w:fldCharType="begin"/>
          </w:r>
          <w:r>
            <w:rPr>
              <w:highlight w:val="none"/>
            </w:rPr>
            <w:instrText xml:space="preserve"> PAGEREF _Toc23256 </w:instrText>
          </w:r>
          <w:r>
            <w:rPr>
              <w:highlight w:val="none"/>
            </w:rPr>
            <w:fldChar w:fldCharType="separate"/>
          </w:r>
          <w:r>
            <w:rPr>
              <w:highlight w:val="none"/>
            </w:rPr>
            <w:t>25</w:t>
          </w:r>
          <w:r>
            <w:rPr>
              <w:highlight w:val="none"/>
            </w:rPr>
            <w:fldChar w:fldCharType="end"/>
          </w:r>
          <w:r>
            <w:rPr>
              <w:rFonts w:hint="default" w:ascii="Times New Roman" w:hAnsi="Times New Roman" w:cs="Times New Roman"/>
              <w:bCs/>
              <w:color w:val="auto"/>
              <w:highlight w:val="none"/>
            </w:rPr>
            <w:fldChar w:fldCharType="end"/>
          </w:r>
        </w:p>
        <w:p>
          <w:pPr>
            <w:pStyle w:val="18"/>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_Toc21567 </w:instrText>
          </w:r>
          <w:r>
            <w:rPr>
              <w:rFonts w:hint="default" w:ascii="Times New Roman" w:hAnsi="Times New Roman" w:cs="Times New Roman"/>
              <w:bCs/>
              <w:highlight w:val="none"/>
            </w:rPr>
            <w:fldChar w:fldCharType="separate"/>
          </w:r>
          <w:r>
            <w:rPr>
              <w:rFonts w:hint="default" w:ascii="Times New Roman" w:hAnsi="Times New Roman" w:cs="Times New Roman"/>
              <w:szCs w:val="72"/>
              <w:highlight w:val="none"/>
            </w:rPr>
            <w:t>附  表</w:t>
          </w:r>
          <w:r>
            <w:rPr>
              <w:highlight w:val="none"/>
            </w:rPr>
            <w:tab/>
          </w:r>
          <w:r>
            <w:rPr>
              <w:highlight w:val="none"/>
            </w:rPr>
            <w:fldChar w:fldCharType="begin"/>
          </w:r>
          <w:r>
            <w:rPr>
              <w:highlight w:val="none"/>
            </w:rPr>
            <w:instrText xml:space="preserve"> PAGEREF _Toc21567 </w:instrText>
          </w:r>
          <w:r>
            <w:rPr>
              <w:highlight w:val="none"/>
            </w:rPr>
            <w:fldChar w:fldCharType="separate"/>
          </w:r>
          <w:r>
            <w:rPr>
              <w:highlight w:val="none"/>
            </w:rPr>
            <w:t>26</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_Toc14356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表1-1 风景名胜</w:t>
          </w:r>
          <w:r>
            <w:rPr>
              <w:rFonts w:hint="eastAsia" w:ascii="Times New Roman" w:hAnsi="Times New Roman" w:cs="Times New Roman"/>
              <w:szCs w:val="52"/>
              <w:highlight w:val="none"/>
              <w:lang w:val="en-US" w:eastAsia="zh-CN"/>
            </w:rPr>
            <w:t>区</w:t>
          </w:r>
          <w:r>
            <w:rPr>
              <w:rFonts w:hint="default" w:ascii="Times New Roman" w:hAnsi="Times New Roman" w:cs="Times New Roman"/>
              <w:szCs w:val="52"/>
              <w:highlight w:val="none"/>
            </w:rPr>
            <w:t>资源类型表</w:t>
          </w:r>
          <w:r>
            <w:rPr>
              <w:highlight w:val="none"/>
            </w:rPr>
            <w:tab/>
          </w:r>
          <w:r>
            <w:rPr>
              <w:highlight w:val="none"/>
            </w:rPr>
            <w:fldChar w:fldCharType="begin"/>
          </w:r>
          <w:r>
            <w:rPr>
              <w:highlight w:val="none"/>
            </w:rPr>
            <w:instrText xml:space="preserve"> PAGEREF _Toc14356 </w:instrText>
          </w:r>
          <w:r>
            <w:rPr>
              <w:highlight w:val="none"/>
            </w:rPr>
            <w:fldChar w:fldCharType="separate"/>
          </w:r>
          <w:r>
            <w:rPr>
              <w:highlight w:val="none"/>
            </w:rPr>
            <w:t>26</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_Toc30246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表2-1 文物保护单位一览表</w:t>
          </w:r>
          <w:r>
            <w:rPr>
              <w:highlight w:val="none"/>
            </w:rPr>
            <w:tab/>
          </w:r>
          <w:r>
            <w:rPr>
              <w:highlight w:val="none"/>
            </w:rPr>
            <w:fldChar w:fldCharType="begin"/>
          </w:r>
          <w:r>
            <w:rPr>
              <w:highlight w:val="none"/>
            </w:rPr>
            <w:instrText xml:space="preserve"> PAGEREF _Toc30246 </w:instrText>
          </w:r>
          <w:r>
            <w:rPr>
              <w:highlight w:val="none"/>
            </w:rPr>
            <w:fldChar w:fldCharType="separate"/>
          </w:r>
          <w:r>
            <w:rPr>
              <w:highlight w:val="none"/>
            </w:rPr>
            <w:t>26</w:t>
          </w:r>
          <w:r>
            <w:rPr>
              <w:highlight w:val="none"/>
            </w:rPr>
            <w:fldChar w:fldCharType="end"/>
          </w:r>
          <w:r>
            <w:rPr>
              <w:rFonts w:hint="default" w:ascii="Times New Roman" w:hAnsi="Times New Roman" w:cs="Times New Roman"/>
              <w:bCs/>
              <w:color w:val="auto"/>
              <w:highlight w:val="none"/>
            </w:rPr>
            <w:fldChar w:fldCharType="end"/>
          </w:r>
        </w:p>
        <w:p>
          <w:pPr>
            <w:pStyle w:val="19"/>
            <w:tabs>
              <w:tab w:val="right" w:leader="dot" w:pos="9110"/>
            </w:tabs>
            <w:rPr>
              <w:highlight w:val="none"/>
            </w:rPr>
          </w:pPr>
          <w:r>
            <w:rPr>
              <w:rFonts w:hint="default" w:ascii="Times New Roman" w:hAnsi="Times New Roman" w:cs="Times New Roman"/>
              <w:bCs/>
              <w:color w:val="auto"/>
              <w:highlight w:val="none"/>
            </w:rPr>
            <w:fldChar w:fldCharType="begin"/>
          </w:r>
          <w:r>
            <w:rPr>
              <w:rFonts w:hint="default" w:ascii="Times New Roman" w:hAnsi="Times New Roman" w:cs="Times New Roman"/>
              <w:bCs/>
              <w:highlight w:val="none"/>
            </w:rPr>
            <w:instrText xml:space="preserve"> HYPERLINK \l _Toc12849 </w:instrText>
          </w:r>
          <w:r>
            <w:rPr>
              <w:rFonts w:hint="default" w:ascii="Times New Roman" w:hAnsi="Times New Roman" w:cs="Times New Roman"/>
              <w:bCs/>
              <w:highlight w:val="none"/>
            </w:rPr>
            <w:fldChar w:fldCharType="separate"/>
          </w:r>
          <w:r>
            <w:rPr>
              <w:rFonts w:hint="default" w:ascii="Times New Roman" w:hAnsi="Times New Roman" w:cs="Times New Roman"/>
              <w:szCs w:val="52"/>
              <w:highlight w:val="none"/>
            </w:rPr>
            <w:t>表3-1 风景名胜区游客容量表</w:t>
          </w:r>
          <w:r>
            <w:rPr>
              <w:highlight w:val="none"/>
            </w:rPr>
            <w:tab/>
          </w:r>
          <w:r>
            <w:rPr>
              <w:highlight w:val="none"/>
            </w:rPr>
            <w:fldChar w:fldCharType="begin"/>
          </w:r>
          <w:r>
            <w:rPr>
              <w:highlight w:val="none"/>
            </w:rPr>
            <w:instrText xml:space="preserve"> PAGEREF _Toc12849 </w:instrText>
          </w:r>
          <w:r>
            <w:rPr>
              <w:highlight w:val="none"/>
            </w:rPr>
            <w:fldChar w:fldCharType="separate"/>
          </w:r>
          <w:r>
            <w:rPr>
              <w:highlight w:val="none"/>
            </w:rPr>
            <w:t>27</w:t>
          </w:r>
          <w:r>
            <w:rPr>
              <w:highlight w:val="none"/>
            </w:rPr>
            <w:fldChar w:fldCharType="end"/>
          </w:r>
          <w:r>
            <w:rPr>
              <w:rFonts w:hint="default" w:ascii="Times New Roman" w:hAnsi="Times New Roman" w:cs="Times New Roman"/>
              <w:bCs/>
              <w:color w:val="auto"/>
              <w:highlight w:val="none"/>
            </w:rPr>
            <w:fldChar w:fldCharType="end"/>
          </w:r>
        </w:p>
        <w:p>
          <w:pPr>
            <w:jc w:val="center"/>
            <w:rPr>
              <w:rFonts w:hint="default" w:ascii="Times New Roman" w:hAnsi="Times New Roman" w:cs="Times New Roman"/>
              <w:b/>
              <w:bCs/>
              <w:color w:val="auto"/>
              <w:sz w:val="28"/>
              <w:szCs w:val="28"/>
              <w:highlight w:val="none"/>
            </w:rPr>
          </w:pPr>
          <w:r>
            <w:rPr>
              <w:rFonts w:hint="default" w:ascii="Times New Roman" w:hAnsi="Times New Roman" w:cs="Times New Roman"/>
              <w:bCs/>
              <w:color w:val="auto"/>
              <w:highlight w:val="none"/>
            </w:rPr>
            <w:fldChar w:fldCharType="end"/>
          </w:r>
        </w:p>
      </w:sdtContent>
    </w:sdt>
    <w:p>
      <w:pPr>
        <w:jc w:val="center"/>
        <w:rPr>
          <w:rFonts w:hint="default" w:ascii="Times New Roman" w:hAnsi="Times New Roman" w:cs="Times New Roman"/>
          <w:b/>
          <w:bCs/>
          <w:color w:val="auto"/>
          <w:sz w:val="28"/>
          <w:szCs w:val="28"/>
          <w:highlight w:val="none"/>
        </w:rPr>
      </w:pPr>
    </w:p>
    <w:p>
      <w:pP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br w:type="page"/>
      </w:r>
    </w:p>
    <w:p>
      <w:pPr>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文本</w:t>
      </w:r>
      <w:r>
        <w:rPr>
          <w:rFonts w:hint="default" w:ascii="Times New Roman" w:hAnsi="Times New Roman" w:cs="Times New Roman"/>
          <w:b/>
          <w:bCs/>
          <w:color w:val="auto"/>
          <w:sz w:val="28"/>
          <w:szCs w:val="28"/>
          <w:highlight w:val="none"/>
        </w:rPr>
        <w:t>图纸</w:t>
      </w:r>
      <w:bookmarkEnd w:id="0"/>
      <w:bookmarkEnd w:id="1"/>
      <w:bookmarkEnd w:id="2"/>
    </w:p>
    <w:p>
      <w:pPr>
        <w:spacing w:line="360" w:lineRule="auto"/>
        <w:rPr>
          <w:rFonts w:hint="default" w:ascii="Times New Roman" w:hAnsi="Times New Roman" w:cs="Times New Roman"/>
          <w:color w:val="auto"/>
          <w:highlight w:val="none"/>
        </w:rPr>
        <w:sectPr>
          <w:headerReference r:id="rId8" w:type="default"/>
          <w:footerReference r:id="rId9" w:type="default"/>
          <w:footerReference r:id="rId10" w:type="even"/>
          <w:pgSz w:w="11910" w:h="16840"/>
          <w:pgMar w:top="1340" w:right="1240" w:bottom="1440" w:left="1560" w:header="1051" w:footer="1241" w:gutter="0"/>
          <w:pgNumType w:start="1"/>
          <w:cols w:equalWidth="0" w:num="1">
            <w:col w:w="9110"/>
          </w:cols>
        </w:sectPr>
      </w:pPr>
      <w:r>
        <w:rPr>
          <w:rFonts w:hint="default" w:ascii="Times New Roman" w:hAnsi="Times New Roman"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340360</wp:posOffset>
                </wp:positionH>
                <wp:positionV relativeFrom="paragraph">
                  <wp:posOffset>137160</wp:posOffset>
                </wp:positionV>
                <wp:extent cx="4411980" cy="7252970"/>
                <wp:effectExtent l="0" t="0" r="7620" b="5080"/>
                <wp:wrapTopAndBottom/>
                <wp:docPr id="1" name="文本框 1"/>
                <wp:cNvGraphicFramePr/>
                <a:graphic xmlns:a="http://schemas.openxmlformats.org/drawingml/2006/main">
                  <a:graphicData uri="http://schemas.microsoft.com/office/word/2010/wordprocessingShape">
                    <wps:wsp>
                      <wps:cNvSpPr txBox="1"/>
                      <wps:spPr>
                        <a:xfrm>
                          <a:off x="0" y="0"/>
                          <a:ext cx="4411980" cy="7252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7"/>
                              <w:ind w:left="0" w:firstLine="0"/>
                              <w:rPr>
                                <w:rFonts w:hint="default" w:ascii="Times New Roman" w:hAnsi="Times New Roman" w:cs="Times New Roman"/>
                                <w:szCs w:val="28"/>
                              </w:rPr>
                            </w:pPr>
                            <w:r>
                              <w:rPr>
                                <w:rFonts w:hint="default" w:ascii="Times New Roman" w:hAnsi="Times New Roman" w:cs="Times New Roman"/>
                                <w:szCs w:val="28"/>
                              </w:rPr>
                              <w:t>图0-1   区位关系图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图0-2   综合现状图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图0-3   规划总图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图1-1-1 风景名胜区界线坐标图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图1-1-2 核心景区界线坐标图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图1-1-3 功能分区规划图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图2-1   保护培育规划图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图2-2   功能分区与分级保护规划关系图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图3-1   游赏规划图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图3-2-1 冰蚀湖泊典型景观规划图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图3-2-2 那拉岗村（天村）民族风情典型景观规划图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图4-1   道路交通规划图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图4-2   旅游服务设施规划图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图4-3   综合防灾规划图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图5-1   居民点协调发展规划图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图6-1-1 土地利用规划图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图6-1-2 国土空间规划协调图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图7-1   基础工程规划图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图7-2   近期发展规划图</w:t>
                            </w:r>
                          </w:p>
                          <w:p>
                            <w:pPr>
                              <w:pStyle w:val="37"/>
                              <w:ind w:left="0" w:firstLine="0"/>
                              <w:rPr>
                                <w:rFonts w:hint="default" w:ascii="Times New Roman" w:hAnsi="Times New Roman" w:cs="Times New Roman"/>
                                <w:szCs w:val="28"/>
                              </w:rPr>
                            </w:pPr>
                          </w:p>
                          <w:p>
                            <w:pPr>
                              <w:spacing w:line="360" w:lineRule="auto"/>
                              <w:rPr>
                                <w:rFonts w:hint="default"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pt;margin-top:10.8pt;height:571.1pt;width:347.4pt;mso-wrap-distance-bottom:0pt;mso-wrap-distance-top:0pt;z-index:251664384;mso-width-relative:page;mso-height-relative:page;" fillcolor="#FFFFFF [3201]" filled="t" stroked="f" coordsize="21600,21600" o:gfxdata="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M8me1QAAAAoBAAAPAAAA&#10;AAAAAAEAIAAAACIAAABkcnMvZG93bnJldi54bWxQSwECFAAUAAAACACHTuJADNeBT1ECAACQBAAA&#10;DgAAAAAAAAABACAAAAAkAQAAZHJzL2Uyb0RvYy54bWxQSwUGAAAAAAYABgBZAQAA5wUAAAAA&#10;">
                <v:fill on="t" focussize="0,0"/>
                <v:stroke on="f" weight="0.5pt"/>
                <v:imagedata o:title=""/>
                <o:lock v:ext="edit" aspectratio="f"/>
                <v:textbox>
                  <w:txbxContent>
                    <w:p>
                      <w:pPr>
                        <w:pStyle w:val="37"/>
                        <w:ind w:left="0" w:firstLine="0"/>
                        <w:rPr>
                          <w:rFonts w:hint="default" w:ascii="Times New Roman" w:hAnsi="Times New Roman" w:cs="Times New Roman"/>
                          <w:szCs w:val="28"/>
                        </w:rPr>
                      </w:pPr>
                      <w:r>
                        <w:rPr>
                          <w:rFonts w:hint="default" w:ascii="Times New Roman" w:hAnsi="Times New Roman" w:cs="Times New Roman"/>
                          <w:szCs w:val="28"/>
                        </w:rPr>
                        <w:t>图0-1   区位关系图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图0-2   综合现状图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图0-3   规划总图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图1-1-1 风景名胜区界线坐标图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图1-1-2 核心景区界线坐标图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图1-1-3 功能分区规划图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图2-1   保护培育规划图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图2-2   功能分区与分级保护规划关系图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图3-1   游赏规划图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图3-2-1 冰蚀湖泊典型景观规划图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图3-2-2 那拉岗村（天村）民族风情典型景观规划图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图4-1   道路交通规划图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图4-2   旅游服务设施规划图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图4-3   综合防灾规划图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图5-1   居民点协调发展规划图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图6-1-1 土地利用规划图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图6-1-2 国土空间规划协调图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图7-1   基础工程规划图</w:t>
                      </w:r>
                    </w:p>
                    <w:p>
                      <w:pPr>
                        <w:pStyle w:val="37"/>
                        <w:ind w:left="0" w:firstLine="0"/>
                        <w:rPr>
                          <w:rFonts w:hint="default" w:ascii="Times New Roman" w:hAnsi="Times New Roman" w:cs="Times New Roman"/>
                          <w:szCs w:val="28"/>
                        </w:rPr>
                      </w:pPr>
                      <w:r>
                        <w:rPr>
                          <w:rFonts w:hint="default" w:ascii="Times New Roman" w:hAnsi="Times New Roman" w:cs="Times New Roman"/>
                          <w:szCs w:val="28"/>
                        </w:rPr>
                        <w:t>图7-2   近期发展规划图</w:t>
                      </w:r>
                    </w:p>
                    <w:p>
                      <w:pPr>
                        <w:pStyle w:val="37"/>
                        <w:ind w:left="0" w:firstLine="0"/>
                        <w:rPr>
                          <w:rFonts w:hint="default" w:ascii="Times New Roman" w:hAnsi="Times New Roman" w:cs="Times New Roman"/>
                          <w:szCs w:val="28"/>
                        </w:rPr>
                      </w:pPr>
                    </w:p>
                    <w:p>
                      <w:pPr>
                        <w:spacing w:line="360" w:lineRule="auto"/>
                        <w:rPr>
                          <w:rFonts w:hint="default" w:ascii="Times New Roman" w:hAnsi="Times New Roman" w:cs="Times New Roman"/>
                        </w:rPr>
                      </w:pPr>
                    </w:p>
                  </w:txbxContent>
                </v:textbox>
                <w10:wrap type="topAndBottom"/>
              </v:shape>
            </w:pict>
          </mc:Fallback>
        </mc:AlternateContent>
      </w:r>
    </w:p>
    <w:p>
      <w:pPr>
        <w:pStyle w:val="4"/>
        <w:spacing w:before="240" w:after="720"/>
        <w:rPr>
          <w:rFonts w:hint="default" w:ascii="Times New Roman" w:hAnsi="Times New Roman" w:cs="Times New Roman"/>
          <w:color w:val="auto"/>
          <w:highlight w:val="none"/>
        </w:rPr>
      </w:pPr>
      <w:bookmarkStart w:id="3" w:name="_Toc31575"/>
      <w:bookmarkStart w:id="4" w:name="_Toc3290"/>
      <w:bookmarkStart w:id="5" w:name="_Toc22512"/>
      <w:bookmarkStart w:id="6" w:name="_Toc13687"/>
      <w:r>
        <w:rPr>
          <w:rFonts w:hint="default" w:ascii="Times New Roman" w:hAnsi="Times New Roman" w:cs="Times New Roman"/>
          <w:color w:val="auto"/>
          <w:highlight w:val="none"/>
        </w:rPr>
        <w:t>第一章 规划总则</w:t>
      </w:r>
      <w:bookmarkEnd w:id="3"/>
      <w:bookmarkEnd w:id="4"/>
      <w:bookmarkEnd w:id="5"/>
      <w:bookmarkEnd w:id="6"/>
    </w:p>
    <w:p>
      <w:pPr>
        <w:pStyle w:val="5"/>
        <w:spacing w:before="360" w:after="120"/>
        <w:ind w:left="0"/>
        <w:rPr>
          <w:rFonts w:hint="default" w:ascii="Times New Roman" w:hAnsi="Times New Roman" w:cs="Times New Roman"/>
          <w:color w:val="auto"/>
          <w:szCs w:val="52"/>
          <w:highlight w:val="none"/>
        </w:rPr>
      </w:pPr>
      <w:bookmarkStart w:id="7" w:name="_Toc19432"/>
      <w:bookmarkStart w:id="8" w:name="_Toc6830"/>
      <w:bookmarkStart w:id="9" w:name="_Toc26403"/>
      <w:bookmarkStart w:id="10" w:name="_Toc6166"/>
      <w:r>
        <w:rPr>
          <w:rFonts w:hint="default" w:ascii="Times New Roman" w:hAnsi="Times New Roman" w:cs="Times New Roman"/>
          <w:color w:val="auto"/>
          <w:szCs w:val="52"/>
          <w:highlight w:val="none"/>
        </w:rPr>
        <w:t>第一条 规划目的</w:t>
      </w:r>
      <w:bookmarkEnd w:id="7"/>
      <w:bookmarkEnd w:id="8"/>
      <w:bookmarkEnd w:id="9"/>
      <w:bookmarkEnd w:id="10"/>
    </w:p>
    <w:p>
      <w:pPr>
        <w:pStyle w:val="14"/>
        <w:autoSpaceDE/>
        <w:autoSpaceDN/>
        <w:spacing w:line="360" w:lineRule="auto"/>
        <w:ind w:firstLine="48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highlight w:val="none"/>
        </w:rPr>
        <w:t>为适应</w:t>
      </w:r>
      <w:r>
        <w:rPr>
          <w:rFonts w:hint="eastAsia" w:ascii="Times New Roman" w:cs="Times New Roman"/>
          <w:color w:val="auto"/>
          <w:highlight w:val="none"/>
          <w:lang w:val="en-US" w:eastAsia="zh-CN"/>
        </w:rPr>
        <w:t>乡城县</w:t>
      </w:r>
      <w:r>
        <w:rPr>
          <w:rFonts w:hint="default" w:ascii="Times New Roman" w:hAnsi="Times New Roman" w:cs="Times New Roman"/>
          <w:color w:val="auto"/>
          <w:highlight w:val="none"/>
        </w:rPr>
        <w:t>香巴拉七湖风景名胜区</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以下简称“风景名胜区”</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的发展，更好地保护、展示、利用</w:t>
      </w:r>
      <w:r>
        <w:rPr>
          <w:rFonts w:hint="default" w:ascii="Times New Roman" w:hAnsi="Times New Roman" w:cs="Times New Roman"/>
          <w:color w:val="auto"/>
          <w:highlight w:val="none"/>
          <w:lang w:val="en-US" w:eastAsia="zh-CN"/>
        </w:rPr>
        <w:t>风景资源</w:t>
      </w:r>
      <w:r>
        <w:rPr>
          <w:rFonts w:hint="default" w:ascii="Times New Roman" w:hAnsi="Times New Roman" w:cs="Times New Roman"/>
          <w:color w:val="auto"/>
          <w:highlight w:val="none"/>
        </w:rPr>
        <w:t>和管理风景名胜区，根据国务院《风景名胜区条例》等规定，特制定本规划</w:t>
      </w:r>
      <w:r>
        <w:rPr>
          <w:rFonts w:hint="default" w:ascii="Times New Roman" w:hAnsi="Times New Roman" w:cs="Times New Roman"/>
          <w:color w:val="auto"/>
          <w:spacing w:val="-10"/>
          <w:highlight w:val="none"/>
        </w:rPr>
        <w:t>。</w:t>
      </w:r>
    </w:p>
    <w:p>
      <w:pPr>
        <w:pStyle w:val="5"/>
        <w:spacing w:before="360" w:after="120"/>
        <w:ind w:left="0"/>
        <w:rPr>
          <w:rFonts w:hint="default" w:ascii="Times New Roman" w:hAnsi="Times New Roman" w:cs="Times New Roman"/>
          <w:color w:val="auto"/>
          <w:szCs w:val="52"/>
          <w:highlight w:val="none"/>
        </w:rPr>
      </w:pPr>
      <w:bookmarkStart w:id="11" w:name="_Toc1797"/>
      <w:bookmarkStart w:id="12" w:name="_Toc20097"/>
      <w:bookmarkStart w:id="13" w:name="_Toc26365"/>
      <w:bookmarkStart w:id="14" w:name="_Toc5898"/>
      <w:r>
        <w:rPr>
          <w:rFonts w:hint="default" w:ascii="Times New Roman" w:hAnsi="Times New Roman" w:cs="Times New Roman"/>
          <w:color w:val="auto"/>
          <w:szCs w:val="52"/>
          <w:highlight w:val="none"/>
        </w:rPr>
        <w:t>第二条</w:t>
      </w:r>
      <w:bookmarkEnd w:id="11"/>
      <w:r>
        <w:rPr>
          <w:rFonts w:hint="default" w:ascii="Times New Roman" w:hAnsi="Times New Roman" w:cs="Times New Roman"/>
          <w:color w:val="auto"/>
          <w:szCs w:val="52"/>
          <w:highlight w:val="none"/>
        </w:rPr>
        <w:t xml:space="preserve"> 规划范围与面积</w:t>
      </w:r>
      <w:bookmarkEnd w:id="12"/>
      <w:bookmarkEnd w:id="13"/>
      <w:bookmarkEnd w:id="14"/>
    </w:p>
    <w:p>
      <w:pPr>
        <w:pStyle w:val="14"/>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风景名胜区总面积为</w:t>
      </w:r>
      <w:r>
        <w:rPr>
          <w:rFonts w:hint="default" w:ascii="Times New Roman" w:hAnsi="Times New Roman" w:cs="Times New Roman"/>
          <w:color w:val="auto"/>
          <w:spacing w:val="-10"/>
          <w:highlight w:val="none"/>
        </w:rPr>
        <w:t>172.2</w:t>
      </w:r>
      <w:r>
        <w:rPr>
          <w:rFonts w:hint="eastAsia" w:ascii="Times New Roman" w:cs="Times New Roman"/>
          <w:color w:val="auto"/>
          <w:spacing w:val="-10"/>
          <w:highlight w:val="none"/>
          <w:lang w:val="en-US" w:eastAsia="zh-CN"/>
        </w:rPr>
        <w:t>4</w:t>
      </w:r>
      <w:r>
        <w:rPr>
          <w:rFonts w:hint="default" w:ascii="Times New Roman" w:hAnsi="Times New Roman" w:cs="Times New Roman"/>
          <w:color w:val="auto"/>
          <w:spacing w:val="-10"/>
          <w:highlight w:val="none"/>
        </w:rPr>
        <w:t>平方公里，地理坐标：</w:t>
      </w:r>
      <w:r>
        <w:rPr>
          <w:rFonts w:hint="default" w:ascii="Times New Roman" w:hAnsi="Times New Roman" w:cs="Times New Roman"/>
          <w:color w:val="auto"/>
          <w:highlight w:val="none"/>
        </w:rPr>
        <w:t>介于东经99°52′3.42″-100°2′33.00″，北纬28°50′39.89″-29°2′45.35″之间</w:t>
      </w:r>
      <w:r>
        <w:rPr>
          <w:rFonts w:hint="default" w:ascii="Times New Roman" w:hAnsi="Times New Roman" w:cs="Times New Roman"/>
          <w:color w:val="auto"/>
          <w:spacing w:val="-10"/>
          <w:highlight w:val="none"/>
        </w:rPr>
        <w:t>。核心景区面积为</w:t>
      </w:r>
      <w:r>
        <w:rPr>
          <w:rFonts w:hint="default" w:ascii="Times New Roman" w:hAnsi="Times New Roman" w:cs="Times New Roman"/>
          <w:color w:val="auto"/>
          <w:spacing w:val="-10"/>
          <w:highlight w:val="none"/>
        </w:rPr>
        <w:t>21.7</w:t>
      </w:r>
      <w:r>
        <w:rPr>
          <w:rFonts w:hint="eastAsia" w:ascii="Times New Roman" w:cs="Times New Roman"/>
          <w:color w:val="auto"/>
          <w:spacing w:val="-10"/>
          <w:highlight w:val="none"/>
          <w:lang w:val="en-US" w:eastAsia="zh-CN"/>
        </w:rPr>
        <w:t>8</w:t>
      </w:r>
      <w:r>
        <w:rPr>
          <w:rFonts w:hint="default" w:ascii="Times New Roman" w:hAnsi="Times New Roman" w:cs="Times New Roman"/>
          <w:color w:val="auto"/>
          <w:spacing w:val="-10"/>
          <w:highlight w:val="none"/>
        </w:rPr>
        <w:t>平方公里，占风景名胜区总面积的12.65%。</w:t>
      </w:r>
    </w:p>
    <w:p>
      <w:pPr>
        <w:pStyle w:val="5"/>
        <w:spacing w:before="360" w:after="120"/>
        <w:ind w:left="0"/>
        <w:rPr>
          <w:rFonts w:hint="default" w:ascii="Times New Roman" w:hAnsi="Times New Roman" w:cs="Times New Roman"/>
          <w:color w:val="auto"/>
          <w:szCs w:val="52"/>
          <w:highlight w:val="none"/>
        </w:rPr>
      </w:pPr>
      <w:bookmarkStart w:id="15" w:name="_Toc16148"/>
      <w:bookmarkStart w:id="16" w:name="_Toc4943"/>
      <w:bookmarkStart w:id="17" w:name="_Toc10280"/>
      <w:r>
        <w:rPr>
          <w:rFonts w:hint="default" w:ascii="Times New Roman" w:hAnsi="Times New Roman" w:cs="Times New Roman"/>
          <w:color w:val="auto"/>
          <w:szCs w:val="52"/>
          <w:highlight w:val="none"/>
        </w:rPr>
        <w:t>第三条 风景名胜区性质</w:t>
      </w:r>
      <w:bookmarkEnd w:id="15"/>
      <w:bookmarkEnd w:id="16"/>
      <w:r>
        <w:rPr>
          <w:rFonts w:hint="default" w:ascii="Times New Roman" w:hAnsi="Times New Roman" w:cs="Times New Roman"/>
          <w:color w:val="auto"/>
          <w:szCs w:val="52"/>
          <w:highlight w:val="none"/>
        </w:rPr>
        <w:t>与资源特色</w:t>
      </w:r>
      <w:bookmarkEnd w:id="17"/>
    </w:p>
    <w:p>
      <w:pPr>
        <w:pStyle w:val="14"/>
        <w:overflowPunct w:val="0"/>
        <w:autoSpaceDE/>
        <w:autoSpaceDN/>
        <w:spacing w:line="360" w:lineRule="auto"/>
        <w:ind w:firstLine="448" w:firstLineChars="200"/>
        <w:jc w:val="both"/>
        <w:rPr>
          <w:rFonts w:hint="default" w:ascii="Times New Roman" w:hAnsi="Times New Roman" w:cs="Times New Roman"/>
          <w:color w:val="auto"/>
          <w:spacing w:val="-8"/>
          <w:highlight w:val="none"/>
        </w:rPr>
      </w:pPr>
      <w:bookmarkStart w:id="18" w:name="_Hlk136289438"/>
      <w:r>
        <w:rPr>
          <w:rFonts w:hint="default" w:ascii="Times New Roman" w:hAnsi="Times New Roman" w:cs="Times New Roman"/>
          <w:color w:val="auto"/>
          <w:spacing w:val="-8"/>
          <w:highlight w:val="none"/>
        </w:rPr>
        <w:t>风景名胜区是以串珠状冰蚀湖泊群为典型景观资源，以古冰川地貌景观、高山自然生态景观、藏寨碉楼等人文景观为特色，集观光旅游、徒步探险、科研科普和民俗体验等功能为一体的湖泊类省级风景名胜区。</w:t>
      </w:r>
    </w:p>
    <w:p>
      <w:pPr>
        <w:pStyle w:val="14"/>
        <w:widowControl/>
        <w:autoSpaceDE/>
        <w:autoSpaceDN/>
        <w:spacing w:line="360" w:lineRule="auto"/>
        <w:ind w:firstLine="420" w:firstLineChars="200"/>
        <w:jc w:val="both"/>
        <w:rPr>
          <w:rFonts w:hint="default" w:ascii="Times New Roman" w:hAnsi="Times New Roman" w:cs="Times New Roman"/>
          <w:color w:val="auto"/>
          <w:spacing w:val="-15"/>
          <w:highlight w:val="none"/>
        </w:rPr>
      </w:pPr>
      <w:bookmarkStart w:id="19" w:name="_Hlk101951762"/>
      <w:r>
        <w:rPr>
          <w:rFonts w:hint="default" w:ascii="Times New Roman" w:hAnsi="Times New Roman" w:cs="Times New Roman"/>
          <w:color w:val="auto"/>
          <w:spacing w:val="-15"/>
          <w:highlight w:val="none"/>
        </w:rPr>
        <w:t>风景名胜区的风景资源由2大类、6中类、15小类，共35个景点构成，其中人文景点5个，自然景点30个，一级景源4个，二级景源10个，三级景源17个，四级景源4个（见附表1-1）。</w:t>
      </w:r>
    </w:p>
    <w:bookmarkEnd w:id="18"/>
    <w:bookmarkEnd w:id="19"/>
    <w:p>
      <w:pPr>
        <w:pStyle w:val="5"/>
        <w:spacing w:before="360" w:after="120"/>
        <w:ind w:left="0"/>
        <w:rPr>
          <w:rFonts w:hint="default" w:ascii="Times New Roman" w:hAnsi="Times New Roman" w:cs="Times New Roman"/>
          <w:color w:val="auto"/>
          <w:szCs w:val="52"/>
          <w:highlight w:val="none"/>
        </w:rPr>
      </w:pPr>
      <w:bookmarkStart w:id="20" w:name="_Toc18327"/>
      <w:bookmarkStart w:id="21" w:name="_Toc2290"/>
      <w:bookmarkStart w:id="22" w:name="_Toc21659"/>
      <w:bookmarkStart w:id="23" w:name="_Toc22228"/>
      <w:r>
        <w:rPr>
          <w:rFonts w:hint="default" w:ascii="Times New Roman" w:hAnsi="Times New Roman" w:cs="Times New Roman"/>
          <w:color w:val="auto"/>
          <w:szCs w:val="52"/>
          <w:highlight w:val="none"/>
        </w:rPr>
        <w:t>第四条 规划期限</w:t>
      </w:r>
      <w:bookmarkEnd w:id="20"/>
      <w:bookmarkEnd w:id="21"/>
      <w:bookmarkEnd w:id="22"/>
      <w:bookmarkEnd w:id="23"/>
    </w:p>
    <w:p>
      <w:pPr>
        <w:pStyle w:val="14"/>
        <w:overflowPunct w:val="0"/>
        <w:autoSpaceDE/>
        <w:autoSpaceDN/>
        <w:spacing w:line="360" w:lineRule="auto"/>
        <w:ind w:firstLine="448" w:firstLineChars="200"/>
        <w:jc w:val="both"/>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 xml:space="preserve">本规划期限为2022-2035年，其中近期2022-2025年，远期2026-2035年。 </w:t>
      </w:r>
    </w:p>
    <w:p>
      <w:pPr>
        <w:pStyle w:val="5"/>
        <w:spacing w:before="360" w:after="120"/>
        <w:ind w:left="0"/>
        <w:rPr>
          <w:rFonts w:hint="default" w:ascii="Times New Roman" w:hAnsi="Times New Roman" w:cs="Times New Roman"/>
          <w:color w:val="auto"/>
          <w:szCs w:val="52"/>
          <w:highlight w:val="none"/>
        </w:rPr>
      </w:pPr>
      <w:bookmarkStart w:id="24" w:name="bookmark1"/>
      <w:bookmarkEnd w:id="24"/>
      <w:bookmarkStart w:id="25" w:name="_Toc10489"/>
      <w:bookmarkStart w:id="26" w:name="_Toc6641"/>
      <w:bookmarkStart w:id="27" w:name="_Toc29114"/>
      <w:bookmarkStart w:id="28" w:name="_Toc3354"/>
      <w:bookmarkStart w:id="29" w:name="_Toc14606"/>
      <w:r>
        <w:rPr>
          <w:rFonts w:hint="default" w:ascii="Times New Roman" w:hAnsi="Times New Roman" w:cs="Times New Roman"/>
          <w:color w:val="auto"/>
          <w:szCs w:val="52"/>
          <w:highlight w:val="none"/>
        </w:rPr>
        <w:t>第五条 功能分区</w:t>
      </w:r>
      <w:bookmarkEnd w:id="25"/>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bookmarkStart w:id="30" w:name="_Toc16334"/>
      <w:r>
        <w:rPr>
          <w:rFonts w:hint="default" w:ascii="Times New Roman" w:hAnsi="Times New Roman" w:cs="Times New Roman"/>
          <w:color w:val="auto"/>
          <w:spacing w:val="-11"/>
          <w:highlight w:val="none"/>
        </w:rPr>
        <w:t>1、特别保存区</w:t>
      </w:r>
      <w:bookmarkEnd w:id="30"/>
      <w:r>
        <w:rPr>
          <w:rFonts w:hint="default" w:ascii="Times New Roman" w:hAnsi="Times New Roman" w:cs="Times New Roman"/>
          <w:color w:val="auto"/>
          <w:spacing w:val="-11"/>
          <w:highlight w:val="none"/>
        </w:rPr>
        <w:t xml:space="preserve"> </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风景名胜区内景观和生态价值突出，需要重点保护、涵养、维护的对象与地区，包括海拔较高的次乔措、林如措和班落措等冰蚀湖泊及其周边区域，</w:t>
      </w:r>
      <w:bookmarkStart w:id="31" w:name="_Toc3775"/>
      <w:r>
        <w:rPr>
          <w:rFonts w:hint="default" w:ascii="Times New Roman" w:hAnsi="Times New Roman" w:cs="Times New Roman"/>
          <w:color w:val="auto"/>
          <w:spacing w:val="-11"/>
          <w:highlight w:val="none"/>
        </w:rPr>
        <w:t>面积</w:t>
      </w:r>
      <w:r>
        <w:rPr>
          <w:rFonts w:hint="default" w:ascii="Times New Roman" w:hAnsi="Times New Roman" w:cs="Times New Roman"/>
          <w:color w:val="auto"/>
          <w:spacing w:val="-11"/>
          <w:highlight w:val="none"/>
        </w:rPr>
        <w:t>6.5</w:t>
      </w:r>
      <w:r>
        <w:rPr>
          <w:rFonts w:hint="eastAsia" w:ascii="Times New Roman" w:cs="Times New Roman"/>
          <w:color w:val="auto"/>
          <w:spacing w:val="-11"/>
          <w:highlight w:val="none"/>
          <w:lang w:val="en-US" w:eastAsia="zh-CN"/>
        </w:rPr>
        <w:t>4</w:t>
      </w:r>
      <w:r>
        <w:rPr>
          <w:rFonts w:hint="default" w:ascii="Times New Roman" w:hAnsi="Times New Roman" w:cs="Times New Roman"/>
          <w:color w:val="auto"/>
          <w:spacing w:val="-11"/>
          <w:highlight w:val="none"/>
        </w:rPr>
        <w:t>平方公里，占风景名胜区总面积的3.80%。</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2、风景游览区</w:t>
      </w:r>
      <w:bookmarkEnd w:id="31"/>
      <w:r>
        <w:rPr>
          <w:rFonts w:hint="default" w:ascii="Times New Roman" w:hAnsi="Times New Roman" w:cs="Times New Roman"/>
          <w:color w:val="auto"/>
          <w:spacing w:val="-11"/>
          <w:highlight w:val="none"/>
        </w:rPr>
        <w:t xml:space="preserve"> </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风景名胜区内景物、景点、景群、景区等风景游赏对象集中的地区，</w:t>
      </w:r>
      <w:r>
        <w:rPr>
          <w:rFonts w:hint="default" w:ascii="Times New Roman" w:hAnsi="Times New Roman" w:cs="Times New Roman"/>
          <w:color w:val="auto"/>
          <w:spacing w:val="-3"/>
          <w:highlight w:val="none"/>
        </w:rPr>
        <w:t>包括日朗拥措七湖（前四湖：瑞措、龙措、那隆措、雍哲措）、泽仁措、索朗景区、次淋措景区</w:t>
      </w:r>
      <w:r>
        <w:rPr>
          <w:rFonts w:hint="default" w:ascii="Times New Roman" w:hAnsi="Times New Roman" w:cs="Times New Roman"/>
          <w:color w:val="auto"/>
          <w:spacing w:val="-7"/>
          <w:highlight w:val="none"/>
        </w:rPr>
        <w:t>等区域，</w:t>
      </w:r>
      <w:r>
        <w:rPr>
          <w:rFonts w:hint="default" w:ascii="Times New Roman" w:hAnsi="Times New Roman" w:cs="Times New Roman"/>
          <w:color w:val="auto"/>
          <w:spacing w:val="-11"/>
          <w:highlight w:val="none"/>
        </w:rPr>
        <w:t>以及达森牧场、石古碉堡、沙沧五瀑等独立景点，</w:t>
      </w:r>
      <w:bookmarkStart w:id="32" w:name="_Hlk120999809"/>
      <w:r>
        <w:rPr>
          <w:rFonts w:hint="default" w:ascii="Times New Roman" w:hAnsi="Times New Roman" w:cs="Times New Roman"/>
          <w:color w:val="auto"/>
          <w:spacing w:val="-3"/>
          <w:highlight w:val="none"/>
        </w:rPr>
        <w:t>面积</w:t>
      </w:r>
      <w:r>
        <w:rPr>
          <w:rFonts w:hint="default" w:ascii="Times New Roman" w:hAnsi="Times New Roman" w:cs="Times New Roman"/>
          <w:color w:val="auto"/>
          <w:spacing w:val="-3"/>
          <w:highlight w:val="none"/>
        </w:rPr>
        <w:t>71.0</w:t>
      </w:r>
      <w:r>
        <w:rPr>
          <w:rFonts w:hint="eastAsia" w:ascii="Times New Roman" w:cs="Times New Roman"/>
          <w:color w:val="auto"/>
          <w:spacing w:val="-3"/>
          <w:highlight w:val="none"/>
          <w:lang w:val="en-US" w:eastAsia="zh-CN"/>
        </w:rPr>
        <w:t>6</w:t>
      </w:r>
      <w:r>
        <w:rPr>
          <w:rFonts w:hint="default" w:ascii="Times New Roman" w:hAnsi="Times New Roman" w:cs="Times New Roman"/>
          <w:color w:val="auto"/>
          <w:spacing w:val="-3"/>
          <w:highlight w:val="none"/>
        </w:rPr>
        <w:t>平方公里</w:t>
      </w:r>
      <w:r>
        <w:rPr>
          <w:rFonts w:hint="default" w:ascii="Times New Roman" w:hAnsi="Times New Roman" w:cs="Times New Roman"/>
          <w:color w:val="auto"/>
          <w:spacing w:val="-11"/>
          <w:highlight w:val="none"/>
        </w:rPr>
        <w:t xml:space="preserve">，占风景名胜区总面积的41.25%。 </w:t>
      </w:r>
    </w:p>
    <w:bookmarkEnd w:id="32"/>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bookmarkStart w:id="33" w:name="_Toc18256"/>
      <w:r>
        <w:rPr>
          <w:rFonts w:hint="default" w:ascii="Times New Roman" w:hAnsi="Times New Roman" w:cs="Times New Roman"/>
          <w:color w:val="auto"/>
          <w:spacing w:val="-11"/>
          <w:highlight w:val="none"/>
        </w:rPr>
        <w:t>3、风景恢复区</w:t>
      </w:r>
      <w:bookmarkEnd w:id="33"/>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风景名胜区内需要重点恢复、修复、培育、抚育的对象与地区，面积为23.34平方公里，占风景名胜区总面积的13.55%。</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bookmarkStart w:id="34" w:name="_Toc7068"/>
      <w:r>
        <w:rPr>
          <w:rFonts w:hint="default" w:ascii="Times New Roman" w:hAnsi="Times New Roman" w:cs="Times New Roman"/>
          <w:color w:val="auto"/>
          <w:spacing w:val="-11"/>
          <w:highlight w:val="none"/>
        </w:rPr>
        <w:t>4、发展控制区</w:t>
      </w:r>
      <w:bookmarkEnd w:id="34"/>
      <w:r>
        <w:rPr>
          <w:rFonts w:hint="default" w:ascii="Times New Roman" w:hAnsi="Times New Roman" w:cs="Times New Roman"/>
          <w:color w:val="auto"/>
          <w:spacing w:val="-11"/>
          <w:highlight w:val="none"/>
        </w:rPr>
        <w:t xml:space="preserve"> </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风景名胜区内乡村和城镇建设集中分布的地区，指那拉岗村（天村）周边居民生产生活的区域，</w:t>
      </w:r>
      <w:r>
        <w:rPr>
          <w:rFonts w:hint="default" w:ascii="Times New Roman" w:hAnsi="Times New Roman" w:cs="Times New Roman"/>
          <w:color w:val="auto"/>
          <w:spacing w:val="-3"/>
          <w:highlight w:val="none"/>
        </w:rPr>
        <w:t>面积</w:t>
      </w:r>
      <w:r>
        <w:rPr>
          <w:rFonts w:hint="default" w:ascii="Times New Roman" w:hAnsi="Times New Roman" w:cs="Times New Roman"/>
          <w:color w:val="auto"/>
          <w:spacing w:val="-3"/>
          <w:highlight w:val="none"/>
        </w:rPr>
        <w:t>70.03</w:t>
      </w:r>
      <w:r>
        <w:rPr>
          <w:rFonts w:hint="default" w:ascii="Times New Roman" w:hAnsi="Times New Roman" w:cs="Times New Roman"/>
          <w:color w:val="auto"/>
          <w:spacing w:val="-3"/>
          <w:highlight w:val="none"/>
        </w:rPr>
        <w:t>平方公里</w:t>
      </w:r>
      <w:r>
        <w:rPr>
          <w:rFonts w:hint="default" w:ascii="Times New Roman" w:hAnsi="Times New Roman" w:cs="Times New Roman"/>
          <w:color w:val="auto"/>
          <w:spacing w:val="-11"/>
          <w:highlight w:val="none"/>
        </w:rPr>
        <w:t>，占风景名胜区总面积的40.65%。</w:t>
      </w:r>
    </w:p>
    <w:p>
      <w:pPr>
        <w:pStyle w:val="14"/>
        <w:overflowPunct w:val="0"/>
        <w:autoSpaceDE/>
        <w:autoSpaceDN/>
        <w:spacing w:line="360" w:lineRule="auto"/>
        <w:ind w:firstLine="436" w:firstLineChars="200"/>
        <w:jc w:val="both"/>
        <w:rPr>
          <w:rFonts w:hint="default" w:ascii="Times New Roman" w:hAnsi="Times New Roman" w:cs="Times New Roman"/>
          <w:color w:val="auto"/>
          <w:spacing w:val="-11"/>
          <w:highlight w:val="none"/>
        </w:rPr>
      </w:pPr>
      <w:bookmarkStart w:id="35" w:name="_Toc6700"/>
      <w:r>
        <w:rPr>
          <w:rFonts w:hint="default" w:ascii="Times New Roman" w:hAnsi="Times New Roman" w:cs="Times New Roman"/>
          <w:color w:val="auto"/>
          <w:spacing w:val="-11"/>
          <w:highlight w:val="none"/>
        </w:rPr>
        <w:t>5、旅游服务区</w:t>
      </w:r>
      <w:bookmarkEnd w:id="35"/>
      <w:r>
        <w:rPr>
          <w:rFonts w:hint="default" w:ascii="Times New Roman" w:hAnsi="Times New Roman" w:cs="Times New Roman"/>
          <w:color w:val="auto"/>
          <w:spacing w:val="-11"/>
          <w:highlight w:val="none"/>
        </w:rPr>
        <w:t xml:space="preserve"> </w:t>
      </w:r>
    </w:p>
    <w:p>
      <w:pPr>
        <w:spacing w:line="360" w:lineRule="auto"/>
        <w:ind w:firstLine="436"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highlight w:val="none"/>
        </w:rPr>
        <w:t>风景名胜区内旅游服务设施集中的地区，包括那拉岗村（天村）旅游村、七湖（热拥牧场）旅游点、楚足牧场旅游点、泽仁牧场服务部等区域，</w:t>
      </w:r>
      <w:r>
        <w:rPr>
          <w:rFonts w:hint="default" w:ascii="Times New Roman" w:hAnsi="Times New Roman" w:cs="Times New Roman"/>
          <w:color w:val="auto"/>
          <w:spacing w:val="-3"/>
          <w:highlight w:val="none"/>
        </w:rPr>
        <w:t>面积1.29平方公里</w:t>
      </w:r>
      <w:r>
        <w:rPr>
          <w:rFonts w:hint="default" w:ascii="Times New Roman" w:hAnsi="Times New Roman" w:cs="Times New Roman"/>
          <w:color w:val="auto"/>
          <w:spacing w:val="-11"/>
          <w:highlight w:val="none"/>
        </w:rPr>
        <w:t xml:space="preserve">，占风景名胜区总面积的0.75%。 </w:t>
      </w:r>
    </w:p>
    <w:p>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4"/>
        <w:spacing w:before="240" w:after="720"/>
        <w:rPr>
          <w:rFonts w:hint="default" w:ascii="Times New Roman" w:hAnsi="Times New Roman" w:cs="Times New Roman"/>
          <w:color w:val="auto"/>
          <w:highlight w:val="none"/>
        </w:rPr>
      </w:pPr>
      <w:bookmarkStart w:id="36" w:name="_Toc19693"/>
      <w:r>
        <w:rPr>
          <w:rFonts w:hint="default" w:ascii="Times New Roman" w:hAnsi="Times New Roman" w:cs="Times New Roman"/>
          <w:color w:val="auto"/>
          <w:highlight w:val="none"/>
        </w:rPr>
        <w:t>第二章 保护培育规划</w:t>
      </w:r>
      <w:bookmarkEnd w:id="26"/>
      <w:bookmarkEnd w:id="27"/>
      <w:bookmarkEnd w:id="28"/>
      <w:bookmarkEnd w:id="29"/>
      <w:bookmarkEnd w:id="36"/>
    </w:p>
    <w:p>
      <w:pPr>
        <w:pStyle w:val="5"/>
        <w:spacing w:before="360" w:after="120"/>
        <w:ind w:left="0"/>
        <w:rPr>
          <w:rFonts w:hint="default" w:ascii="Times New Roman" w:hAnsi="Times New Roman" w:cs="Times New Roman"/>
          <w:color w:val="auto"/>
          <w:szCs w:val="52"/>
          <w:highlight w:val="none"/>
        </w:rPr>
      </w:pPr>
      <w:bookmarkStart w:id="37" w:name="_Toc13251"/>
      <w:bookmarkStart w:id="38" w:name="_Toc22234"/>
      <w:bookmarkStart w:id="39" w:name="_Toc12794"/>
      <w:bookmarkStart w:id="40" w:name="_Toc13142"/>
      <w:r>
        <w:rPr>
          <w:rFonts w:hint="default" w:ascii="Times New Roman" w:hAnsi="Times New Roman" w:cs="Times New Roman"/>
          <w:color w:val="auto"/>
          <w:szCs w:val="52"/>
          <w:highlight w:val="none"/>
        </w:rPr>
        <w:t>第六条</w:t>
      </w:r>
      <w:bookmarkEnd w:id="37"/>
      <w:r>
        <w:rPr>
          <w:rFonts w:hint="default" w:ascii="Times New Roman" w:hAnsi="Times New Roman" w:cs="Times New Roman"/>
          <w:color w:val="auto"/>
          <w:szCs w:val="52"/>
          <w:highlight w:val="none"/>
        </w:rPr>
        <w:t xml:space="preserve"> 资源分级保护</w:t>
      </w:r>
      <w:bookmarkEnd w:id="38"/>
      <w:bookmarkEnd w:id="39"/>
      <w:bookmarkEnd w:id="40"/>
    </w:p>
    <w:p>
      <w:pPr>
        <w:pStyle w:val="14"/>
        <w:wordWrap w:val="0"/>
        <w:autoSpaceDE/>
        <w:autoSpaceDN/>
        <w:spacing w:line="348"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实施分级保护控制，将风景名胜区划分为一级、二级、三级保护区三个层次（见图2-1）。</w:t>
      </w:r>
    </w:p>
    <w:p>
      <w:pPr>
        <w:pStyle w:val="14"/>
        <w:wordWrap w:val="0"/>
        <w:autoSpaceDE/>
        <w:autoSpaceDN/>
        <w:spacing w:line="348" w:lineRule="auto"/>
        <w:ind w:firstLine="448" w:firstLineChars="200"/>
        <w:jc w:val="both"/>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1、一级保护区（核心景区——严格禁止建设范围）</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（1）范围</w:t>
      </w:r>
    </w:p>
    <w:p>
      <w:pPr>
        <w:pStyle w:val="14"/>
        <w:wordWrap w:val="0"/>
        <w:autoSpaceDE/>
        <w:autoSpaceDN/>
        <w:spacing w:line="360" w:lineRule="auto"/>
        <w:ind w:firstLine="444" w:firstLineChars="200"/>
        <w:jc w:val="both"/>
        <w:rPr>
          <w:rFonts w:hint="default" w:ascii="Times New Roman" w:hAnsi="Times New Roman" w:cs="Times New Roman"/>
          <w:color w:val="auto"/>
          <w:highlight w:val="none"/>
        </w:rPr>
      </w:pPr>
      <w:r>
        <w:rPr>
          <w:rFonts w:hint="default" w:ascii="Times New Roman" w:hAnsi="Times New Roman" w:cs="Times New Roman"/>
          <w:color w:val="auto"/>
          <w:spacing w:val="-9"/>
          <w:highlight w:val="none"/>
        </w:rPr>
        <w:t>一级保护区与核心景区范围保持一致，是风景名胜区内资源价值最高的区域，</w:t>
      </w:r>
      <w:r>
        <w:rPr>
          <w:rFonts w:hint="default" w:ascii="Times New Roman" w:hAnsi="Times New Roman" w:cs="Times New Roman"/>
          <w:color w:val="auto"/>
          <w:spacing w:val="-9"/>
          <w:highlight w:val="none"/>
          <w:lang w:val="en-US" w:eastAsia="zh-CN"/>
        </w:rPr>
        <w:t>包含特别保存区和部分风景游览区，主要为</w:t>
      </w:r>
      <w:r>
        <w:rPr>
          <w:rFonts w:hint="default" w:ascii="Times New Roman" w:hAnsi="Times New Roman" w:cs="Times New Roman"/>
          <w:color w:val="auto"/>
          <w:spacing w:val="-9"/>
          <w:highlight w:val="none"/>
        </w:rPr>
        <w:t>日朗拥措七湖、次乔措、次淋措及其周边区域，</w:t>
      </w:r>
      <w:r>
        <w:rPr>
          <w:rFonts w:hint="default" w:ascii="Times New Roman" w:hAnsi="Times New Roman" w:cs="Times New Roman"/>
          <w:color w:val="auto"/>
          <w:spacing w:val="-18"/>
          <w:highlight w:val="none"/>
        </w:rPr>
        <w:t>面积</w:t>
      </w:r>
      <w:r>
        <w:rPr>
          <w:rFonts w:hint="default" w:ascii="Times New Roman" w:hAnsi="Times New Roman" w:cs="Times New Roman"/>
          <w:color w:val="auto"/>
          <w:highlight w:val="none"/>
        </w:rPr>
        <w:t>21.7</w:t>
      </w:r>
      <w:r>
        <w:rPr>
          <w:rFonts w:hint="eastAsia" w:ascii="Times New Roman" w:cs="Times New Roman"/>
          <w:color w:val="auto"/>
          <w:highlight w:val="none"/>
          <w:lang w:val="en-US" w:eastAsia="zh-CN"/>
        </w:rPr>
        <w:t>8</w:t>
      </w:r>
      <w:r>
        <w:rPr>
          <w:rFonts w:hint="default" w:ascii="Times New Roman" w:hAnsi="Times New Roman" w:cs="Times New Roman"/>
          <w:color w:val="auto"/>
          <w:spacing w:val="-12"/>
          <w:highlight w:val="none"/>
        </w:rPr>
        <w:t>平方公里（含水域）</w:t>
      </w:r>
      <w:r>
        <w:rPr>
          <w:rFonts w:hint="default" w:ascii="Times New Roman" w:hAnsi="Times New Roman" w:cs="Times New Roman"/>
          <w:color w:val="auto"/>
          <w:spacing w:val="-12"/>
          <w:highlight w:val="none"/>
          <w:lang w:eastAsia="zh-CN"/>
        </w:rPr>
        <w:t>，</w:t>
      </w:r>
      <w:r>
        <w:rPr>
          <w:rFonts w:hint="default" w:ascii="Times New Roman" w:hAnsi="Times New Roman" w:cs="Times New Roman"/>
          <w:color w:val="auto"/>
          <w:spacing w:val="-12"/>
          <w:highlight w:val="none"/>
          <w:lang w:val="en-US" w:eastAsia="zh-CN"/>
        </w:rPr>
        <w:t>占风景名胜区总面积的12.65%</w:t>
      </w:r>
      <w:r>
        <w:rPr>
          <w:rFonts w:hint="default" w:ascii="Times New Roman" w:hAnsi="Times New Roman" w:cs="Times New Roman"/>
          <w:color w:val="auto"/>
          <w:spacing w:val="-13"/>
          <w:highlight w:val="none"/>
        </w:rPr>
        <w:t>。</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（2）保护措施</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中的特别保存区除必要的科研、监测和防护措施外，不允许进入该区域开展任何人为活动；区内可设立必要的水体监测和动植物保护监测站点。一级保护区中的风景游览区严禁建设与风景游赏和保护无关的设施，不得安排旅宿床位，禁止安排对外交通，严格限制机动交通工具进入本区；严格控制游客容量，可设置必需的游赏道路和与游赏相关的设施，适当设置与游客救援和安全相关的配套设施。严格保护古冰川地质遗迹、冰蚀湖泊群等代表性景观，并对本区内的风景名胜资源及其整体环境进行长期的保护监测。</w:t>
      </w:r>
    </w:p>
    <w:p>
      <w:pPr>
        <w:pStyle w:val="14"/>
        <w:wordWrap w:val="0"/>
        <w:autoSpaceDE/>
        <w:autoSpaceDN/>
        <w:spacing w:line="360" w:lineRule="auto"/>
        <w:ind w:firstLine="448" w:firstLineChars="200"/>
        <w:jc w:val="both"/>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2、二级保护区（严格限制建设范围）</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（1）范围</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二级保护区是风景名胜区内风景名胜资源相对较少、景观价值一般、自然生态价值较高的区域，作为一级保护区外围缓冲地带，</w:t>
      </w:r>
      <w:r>
        <w:rPr>
          <w:rFonts w:hint="default" w:ascii="Times New Roman" w:hAnsi="Times New Roman" w:cs="Times New Roman"/>
          <w:color w:val="auto"/>
          <w:highlight w:val="none"/>
          <w:lang w:val="en-US" w:eastAsia="zh-CN"/>
        </w:rPr>
        <w:t>包含主要的风景恢复区和部分风景游览区，主要为</w:t>
      </w:r>
      <w:r>
        <w:rPr>
          <w:rFonts w:hint="default" w:ascii="Times New Roman" w:hAnsi="Times New Roman" w:cs="Times New Roman"/>
          <w:color w:val="auto"/>
          <w:highlight w:val="none"/>
        </w:rPr>
        <w:t>沙沧五瀑、热勒拥河谷、索朗峰、次央休、杜鹃山、达森牧场、热拥牧场、泽仁措、楚足牧场等区域，面积</w:t>
      </w:r>
      <w:r>
        <w:rPr>
          <w:rFonts w:hint="default" w:ascii="Times New Roman" w:hAnsi="Times New Roman" w:cs="Times New Roman"/>
          <w:color w:val="auto"/>
          <w:highlight w:val="none"/>
        </w:rPr>
        <w:t>75.</w:t>
      </w:r>
      <w:r>
        <w:rPr>
          <w:rFonts w:hint="eastAsia" w:ascii="Times New Roman" w:cs="Times New Roman"/>
          <w:color w:val="auto"/>
          <w:highlight w:val="none"/>
          <w:lang w:val="en-US" w:eastAsia="zh-CN"/>
        </w:rPr>
        <w:t>79</w:t>
      </w:r>
      <w:r>
        <w:rPr>
          <w:rFonts w:hint="default" w:ascii="Times New Roman" w:hAnsi="Times New Roman" w:cs="Times New Roman"/>
          <w:color w:val="auto"/>
          <w:highlight w:val="none"/>
        </w:rPr>
        <w:t>平方公里</w:t>
      </w:r>
      <w:r>
        <w:rPr>
          <w:rFonts w:hint="default" w:ascii="Times New Roman" w:hAnsi="Times New Roman" w:cs="Times New Roman"/>
          <w:color w:val="auto"/>
          <w:spacing w:val="-12"/>
          <w:highlight w:val="none"/>
          <w:lang w:eastAsia="zh-CN"/>
        </w:rPr>
        <w:t>，</w:t>
      </w:r>
      <w:r>
        <w:rPr>
          <w:rFonts w:hint="default" w:ascii="Times New Roman" w:hAnsi="Times New Roman" w:cs="Times New Roman"/>
          <w:color w:val="auto"/>
          <w:spacing w:val="-12"/>
          <w:highlight w:val="none"/>
          <w:lang w:val="en-US" w:eastAsia="zh-CN"/>
        </w:rPr>
        <w:t>占风景名胜区总面积的44.00%</w:t>
      </w:r>
      <w:r>
        <w:rPr>
          <w:rFonts w:hint="default" w:ascii="Times New Roman" w:hAnsi="Times New Roman" w:cs="Times New Roman"/>
          <w:color w:val="auto"/>
          <w:highlight w:val="none"/>
        </w:rPr>
        <w:t>。</w:t>
      </w:r>
    </w:p>
    <w:p>
      <w:pPr>
        <w:pStyle w:val="14"/>
        <w:numPr>
          <w:ilvl w:val="0"/>
          <w:numId w:val="1"/>
        </w:numPr>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保护措施</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保护区域内的山体、水体、植被等各种景观元素，以恢复植被为主。加强游览组织管理，控制游客容量，限制与风景保护、风景游赏无关的设施建设，限制游览性交通以外的机动交通工具进入本区，可安排直接为风景游赏服务的相关设施。可安排交通等基础工程设施，严格控制建设风貌，使其与风景资源和自然环境相协调。严格限制居民点的加建和扩建，允许风景名胜区内居民进行必要的生产、生活活动（如季节性放牧、松茸和虫草采集等）。</w:t>
      </w:r>
    </w:p>
    <w:p>
      <w:pPr>
        <w:pStyle w:val="14"/>
        <w:wordWrap w:val="0"/>
        <w:autoSpaceDE/>
        <w:autoSpaceDN/>
        <w:spacing w:line="360" w:lineRule="auto"/>
        <w:ind w:firstLine="448" w:firstLineChars="200"/>
        <w:jc w:val="both"/>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3、三级保护区（控制建设范围）</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（1）范围</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三级保护区是风景名胜区一、二级保护区以外的其他区域，</w:t>
      </w:r>
      <w:r>
        <w:rPr>
          <w:rFonts w:hint="default" w:ascii="Times New Roman" w:hAnsi="Times New Roman" w:cs="Times New Roman"/>
          <w:color w:val="auto"/>
          <w:highlight w:val="none"/>
          <w:lang w:val="en-US" w:eastAsia="zh-CN"/>
        </w:rPr>
        <w:t>包含发展控制区、旅游服务区和部分风景恢复区，主要为</w:t>
      </w:r>
      <w:r>
        <w:rPr>
          <w:rFonts w:hint="default" w:ascii="Times New Roman" w:hAnsi="Times New Roman" w:cs="Times New Roman"/>
          <w:color w:val="auto"/>
          <w:highlight w:val="none"/>
        </w:rPr>
        <w:t>桃坞、那拉岗村（天村）、七湖（热拥牧场）旅游点及楚足牧场旅游点等区域，面积</w:t>
      </w:r>
      <w:r>
        <w:rPr>
          <w:rFonts w:hint="default" w:ascii="Times New Roman" w:hAnsi="Times New Roman" w:cs="Times New Roman"/>
          <w:color w:val="auto"/>
          <w:highlight w:val="none"/>
        </w:rPr>
        <w:t>74.6</w:t>
      </w:r>
      <w:r>
        <w:rPr>
          <w:rFonts w:hint="eastAsia" w:ascii="Times New Roman" w:cs="Times New Roman"/>
          <w:color w:val="auto"/>
          <w:highlight w:val="none"/>
          <w:lang w:val="en-US" w:eastAsia="zh-CN"/>
        </w:rPr>
        <w:t>7</w:t>
      </w:r>
      <w:r>
        <w:rPr>
          <w:rFonts w:hint="default" w:ascii="Times New Roman" w:hAnsi="Times New Roman" w:cs="Times New Roman"/>
          <w:color w:val="auto"/>
          <w:highlight w:val="none"/>
        </w:rPr>
        <w:t>平方公里</w:t>
      </w:r>
      <w:r>
        <w:rPr>
          <w:rFonts w:hint="default" w:ascii="Times New Roman" w:hAnsi="Times New Roman" w:cs="Times New Roman"/>
          <w:color w:val="auto"/>
          <w:spacing w:val="-12"/>
          <w:highlight w:val="none"/>
          <w:lang w:eastAsia="zh-CN"/>
        </w:rPr>
        <w:t>，</w:t>
      </w:r>
      <w:r>
        <w:rPr>
          <w:rFonts w:hint="default" w:ascii="Times New Roman" w:hAnsi="Times New Roman" w:cs="Times New Roman"/>
          <w:color w:val="auto"/>
          <w:spacing w:val="-12"/>
          <w:highlight w:val="none"/>
          <w:lang w:val="en-US" w:eastAsia="zh-CN"/>
        </w:rPr>
        <w:t>占风景名胜区总面积的43.35%</w:t>
      </w:r>
      <w:r>
        <w:rPr>
          <w:rFonts w:hint="default" w:ascii="Times New Roman" w:hAnsi="Times New Roman" w:cs="Times New Roman"/>
          <w:color w:val="auto"/>
          <w:highlight w:val="none"/>
        </w:rPr>
        <w:t>。</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（2）保护措施</w:t>
      </w:r>
      <w:bookmarkStart w:id="41" w:name="_Hlk102036341"/>
    </w:p>
    <w:p>
      <w:pPr>
        <w:pStyle w:val="14"/>
        <w:wordWrap w:val="0"/>
        <w:autoSpaceDE/>
        <w:autoSpaceDN/>
        <w:spacing w:line="348"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应编制详细规划，有序引导各项建设活动。严禁破坏那拉岗村（天村）的传统村落整体格局和特色，保护人文景观节点。可在区内合理安排旅游服务设施，应控制其建设功能、建设规模、建设强度、建筑风貌等，与风景环境相协调。水利设施、基础工程设施必须符合相关技术规范和满足环保要求。</w:t>
      </w:r>
    </w:p>
    <w:bookmarkEnd w:id="41"/>
    <w:p>
      <w:pPr>
        <w:pStyle w:val="5"/>
        <w:spacing w:before="360" w:after="120"/>
        <w:ind w:left="0"/>
        <w:rPr>
          <w:rFonts w:hint="default" w:ascii="Times New Roman" w:hAnsi="Times New Roman" w:cs="Times New Roman"/>
          <w:color w:val="auto"/>
          <w:szCs w:val="52"/>
          <w:highlight w:val="none"/>
        </w:rPr>
      </w:pPr>
      <w:bookmarkStart w:id="42" w:name="_Toc6038"/>
      <w:bookmarkStart w:id="43" w:name="_Toc10196"/>
      <w:bookmarkStart w:id="44" w:name="_Toc10493"/>
      <w:bookmarkStart w:id="45" w:name="_Toc19363"/>
      <w:r>
        <w:rPr>
          <w:rFonts w:hint="default" w:ascii="Times New Roman" w:hAnsi="Times New Roman" w:cs="Times New Roman"/>
          <w:color w:val="auto"/>
          <w:szCs w:val="52"/>
          <w:highlight w:val="none"/>
        </w:rPr>
        <w:t>第七条 资源分类保护</w:t>
      </w:r>
      <w:bookmarkEnd w:id="42"/>
      <w:bookmarkEnd w:id="43"/>
      <w:bookmarkEnd w:id="44"/>
      <w:bookmarkEnd w:id="45"/>
    </w:p>
    <w:p>
      <w:pPr>
        <w:pStyle w:val="14"/>
        <w:wordWrap w:val="0"/>
        <w:autoSpaceDE/>
        <w:autoSpaceDN/>
        <w:spacing w:line="360" w:lineRule="auto"/>
        <w:ind w:firstLine="448" w:firstLineChars="200"/>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1、古冰川地质遗迹保护</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 xml:space="preserve">日朗拥措七湖、泽仁措、次淋措、次乔措、次央休等冰蚀湖泊群是风景名胜区的核心自然景观，也是古冰川遗迹分布最集中、数量最多、类型最丰富、科考价值最大的区域。具体保护措施如下： </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 xml:space="preserve">（1）加强对古冰川地质遗迹的环境保护，尤其对冰蚀湖泊群、冰川擦痕密集处和典型冰溜面等进行重点保护，合理开展旅游活动。 </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 xml:space="preserve">（2）在典型的古冰川地质遗迹旁安置标识解说牌，介绍其类型、成因及科学意义，对游人进行地学知识普及和地质遗迹的保护宣传，提高景点的科学观赏价值。 </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（3）开展环境保护，重点确保高山自然生态系统的完整性和原始性，严格控制温室气体的排放，力争区域内的生态环境</w:t>
      </w:r>
      <w:r>
        <w:rPr>
          <w:rFonts w:hint="default" w:ascii="Times New Roman" w:hAnsi="Times New Roman" w:cs="Times New Roman"/>
          <w:color w:val="auto"/>
          <w:spacing w:val="-3"/>
          <w:highlight w:val="none"/>
          <w:lang w:val="en-US" w:eastAsia="zh-CN"/>
        </w:rPr>
        <w:t>不受破坏</w:t>
      </w:r>
      <w:r>
        <w:rPr>
          <w:rFonts w:hint="default" w:ascii="Times New Roman" w:hAnsi="Times New Roman" w:cs="Times New Roman"/>
          <w:color w:val="auto"/>
          <w:spacing w:val="-3"/>
          <w:highlight w:val="none"/>
        </w:rPr>
        <w:t xml:space="preserve">。 </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（4）明确管理单位，加强对旅游行为的管理，控制游客的规模和数量。</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2、森林植被保护</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严格按照《中华人民共和国森林法》《中华人民共和国野生植物保护条例》《天然林资源保护工程森林管护管理办法》《国家级公益林管理办法》《四川省天然林保护条例》等法律法规的要求，对风景名胜区内的天然林、公益林进行保护，加强天然林管护队伍和基础设施建设，建立健全天然林保护体系</w:t>
      </w:r>
      <w:r>
        <w:rPr>
          <w:rFonts w:hint="default" w:ascii="Times New Roman" w:hAnsi="Times New Roman" w:cs="Times New Roman"/>
          <w:color w:val="auto"/>
          <w:spacing w:val="-3"/>
          <w:highlight w:val="none"/>
        </w:rPr>
        <w:t>。</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风景名胜区管理机构应协调林草部门对区内的森林资源进行管理和抚育，加强保护风景名胜区内的原生态森林植被群落，对区内的珍稀植物、古树名木挂牌保护，并编号建档，定期检查与管护，必要时采取有效技术措施为其创造良好的生存环境，维护其正常生长。</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（3）严禁引进外来物种，确保风景名胜区内生物安全。加强巡护，对盗伐林木、毁林开垦等情况，及时发现并及时报告和处理。</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（4）风景名胜区内建设项目应不占或少占林地，确需占用林地的应尽量减少林木资源的采伐；标牌、安全防护设施、景点等的设置不能影响树木的正常生长发育，杜绝直接在树木上钉挂牌。</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（5）加强风景名胜区内火源管控，制定森林火灾扑救预案。</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采用人工造林、补植改造、封山育林等措施，对退化森林进行修复，增强森林生态系统稳定性；在控制草场载畜量以及实施禁牧、休牧和划区轮牧基础上，采取围栏封育和改良、草地灌溉施肥、补播草种、灭鼠治虫、毒害草防除等措施，实施退化草地植被恢复，改善和提升草地生态系统质量和稳定性。</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（7）加强风景名胜区内森林病虫害防治，建立森林病虫害防治责任制度，开展森林病虫害的调查、监测、预报、检疫和防治工作。</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pacing w:val="-8"/>
          <w:highlight w:val="none"/>
        </w:rPr>
        <w:t>野生动物保护</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（1）相关管理部门需建立野生动物生态监测体系，配备生态监测人员，监测野生动物的活动踪迹、种群数量和结构等，采取针对性的保护管理措施。</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（2）以保护站、检查站为基础，加强巡护，控制入山人员，制止破坏野生动物栖息地的行为。建设野生动物抢救设施，配置必要设备，对周边居民及时报告或救治野生动物的行为进行表彰。</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（3）打击偷猎、下套、陷阱等伤害野生动物行为，保护野生动物安全，对伤害、偷猎野生动物行为及时做出处理。</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（4）加强对游人、周边居民的宣传教育，减少对野生动物的惊扰、追赶、投食等可能危及安全的行为。</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（5）引进动物保护方面的专业人才，加大对保护人员的培训，强化技术力量。</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4、湿地保护</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（1）风景名胜区内有湿地（灌丛沼泽、沼泽草地、内陆滩涂）</w:t>
      </w:r>
      <w:r>
        <w:rPr>
          <w:rFonts w:hint="default" w:ascii="Times New Roman" w:hAnsi="Times New Roman" w:cs="Times New Roman"/>
          <w:color w:val="auto"/>
          <w:highlight w:val="none"/>
        </w:rPr>
        <w:t>484.</w:t>
      </w:r>
      <w:r>
        <w:rPr>
          <w:rFonts w:hint="eastAsia" w:ascii="Times New Roman" w:cs="Times New Roman"/>
          <w:color w:val="auto"/>
          <w:highlight w:val="none"/>
          <w:lang w:val="en-US" w:eastAsia="zh-CN"/>
        </w:rPr>
        <w:t>92</w:t>
      </w:r>
      <w:r>
        <w:rPr>
          <w:rFonts w:hint="default" w:ascii="Times New Roman" w:hAnsi="Times New Roman" w:cs="Times New Roman"/>
          <w:color w:val="auto"/>
          <w:highlight w:val="none"/>
        </w:rPr>
        <w:t>公顷，应加强高原湿地保护与修复，恢复退化湿地生态功能和周边植被，增强水源涵养功能。</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（2）严格控制各类人为活动对湿地生态空间的占用和扰动，确保生态系统质量和生态功能逐渐提高。</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（3）禁止永久性截断自然湿地水源，不得向湿地排放不符合水污染物排放标准的工业废水、生活污水及其他污染湿地的废水、污水，严控导致水文过程改变、影响水文联系与自然水位变化的湿地建设工程。 </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（4）严格监管控制湿地不合理的开发利用，实施负面清单管理，有计划地对萎缩的湿地进行生态修复。</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（5）采用减少地表蒸散、退化湖泊水位恢复工程等技术措施，提升湿地保水蓄水能力</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生物多样性保护</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生态功能。</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（6）坚持建管并重。按照“谁审批、谁监管”的原则，落实好湿地管理责任，建立健全湿地建设、管理机制，强化湿地管护、监测工作。</w:t>
      </w:r>
    </w:p>
    <w:p>
      <w:pPr>
        <w:pStyle w:val="14"/>
        <w:wordWrap w:val="0"/>
        <w:autoSpaceDE/>
        <w:autoSpaceDN/>
        <w:spacing w:line="360" w:lineRule="auto"/>
        <w:ind w:firstLine="448" w:firstLineChars="200"/>
        <w:jc w:val="both"/>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5、文物保护</w:t>
      </w:r>
    </w:p>
    <w:p>
      <w:pPr>
        <w:pStyle w:val="14"/>
        <w:wordWrap w:val="0"/>
        <w:autoSpaceDE/>
        <w:autoSpaceDN/>
        <w:spacing w:line="348"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（1）风景名胜区范围内现有州级文物保护单位一处（郎拉岗石碉楼），位于那拉岗村（天村）</w:t>
      </w:r>
      <w:r>
        <w:rPr>
          <w:rFonts w:hint="default" w:ascii="Times New Roman" w:hAnsi="Times New Roman" w:cs="Times New Roman"/>
          <w:color w:val="auto"/>
          <w:highlight w:val="none"/>
        </w:rPr>
        <w:t>（见附表2-1）</w:t>
      </w:r>
      <w:r>
        <w:rPr>
          <w:rFonts w:hint="default" w:ascii="Times New Roman" w:hAnsi="Times New Roman" w:cs="Times New Roman"/>
          <w:color w:val="auto"/>
          <w:spacing w:val="-3"/>
          <w:highlight w:val="none"/>
        </w:rPr>
        <w:t>。</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2）对文物保护单位的保护范围进行划界立桩，明确保护范围，并根据历史风貌和文物性质对其周边环境进行规划和整治，禁止在不可移动文物周边建设有损文物本体和景观环境风貌的建筑或构筑物。天村景区内的建设活动应当先进行文物影响评估，评估通过后方可开展建设。</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文物建筑不得随意改建、扩建、加建；在对文物保护单位进行保护修缮的时候需遵守不改变文物原状、最低限度干预、保护文化传统、使用恰当保护技术、防灾减灾等文物保护基本原则，保持原有风貌，并应尽量保存和利用原有可用建筑构件；严格履行报批程序，接受管理部门的监督和指导，并报审批机关验收。</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（4）加强对文物的保养维修及监测，及时消除影响文物安全的隐患。</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（5）合理展示、利用不可移动文物，同时加强对文物保护单位的保护管理，避免游览行为对文物产生破坏，完善防火等安全措施。</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6、宗教活动场所保护</w:t>
      </w:r>
    </w:p>
    <w:p>
      <w:pPr>
        <w:pStyle w:val="14"/>
        <w:wordWrap w:val="0"/>
        <w:autoSpaceDE/>
        <w:autoSpaceDN/>
        <w:spacing w:line="360" w:lineRule="auto"/>
        <w:ind w:firstLine="468" w:firstLineChars="200"/>
        <w:rPr>
          <w:rFonts w:hint="default" w:ascii="Times New Roman" w:hAnsi="Times New Roman" w:eastAsia="宋体" w:cs="Times New Roman"/>
          <w:color w:val="auto"/>
          <w:spacing w:val="-3"/>
          <w:highlight w:val="none"/>
          <w:lang w:eastAsia="zh-CN"/>
        </w:rPr>
      </w:pPr>
      <w:r>
        <w:rPr>
          <w:rFonts w:hint="default" w:ascii="Times New Roman" w:hAnsi="Times New Roman" w:cs="Times New Roman"/>
          <w:color w:val="auto"/>
          <w:spacing w:val="-3"/>
          <w:highlight w:val="none"/>
        </w:rPr>
        <w:t>风景名胜区范围内有那拉岗寺1处合法的宗教活动场所</w:t>
      </w:r>
      <w:r>
        <w:rPr>
          <w:rFonts w:hint="default" w:ascii="Times New Roman" w:hAnsi="Times New Roman" w:cs="Times New Roman"/>
          <w:color w:val="auto"/>
          <w:spacing w:val="-3"/>
          <w:highlight w:val="none"/>
          <w:lang w:eastAsia="zh-CN"/>
        </w:rPr>
        <w:t>，</w:t>
      </w:r>
      <w:r>
        <w:rPr>
          <w:rFonts w:hint="default" w:ascii="Times New Roman" w:hAnsi="Times New Roman" w:cs="Times New Roman"/>
          <w:color w:val="auto"/>
          <w:spacing w:val="-3"/>
          <w:highlight w:val="none"/>
        </w:rPr>
        <w:t>保护措施</w:t>
      </w:r>
      <w:r>
        <w:rPr>
          <w:rFonts w:hint="default" w:ascii="Times New Roman" w:hAnsi="Times New Roman" w:cs="Times New Roman"/>
          <w:color w:val="auto"/>
          <w:spacing w:val="-3"/>
          <w:highlight w:val="none"/>
          <w:lang w:val="en-US" w:eastAsia="zh-CN"/>
        </w:rPr>
        <w:t>如下</w:t>
      </w:r>
      <w:r>
        <w:rPr>
          <w:rFonts w:hint="default" w:ascii="Times New Roman" w:hAnsi="Times New Roman" w:cs="Times New Roman"/>
          <w:color w:val="auto"/>
          <w:spacing w:val="-3"/>
          <w:highlight w:val="none"/>
        </w:rPr>
        <w:t>：</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（1）风景名胜区内的宗教活动场所，严格执行《宗教事务条例》《四川省宗教事务条例》以及《关于进一步治理佛教道教商业化问题的若干意见》（国宗发〔2017〕88号）等法规规章和规范性文件。</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2）除经政府宗教事务部门依法登记的宗教活动场所外，其他场所一律不得组织、举办宗教活动，不得接受宗教性捐献。已依法作为宗教活动场所的不可移动文物，其使用管理人要依法履行保护、修缮和安全等职责，未经依法审批，不得将不可移动文物作为宗教活动场所。</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对于不合理的改建、扩建和加建部分，应当整治、改造，必要时应予以拆除。同时属于文物保护单位的宗教建筑，还应符合《文物保护法》的要求，加强宗教活动场所周边环境的治理，使其与宗教活动场所风格、氛围及宗教文化相符。</w:t>
      </w:r>
    </w:p>
    <w:p>
      <w:pPr>
        <w:pStyle w:val="14"/>
        <w:wordWrap w:val="0"/>
        <w:autoSpaceDE/>
        <w:autoSpaceDN/>
        <w:spacing w:line="360" w:lineRule="auto"/>
        <w:ind w:firstLine="448" w:firstLineChars="200"/>
        <w:rPr>
          <w:rFonts w:hint="default" w:ascii="Times New Roman" w:hAnsi="Times New Roman" w:cs="Times New Roman"/>
          <w:color w:val="auto"/>
          <w:highlight w:val="none"/>
        </w:rPr>
      </w:pPr>
      <w:r>
        <w:rPr>
          <w:rFonts w:hint="default" w:ascii="Times New Roman" w:hAnsi="Times New Roman" w:cs="Times New Roman"/>
          <w:color w:val="auto"/>
          <w:spacing w:val="-8"/>
          <w:highlight w:val="none"/>
        </w:rPr>
        <w:t>7、水体景观保护</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（1）风景名胜区内各接待服务区和居民点，配套污水处理设施，不得将未经处理的垃圾和污水直接排入河流、湖泊。</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（2）各水域重要地点要建立水质监测点，定期报告水质情况，并提出调整措施。</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（3）加强西洼组取水点（索朗取水点）水源地保护，按照国家饮用水水源保护区划分技术规范划定水源保护区范围，落实相关保护措施。</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（4）禁止向水体倾倒废渣、垃圾、粪便及其他废弃物。</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（5）禁止向水域排放废水。</w:t>
      </w:r>
    </w:p>
    <w:p>
      <w:pPr>
        <w:pStyle w:val="14"/>
        <w:wordWrap w:val="0"/>
        <w:autoSpaceDE/>
        <w:autoSpaceDN/>
        <w:spacing w:line="360" w:lineRule="auto"/>
        <w:ind w:firstLine="448" w:firstLineChars="200"/>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8、传统村落保护</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 xml:space="preserve">（1）那拉岗村（天村）为第四批四川省传统村落。 </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2）严格按照《关于切实加强中国传统村落保护的指导意见》《四川省传统村落保护条例》等相关要求，对已公布的传统村落进行保护。目前那拉岗村（天村）传统村落尚未编制保护规划，建议规划期内尽快编制传统村落保护发展规划。</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应当保持那拉岗村（天村）村落传统格局和历史风貌的完整性。尊重村民的生活习惯和生产方式，改善传统村落生产生活条件，保障原住村民在原址居住的权利，合理开发利用，促进村落原有形态、生活方式的延续传承。</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4）优先将那拉岗村（天村）传统村落纳入乡城县域旅游线路当中，在游客中心内和村落广场对主要历史遗存、非物质文化遗产进行宣传介绍；保护石古碉堡、郎拉岗石碉楼等古建筑以及有特色的人文景观和民俗风情；保护生活巷道空间比例和尺度；控制建筑形式、高度、体量、材料、色彩。</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5）那拉岗村（天村）包含10座传统藏式民居院落，鼓励合理开发利用，在不破坏基本建筑结构的前提下，可以作为村史馆、博物馆、传习所、文化站等场所，设立文化创意产业、传统技艺体验等基地，开展民俗文化体验活动，传承优秀传统文化。</w:t>
      </w:r>
    </w:p>
    <w:p>
      <w:pPr>
        <w:pStyle w:val="14"/>
        <w:wordWrap w:val="0"/>
        <w:autoSpaceDE/>
        <w:autoSpaceDN/>
        <w:spacing w:line="360" w:lineRule="auto"/>
        <w:ind w:firstLine="448" w:firstLineChars="200"/>
        <w:rPr>
          <w:rFonts w:hint="default" w:ascii="Times New Roman" w:hAnsi="Times New Roman" w:cs="Times New Roman"/>
          <w:color w:val="auto"/>
          <w:spacing w:val="-8"/>
          <w:highlight w:val="none"/>
        </w:rPr>
      </w:pPr>
      <w:r>
        <w:rPr>
          <w:rFonts w:hint="default" w:ascii="Times New Roman" w:hAnsi="Times New Roman" w:cs="Times New Roman"/>
          <w:color w:val="auto"/>
          <w:spacing w:val="-8"/>
          <w:highlight w:val="none"/>
        </w:rPr>
        <w:t>9、非物质文化遗产保护</w:t>
      </w:r>
    </w:p>
    <w:p>
      <w:pPr>
        <w:pStyle w:val="14"/>
        <w:wordWrap w:val="0"/>
        <w:autoSpaceDE/>
        <w:autoSpaceDN/>
        <w:spacing w:line="360" w:lineRule="auto"/>
        <w:ind w:firstLine="468" w:firstLineChars="200"/>
        <w:jc w:val="both"/>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乡城县有疯装锅庄、笑宴两项省级非物质文化遗产，风景名胜区内那拉岗村（天村）</w:t>
      </w:r>
      <w:r>
        <w:rPr>
          <w:rFonts w:hint="default" w:ascii="Times New Roman" w:hAnsi="Times New Roman" w:cs="Times New Roman"/>
          <w:color w:val="auto"/>
          <w:spacing w:val="-3"/>
          <w:highlight w:val="none"/>
          <w:lang w:val="en-US" w:eastAsia="zh-CN"/>
        </w:rPr>
        <w:t>的</w:t>
      </w:r>
      <w:r>
        <w:rPr>
          <w:rFonts w:hint="default" w:ascii="Times New Roman" w:hAnsi="Times New Roman" w:cs="Times New Roman"/>
          <w:color w:val="auto"/>
          <w:spacing w:val="-3"/>
          <w:highlight w:val="none"/>
        </w:rPr>
        <w:t>阿布千千</w:t>
      </w:r>
      <w:r>
        <w:rPr>
          <w:rFonts w:hint="default" w:ascii="Times New Roman" w:hAnsi="Times New Roman" w:cs="Times New Roman"/>
          <w:color w:val="auto"/>
          <w:spacing w:val="-3"/>
          <w:highlight w:val="none"/>
          <w:lang w:val="en-US" w:eastAsia="zh-CN"/>
        </w:rPr>
        <w:t>是</w:t>
      </w:r>
      <w:r>
        <w:rPr>
          <w:rFonts w:hint="default" w:ascii="Times New Roman" w:hAnsi="Times New Roman" w:cs="Times New Roman"/>
          <w:color w:val="auto"/>
          <w:spacing w:val="-3"/>
          <w:highlight w:val="none"/>
        </w:rPr>
        <w:t>非物质文化遗产疯装锅庄的传承人。</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非物质文化遗产保护与发展策略：</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（1）加强非物质文化遗产的挖掘和研究，结合文旅活动形成特色旅游项目。</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（2）建立非物质文化遗产展示平台，健全展示体系。</w:t>
      </w:r>
    </w:p>
    <w:p>
      <w:pPr>
        <w:pStyle w:val="14"/>
        <w:wordWrap w:val="0"/>
        <w:autoSpaceDE/>
        <w:autoSpaceDN/>
        <w:spacing w:line="360" w:lineRule="auto"/>
        <w:ind w:firstLine="468" w:firstLineChars="200"/>
        <w:rPr>
          <w:rFonts w:hint="default" w:ascii="Times New Roman" w:hAnsi="Times New Roman" w:cs="Times New Roman"/>
          <w:color w:val="auto"/>
          <w:spacing w:val="-3"/>
          <w:highlight w:val="none"/>
        </w:rPr>
      </w:pPr>
      <w:r>
        <w:rPr>
          <w:rFonts w:hint="default" w:ascii="Times New Roman" w:hAnsi="Times New Roman" w:cs="Times New Roman"/>
          <w:color w:val="auto"/>
          <w:spacing w:val="-3"/>
          <w:highlight w:val="none"/>
        </w:rPr>
        <w:t>（3）重视对非物质文化遗产的数字影像记录和传承人的培养。</w:t>
      </w:r>
    </w:p>
    <w:p>
      <w:pPr>
        <w:pStyle w:val="5"/>
        <w:spacing w:before="360" w:after="120"/>
        <w:ind w:left="0"/>
        <w:rPr>
          <w:rFonts w:hint="default" w:ascii="Times New Roman" w:hAnsi="Times New Roman" w:cs="Times New Roman"/>
          <w:color w:val="auto"/>
          <w:szCs w:val="52"/>
          <w:highlight w:val="none"/>
        </w:rPr>
      </w:pPr>
      <w:bookmarkStart w:id="46" w:name="_Toc3594"/>
      <w:bookmarkStart w:id="47" w:name="_Toc6768"/>
      <w:bookmarkStart w:id="48" w:name="_Toc11854"/>
      <w:r>
        <w:rPr>
          <w:rFonts w:hint="default" w:ascii="Times New Roman" w:hAnsi="Times New Roman" w:cs="Times New Roman"/>
          <w:color w:val="auto"/>
          <w:szCs w:val="52"/>
          <w:highlight w:val="none"/>
        </w:rPr>
        <w:t>第八条 建设控制管理</w:t>
      </w:r>
      <w:bookmarkEnd w:id="46"/>
      <w:bookmarkEnd w:id="47"/>
      <w:bookmarkEnd w:id="48"/>
    </w:p>
    <w:p>
      <w:pPr>
        <w:pStyle w:val="14"/>
        <w:wordWrap w:val="0"/>
        <w:autoSpaceDE/>
        <w:autoSpaceDN/>
        <w:spacing w:before="33" w:line="348" w:lineRule="auto"/>
        <w:ind w:firstLine="440" w:firstLineChars="200"/>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0"/>
          <w:highlight w:val="none"/>
        </w:rPr>
        <w:t>风景名胜区内因生产、生活及旅游需求，需要进行必要的设施建设，根据风景名胜区的具体情况，可分为11种类型，具体见下表：</w:t>
      </w:r>
      <w:r>
        <w:rPr>
          <w:rFonts w:hint="default" w:ascii="Times New Roman" w:hAnsi="Times New Roman" w:cs="Times New Roman"/>
          <w:color w:val="auto"/>
          <w:sz w:val="22"/>
          <w:szCs w:val="22"/>
          <w:highlight w:val="none"/>
        </w:rPr>
        <w:t xml:space="preserve"> </w:t>
      </w:r>
    </w:p>
    <w:p>
      <w:pPr>
        <w:pStyle w:val="14"/>
        <w:autoSpaceDE/>
        <w:autoSpaceDN/>
        <w:spacing w:before="33" w:line="348" w:lineRule="auto"/>
        <w:ind w:right="333"/>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bidi="ar"/>
        </w:rPr>
        <w:t>表2-1分区设施控制与管理一览表</w:t>
      </w:r>
    </w:p>
    <w:tbl>
      <w:tblPr>
        <w:tblStyle w:val="21"/>
        <w:tblW w:w="4997" w:type="pct"/>
        <w:tblInd w:w="0" w:type="dxa"/>
        <w:tblLayout w:type="autofit"/>
        <w:tblCellMar>
          <w:top w:w="0" w:type="dxa"/>
          <w:left w:w="0" w:type="dxa"/>
          <w:bottom w:w="0" w:type="dxa"/>
          <w:right w:w="0" w:type="dxa"/>
        </w:tblCellMar>
      </w:tblPr>
      <w:tblGrid>
        <w:gridCol w:w="1350"/>
        <w:gridCol w:w="2696"/>
        <w:gridCol w:w="1283"/>
        <w:gridCol w:w="1284"/>
        <w:gridCol w:w="1241"/>
        <w:gridCol w:w="1281"/>
      </w:tblGrid>
      <w:tr>
        <w:tblPrEx>
          <w:tblCellMar>
            <w:top w:w="0" w:type="dxa"/>
            <w:left w:w="0" w:type="dxa"/>
            <w:bottom w:w="0" w:type="dxa"/>
            <w:right w:w="0" w:type="dxa"/>
          </w:tblCellMar>
        </w:tblPrEx>
        <w:trPr>
          <w:trHeight w:val="198" w:hRule="atLeast"/>
          <w:tblHeader/>
        </w:trPr>
        <w:tc>
          <w:tcPr>
            <w:tcW w:w="2214" w:type="pct"/>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bidi="ar"/>
              </w:rPr>
              <w:t>设施类型</w:t>
            </w:r>
          </w:p>
        </w:tc>
        <w:tc>
          <w:tcPr>
            <w:tcW w:w="1406"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bidi="ar"/>
              </w:rPr>
              <w:t>一级保护区</w:t>
            </w:r>
          </w:p>
        </w:tc>
        <w:tc>
          <w:tcPr>
            <w:tcW w:w="679"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bidi="ar"/>
              </w:rPr>
              <w:t>二级保护区</w:t>
            </w:r>
          </w:p>
        </w:tc>
        <w:tc>
          <w:tcPr>
            <w:tcW w:w="700"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lang w:bidi="ar"/>
              </w:rPr>
              <w:t>三级保护区</w:t>
            </w:r>
          </w:p>
        </w:tc>
      </w:tr>
      <w:tr>
        <w:tblPrEx>
          <w:tblCellMar>
            <w:top w:w="0" w:type="dxa"/>
            <w:left w:w="0" w:type="dxa"/>
            <w:bottom w:w="0" w:type="dxa"/>
            <w:right w:w="0" w:type="dxa"/>
          </w:tblCellMar>
        </w:tblPrEx>
        <w:trPr>
          <w:trHeight w:val="283" w:hRule="atLeast"/>
          <w:tblHeader/>
        </w:trPr>
        <w:tc>
          <w:tcPr>
            <w:tcW w:w="2214" w:type="pct"/>
            <w:gridSpan w:val="2"/>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lang w:bidi="ar"/>
              </w:rPr>
            </w:pP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宋体" w:cs="Times New Roman"/>
                <w:b/>
                <w:bCs/>
                <w:color w:val="auto"/>
                <w:sz w:val="22"/>
                <w:szCs w:val="22"/>
                <w:highlight w:val="none"/>
                <w:lang w:val="en-US" w:eastAsia="zh-CN" w:bidi="ar"/>
              </w:rPr>
            </w:pPr>
            <w:r>
              <w:rPr>
                <w:rFonts w:hint="default" w:ascii="Times New Roman" w:hAnsi="Times New Roman" w:cs="Times New Roman"/>
                <w:b/>
                <w:bCs/>
                <w:color w:val="auto"/>
                <w:sz w:val="22"/>
                <w:szCs w:val="22"/>
                <w:highlight w:val="none"/>
                <w:lang w:val="en-US" w:eastAsia="zh-CN" w:bidi="ar"/>
              </w:rPr>
              <w:t>特别保存区</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宋体" w:cs="Times New Roman"/>
                <w:b/>
                <w:bCs/>
                <w:color w:val="auto"/>
                <w:sz w:val="22"/>
                <w:szCs w:val="22"/>
                <w:highlight w:val="none"/>
                <w:lang w:val="en-US" w:eastAsia="zh-CN" w:bidi="ar-SA"/>
              </w:rPr>
            </w:pPr>
            <w:r>
              <w:rPr>
                <w:rFonts w:hint="default" w:ascii="Times New Roman" w:hAnsi="Times New Roman" w:cs="Times New Roman"/>
                <w:b/>
                <w:bCs/>
                <w:color w:val="auto"/>
                <w:sz w:val="22"/>
                <w:szCs w:val="22"/>
                <w:highlight w:val="none"/>
                <w:lang w:val="en-US" w:eastAsia="zh-CN" w:bidi="ar"/>
              </w:rPr>
              <w:t>风景游览区</w:t>
            </w:r>
          </w:p>
        </w:tc>
        <w:tc>
          <w:tcPr>
            <w:tcW w:w="679"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lang w:bidi="ar"/>
              </w:rPr>
            </w:pPr>
          </w:p>
        </w:tc>
        <w:tc>
          <w:tcPr>
            <w:tcW w:w="700"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b/>
                <w:bCs/>
                <w:color w:val="auto"/>
                <w:sz w:val="22"/>
                <w:szCs w:val="22"/>
                <w:highlight w:val="none"/>
                <w:lang w:bidi="ar"/>
              </w:rPr>
            </w:pP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1、道路交通</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索道、缆车、铁路、高等级公路</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机动车道、停车场</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栈道</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土路</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石砌步道</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其他铺装</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2、餐饮</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饮食点</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野餐点</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餐厅</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3、住宿</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野营点</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家庭客栈</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小型宾馆</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中型宾馆</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大型宾馆</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4、宣讲咨询</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解说设施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咨询中心</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5、购物</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小卖部、商亭</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商摊集市</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商店、银行金融</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大型综合商场</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6、娱乐设施</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大型文化、体育和娱乐设施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中型文化、体育和娱乐设施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小型文化、体育和娱乐设施</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7、管理设施</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行政管理设施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景点保护设施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游客监控设施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环境监控设施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8、游览设施</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风雨亭</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休息凳椅</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9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景观小品</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9、保健</w:t>
            </w: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卫生救护站（无床位）</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医院（有床位）</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疗养院（有床位）</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10、基础设施</w:t>
            </w: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邮政设施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电力设施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电讯设施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给水设施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排水管网</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环卫设施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防火通道</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消防设施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left"/>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防洪设施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MS Mincho"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283" w:hRule="atLeast"/>
        </w:trPr>
        <w:tc>
          <w:tcPr>
            <w:tcW w:w="738"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jc w:val="left"/>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11、其他</w:t>
            </w: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科教、纪念设施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32"/>
                <w:szCs w:val="32"/>
                <w:highlight w:val="none"/>
                <w:lang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32"/>
                <w:szCs w:val="32"/>
                <w:highlight w:val="none"/>
                <w:lang w:bidi="ar"/>
              </w:rPr>
            </w:pPr>
            <w:r>
              <w:rPr>
                <w:rFonts w:hint="default" w:ascii="Times New Roman" w:hAnsi="Times New Roman" w:cs="Times New Roman"/>
                <w:color w:val="auto"/>
                <w:sz w:val="32"/>
                <w:szCs w:val="32"/>
                <w:highlight w:val="none"/>
                <w:lang w:bidi="ar"/>
              </w:rPr>
              <w:t>●</w:t>
            </w:r>
          </w:p>
        </w:tc>
      </w:tr>
      <w:tr>
        <w:tblPrEx>
          <w:tblCellMar>
            <w:top w:w="0" w:type="dxa"/>
            <w:left w:w="0" w:type="dxa"/>
            <w:bottom w:w="0" w:type="dxa"/>
            <w:right w:w="0" w:type="dxa"/>
          </w:tblCellMar>
        </w:tblPrEx>
        <w:trPr>
          <w:trHeight w:val="305"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center"/>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节庆、乡土类设施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bidi="ar"/>
              </w:rPr>
              <w:t>◯</w:t>
            </w:r>
          </w:p>
        </w:tc>
      </w:tr>
      <w:tr>
        <w:tblPrEx>
          <w:tblCellMar>
            <w:top w:w="0" w:type="dxa"/>
            <w:left w:w="0" w:type="dxa"/>
            <w:bottom w:w="0" w:type="dxa"/>
            <w:right w:w="0" w:type="dxa"/>
          </w:tblCellMar>
        </w:tblPrEx>
        <w:trPr>
          <w:trHeight w:val="319" w:hRule="atLeast"/>
        </w:trPr>
        <w:tc>
          <w:tcPr>
            <w:tcW w:w="738"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16" w:lineRule="auto"/>
              <w:jc w:val="center"/>
              <w:rPr>
                <w:rFonts w:hint="default" w:ascii="Times New Roman" w:hAnsi="Times New Roman" w:cs="Times New Roman"/>
                <w:color w:val="auto"/>
                <w:sz w:val="22"/>
                <w:szCs w:val="22"/>
                <w:highlight w:val="none"/>
              </w:rPr>
            </w:pPr>
          </w:p>
        </w:tc>
        <w:tc>
          <w:tcPr>
            <w:tcW w:w="147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宗教设施</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eastAsia="微软雅黑" w:cs="Times New Roman"/>
                <w:color w:val="auto"/>
                <w:sz w:val="22"/>
                <w:szCs w:val="22"/>
                <w:highlight w:val="none"/>
                <w:lang w:bidi="ar"/>
              </w:rPr>
            </w:pPr>
            <w:r>
              <w:rPr>
                <w:rFonts w:hint="default" w:ascii="Times New Roman" w:hAnsi="Times New Roman" w:eastAsia="MS Mincho" w:cs="Times New Roman"/>
                <w:color w:val="auto"/>
                <w:sz w:val="22"/>
                <w:szCs w:val="22"/>
                <w:highlight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MS Mincho" w:cs="Times New Roman"/>
                <w:color w:val="auto"/>
                <w:sz w:val="22"/>
                <w:szCs w:val="22"/>
                <w:highlight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Style w:val="42"/>
                <w:rFonts w:hint="default" w:ascii="Times New Roman" w:hAnsi="Times New Roman" w:cs="Times New Roman"/>
                <w:color w:val="auto"/>
                <w:szCs w:val="22"/>
                <w:highlight w:val="none"/>
                <w:lang w:bidi="ar"/>
              </w:rPr>
              <w:t>△</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16" w:lineRule="auto"/>
              <w:jc w:val="center"/>
              <w:textAlignment w:val="center"/>
              <w:rPr>
                <w:rFonts w:hint="default" w:ascii="Times New Roman" w:hAnsi="Times New Roman" w:cs="Times New Roman"/>
                <w:color w:val="auto"/>
                <w:sz w:val="22"/>
                <w:szCs w:val="22"/>
                <w:highlight w:val="none"/>
              </w:rPr>
            </w:pPr>
            <w:r>
              <w:rPr>
                <w:rStyle w:val="42"/>
                <w:rFonts w:hint="default" w:ascii="Times New Roman" w:hAnsi="Times New Roman" w:cs="Times New Roman"/>
                <w:color w:val="auto"/>
                <w:szCs w:val="22"/>
                <w:highlight w:val="none"/>
                <w:lang w:bidi="ar"/>
              </w:rPr>
              <w:t>△</w:t>
            </w:r>
          </w:p>
        </w:tc>
      </w:tr>
      <w:tr>
        <w:tblPrEx>
          <w:tblCellMar>
            <w:top w:w="0" w:type="dxa"/>
            <w:left w:w="0" w:type="dxa"/>
            <w:bottom w:w="0" w:type="dxa"/>
            <w:right w:w="0" w:type="dxa"/>
          </w:tblCellMar>
        </w:tblPrEx>
        <w:trPr>
          <w:trHeight w:val="283" w:hRule="atLeast"/>
        </w:trPr>
        <w:tc>
          <w:tcPr>
            <w:tcW w:w="5000" w:type="pct"/>
            <w:gridSpan w:val="6"/>
            <w:tcBorders>
              <w:top w:val="nil"/>
              <w:left w:val="nil"/>
              <w:bottom w:val="nil"/>
              <w:right w:val="nil"/>
            </w:tcBorders>
            <w:tcMar>
              <w:top w:w="15" w:type="dxa"/>
              <w:left w:w="15" w:type="dxa"/>
              <w:right w:w="15" w:type="dxa"/>
            </w:tcMar>
            <w:vAlign w:val="center"/>
          </w:tcPr>
          <w:p>
            <w:pPr>
              <w:widowControl/>
              <w:spacing w:line="216" w:lineRule="auto"/>
              <w:textAlignment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bidi="ar"/>
              </w:rPr>
              <w:t>注：</w:t>
            </w:r>
            <w:r>
              <w:rPr>
                <w:rFonts w:hint="default" w:ascii="Times New Roman" w:hAnsi="Times New Roman" w:cs="Times New Roman"/>
                <w:color w:val="auto"/>
                <w:sz w:val="22"/>
                <w:szCs w:val="22"/>
                <w:highlight w:val="none"/>
                <w:lang w:bidi="ar"/>
              </w:rPr>
              <w:t>●</w:t>
            </w:r>
            <w:r>
              <w:rPr>
                <w:rStyle w:val="42"/>
                <w:rFonts w:hint="default" w:ascii="Times New Roman" w:hAnsi="Times New Roman" w:cs="Times New Roman"/>
                <w:color w:val="auto"/>
                <w:sz w:val="21"/>
                <w:szCs w:val="21"/>
                <w:highlight w:val="none"/>
                <w:lang w:bidi="ar"/>
              </w:rPr>
              <w:t>应该设置，○有条件可以设置（需论证），△可保留不宜设置，</w:t>
            </w:r>
            <w:r>
              <w:rPr>
                <w:rFonts w:hint="default" w:ascii="Times New Roman" w:hAnsi="Times New Roman" w:eastAsia="MS Mincho" w:cs="Times New Roman"/>
                <w:color w:val="auto"/>
                <w:sz w:val="22"/>
                <w:szCs w:val="22"/>
                <w:highlight w:val="none"/>
                <w:lang w:val="en-US" w:eastAsia="zh-CN" w:bidi="ar"/>
              </w:rPr>
              <w:t>✕</w:t>
            </w:r>
            <w:r>
              <w:rPr>
                <w:rStyle w:val="42"/>
                <w:rFonts w:hint="default" w:ascii="Times New Roman" w:hAnsi="Times New Roman" w:cs="Times New Roman"/>
                <w:color w:val="auto"/>
                <w:sz w:val="21"/>
                <w:szCs w:val="21"/>
                <w:highlight w:val="none"/>
                <w:lang w:bidi="ar"/>
              </w:rPr>
              <w:t>禁止设置</w:t>
            </w:r>
          </w:p>
        </w:tc>
      </w:tr>
    </w:tbl>
    <w:p>
      <w:pPr>
        <w:pStyle w:val="5"/>
        <w:tabs>
          <w:tab w:val="left" w:pos="6548"/>
        </w:tabs>
        <w:spacing w:before="360" w:after="120"/>
        <w:ind w:left="0"/>
        <w:rPr>
          <w:rFonts w:hint="eastAsia" w:ascii="Times New Roman" w:hAnsi="Times New Roman" w:eastAsia="宋体" w:cs="Times New Roman"/>
          <w:color w:val="auto"/>
          <w:szCs w:val="52"/>
          <w:highlight w:val="none"/>
          <w:lang w:eastAsia="zh-CN"/>
        </w:rPr>
      </w:pPr>
      <w:bookmarkStart w:id="49" w:name="_Toc2235"/>
      <w:bookmarkStart w:id="50" w:name="_Toc10338"/>
      <w:bookmarkStart w:id="51" w:name="_Toc23536"/>
      <w:r>
        <w:rPr>
          <w:rFonts w:hint="default" w:ascii="Times New Roman" w:hAnsi="Times New Roman" w:cs="Times New Roman"/>
          <w:color w:val="auto"/>
          <w:szCs w:val="52"/>
          <w:highlight w:val="none"/>
        </w:rPr>
        <w:t>第九条 生态环境保护</w:t>
      </w:r>
      <w:bookmarkEnd w:id="49"/>
      <w:bookmarkEnd w:id="50"/>
      <w:bookmarkEnd w:id="51"/>
      <w:r>
        <w:rPr>
          <w:rFonts w:hint="eastAsia" w:ascii="Times New Roman" w:hAnsi="Times New Roman" w:cs="Times New Roman"/>
          <w:color w:val="auto"/>
          <w:szCs w:val="52"/>
          <w:highlight w:val="none"/>
          <w:lang w:eastAsia="zh-CN"/>
        </w:rPr>
        <w:tab/>
      </w:r>
    </w:p>
    <w:p>
      <w:pPr>
        <w:pStyle w:val="14"/>
        <w:wordWrap w:val="0"/>
        <w:autoSpaceDE/>
        <w:autoSpaceDN/>
        <w:spacing w:before="33"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按照分级保护的要求实施生态环境保护，对符合风景名胜区建设要求的项目必须严格执行环境影响评价制度和“三同时”制度。</w:t>
      </w:r>
    </w:p>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表2-2 生态环境保护目标表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331"/>
        <w:gridCol w:w="2332"/>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rPr>
              <w:t>分级保护区划</w:t>
            </w:r>
          </w:p>
        </w:tc>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rPr>
              <w:t>大气环境质量</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rPr>
              <w:t>水环境质量</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rPr>
              <w:t>环境噪声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一级保护区</w:t>
            </w:r>
          </w:p>
        </w:tc>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达到一级</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w:t>
            </w:r>
            <w:r>
              <w:rPr>
                <w:rFonts w:hint="default" w:ascii="Times New Roman" w:hAnsi="Times New Roman" w:eastAsia="微软雅黑" w:cs="Times New Roman"/>
                <w:color w:val="auto"/>
                <w:sz w:val="22"/>
                <w:szCs w:val="22"/>
                <w:highlight w:val="none"/>
              </w:rPr>
              <w:t>Ⅰ</w:t>
            </w:r>
            <w:r>
              <w:rPr>
                <w:rFonts w:hint="default" w:ascii="Times New Roman" w:hAnsi="Times New Roman" w:cs="Times New Roman"/>
                <w:color w:val="auto"/>
                <w:sz w:val="22"/>
                <w:szCs w:val="22"/>
                <w:highlight w:val="none"/>
              </w:rPr>
              <w:t>类</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优于 0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二级保护区</w:t>
            </w:r>
          </w:p>
        </w:tc>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达到一级</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 Ⅱ 类</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优于 0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三级保护区</w:t>
            </w:r>
          </w:p>
        </w:tc>
        <w:tc>
          <w:tcPr>
            <w:tcW w:w="2331"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达到一级</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达到 Ⅱ 类</w:t>
            </w:r>
          </w:p>
        </w:tc>
        <w:tc>
          <w:tcPr>
            <w:tcW w:w="2332" w:type="dxa"/>
          </w:tcPr>
          <w:p>
            <w:pPr>
              <w:pStyle w:val="14"/>
              <w:overflowPunct w:val="0"/>
              <w:spacing w:before="71"/>
              <w:jc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color w:val="auto"/>
                <w:sz w:val="22"/>
                <w:szCs w:val="22"/>
                <w:highlight w:val="none"/>
              </w:rPr>
              <w:t>优于 1 类</w:t>
            </w:r>
          </w:p>
        </w:tc>
      </w:tr>
    </w:tbl>
    <w:p>
      <w:pPr>
        <w:pStyle w:val="14"/>
        <w:overflowPunct w:val="0"/>
        <w:spacing w:before="6"/>
        <w:rPr>
          <w:rFonts w:hint="default" w:ascii="Times New Roman" w:hAnsi="Times New Roman" w:eastAsia="黑体" w:cs="Times New Roman"/>
          <w:color w:val="auto"/>
          <w:sz w:val="3"/>
          <w:szCs w:val="3"/>
          <w:highlight w:val="none"/>
        </w:rPr>
      </w:pPr>
    </w:p>
    <w:p>
      <w:pPr>
        <w:rPr>
          <w:rFonts w:hint="default" w:ascii="Times New Roman" w:hAnsi="Times New Roman" w:cs="Times New Roman"/>
          <w:color w:val="auto"/>
          <w:highlight w:val="none"/>
        </w:rPr>
      </w:pPr>
      <w:bookmarkStart w:id="52" w:name="_Toc11957"/>
      <w:r>
        <w:rPr>
          <w:rFonts w:hint="default" w:ascii="Times New Roman" w:hAnsi="Times New Roman" w:cs="Times New Roman"/>
          <w:color w:val="auto"/>
          <w:highlight w:val="none"/>
        </w:rPr>
        <w:br w:type="page"/>
      </w:r>
    </w:p>
    <w:p>
      <w:pPr>
        <w:pStyle w:val="4"/>
        <w:spacing w:before="240" w:after="720"/>
        <w:rPr>
          <w:rFonts w:hint="default" w:ascii="Times New Roman" w:hAnsi="Times New Roman" w:cs="Times New Roman"/>
          <w:color w:val="auto"/>
          <w:highlight w:val="none"/>
        </w:rPr>
      </w:pPr>
      <w:bookmarkStart w:id="53" w:name="_Toc8903"/>
      <w:bookmarkStart w:id="54" w:name="_Toc11689"/>
      <w:bookmarkStart w:id="55" w:name="_Toc22130"/>
      <w:bookmarkStart w:id="56" w:name="_Toc5231"/>
      <w:r>
        <w:rPr>
          <w:rFonts w:hint="default" w:ascii="Times New Roman" w:hAnsi="Times New Roman" w:cs="Times New Roman"/>
          <w:color w:val="auto"/>
          <w:highlight w:val="none"/>
        </w:rPr>
        <w:t>第三章 游赏规划</w:t>
      </w:r>
      <w:bookmarkEnd w:id="52"/>
      <w:bookmarkEnd w:id="53"/>
      <w:bookmarkEnd w:id="54"/>
      <w:bookmarkEnd w:id="55"/>
      <w:bookmarkEnd w:id="56"/>
    </w:p>
    <w:p>
      <w:pPr>
        <w:pStyle w:val="5"/>
        <w:spacing w:before="360" w:after="120"/>
        <w:ind w:left="0"/>
        <w:rPr>
          <w:rFonts w:hint="default" w:ascii="Times New Roman" w:hAnsi="Times New Roman" w:cs="Times New Roman"/>
          <w:color w:val="auto"/>
          <w:szCs w:val="52"/>
          <w:highlight w:val="none"/>
        </w:rPr>
      </w:pPr>
      <w:bookmarkStart w:id="57" w:name="_Toc24412"/>
      <w:bookmarkStart w:id="58" w:name="_Toc29954"/>
      <w:bookmarkStart w:id="59" w:name="_Toc3911"/>
      <w:bookmarkStart w:id="60" w:name="_Toc13916"/>
      <w:r>
        <w:rPr>
          <w:rFonts w:hint="default" w:ascii="Times New Roman" w:hAnsi="Times New Roman" w:cs="Times New Roman"/>
          <w:color w:val="auto"/>
          <w:szCs w:val="52"/>
          <w:highlight w:val="none"/>
        </w:rPr>
        <w:t>第十条 游客容量</w:t>
      </w:r>
      <w:bookmarkEnd w:id="57"/>
      <w:bookmarkEnd w:id="58"/>
      <w:bookmarkEnd w:id="59"/>
      <w:bookmarkEnd w:id="60"/>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bookmarkStart w:id="61" w:name="_Toc9033"/>
      <w:r>
        <w:rPr>
          <w:rFonts w:hint="default" w:ascii="Times New Roman" w:hAnsi="Times New Roman" w:cs="Times New Roman"/>
          <w:color w:val="auto"/>
          <w:highlight w:val="none"/>
        </w:rPr>
        <w:t>风景名胜区</w:t>
      </w:r>
      <w:r>
        <w:rPr>
          <w:rFonts w:hint="default" w:ascii="Times New Roman" w:hAnsi="Times New Roman" w:cs="Times New Roman"/>
          <w:color w:val="auto"/>
          <w:spacing w:val="-3"/>
          <w:highlight w:val="none"/>
        </w:rPr>
        <w:t>一次性游客容量为 13200</w:t>
      </w:r>
      <w:r>
        <w:rPr>
          <w:rFonts w:hint="default" w:ascii="Times New Roman" w:hAnsi="Times New Roman" w:cs="Times New Roman"/>
          <w:color w:val="auto"/>
          <w:highlight w:val="none"/>
        </w:rPr>
        <w:t>人/次</w:t>
      </w:r>
      <w:r>
        <w:rPr>
          <w:rFonts w:hint="default" w:ascii="Times New Roman" w:hAnsi="Times New Roman" w:cs="Times New Roman"/>
          <w:color w:val="auto"/>
          <w:spacing w:val="-3"/>
          <w:highlight w:val="none"/>
        </w:rPr>
        <w:t>，日游客容量为20600人次/日。</w:t>
      </w:r>
      <w:r>
        <w:rPr>
          <w:rFonts w:hint="default" w:ascii="Times New Roman" w:hAnsi="Times New Roman" w:cs="Times New Roman"/>
          <w:color w:val="auto"/>
          <w:highlight w:val="none"/>
        </w:rPr>
        <w:t>其中天村景区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915人/次，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容量为1830人次/日；索朗景区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2620人/次，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容量为2620人次/日；达森景区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1780人/次，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容量为1780人次/日；七湖景区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3520人/次，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容量为7040人次/日；泽仁措景区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2595人/次，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容量为4680人次/日；次淋措景区</w:t>
      </w:r>
      <w:r>
        <w:rPr>
          <w:rFonts w:hint="default" w:ascii="Times New Roman" w:hAnsi="Times New Roman" w:cs="Times New Roman"/>
          <w:color w:val="auto"/>
          <w:spacing w:val="-3"/>
          <w:highlight w:val="none"/>
        </w:rPr>
        <w:t>一次性游客容量为</w:t>
      </w:r>
      <w:r>
        <w:rPr>
          <w:rFonts w:hint="default" w:ascii="Times New Roman" w:hAnsi="Times New Roman" w:cs="Times New Roman"/>
          <w:color w:val="auto"/>
          <w:highlight w:val="none"/>
        </w:rPr>
        <w:t>1800人/次，</w:t>
      </w:r>
      <w:r>
        <w:rPr>
          <w:rFonts w:hint="default" w:ascii="Times New Roman" w:hAnsi="Times New Roman" w:cs="Times New Roman"/>
          <w:color w:val="auto"/>
          <w:spacing w:val="-3"/>
          <w:highlight w:val="none"/>
        </w:rPr>
        <w:t>日游客</w:t>
      </w:r>
      <w:r>
        <w:rPr>
          <w:rFonts w:hint="default" w:ascii="Times New Roman" w:hAnsi="Times New Roman" w:cs="Times New Roman"/>
          <w:color w:val="auto"/>
          <w:highlight w:val="none"/>
        </w:rPr>
        <w:t>容量为2700人次/日（见附表3-1）。</w:t>
      </w:r>
    </w:p>
    <w:p>
      <w:pPr>
        <w:pStyle w:val="5"/>
        <w:spacing w:before="360" w:after="120"/>
        <w:ind w:left="0"/>
        <w:rPr>
          <w:rFonts w:hint="default" w:ascii="Times New Roman" w:hAnsi="Times New Roman" w:cs="Times New Roman"/>
          <w:color w:val="auto"/>
          <w:szCs w:val="52"/>
          <w:highlight w:val="none"/>
        </w:rPr>
      </w:pPr>
      <w:bookmarkStart w:id="62" w:name="_Toc13663"/>
      <w:bookmarkStart w:id="63" w:name="_Toc22976"/>
      <w:r>
        <w:rPr>
          <w:rFonts w:hint="default" w:ascii="Times New Roman" w:hAnsi="Times New Roman" w:cs="Times New Roman"/>
          <w:color w:val="auto"/>
          <w:szCs w:val="52"/>
          <w:highlight w:val="none"/>
        </w:rPr>
        <w:t>第十一条 景区规划</w:t>
      </w:r>
      <w:bookmarkEnd w:id="61"/>
      <w:bookmarkEnd w:id="62"/>
      <w:bookmarkEnd w:id="63"/>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1、景区规划 </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天村景区：位于风景名胜区北部，面积为14.23平方公里，包含热勒拥沟沿线及那拉岗村（天村）周边区域。景区以民族文化风情资源和自然生态景观为支撑，重点开展民俗文化风情体验、非遗文化展示表演、非遗文创、生态观光、乡村休闲等活动。</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（2）索朗景区：位于风景名胜区中西部，面积为24.39平方公里，包含索朗峰、本仍草场、石古碉堡等。景区以自然生态景观为支撑，重点开展生态观光、登山徒步、科普教育和研学旅游等活动。 </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（3）达森景区：位于风景名胜区中东部，面积为13.8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平方公里，包含达森牧场、杜鹃山等景点。景区以高山杜鹃花海特色景观为支撑，具有一定的季节性，重点开展高山杜鹃花海观光等活动。</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4）七湖景区：位于风景名胜区西南部，面积为23.11平方公里，包含日朗拥措七湖、布该牧场、日朗拥草甸、蛇泉、牛棚子等景点。景区围绕日朗拥措七湖重点开展冰蚀湖泊观景、峡谷穿越、古冰川地貌观光游赏为主题的旅游活动，未来建设成为户外徒步旅游观光目的地。 </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（5）泽仁措景区：位于风景名胜区南部，七湖景区南侧，面积为13.6</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 xml:space="preserve">平方公里，包含泽仁措、次乔措等冰蚀湖泊群以及部分杜鹃林。景区以泽仁措为核心开展冰蚀湖泊观景和生态植物观景等旅游活动。 </w:t>
      </w:r>
    </w:p>
    <w:p>
      <w:pPr>
        <w:pStyle w:val="14"/>
        <w:widowControl/>
        <w:autoSpaceDE/>
        <w:autoSpaceDN/>
        <w:spacing w:before="33"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（6）次淋措景区：位于风景名胜区最南端，面积为10.</w:t>
      </w:r>
      <w:r>
        <w:rPr>
          <w:rFonts w:hint="default" w:ascii="Times New Roman" w:hAnsi="Times New Roman" w:cs="Times New Roman"/>
          <w:color w:val="auto"/>
          <w:highlight w:val="none"/>
          <w:lang w:val="en-US" w:eastAsia="zh-CN"/>
        </w:rPr>
        <w:t>40</w:t>
      </w:r>
      <w:r>
        <w:rPr>
          <w:rFonts w:hint="default" w:ascii="Times New Roman" w:hAnsi="Times New Roman" w:cs="Times New Roman"/>
          <w:color w:val="auto"/>
          <w:highlight w:val="none"/>
        </w:rPr>
        <w:t xml:space="preserve">平方公里，包含楚足牧场、次淋措等景点。景区以次淋措冰蚀湖泊群为核心开展冰蚀湖泊观景和高山牧场体验等旅游活动，加强与稻城县交通连接，形成风景名胜区的次入口。 </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bookmarkStart w:id="64" w:name="_Toc1079"/>
      <w:r>
        <w:rPr>
          <w:rFonts w:hint="default" w:ascii="Times New Roman" w:hAnsi="Times New Roman" w:cs="Times New Roman"/>
          <w:color w:val="auto"/>
          <w:highlight w:val="none"/>
        </w:rPr>
        <w:t>2、风景名胜区游程规划</w:t>
      </w:r>
      <w:bookmarkEnd w:id="64"/>
      <w:r>
        <w:rPr>
          <w:rFonts w:hint="default" w:ascii="Times New Roman" w:hAnsi="Times New Roman" w:cs="Times New Roman"/>
          <w:color w:val="auto"/>
          <w:highlight w:val="none"/>
        </w:rPr>
        <w:t xml:space="preserve"> </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（1）一日游：</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乡城—那拉岗村（天村）—石古碉堡—布该牧场—七湖—乡城。</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乡城—那拉岗村（天村）—石古碉堡—杜鹃山—七湖—泽仁措—次淋措—乡城。</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（2）二日游：</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bookmarkStart w:id="65" w:name="_Toc23902"/>
      <w:bookmarkStart w:id="66" w:name="_Toc24800"/>
      <w:bookmarkStart w:id="67" w:name="_Toc5544"/>
      <w:bookmarkStart w:id="68" w:name="_Toc4423"/>
      <w:r>
        <w:rPr>
          <w:rFonts w:hint="default" w:ascii="Times New Roman" w:hAnsi="Times New Roman" w:cs="Times New Roman"/>
          <w:color w:val="auto"/>
          <w:spacing w:val="-11"/>
          <w:highlight w:val="none"/>
        </w:rPr>
        <w:t>远期</w:t>
      </w:r>
      <w:r>
        <w:rPr>
          <w:rFonts w:hint="default" w:ascii="Times New Roman" w:hAnsi="Times New Roman" w:cs="Times New Roman"/>
          <w:color w:val="auto"/>
          <w:spacing w:val="-11"/>
          <w:highlight w:val="none"/>
          <w:lang w:eastAsia="zh-CN"/>
        </w:rPr>
        <w:t>：</w:t>
      </w:r>
      <w:r>
        <w:rPr>
          <w:rFonts w:hint="default" w:ascii="Times New Roman" w:hAnsi="Times New Roman" w:cs="Times New Roman"/>
          <w:color w:val="auto"/>
          <w:spacing w:val="-11"/>
          <w:highlight w:val="none"/>
        </w:rPr>
        <w:t>乡城—桃坞—沙沧五瀑—那拉岗村（天村）—珍珠滩—石古碉堡—热拥牧场（露营）—七湖—泽仁措—楚足牧场—次淋措—稻城。</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远期</w:t>
      </w:r>
      <w:r>
        <w:rPr>
          <w:rFonts w:hint="default" w:ascii="Times New Roman" w:hAnsi="Times New Roman" w:cs="Times New Roman"/>
          <w:color w:val="auto"/>
          <w:spacing w:val="-11"/>
          <w:highlight w:val="none"/>
          <w:lang w:eastAsia="zh-CN"/>
        </w:rPr>
        <w:t>：</w:t>
      </w:r>
      <w:r>
        <w:rPr>
          <w:rFonts w:hint="default" w:ascii="Times New Roman" w:hAnsi="Times New Roman" w:cs="Times New Roman"/>
          <w:color w:val="auto"/>
          <w:spacing w:val="-11"/>
          <w:highlight w:val="none"/>
        </w:rPr>
        <w:t>稻城—次淋措—泽仁措—楚足牧场（露营）—七湖—热拥牧场—索朗峰—杜鹃山—那拉岗村（天村）—桃坞—沙沧五瀑—乡城。</w:t>
      </w:r>
    </w:p>
    <w:bookmarkEnd w:id="65"/>
    <w:p>
      <w:pPr>
        <w:pStyle w:val="5"/>
        <w:spacing w:before="360" w:after="120"/>
        <w:ind w:left="0"/>
        <w:rPr>
          <w:rFonts w:hint="default" w:ascii="Times New Roman" w:hAnsi="Times New Roman" w:cs="Times New Roman"/>
          <w:color w:val="auto"/>
          <w:szCs w:val="52"/>
          <w:highlight w:val="none"/>
        </w:rPr>
      </w:pPr>
      <w:bookmarkStart w:id="69" w:name="_Toc19520"/>
      <w:r>
        <w:rPr>
          <w:rFonts w:hint="default" w:ascii="Times New Roman" w:hAnsi="Times New Roman" w:cs="Times New Roman"/>
          <w:color w:val="auto"/>
          <w:szCs w:val="52"/>
          <w:highlight w:val="none"/>
        </w:rPr>
        <w:t xml:space="preserve">第十二条 </w:t>
      </w:r>
      <w:bookmarkEnd w:id="66"/>
      <w:r>
        <w:rPr>
          <w:rFonts w:hint="default" w:ascii="Times New Roman" w:hAnsi="Times New Roman" w:cs="Times New Roman"/>
          <w:color w:val="auto"/>
          <w:szCs w:val="52"/>
          <w:highlight w:val="none"/>
        </w:rPr>
        <w:t>典型景观规划</w:t>
      </w:r>
      <w:bookmarkEnd w:id="67"/>
      <w:bookmarkEnd w:id="68"/>
      <w:bookmarkEnd w:id="69"/>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风景名胜区主要包括“科考价值极高的冰蚀湖泊地貌景观”和“浓郁独特的民族风情”两大典型景观。典型景观区域是风景名胜区游客游览的主要区域，应严格控制游客规模，严格规定游人活动范围，当游客规模出现超载时，应引导游客向风景名胜区其他区域进行分流，防止因为风景游赏活动的失控而影响游客生命安全和景观生态环境的</w:t>
      </w:r>
      <w:r>
        <w:rPr>
          <w:rFonts w:hint="default" w:ascii="Times New Roman" w:hAnsi="Times New Roman" w:cs="Times New Roman"/>
          <w:color w:val="auto"/>
          <w:highlight w:val="none"/>
          <w:lang w:val="en-US" w:eastAsia="zh-CN"/>
        </w:rPr>
        <w:t>情况</w:t>
      </w:r>
      <w:r>
        <w:rPr>
          <w:rFonts w:hint="default" w:ascii="Times New Roman" w:hAnsi="Times New Roman" w:cs="Times New Roman"/>
          <w:color w:val="auto"/>
          <w:highlight w:val="none"/>
        </w:rPr>
        <w:t>发生。</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1、冰蚀湖泊地貌景观</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包括七湖景区、泽仁措景区和次淋措景区。保护景区内冰蚀湖泊的自然形态水体岸线，做好水体水质检测，结合周边自然植被和生态群落，按照冰蚀湖泊</w:t>
      </w:r>
      <w:r>
        <w:rPr>
          <w:rFonts w:hint="default" w:ascii="Times New Roman" w:hAnsi="Times New Roman" w:cs="Times New Roman"/>
          <w:color w:val="auto"/>
          <w:szCs w:val="32"/>
          <w:highlight w:val="none"/>
        </w:rPr>
        <w:t>景观的脆弱度、景观价值、可达性等因素分为</w:t>
      </w:r>
      <w:r>
        <w:rPr>
          <w:rFonts w:hint="default" w:ascii="Times New Roman" w:hAnsi="Times New Roman" w:cs="Times New Roman"/>
          <w:color w:val="auto"/>
          <w:highlight w:val="none"/>
        </w:rPr>
        <w:t xml:space="preserve">近距离游赏景观、远距离观赏景观，通过主要交通线路联系各个景区，景区内以“车行+徒步”相结合的方式开展游览，以七湖和楚足旅游点为游览支撑，在日朗拥措、杜比可山、泽仁牧场、泽仁措、翡翠海、次淋措服务部为游客设置小卖部、休息亭等旅游服务设施，并在湖群周边（河道管理范围外）设置4处观景点（见图3-2-1）。 </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2、浓郁独特的民族风情</w:t>
      </w:r>
    </w:p>
    <w:p>
      <w:pPr>
        <w:pStyle w:val="14"/>
        <w:wordWrap w:val="0"/>
        <w:autoSpaceDE/>
        <w:autoSpaceDN/>
        <w:spacing w:line="34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主要游览区域为天村景区，以传统藏寨、石古碉楼等建筑景观资源和康巴人文风情资源</w:t>
      </w:r>
      <w:bookmarkStart w:id="70" w:name="_Hlk136361848"/>
      <w:r>
        <w:rPr>
          <w:rFonts w:hint="default" w:ascii="Times New Roman" w:hAnsi="Times New Roman" w:cs="Times New Roman"/>
          <w:color w:val="auto"/>
          <w:highlight w:val="none"/>
        </w:rPr>
        <w:t>为代表，</w:t>
      </w:r>
      <w:bookmarkEnd w:id="70"/>
      <w:r>
        <w:rPr>
          <w:rFonts w:hint="default" w:ascii="Times New Roman" w:hAnsi="Times New Roman" w:cs="Times New Roman"/>
          <w:color w:val="auto"/>
          <w:highlight w:val="none"/>
        </w:rPr>
        <w:t xml:space="preserve">利用“车行+徒步”相结合的方式进行游览。结合那拉岗村（天村）游客中心设置旅游车站和观光车站点，植入民宿和特色餐饮等旅游业态，形成风景名胜区的旅游大本营（见图3-2-2）。 </w:t>
      </w:r>
    </w:p>
    <w:p>
      <w:pPr>
        <w:pStyle w:val="5"/>
        <w:spacing w:before="360" w:after="120"/>
        <w:ind w:left="0"/>
        <w:rPr>
          <w:rFonts w:hint="default" w:ascii="Times New Roman" w:hAnsi="Times New Roman" w:cs="Times New Roman"/>
          <w:color w:val="auto"/>
          <w:szCs w:val="52"/>
          <w:highlight w:val="none"/>
        </w:rPr>
      </w:pPr>
      <w:bookmarkStart w:id="71" w:name="_Toc14090"/>
      <w:bookmarkStart w:id="72" w:name="_Toc18505"/>
      <w:bookmarkStart w:id="73" w:name="_Toc28425"/>
      <w:r>
        <w:rPr>
          <w:rFonts w:hint="default" w:ascii="Times New Roman" w:hAnsi="Times New Roman" w:cs="Times New Roman"/>
          <w:color w:val="auto"/>
          <w:szCs w:val="52"/>
          <w:highlight w:val="none"/>
        </w:rPr>
        <w:t>第十三条 解说展示场所与方式</w:t>
      </w:r>
      <w:bookmarkEnd w:id="71"/>
      <w:bookmarkEnd w:id="72"/>
      <w:bookmarkEnd w:id="73"/>
    </w:p>
    <w:p>
      <w:pPr>
        <w:pStyle w:val="14"/>
        <w:wordWrap w:val="0"/>
        <w:autoSpaceDE/>
        <w:autoSpaceDN/>
        <w:spacing w:line="346"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 xml:space="preserve">1、解说展示场所 </w:t>
      </w:r>
    </w:p>
    <w:p>
      <w:pPr>
        <w:pStyle w:val="14"/>
        <w:wordWrap w:val="0"/>
        <w:autoSpaceDE/>
        <w:autoSpaceDN/>
        <w:spacing w:line="346"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保留位于那拉岗村（天村）的游客中心，在七湖（热拥牧场）旅游点新建一处咨询服务中心</w:t>
      </w:r>
      <w:r>
        <w:rPr>
          <w:rStyle w:val="26"/>
          <w:rFonts w:hint="default" w:ascii="Times New Roman" w:hAnsi="Times New Roman" w:cs="Times New Roman"/>
          <w:color w:val="auto"/>
          <w:sz w:val="20"/>
          <w:szCs w:val="20"/>
          <w:highlight w:val="none"/>
        </w:rPr>
        <w:t>，</w:t>
      </w:r>
      <w:r>
        <w:rPr>
          <w:rFonts w:hint="default" w:ascii="Times New Roman" w:hAnsi="Times New Roman" w:cs="Times New Roman"/>
          <w:color w:val="auto"/>
          <w:spacing w:val="-10"/>
          <w:highlight w:val="none"/>
        </w:rPr>
        <w:t>在楚足牧场旅游点、沙沧服务部、日朗拥措服务部、杜比可山服务部、次央休服务部、达森牧场服务部、泽仁牧场服务部、泽仁措服务部、翡翠海服务部、次淋措服务部提供导游服务。</w:t>
      </w:r>
    </w:p>
    <w:p>
      <w:pPr>
        <w:pStyle w:val="14"/>
        <w:wordWrap w:val="0"/>
        <w:autoSpaceDE/>
        <w:autoSpaceDN/>
        <w:spacing w:line="346"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 xml:space="preserve">2、入口与游步道：根据游览解说需要，在景区入口、重要景观景点和游步道两侧设立解说牌、指示牌和警示牌。 </w:t>
      </w:r>
    </w:p>
    <w:p>
      <w:pPr>
        <w:pStyle w:val="14"/>
        <w:autoSpaceDE/>
        <w:autoSpaceDN/>
        <w:spacing w:line="346" w:lineRule="auto"/>
        <w:ind w:firstLine="440" w:firstLineChars="200"/>
        <w:rPr>
          <w:rFonts w:hint="default" w:ascii="Times New Roman" w:hAnsi="Times New Roman" w:cs="Times New Roman"/>
          <w:color w:val="auto"/>
          <w:spacing w:val="-10"/>
          <w:highlight w:val="none"/>
        </w:rPr>
      </w:pPr>
      <w:bookmarkStart w:id="74" w:name="_Toc8558"/>
      <w:r>
        <w:rPr>
          <w:rFonts w:hint="default" w:ascii="Times New Roman" w:hAnsi="Times New Roman" w:cs="Times New Roman"/>
          <w:color w:val="auto"/>
          <w:spacing w:val="-10"/>
          <w:highlight w:val="none"/>
        </w:rPr>
        <w:t>3、解说展示方式：导游解说、语音导览、设施展示</w:t>
      </w:r>
      <w:r>
        <w:rPr>
          <w:rFonts w:hint="default" w:ascii="Times New Roman" w:hAnsi="Times New Roman" w:cs="Times New Roman"/>
          <w:color w:val="auto"/>
          <w:spacing w:val="-10"/>
          <w:highlight w:val="none"/>
          <w:lang w:val="en-US" w:eastAsia="zh-CN"/>
        </w:rPr>
        <w:t>等</w:t>
      </w:r>
      <w:r>
        <w:rPr>
          <w:rFonts w:hint="default" w:ascii="Times New Roman" w:hAnsi="Times New Roman" w:cs="Times New Roman"/>
          <w:color w:val="auto"/>
          <w:spacing w:val="-10"/>
          <w:highlight w:val="none"/>
        </w:rPr>
        <w:t>。</w:t>
      </w:r>
    </w:p>
    <w:p>
      <w:pPr>
        <w:pStyle w:val="14"/>
        <w:wordWrap w:val="0"/>
        <w:autoSpaceDE/>
        <w:autoSpaceDN/>
        <w:spacing w:line="346" w:lineRule="auto"/>
        <w:ind w:right="334" w:firstLine="561"/>
        <w:jc w:val="both"/>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br w:type="page"/>
      </w:r>
    </w:p>
    <w:p>
      <w:pPr>
        <w:pStyle w:val="4"/>
        <w:spacing w:before="240" w:after="720"/>
        <w:rPr>
          <w:rFonts w:hint="default" w:ascii="Times New Roman" w:hAnsi="Times New Roman" w:cs="Times New Roman"/>
          <w:color w:val="auto"/>
          <w:highlight w:val="none"/>
        </w:rPr>
      </w:pPr>
      <w:bookmarkStart w:id="75" w:name="_Toc27944"/>
      <w:bookmarkStart w:id="76" w:name="_Toc10625"/>
      <w:bookmarkStart w:id="77" w:name="_Toc29755"/>
      <w:bookmarkStart w:id="78" w:name="_Toc12252"/>
      <w:r>
        <w:rPr>
          <w:rFonts w:hint="default" w:ascii="Times New Roman" w:hAnsi="Times New Roman" w:cs="Times New Roman"/>
          <w:color w:val="auto"/>
          <w:highlight w:val="none"/>
        </w:rPr>
        <w:t>第四章 设施规划</w:t>
      </w:r>
      <w:bookmarkEnd w:id="74"/>
      <w:bookmarkEnd w:id="75"/>
      <w:bookmarkEnd w:id="76"/>
      <w:bookmarkEnd w:id="77"/>
      <w:bookmarkEnd w:id="78"/>
    </w:p>
    <w:p>
      <w:pPr>
        <w:pStyle w:val="5"/>
        <w:spacing w:before="360" w:after="120"/>
        <w:ind w:left="0"/>
        <w:rPr>
          <w:rFonts w:hint="default" w:ascii="Times New Roman" w:hAnsi="Times New Roman" w:cs="Times New Roman"/>
          <w:color w:val="auto"/>
          <w:szCs w:val="52"/>
          <w:highlight w:val="none"/>
        </w:rPr>
      </w:pPr>
      <w:bookmarkStart w:id="79" w:name="_Toc15659"/>
      <w:bookmarkStart w:id="80" w:name="_Toc28489"/>
      <w:bookmarkStart w:id="81" w:name="_Toc19724"/>
      <w:r>
        <w:rPr>
          <w:rFonts w:hint="default" w:ascii="Times New Roman" w:hAnsi="Times New Roman" w:cs="Times New Roman"/>
          <w:color w:val="auto"/>
          <w:szCs w:val="52"/>
          <w:highlight w:val="none"/>
        </w:rPr>
        <w:t>第十四条 旅游服务设施规划</w:t>
      </w:r>
      <w:bookmarkEnd w:id="79"/>
      <w:bookmarkEnd w:id="80"/>
      <w:bookmarkEnd w:id="81"/>
    </w:p>
    <w:p>
      <w:pPr>
        <w:pStyle w:val="14"/>
        <w:wordWrap w:val="0"/>
        <w:autoSpaceDE/>
        <w:autoSpaceDN/>
        <w:spacing w:line="360" w:lineRule="auto"/>
        <w:ind w:firstLine="436" w:firstLineChars="200"/>
        <w:jc w:val="both"/>
        <w:rPr>
          <w:rFonts w:hint="default" w:ascii="Times New Roman" w:hAnsi="Times New Roman" w:cs="Times New Roman"/>
          <w:color w:val="auto"/>
          <w:spacing w:val="-11"/>
          <w:sz w:val="28"/>
          <w:szCs w:val="28"/>
          <w:highlight w:val="none"/>
        </w:rPr>
      </w:pPr>
      <w:r>
        <w:rPr>
          <w:rFonts w:hint="default" w:ascii="Times New Roman" w:hAnsi="Times New Roman" w:cs="Times New Roman"/>
          <w:color w:val="auto"/>
          <w:spacing w:val="-11"/>
          <w:highlight w:val="none"/>
        </w:rPr>
        <w:t>风景名胜区内旅游服务设施按“旅游村—旅游点—服务部”三级体系布局，共设置1个旅游村、2个旅游点、9个服务部</w:t>
      </w:r>
      <w:r>
        <w:rPr>
          <w:rFonts w:hint="default" w:ascii="Times New Roman" w:hAnsi="Times New Roman" w:cs="Times New Roman"/>
          <w:color w:val="auto"/>
          <w:highlight w:val="none"/>
        </w:rPr>
        <w:t>（见图4-2）</w:t>
      </w:r>
      <w:r>
        <w:rPr>
          <w:rFonts w:hint="default" w:ascii="Times New Roman" w:hAnsi="Times New Roman" w:cs="Times New Roman"/>
          <w:color w:val="auto"/>
          <w:spacing w:val="-11"/>
          <w:highlight w:val="none"/>
        </w:rPr>
        <w:t>，旅游服务设施总用地3.65公顷，规划风景名胜区内旅游床位近期40床（临时床位），远期360床（其中固定床位220床，临时床位140床），</w:t>
      </w:r>
      <w:r>
        <w:rPr>
          <w:rFonts w:hint="default" w:ascii="Times New Roman" w:hAnsi="Times New Roman" w:cs="Times New Roman"/>
          <w:color w:val="auto"/>
          <w:szCs w:val="32"/>
          <w:highlight w:val="none"/>
        </w:rPr>
        <w:t>风景名胜区内海拔较高（那拉岗村以上平均海拔3800米以上），且距离乡城县县城（海拔2865米）仅18.5公里，风景名胜区采用“山上游山下住”的策略，</w:t>
      </w:r>
      <w:r>
        <w:rPr>
          <w:rFonts w:hint="default" w:ascii="Times New Roman" w:hAnsi="Times New Roman" w:cs="Times New Roman"/>
          <w:color w:val="auto"/>
          <w:spacing w:val="-11"/>
          <w:highlight w:val="none"/>
        </w:rPr>
        <w:t>其他床位依托风景名胜区外围（乡城县和水洼乡、雨洼村）旅游服务设施解决。</w:t>
      </w:r>
    </w:p>
    <w:p>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2"/>
          <w:szCs w:val="22"/>
          <w:highlight w:val="none"/>
        </w:rPr>
        <w:t>表4-1 旅游基地配套设施内容一览表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4304"/>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pacing w:val="-11"/>
                <w:sz w:val="22"/>
                <w:szCs w:val="22"/>
                <w:highlight w:val="none"/>
              </w:rPr>
              <w:t>旅游基地名称</w:t>
            </w:r>
          </w:p>
        </w:tc>
        <w:tc>
          <w:tcPr>
            <w:tcW w:w="4304" w:type="dxa"/>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pacing w:val="-11"/>
                <w:sz w:val="22"/>
                <w:szCs w:val="22"/>
                <w:highlight w:val="none"/>
              </w:rPr>
              <w:t>内容设置</w:t>
            </w:r>
          </w:p>
        </w:tc>
        <w:tc>
          <w:tcPr>
            <w:tcW w:w="2305" w:type="dxa"/>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pacing w:val="-11"/>
                <w:sz w:val="22"/>
                <w:szCs w:val="22"/>
                <w:highlight w:val="none"/>
              </w:rPr>
              <w:t>所在分级保护区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那拉岗村（天村）旅游村</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游客中心、导游咨询、公厕、小卖部、    住宿、餐饮、卫生站</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七湖（热拥牧场）旅游点</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咨询服务中心、导游咨询、公厕、餐饮、    小卖部、露营地、马站、卫生站</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楚足牧场旅游点</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公厕、餐饮、小卖部、露营地、卫生站</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沙沧服务部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日朗拥措服务部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杜比可山服务部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7" w:type="dxa"/>
            <w:vAlign w:val="center"/>
          </w:tcPr>
          <w:p>
            <w:pPr>
              <w:pStyle w:val="14"/>
              <w:widowControl/>
              <w:autoSpaceDE/>
              <w:autoSpaceDN/>
              <w:spacing w:before="153"/>
              <w:ind w:left="118"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达森牧场服务部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次央休服务部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泽仁牧场服务部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泽仁措服务部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翡翠海服务部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717"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次淋措服务部</w:t>
            </w:r>
          </w:p>
        </w:tc>
        <w:tc>
          <w:tcPr>
            <w:tcW w:w="4304"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休息亭、公厕、饮食点、小卖部</w:t>
            </w:r>
          </w:p>
        </w:tc>
        <w:tc>
          <w:tcPr>
            <w:tcW w:w="2305" w:type="dxa"/>
            <w:vAlign w:val="center"/>
          </w:tcPr>
          <w:p>
            <w:pPr>
              <w:pStyle w:val="14"/>
              <w:widowControl/>
              <w:autoSpaceDE/>
              <w:autoSpaceDN/>
              <w:spacing w:before="153"/>
              <w:ind w:right="191"/>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二级</w:t>
            </w:r>
          </w:p>
        </w:tc>
      </w:tr>
    </w:tbl>
    <w:p>
      <w:pPr>
        <w:jc w:val="center"/>
        <w:rPr>
          <w:rFonts w:hint="default" w:ascii="Times New Roman" w:hAnsi="Times New Roman" w:cs="Times New Roman"/>
          <w:color w:val="auto"/>
          <w:sz w:val="28"/>
          <w:szCs w:val="28"/>
          <w:highlight w:val="none"/>
        </w:rPr>
      </w:pPr>
    </w:p>
    <w:p>
      <w:pPr>
        <w:spacing w:line="360" w:lineRule="auto"/>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表 4-2 风景名胜区内近期旅游床位规划表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2913"/>
        <w:gridCol w:w="2721"/>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3" w:type="dxa"/>
            <w:vAlign w:val="center"/>
          </w:tcPr>
          <w:p>
            <w:pPr>
              <w:pStyle w:val="14"/>
              <w:widowControl/>
              <w:autoSpaceDE/>
              <w:autoSpaceDN/>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名称</w:t>
            </w:r>
          </w:p>
        </w:tc>
        <w:tc>
          <w:tcPr>
            <w:tcW w:w="2913" w:type="dxa"/>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那拉岗村（天村）旅游村</w:t>
            </w:r>
          </w:p>
        </w:tc>
        <w:tc>
          <w:tcPr>
            <w:tcW w:w="2721" w:type="dxa"/>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七湖（热拥牧场）旅游点</w:t>
            </w:r>
          </w:p>
        </w:tc>
        <w:tc>
          <w:tcPr>
            <w:tcW w:w="1939" w:type="dxa"/>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楚足牧场旅游点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3"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床位（床）</w:t>
            </w:r>
          </w:p>
        </w:tc>
        <w:tc>
          <w:tcPr>
            <w:tcW w:w="2913"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40</w:t>
            </w:r>
          </w:p>
        </w:tc>
        <w:tc>
          <w:tcPr>
            <w:tcW w:w="2721"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w:t>
            </w:r>
          </w:p>
        </w:tc>
        <w:tc>
          <w:tcPr>
            <w:tcW w:w="1939" w:type="dxa"/>
            <w:vAlign w:val="center"/>
          </w:tcPr>
          <w:p>
            <w:pPr>
              <w:pStyle w:val="14"/>
              <w:widowControl/>
              <w:autoSpaceDE/>
              <w:autoSpaceDN/>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53" w:type="dxa"/>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备注</w:t>
            </w:r>
          </w:p>
        </w:tc>
        <w:tc>
          <w:tcPr>
            <w:tcW w:w="2913" w:type="dxa"/>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民宿（临时床位）</w:t>
            </w:r>
          </w:p>
        </w:tc>
        <w:tc>
          <w:tcPr>
            <w:tcW w:w="2721" w:type="dxa"/>
            <w:vAlign w:val="center"/>
          </w:tcPr>
          <w:p>
            <w:pPr>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w:t>
            </w:r>
          </w:p>
        </w:tc>
        <w:tc>
          <w:tcPr>
            <w:tcW w:w="1939" w:type="dxa"/>
            <w:vAlign w:val="center"/>
          </w:tcPr>
          <w:p>
            <w:pPr>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w:t>
            </w:r>
          </w:p>
        </w:tc>
      </w:tr>
    </w:tbl>
    <w:p>
      <w:pPr>
        <w:spacing w:line="360" w:lineRule="auto"/>
        <w:jc w:val="center"/>
        <w:rPr>
          <w:rFonts w:hint="default" w:ascii="Times New Roman" w:hAnsi="Times New Roman" w:cs="Times New Roman"/>
          <w:b/>
          <w:bCs/>
          <w:color w:val="auto"/>
          <w:sz w:val="22"/>
          <w:szCs w:val="22"/>
          <w:highlight w:val="none"/>
        </w:rPr>
      </w:pPr>
      <w:bookmarkStart w:id="82" w:name="_Toc27492"/>
      <w:bookmarkStart w:id="83" w:name="_Toc19032"/>
      <w:bookmarkStart w:id="84" w:name="_Toc10813"/>
      <w:bookmarkStart w:id="85" w:name="_Toc27759"/>
    </w:p>
    <w:p>
      <w:pPr>
        <w:spacing w:line="360" w:lineRule="auto"/>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表4-3 风景名胜区内远期旅游床位统计表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924"/>
        <w:gridCol w:w="2737"/>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4" w:type="pct"/>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名称</w:t>
            </w:r>
          </w:p>
        </w:tc>
        <w:tc>
          <w:tcPr>
            <w:tcW w:w="1567" w:type="pct"/>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那拉岗村（天村）旅游村</w:t>
            </w:r>
          </w:p>
        </w:tc>
        <w:tc>
          <w:tcPr>
            <w:tcW w:w="1467" w:type="pct"/>
            <w:vAlign w:val="center"/>
          </w:tcPr>
          <w:p>
            <w:pPr>
              <w:pStyle w:val="14"/>
              <w:overflowPunct w:val="0"/>
              <w:spacing w:before="153"/>
              <w:ind w:right="191"/>
              <w:jc w:val="center"/>
              <w:rPr>
                <w:rFonts w:hint="default" w:ascii="Times New Roman" w:hAnsi="Times New Roman" w:cs="Times New Roman"/>
                <w:b/>
                <w:bCs/>
                <w:color w:val="auto"/>
                <w:spacing w:val="-11"/>
                <w:sz w:val="22"/>
                <w:szCs w:val="22"/>
                <w:highlight w:val="none"/>
              </w:rPr>
            </w:pPr>
            <w:r>
              <w:rPr>
                <w:rFonts w:hint="default" w:ascii="Times New Roman" w:hAnsi="Times New Roman" w:cs="Times New Roman"/>
                <w:b/>
                <w:bCs/>
                <w:color w:val="auto"/>
                <w:spacing w:val="-11"/>
                <w:sz w:val="22"/>
                <w:szCs w:val="22"/>
                <w:highlight w:val="none"/>
              </w:rPr>
              <w:t>七湖（热拥牧场）旅游点</w:t>
            </w:r>
          </w:p>
        </w:tc>
        <w:tc>
          <w:tcPr>
            <w:tcW w:w="1039" w:type="pct"/>
            <w:vAlign w:val="center"/>
          </w:tcPr>
          <w:p>
            <w:pPr>
              <w:pStyle w:val="14"/>
              <w:overflowPunct w:val="0"/>
              <w:spacing w:before="153"/>
              <w:ind w:right="191"/>
              <w:jc w:val="center"/>
              <w:rPr>
                <w:rFonts w:hint="default" w:ascii="Times New Roman" w:hAnsi="Times New Roman" w:cs="Times New Roman"/>
                <w:b/>
                <w:bCs/>
                <w:color w:val="auto"/>
                <w:spacing w:val="-11"/>
                <w:sz w:val="18"/>
                <w:szCs w:val="18"/>
                <w:highlight w:val="none"/>
              </w:rPr>
            </w:pPr>
            <w:r>
              <w:rPr>
                <w:rFonts w:hint="default" w:ascii="Times New Roman" w:hAnsi="Times New Roman" w:cs="Times New Roman"/>
                <w:b/>
                <w:bCs/>
                <w:color w:val="auto"/>
                <w:spacing w:val="-11"/>
                <w:sz w:val="22"/>
                <w:szCs w:val="22"/>
                <w:highlight w:val="none"/>
              </w:rPr>
              <w:t>楚足牧场旅游点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床位（床）</w:t>
            </w:r>
          </w:p>
        </w:tc>
        <w:tc>
          <w:tcPr>
            <w:tcW w:w="1567" w:type="pct"/>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260</w:t>
            </w:r>
          </w:p>
        </w:tc>
        <w:tc>
          <w:tcPr>
            <w:tcW w:w="1467" w:type="pct"/>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50个营位</w:t>
            </w:r>
          </w:p>
        </w:tc>
        <w:tc>
          <w:tcPr>
            <w:tcW w:w="1039" w:type="pct"/>
            <w:vAlign w:val="center"/>
          </w:tcPr>
          <w:p>
            <w:pPr>
              <w:pStyle w:val="14"/>
              <w:overflowPunct w:val="0"/>
              <w:spacing w:before="153"/>
              <w:ind w:right="191"/>
              <w:jc w:val="center"/>
              <w:rPr>
                <w:rFonts w:hint="default" w:ascii="Times New Roman" w:hAnsi="Times New Roman" w:cs="Times New Roman"/>
                <w:color w:val="auto"/>
                <w:spacing w:val="-11"/>
                <w:sz w:val="18"/>
                <w:szCs w:val="18"/>
                <w:highlight w:val="none"/>
              </w:rPr>
            </w:pPr>
            <w:r>
              <w:rPr>
                <w:rFonts w:hint="default" w:ascii="Times New Roman" w:hAnsi="Times New Roman" w:cs="Times New Roman"/>
                <w:color w:val="auto"/>
                <w:spacing w:val="-11"/>
                <w:sz w:val="22"/>
                <w:szCs w:val="22"/>
                <w:highlight w:val="none"/>
              </w:rPr>
              <w:t>50个营位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备注</w:t>
            </w:r>
          </w:p>
        </w:tc>
        <w:tc>
          <w:tcPr>
            <w:tcW w:w="1567" w:type="pct"/>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固定床位220床，临时床位40床</w:t>
            </w:r>
          </w:p>
        </w:tc>
        <w:tc>
          <w:tcPr>
            <w:tcW w:w="2507" w:type="pct"/>
            <w:gridSpan w:val="2"/>
            <w:vAlign w:val="center"/>
          </w:tcPr>
          <w:p>
            <w:pPr>
              <w:pStyle w:val="14"/>
              <w:overflowPunct w:val="0"/>
              <w:spacing w:before="153"/>
              <w:ind w:right="191"/>
              <w:jc w:val="center"/>
              <w:rPr>
                <w:rFonts w:hint="default" w:ascii="Times New Roman" w:hAnsi="Times New Roman" w:cs="Times New Roman"/>
                <w:color w:val="auto"/>
                <w:spacing w:val="-11"/>
                <w:sz w:val="22"/>
                <w:szCs w:val="22"/>
                <w:highlight w:val="none"/>
              </w:rPr>
            </w:pPr>
            <w:r>
              <w:rPr>
                <w:rFonts w:hint="default" w:ascii="Times New Roman" w:hAnsi="Times New Roman" w:cs="Times New Roman"/>
                <w:color w:val="auto"/>
                <w:spacing w:val="-11"/>
                <w:sz w:val="22"/>
                <w:szCs w:val="22"/>
                <w:highlight w:val="none"/>
              </w:rPr>
              <w:t>远期发展露营地，不计入固定床位数</w:t>
            </w:r>
          </w:p>
        </w:tc>
      </w:tr>
    </w:tbl>
    <w:p>
      <w:pPr>
        <w:pStyle w:val="5"/>
        <w:spacing w:before="360" w:after="120"/>
        <w:ind w:left="0"/>
        <w:rPr>
          <w:rFonts w:hint="default" w:ascii="Times New Roman" w:hAnsi="Times New Roman" w:cs="Times New Roman"/>
          <w:color w:val="auto"/>
          <w:szCs w:val="52"/>
          <w:highlight w:val="none"/>
        </w:rPr>
      </w:pPr>
      <w:bookmarkStart w:id="86" w:name="_Toc1264"/>
      <w:r>
        <w:rPr>
          <w:rFonts w:hint="default" w:ascii="Times New Roman" w:hAnsi="Times New Roman" w:cs="Times New Roman"/>
          <w:color w:val="auto"/>
          <w:szCs w:val="52"/>
          <w:highlight w:val="none"/>
        </w:rPr>
        <w:t>第十五条 道路交通规划</w:t>
      </w:r>
      <w:bookmarkEnd w:id="86"/>
    </w:p>
    <w:bookmarkEnd w:id="82"/>
    <w:bookmarkEnd w:id="83"/>
    <w:bookmarkEnd w:id="84"/>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1、对外道路交通规划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对外交通方面游客主要依托国道G549、S66隆昌至得荣高速公路（规划）以及省道S462(亚赤公路)抵达本风景名胜区。近期将风景名胜区现有旅游公路水木路（县道X153，水洼乡雨洼村至亚赤公路）改扩建达到三级公路标准（路基宽度8米），打通国道G549线与省道S462(亚赤公路)的连接，吸引亚丁至香格里拉游客。</w:t>
      </w:r>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2、内部道路交通规划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（1）游览公路</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现状旅游公路依托水木路（县道X153，水洼乡雨洼村至亚赤公路），规划近期将水木路改扩建达到三级公路标准。结合乡城县国土空间总体规划和香巴拉农旅发展片区国土空间总体规划，新增达森至青德镇公路（三级公路），改造、新建那拉岗村（天村）—芦洼—水洼乡公路（四级公路）。</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改建七湖景区观光车道、泽仁措景区观光车道，新建索朗景区观光车道、次淋措湖区观光车道，路基宽度5米。</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（2）游步道</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完善游步道，使其可以通达各游览点，宽度1.5米。游步道分为一般旅游步道和户外探险穿越步道。一般游步道主要设置在相对海拔较低的空间，户外探险穿越步道主要设置在高海拔及高难度通过地带。</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（3）公共交通</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在天村景区规划一处旅游客运站，作为观光车始发站，开通旅游线路及至周边城镇的公共交通线路。规划风景名胜区内设观光车站点10处，以方便游客在景区内部的出行和观景。</w:t>
      </w:r>
    </w:p>
    <w:p>
      <w:pPr>
        <w:pStyle w:val="14"/>
        <w:numPr>
          <w:ilvl w:val="0"/>
          <w:numId w:val="0"/>
        </w:numPr>
        <w:wordWrap w:val="0"/>
        <w:autoSpaceDE/>
        <w:autoSpaceDN/>
        <w:spacing w:line="360" w:lineRule="auto"/>
        <w:ind w:leftChars="200"/>
        <w:jc w:val="both"/>
        <w:rPr>
          <w:rFonts w:hint="default" w:ascii="Times New Roman" w:hAnsi="Times New Roman" w:cs="Times New Roman"/>
          <w:color w:val="auto"/>
          <w:spacing w:val="-11"/>
          <w:highlight w:val="none"/>
        </w:rPr>
      </w:pPr>
      <w:r>
        <w:rPr>
          <w:rFonts w:hint="eastAsia" w:ascii="Times New Roman" w:cs="Times New Roman"/>
          <w:color w:val="auto"/>
          <w:spacing w:val="-11"/>
          <w:highlight w:val="none"/>
          <w:lang w:eastAsia="zh-CN"/>
        </w:rPr>
        <w:t>（</w:t>
      </w:r>
      <w:r>
        <w:rPr>
          <w:rFonts w:hint="eastAsia" w:ascii="Times New Roman" w:cs="Times New Roman"/>
          <w:color w:val="auto"/>
          <w:spacing w:val="-11"/>
          <w:highlight w:val="none"/>
          <w:lang w:val="en-US" w:eastAsia="zh-CN"/>
        </w:rPr>
        <w:t>4</w:t>
      </w:r>
      <w:r>
        <w:rPr>
          <w:rFonts w:hint="eastAsia" w:ascii="Times New Roman" w:cs="Times New Roman"/>
          <w:color w:val="auto"/>
          <w:spacing w:val="-11"/>
          <w:highlight w:val="none"/>
          <w:lang w:eastAsia="zh-CN"/>
        </w:rPr>
        <w:t>）</w:t>
      </w:r>
      <w:r>
        <w:rPr>
          <w:rFonts w:hint="default" w:ascii="Times New Roman" w:hAnsi="Times New Roman" w:cs="Times New Roman"/>
          <w:color w:val="auto"/>
          <w:spacing w:val="-11"/>
          <w:highlight w:val="none"/>
        </w:rPr>
        <w:t>索道</w:t>
      </w:r>
    </w:p>
    <w:p>
      <w:pPr>
        <w:pStyle w:val="14"/>
        <w:keepNext w:val="0"/>
        <w:keepLines w:val="0"/>
        <w:pageBreakBefore w:val="0"/>
        <w:widowControl w:val="0"/>
        <w:numPr>
          <w:ilvl w:val="0"/>
          <w:numId w:val="0"/>
        </w:numPr>
        <w:kinsoku/>
        <w:wordWrap w:val="0"/>
        <w:overflowPunct/>
        <w:topLinePunct w:val="0"/>
        <w:autoSpaceDE/>
        <w:autoSpaceDN/>
        <w:bidi w:val="0"/>
        <w:adjustRightInd w:val="0"/>
        <w:snapToGrid/>
        <w:spacing w:line="360" w:lineRule="auto"/>
        <w:ind w:leftChars="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规划在七湖景区设置1条索道，由七湖（热拥牧场）旅游点至杜比可山的七湖最佳观景点。</w:t>
      </w:r>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（5）停车场和停靠点</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风景名胜区内规划设置生态停车场5处、公交车站5处</w:t>
      </w:r>
      <w:r>
        <w:rPr>
          <w:rFonts w:hint="default" w:ascii="Times New Roman" w:hAnsi="Times New Roman" w:cs="Times New Roman"/>
          <w:color w:val="auto"/>
          <w:highlight w:val="none"/>
        </w:rPr>
        <w:t>（见图4-1）</w:t>
      </w:r>
      <w:r>
        <w:rPr>
          <w:rFonts w:hint="default" w:ascii="Times New Roman" w:hAnsi="Times New Roman" w:cs="Times New Roman"/>
          <w:color w:val="auto"/>
          <w:spacing w:val="-11"/>
          <w:highlight w:val="none"/>
        </w:rPr>
        <w:t>。</w:t>
      </w:r>
    </w:p>
    <w:p>
      <w:pPr>
        <w:pStyle w:val="5"/>
        <w:spacing w:before="360" w:after="120"/>
        <w:ind w:left="0"/>
        <w:rPr>
          <w:rFonts w:hint="default" w:ascii="Times New Roman" w:hAnsi="Times New Roman" w:cs="Times New Roman"/>
          <w:color w:val="auto"/>
          <w:szCs w:val="52"/>
          <w:highlight w:val="none"/>
        </w:rPr>
      </w:pPr>
      <w:bookmarkStart w:id="87" w:name="_Toc19798"/>
      <w:bookmarkStart w:id="88" w:name="_Toc22071"/>
      <w:bookmarkStart w:id="89" w:name="_Toc24520"/>
      <w:r>
        <w:rPr>
          <w:rFonts w:hint="default" w:ascii="Times New Roman" w:hAnsi="Times New Roman" w:cs="Times New Roman"/>
          <w:color w:val="auto"/>
          <w:szCs w:val="52"/>
          <w:highlight w:val="none"/>
        </w:rPr>
        <w:t>第十六条 综合防灾避险规划</w:t>
      </w:r>
      <w:bookmarkEnd w:id="87"/>
    </w:p>
    <w:bookmarkEnd w:id="88"/>
    <w:bookmarkEnd w:id="89"/>
    <w:p>
      <w:pPr>
        <w:pStyle w:val="14"/>
        <w:wordWrap w:val="0"/>
        <w:autoSpaceDE/>
        <w:autoSpaceDN/>
        <w:spacing w:line="360" w:lineRule="auto"/>
        <w:ind w:firstLine="480" w:firstLineChars="200"/>
        <w:rPr>
          <w:rFonts w:hint="default" w:ascii="Times New Roman" w:hAnsi="Times New Roman" w:cs="Times New Roman"/>
          <w:color w:val="auto"/>
          <w:highlight w:val="none"/>
        </w:rPr>
      </w:pPr>
      <w:bookmarkStart w:id="90" w:name="_Hlk101185461"/>
      <w:r>
        <w:rPr>
          <w:rFonts w:hint="default" w:ascii="Times New Roman" w:hAnsi="Times New Roman" w:cs="Times New Roman"/>
          <w:color w:val="auto"/>
          <w:highlight w:val="none"/>
        </w:rPr>
        <w:t>1、综合防灾</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依托全县统一的防灾减灾管理机构和体系，承担风景名胜区防灾减灾管理工作。在那拉岗村（天村）设置应急指挥中心。</w:t>
      </w:r>
      <w:bookmarkEnd w:id="90"/>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2、地质灾害防治规划 </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根据《四川省乡城县地质灾害风险调查评价》，风景名胜区内不存在地质灾害隐患点分布。</w:t>
      </w:r>
      <w:r>
        <w:rPr>
          <w:rFonts w:hint="default" w:ascii="Times New Roman" w:hAnsi="Times New Roman" w:cs="Times New Roman"/>
          <w:color w:val="auto"/>
          <w:spacing w:val="-10"/>
          <w:highlight w:val="none"/>
        </w:rPr>
        <w:t>本规划仅确定了各项设施的相对位置，要求下一步必须委托相关专业单位对规划的各项设施及居民点所在区域进行灾害评估，其结论作为建设项目选址的依据。选址确定后还必须由相关专业单位对建设点做详细的地质勘察，以进一步核实该点是否适合建设。在编制详细的地质灾害专项勘察报告和评估报告，严格按照报告要求治理灾害点并取得验收报告，确保所有建设用地安全的前提下，本规划确定的各设施区域和居民点的相对位置方可生效。</w:t>
      </w:r>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3、消防规划 </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依据《消防安全标志设置要求》（GB15630-1995）设置相应防火标志牌。</w:t>
      </w:r>
      <w:bookmarkStart w:id="91" w:name="_Hlk102123539"/>
      <w:r>
        <w:rPr>
          <w:rFonts w:hint="default" w:ascii="Times New Roman" w:hAnsi="Times New Roman" w:cs="Times New Roman"/>
          <w:color w:val="auto"/>
          <w:spacing w:val="-10"/>
          <w:highlight w:val="none"/>
        </w:rPr>
        <w:t>风景名胜区消防依托乡城县县城消防站。</w:t>
      </w:r>
      <w:bookmarkEnd w:id="91"/>
      <w:bookmarkStart w:id="92" w:name="_Hlk102123565"/>
      <w:r>
        <w:rPr>
          <w:rFonts w:hint="default" w:ascii="Times New Roman" w:hAnsi="Times New Roman" w:cs="Times New Roman"/>
          <w:color w:val="auto"/>
          <w:spacing w:val="-10"/>
          <w:highlight w:val="none"/>
        </w:rPr>
        <w:t>那拉岗村（天村）设置1处微型消防站、1处消防蓄水池，风景名胜区内设置2处森林防火瞭望台，分别设置于那拉岗村（天村）及索朗景区。</w:t>
      </w:r>
    </w:p>
    <w:bookmarkEnd w:id="92"/>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4、防洪规划</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bookmarkStart w:id="93" w:name="_Hlk102123702"/>
      <w:r>
        <w:rPr>
          <w:rFonts w:hint="default" w:ascii="Times New Roman" w:hAnsi="Times New Roman" w:cs="Times New Roman"/>
          <w:color w:val="auto"/>
          <w:spacing w:val="-10"/>
          <w:highlight w:val="none"/>
        </w:rPr>
        <w:t>建立气象预警系统、山洪灾害监测预警系统，加强洪水预测和预报工作，完善群测群防体系，落实预测预警措施，加强防灾避灾知识宣传，开展洪涝灾害隐患调查和风险评估，摸清致灾因素和防灾现状，后期建设要规避危险区；加强陡坡、峭壁区域的防护，严禁破坏植被，预防滑坡、泥石流等地质灾害。</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依据《防洪标准》（GB50201-2014），按照文物古迹保护级别确定防洪标准。</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涉水项目建设前应当进行行洪论证。</w:t>
      </w:r>
    </w:p>
    <w:bookmarkEnd w:id="93"/>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5、防震规划</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bookmarkStart w:id="94" w:name="_Hlk102123794"/>
      <w:bookmarkStart w:id="95" w:name="_Hlk102123801"/>
      <w:r>
        <w:rPr>
          <w:rFonts w:hint="default" w:ascii="Times New Roman" w:hAnsi="Times New Roman" w:cs="Times New Roman"/>
          <w:color w:val="auto"/>
          <w:spacing w:val="-10"/>
          <w:highlight w:val="none"/>
        </w:rPr>
        <w:t>风景名胜区内各类建设工程设防标准提高一级为 8 度。</w:t>
      </w:r>
      <w:r>
        <w:rPr>
          <w:rFonts w:hint="default" w:ascii="Times New Roman" w:hAnsi="Times New Roman" w:cs="Times New Roman"/>
          <w:color w:val="auto"/>
          <w:spacing w:val="-11"/>
          <w:highlight w:val="none"/>
        </w:rPr>
        <w:t>严格执行《建筑与市政工程抗震通用规范》，特殊设防类与重点设防类建筑与市政工程应提高一级标准进行设防。</w:t>
      </w:r>
      <w:r>
        <w:rPr>
          <w:rFonts w:hint="default" w:ascii="Times New Roman" w:hAnsi="Times New Roman" w:cs="Times New Roman"/>
          <w:color w:val="auto"/>
          <w:spacing w:val="-10"/>
          <w:highlight w:val="none"/>
        </w:rPr>
        <w:t>在那拉岗村（天村）设置固定避难场所，避难场所为游客中心，应配置相应设施，其他各旅游点设置临时避难场所</w:t>
      </w:r>
      <w:bookmarkEnd w:id="94"/>
      <w:r>
        <w:rPr>
          <w:rFonts w:hint="default" w:ascii="Times New Roman" w:hAnsi="Times New Roman" w:cs="Times New Roman"/>
          <w:color w:val="auto"/>
          <w:spacing w:val="-10"/>
          <w:highlight w:val="none"/>
        </w:rPr>
        <w:t>。建设项目应当避让活动断层变形带。</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疏散救援通道：规划以</w:t>
      </w:r>
      <w:r>
        <w:rPr>
          <w:rFonts w:hint="default" w:ascii="Times New Roman" w:hAnsi="Times New Roman" w:cs="Times New Roman"/>
          <w:color w:val="auto"/>
          <w:spacing w:val="-11"/>
          <w:highlight w:val="none"/>
        </w:rPr>
        <w:t>水木路（县道X153，水洼乡雨洼村至亚赤公路）、</w:t>
      </w:r>
      <w:r>
        <w:rPr>
          <w:rFonts w:hint="default" w:ascii="Times New Roman" w:hAnsi="Times New Roman" w:cs="Times New Roman"/>
          <w:color w:val="auto"/>
          <w:spacing w:val="-10"/>
          <w:highlight w:val="none"/>
        </w:rPr>
        <w:t>国道G549作为灾时救援和疏散通道</w:t>
      </w:r>
      <w:r>
        <w:rPr>
          <w:rStyle w:val="26"/>
          <w:rFonts w:hint="default" w:ascii="Times New Roman" w:hAnsi="Times New Roman" w:cs="Times New Roman"/>
          <w:color w:val="auto"/>
          <w:sz w:val="20"/>
          <w:szCs w:val="20"/>
          <w:highlight w:val="none"/>
        </w:rPr>
        <w:t>，</w:t>
      </w:r>
      <w:r>
        <w:rPr>
          <w:rFonts w:hint="default" w:ascii="Times New Roman" w:hAnsi="Times New Roman" w:cs="Times New Roman"/>
          <w:color w:val="auto"/>
          <w:spacing w:val="-11"/>
          <w:highlight w:val="none"/>
        </w:rPr>
        <w:t>在那拉岗村（天村）和七湖（热拥牧场）旅游点设置应急直升机停机坪</w:t>
      </w:r>
      <w:r>
        <w:rPr>
          <w:rFonts w:hint="default" w:ascii="Times New Roman" w:hAnsi="Times New Roman" w:cs="Times New Roman"/>
          <w:color w:val="auto"/>
          <w:spacing w:val="-10"/>
          <w:highlight w:val="none"/>
        </w:rPr>
        <w:t>。</w:t>
      </w:r>
    </w:p>
    <w:p>
      <w:pPr>
        <w:pStyle w:val="14"/>
        <w:wordWrap w:val="0"/>
        <w:autoSpaceDE/>
        <w:autoSpaceDN/>
        <w:spacing w:line="360" w:lineRule="auto"/>
        <w:ind w:firstLine="480" w:firstLineChars="200"/>
        <w:rPr>
          <w:rFonts w:hint="default" w:ascii="Times New Roman" w:hAnsi="Times New Roman" w:cs="Times New Roman"/>
          <w:color w:val="auto"/>
          <w:sz w:val="22"/>
          <w:szCs w:val="22"/>
          <w:highlight w:val="none"/>
        </w:rPr>
      </w:pPr>
      <w:r>
        <w:rPr>
          <w:rFonts w:hint="default" w:ascii="Times New Roman" w:hAnsi="Times New Roman" w:cs="Times New Roman"/>
          <w:color w:val="auto"/>
          <w:highlight w:val="none"/>
        </w:rPr>
        <w:t>6、生物灾害防治</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 xml:space="preserve">（1）监测植物的病虫害疫情，定期观测，开展病虫害预测预报工作，建立监测预警系统，便于及时防治。 </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（2）禁止有害木材入山，严格控制白蛾、松材线虫等虫害。</w:t>
      </w:r>
    </w:p>
    <w:p>
      <w:pPr>
        <w:pStyle w:val="14"/>
        <w:wordWrap w:val="0"/>
        <w:autoSpaceDE/>
        <w:autoSpaceDN/>
        <w:spacing w:line="360" w:lineRule="auto"/>
        <w:ind w:firstLine="440" w:firstLineChars="20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 xml:space="preserve">（3）禁止引入外来入侵物种，定期组织对外来入侵物种的专项调查。 </w:t>
      </w:r>
    </w:p>
    <w:p>
      <w:pPr>
        <w:pStyle w:val="14"/>
        <w:wordWrap w:val="0"/>
        <w:autoSpaceDE/>
        <w:autoSpaceDN/>
        <w:spacing w:line="360" w:lineRule="auto"/>
        <w:ind w:firstLine="440" w:firstLineChars="200"/>
        <w:jc w:val="both"/>
        <w:rPr>
          <w:rFonts w:hint="default" w:ascii="Times New Roman" w:hAnsi="Times New Roman" w:cs="Times New Roman"/>
          <w:color w:val="auto"/>
          <w:spacing w:val="-10"/>
          <w:sz w:val="22"/>
          <w:szCs w:val="22"/>
          <w:highlight w:val="none"/>
        </w:rPr>
      </w:pPr>
      <w:r>
        <w:rPr>
          <w:rFonts w:hint="default" w:ascii="Times New Roman" w:hAnsi="Times New Roman" w:cs="Times New Roman"/>
          <w:color w:val="auto"/>
          <w:spacing w:val="-10"/>
          <w:highlight w:val="none"/>
        </w:rPr>
        <w:t>（4）保护动物栖息地的完整性；建立野外动物疫情监测、疾病预防体系。</w:t>
      </w:r>
    </w:p>
    <w:bookmarkEnd w:id="95"/>
    <w:p>
      <w:pPr>
        <w:pStyle w:val="14"/>
        <w:wordWrap w:val="0"/>
        <w:autoSpaceDE/>
        <w:autoSpaceDN/>
        <w:spacing w:line="360" w:lineRule="auto"/>
        <w:ind w:firstLine="480" w:firstLineChars="200"/>
        <w:rPr>
          <w:rFonts w:hint="default" w:ascii="Times New Roman" w:hAnsi="Times New Roman" w:cs="Times New Roman"/>
          <w:color w:val="auto"/>
          <w:highlight w:val="none"/>
        </w:rPr>
      </w:pPr>
      <w:bookmarkStart w:id="96" w:name="_Hlk102123945"/>
      <w:r>
        <w:rPr>
          <w:rFonts w:hint="default" w:ascii="Times New Roman" w:hAnsi="Times New Roman" w:cs="Times New Roman"/>
          <w:color w:val="auto"/>
          <w:highlight w:val="none"/>
        </w:rPr>
        <w:t>7、防灾预警系统及应急保障体系</w:t>
      </w:r>
    </w:p>
    <w:bookmarkEnd w:id="96"/>
    <w:p>
      <w:pPr>
        <w:pStyle w:val="14"/>
        <w:wordWrap w:val="0"/>
        <w:autoSpaceDE/>
        <w:autoSpaceDN/>
        <w:spacing w:line="360" w:lineRule="auto"/>
        <w:ind w:firstLine="440" w:firstLineChars="200"/>
        <w:rPr>
          <w:rFonts w:hint="default" w:ascii="Times New Roman" w:hAnsi="Times New Roman" w:cs="Times New Roman"/>
          <w:color w:val="auto"/>
          <w:highlight w:val="none"/>
        </w:rPr>
      </w:pPr>
      <w:bookmarkStart w:id="97" w:name="_Hlk102123971"/>
      <w:r>
        <w:rPr>
          <w:rFonts w:hint="default" w:ascii="Times New Roman" w:hAnsi="Times New Roman" w:cs="Times New Roman"/>
          <w:color w:val="auto"/>
          <w:spacing w:val="-10"/>
          <w:highlight w:val="none"/>
        </w:rPr>
        <w:t>依托风景名胜区管理部门，成立专门的防灾预警部门。</w:t>
      </w:r>
      <w:bookmarkEnd w:id="97"/>
      <w:bookmarkStart w:id="98" w:name="_Hlk102123979"/>
      <w:r>
        <w:rPr>
          <w:rFonts w:hint="default" w:ascii="Times New Roman" w:hAnsi="Times New Roman" w:cs="Times New Roman"/>
          <w:color w:val="auto"/>
          <w:spacing w:val="-10"/>
          <w:highlight w:val="none"/>
        </w:rPr>
        <w:t>于那拉岗村（天村）设置</w:t>
      </w:r>
      <w:r>
        <w:rPr>
          <w:rFonts w:hint="default" w:ascii="Times New Roman" w:hAnsi="Times New Roman" w:cs="Times New Roman"/>
          <w:color w:val="auto"/>
          <w:highlight w:val="none"/>
        </w:rPr>
        <w:t>应急指挥中心。</w:t>
      </w:r>
      <w:bookmarkEnd w:id="98"/>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8、游客安全规划</w:t>
      </w:r>
    </w:p>
    <w:p>
      <w:pPr>
        <w:pStyle w:val="14"/>
        <w:wordWrap w:val="0"/>
        <w:autoSpaceDE/>
        <w:autoSpaceDN/>
        <w:spacing w:line="360" w:lineRule="auto"/>
        <w:ind w:firstLine="440" w:firstLineChars="20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（1）建立风景名胜区的游客安全监控系统，在风景名胜区内安装必要的监控仪器。</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（2）防范游步道、观景台等设施的安全隐患，在地形复杂、坡度和相对高差较大的地方，建设坚固、完善的护栏或护坡等防护设施；电力等基础设施周围，应配置防护设施，以保护设施及游客的安全。</w:t>
      </w:r>
    </w:p>
    <w:p>
      <w:pPr>
        <w:pStyle w:val="14"/>
        <w:wordWrap w:val="0"/>
        <w:autoSpaceDE/>
        <w:autoSpaceDN/>
        <w:spacing w:line="360" w:lineRule="auto"/>
        <w:ind w:firstLine="440" w:firstLineChars="20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3）建设风景名胜区安全宣传与灾害标志牌。在危险地段设立游客安全警示标识，对易迷路地段设立路线指示牌与指示地图；设立游客报警点与报警指示标识；设立灾害避难场所和避难路径的指示系统，在灾害发生时能够准确、快速地引导游客避难。</w:t>
      </w:r>
    </w:p>
    <w:p>
      <w:pPr>
        <w:pStyle w:val="14"/>
        <w:wordWrap w:val="0"/>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（4）结合风景名胜区的日常经营储备必要的食品、饮用水等生活物资，同时储备发电机、帐篷、棉被等物资，发生大型灾害时可作为应急救灾物资。</w:t>
      </w:r>
    </w:p>
    <w:p>
      <w:pPr>
        <w:pStyle w:val="14"/>
        <w:wordWrap w:val="0"/>
        <w:autoSpaceDE/>
        <w:autoSpaceDN/>
        <w:spacing w:line="360" w:lineRule="auto"/>
        <w:ind w:firstLine="440" w:firstLineChars="20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（5）结合旅游村、旅游点配备卫生急救站，配置基本医疗用品，设立医疗救护制度和旅游保险制度。</w:t>
      </w:r>
    </w:p>
    <w:p>
      <w:pPr>
        <w:pStyle w:val="5"/>
        <w:spacing w:before="360" w:after="120"/>
        <w:ind w:left="0"/>
        <w:rPr>
          <w:rFonts w:hint="default" w:ascii="Times New Roman" w:hAnsi="Times New Roman" w:cs="Times New Roman"/>
          <w:color w:val="auto"/>
          <w:szCs w:val="52"/>
          <w:highlight w:val="none"/>
        </w:rPr>
      </w:pPr>
      <w:bookmarkStart w:id="99" w:name="_Toc14317"/>
      <w:bookmarkStart w:id="100" w:name="_Toc2210"/>
      <w:bookmarkStart w:id="101" w:name="_Toc5018"/>
      <w:r>
        <w:rPr>
          <w:rFonts w:hint="default" w:ascii="Times New Roman" w:hAnsi="Times New Roman" w:cs="Times New Roman"/>
          <w:color w:val="auto"/>
          <w:szCs w:val="52"/>
          <w:highlight w:val="none"/>
        </w:rPr>
        <w:t>第十七条 基础工程规划</w:t>
      </w:r>
      <w:bookmarkEnd w:id="85"/>
      <w:bookmarkEnd w:id="99"/>
      <w:bookmarkEnd w:id="100"/>
      <w:bookmarkEnd w:id="101"/>
    </w:p>
    <w:p>
      <w:pPr>
        <w:pStyle w:val="14"/>
        <w:wordWrap w:val="0"/>
        <w:autoSpaceDE/>
        <w:autoSpaceDN/>
        <w:spacing w:line="360" w:lineRule="auto"/>
        <w:ind w:firstLine="440" w:firstLineChars="20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涉及应急抢险、国防建设、民生改善等国家重大项目，以及符合相关规划的能源、交通、水利等基础设施</w:t>
      </w:r>
      <w:r>
        <w:rPr>
          <w:rFonts w:hint="eastAsia" w:ascii="Times New Roman" w:hAnsi="Times New Roman" w:cs="Times New Roman"/>
          <w:color w:val="auto"/>
          <w:spacing w:val="-10"/>
          <w:highlight w:val="none"/>
          <w:lang w:eastAsia="zh-CN"/>
        </w:rPr>
        <w:t>，</w:t>
      </w:r>
      <w:r>
        <w:rPr>
          <w:rFonts w:hint="default" w:ascii="Times New Roman" w:hAnsi="Times New Roman" w:cs="Times New Roman"/>
          <w:color w:val="auto"/>
          <w:spacing w:val="-10"/>
          <w:highlight w:val="none"/>
        </w:rPr>
        <w:t>经评估对风景名胜区负面影响较小的</w:t>
      </w:r>
      <w:r>
        <w:rPr>
          <w:rFonts w:hint="eastAsia" w:ascii="Times New Roman" w:hAnsi="Times New Roman" w:cs="Times New Roman"/>
          <w:color w:val="auto"/>
          <w:spacing w:val="-10"/>
          <w:highlight w:val="none"/>
          <w:lang w:eastAsia="zh-CN"/>
        </w:rPr>
        <w:t>，</w:t>
      </w:r>
      <w:r>
        <w:rPr>
          <w:rFonts w:hint="default" w:ascii="Times New Roman" w:hAnsi="Times New Roman" w:cs="Times New Roman"/>
          <w:color w:val="auto"/>
          <w:spacing w:val="-10"/>
          <w:highlight w:val="none"/>
        </w:rPr>
        <w:t>可按合法合规程序办理风景名胜区准入手续”内容。</w:t>
      </w:r>
    </w:p>
    <w:p>
      <w:pPr>
        <w:pStyle w:val="14"/>
        <w:wordWrap w:val="0"/>
        <w:autoSpaceDE/>
        <w:autoSpaceDN/>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1、给水工程规划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远期居民用水量为</w:t>
      </w:r>
      <w:r>
        <w:rPr>
          <w:rFonts w:hint="default" w:ascii="Times New Roman" w:hAnsi="Times New Roman" w:cs="Times New Roman"/>
          <w:color w:val="auto"/>
          <w:spacing w:val="-10"/>
          <w:highlight w:val="none"/>
        </w:rPr>
        <w:t>34.2</w:t>
      </w:r>
      <w:r>
        <w:rPr>
          <w:rFonts w:hint="default" w:ascii="Times New Roman" w:hAnsi="Times New Roman" w:cs="Times New Roman"/>
          <w:color w:val="auto"/>
          <w:spacing w:val="-11"/>
          <w:highlight w:val="none"/>
        </w:rPr>
        <w:t>m³/d，旅游用水量为117.6m³/d，总用水量为</w:t>
      </w:r>
      <w:r>
        <w:rPr>
          <w:rFonts w:hint="default" w:ascii="Times New Roman" w:hAnsi="Times New Roman" w:cs="Times New Roman"/>
          <w:color w:val="auto"/>
          <w:spacing w:val="-10"/>
          <w:highlight w:val="none"/>
        </w:rPr>
        <w:t>151.8</w:t>
      </w:r>
      <w:r>
        <w:rPr>
          <w:rFonts w:hint="default" w:ascii="Times New Roman" w:hAnsi="Times New Roman" w:cs="Times New Roman"/>
          <w:color w:val="auto"/>
          <w:spacing w:val="-11"/>
          <w:highlight w:val="none"/>
        </w:rPr>
        <w:t>m³/d。</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区域供水取水点设置于</w:t>
      </w:r>
      <w:r>
        <w:rPr>
          <w:rFonts w:hint="default" w:ascii="Times New Roman" w:hAnsi="Times New Roman" w:cs="Times New Roman"/>
          <w:color w:val="auto"/>
          <w:spacing w:val="-11"/>
          <w:highlight w:val="none"/>
          <w:lang w:val="zh-CN"/>
        </w:rPr>
        <w:t>西洼组</w:t>
      </w:r>
      <w:r>
        <w:rPr>
          <w:rFonts w:hint="default" w:ascii="Times New Roman" w:hAnsi="Times New Roman" w:cs="Times New Roman"/>
          <w:color w:val="auto"/>
          <w:spacing w:val="-11"/>
          <w:highlight w:val="none"/>
        </w:rPr>
        <w:t>（索朗景区珍珠滩南侧临近道路与索朗景区日拥沟河道交汇点），设置沉砂池、慢滤池和蓄水池等相关设施，按照相关规范做好水源地保护工作，并在建设上应最大限度地减少对山体、植被的破坏，做好建设期的生态保护和建设后的生态修复工作。</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服务部用水以及七湖（热拥牧场）旅游点、楚足牧场旅游点近期用水，可暂时考虑采用供水箱、供水车或者建设蓄水池提供供水保障。</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2、排水工程规划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采用雨污分流的排水体制，规划在那拉岗村（天村）、七湖（热拥牧场）旅游点、楚足牧场旅游点设置污水收集和处理设施，处理达到相应规范标准后方可排放。污水量按平均日给水量的0.9计，则远期风景名胜区将产生污水量为</w:t>
      </w:r>
      <w:r>
        <w:rPr>
          <w:rFonts w:hint="default" w:ascii="Times New Roman" w:hAnsi="Times New Roman" w:cs="Times New Roman"/>
          <w:color w:val="auto"/>
          <w:spacing w:val="-10"/>
          <w:highlight w:val="none"/>
        </w:rPr>
        <w:t>136.6</w:t>
      </w:r>
      <w:r>
        <w:rPr>
          <w:rFonts w:hint="default" w:ascii="Times New Roman" w:hAnsi="Times New Roman" w:cs="Times New Roman"/>
          <w:color w:val="auto"/>
          <w:spacing w:val="-11"/>
          <w:highlight w:val="none"/>
        </w:rPr>
        <w:t>m³/d。</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3、供电工程规划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远期规划总用电负荷1229.4KW。</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风景名胜区用电接水洼乡35KV变电站，风景名胜区各用电点均采用就近搭接的原则，接入国家电网，原则上10KV电力线采用埋地方式敷设，在不影响景区景观的区域可以采用架空方式敷设。</w:t>
      </w:r>
    </w:p>
    <w:p>
      <w:pPr>
        <w:pStyle w:val="14"/>
        <w:wordWrap w:val="0"/>
        <w:autoSpaceDE/>
        <w:autoSpaceDN/>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4、通信工程规划</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规划在那拉岗村（天村）设置邮政代办点和通信机房，建议结合那拉岗村（天村）游客中心一并设置，规划在沙沧五瀑、热拥牧场、达森牧场、楚足牧场、次淋措等地设信号基站，以满足游客对通信和未来建设智慧旅游系统的需求。</w:t>
      </w:r>
    </w:p>
    <w:p>
      <w:pPr>
        <w:pStyle w:val="14"/>
        <w:wordWrap w:val="0"/>
        <w:autoSpaceDE/>
        <w:autoSpaceDN/>
        <w:spacing w:line="360" w:lineRule="auto"/>
        <w:ind w:firstLine="436" w:firstLineChars="200"/>
        <w:jc w:val="both"/>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通信电缆经水洼乡接入那拉岗村（天村）后沿道路为各接待点和居民点提供服务。原则上通信线路采用埋地方式敷设，在不影响景区景观的区域可以采用架空方式敷设。</w:t>
      </w:r>
    </w:p>
    <w:p>
      <w:pPr>
        <w:pStyle w:val="14"/>
        <w:wordWrap w:val="0"/>
        <w:autoSpaceDE/>
        <w:autoSpaceDN/>
        <w:spacing w:line="360" w:lineRule="auto"/>
        <w:ind w:firstLine="480" w:firstLineChars="200"/>
        <w:jc w:val="both"/>
        <w:rPr>
          <w:rFonts w:hint="default" w:ascii="Times New Roman" w:hAnsi="Times New Roman" w:cs="Times New Roman"/>
          <w:b/>
          <w:bCs/>
          <w:color w:val="auto"/>
          <w:highlight w:val="none"/>
        </w:rPr>
      </w:pPr>
      <w:r>
        <w:rPr>
          <w:rFonts w:hint="default" w:ascii="Times New Roman" w:hAnsi="Times New Roman" w:cs="Times New Roman"/>
          <w:color w:val="auto"/>
          <w:highlight w:val="none"/>
        </w:rPr>
        <w:t>5、环卫工程规划</w:t>
      </w:r>
    </w:p>
    <w:p>
      <w:pPr>
        <w:pStyle w:val="14"/>
        <w:widowControl/>
        <w:autoSpaceDE/>
        <w:autoSpaceDN/>
        <w:spacing w:line="360" w:lineRule="auto"/>
        <w:ind w:firstLine="44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在旅游村、旅游点、服务部、停车场、公路沿线等场所根据实际情况合理设置收集点和收集箱，实现生活垃圾分类收集，所有垃圾全部运出风景名胜区处理。垃圾实行袋装化，风景名胜区内配备垃圾转运车，收集风景名胜区内垃圾就近送至水洼乡垃圾转运站，纳入乡城县垃圾处理系统统一处理。</w:t>
      </w:r>
    </w:p>
    <w:p>
      <w:pPr>
        <w:pStyle w:val="14"/>
        <w:keepNext w:val="0"/>
        <w:keepLines w:val="0"/>
        <w:pageBreakBefore w:val="0"/>
        <w:widowControl/>
        <w:kinsoku/>
        <w:wordWrap/>
        <w:overflowPunct/>
        <w:topLinePunct w:val="0"/>
        <w:autoSpaceDE/>
        <w:autoSpaceDN/>
        <w:bidi w:val="0"/>
        <w:adjustRightInd w:val="0"/>
        <w:snapToGrid/>
        <w:spacing w:line="360" w:lineRule="auto"/>
        <w:ind w:firstLine="440" w:firstLineChars="200"/>
        <w:jc w:val="both"/>
        <w:textAlignment w:val="auto"/>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风景名胜区内设置垃圾收集点，每处用地面积不小于10平方米；各景区主要游览线路上按照200米间距设置垃圾箱。</w:t>
      </w:r>
    </w:p>
    <w:p>
      <w:pPr>
        <w:pStyle w:val="14"/>
        <w:keepNext w:val="0"/>
        <w:keepLines w:val="0"/>
        <w:pageBreakBefore w:val="0"/>
        <w:widowControl/>
        <w:kinsoku/>
        <w:wordWrap/>
        <w:overflowPunct/>
        <w:topLinePunct w:val="0"/>
        <w:autoSpaceDE/>
        <w:autoSpaceDN/>
        <w:bidi w:val="0"/>
        <w:adjustRightInd w:val="0"/>
        <w:snapToGrid/>
        <w:spacing w:line="360" w:lineRule="auto"/>
        <w:ind w:firstLine="436" w:firstLineChars="200"/>
        <w:jc w:val="both"/>
        <w:textAlignment w:val="auto"/>
        <w:rPr>
          <w:rFonts w:hint="default" w:ascii="Times New Roman" w:hAnsi="Times New Roman" w:cs="Times New Roman"/>
          <w:color w:val="auto"/>
          <w:spacing w:val="-11"/>
          <w:highlight w:val="none"/>
        </w:rPr>
      </w:pPr>
      <w:r>
        <w:rPr>
          <w:rFonts w:hint="default" w:ascii="Times New Roman" w:hAnsi="Times New Roman" w:cs="Times New Roman"/>
          <w:color w:val="auto"/>
          <w:spacing w:val="-11"/>
          <w:highlight w:val="none"/>
        </w:rPr>
        <w:t>风景名胜区内各旅游村、旅游点、服务部至少保证一座公共厕所。同时在车站、游客中心等人流聚集区相应设置公共厕所。在风景名胜区内的主要游览线路（游步道）上每隔400-2000米设置一处公共厕所（根据人流量和现场情况选取合理间距设置）。</w:t>
      </w:r>
      <w:bookmarkStart w:id="102" w:name="_Toc6030"/>
    </w:p>
    <w:p>
      <w:pPr>
        <w:pStyle w:val="14"/>
        <w:keepNext w:val="0"/>
        <w:keepLines w:val="0"/>
        <w:pageBreakBefore w:val="0"/>
        <w:widowControl/>
        <w:kinsoku/>
        <w:wordWrap/>
        <w:overflowPunct/>
        <w:topLinePunct w:val="0"/>
        <w:autoSpaceDE/>
        <w:autoSpaceDN/>
        <w:bidi w:val="0"/>
        <w:adjustRightInd w:val="0"/>
        <w:snapToGrid/>
        <w:spacing w:line="360" w:lineRule="auto"/>
        <w:ind w:firstLine="436" w:firstLineChars="200"/>
        <w:jc w:val="both"/>
        <w:textAlignment w:val="auto"/>
        <w:rPr>
          <w:rFonts w:hint="default" w:ascii="Times New Roman" w:hAnsi="Times New Roman" w:cs="Times New Roman"/>
          <w:color w:val="auto"/>
          <w:spacing w:val="-11"/>
          <w:highlight w:val="none"/>
        </w:rPr>
      </w:pPr>
    </w:p>
    <w:p>
      <w:pPr>
        <w:pStyle w:val="14"/>
        <w:wordWrap w:val="0"/>
        <w:autoSpaceDE/>
        <w:autoSpaceDN/>
        <w:spacing w:line="360" w:lineRule="auto"/>
        <w:ind w:right="252" w:firstLine="559"/>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4"/>
        <w:spacing w:before="240" w:after="720"/>
        <w:rPr>
          <w:rFonts w:hint="default" w:ascii="Times New Roman" w:hAnsi="Times New Roman" w:cs="Times New Roman"/>
          <w:color w:val="auto"/>
          <w:highlight w:val="none"/>
        </w:rPr>
      </w:pPr>
      <w:bookmarkStart w:id="103" w:name="_Toc316"/>
      <w:bookmarkStart w:id="104" w:name="_Toc19045"/>
      <w:bookmarkStart w:id="105" w:name="_Toc11065"/>
      <w:bookmarkStart w:id="106" w:name="_Toc11697"/>
      <w:r>
        <w:rPr>
          <w:rFonts w:hint="default" w:ascii="Times New Roman" w:hAnsi="Times New Roman" w:cs="Times New Roman"/>
          <w:color w:val="auto"/>
          <w:highlight w:val="none"/>
        </w:rPr>
        <w:t>第五章 居民</w:t>
      </w:r>
      <w:bookmarkEnd w:id="102"/>
      <w:r>
        <w:rPr>
          <w:rFonts w:hint="default" w:ascii="Times New Roman" w:hAnsi="Times New Roman" w:cs="Times New Roman"/>
          <w:color w:val="auto"/>
          <w:highlight w:val="none"/>
        </w:rPr>
        <w:t>社会调控与经济发展引导规划</w:t>
      </w:r>
      <w:bookmarkEnd w:id="103"/>
      <w:bookmarkEnd w:id="104"/>
      <w:bookmarkEnd w:id="105"/>
      <w:bookmarkEnd w:id="106"/>
    </w:p>
    <w:p>
      <w:pPr>
        <w:pStyle w:val="5"/>
        <w:spacing w:before="360" w:after="120"/>
        <w:ind w:left="0"/>
        <w:rPr>
          <w:rFonts w:hint="default" w:ascii="Times New Roman" w:hAnsi="Times New Roman" w:cs="Times New Roman"/>
          <w:color w:val="auto"/>
          <w:szCs w:val="52"/>
          <w:highlight w:val="none"/>
        </w:rPr>
      </w:pPr>
      <w:bookmarkStart w:id="107" w:name="_Toc8735"/>
      <w:bookmarkStart w:id="108" w:name="_Toc20525"/>
      <w:bookmarkStart w:id="109" w:name="_Toc32635"/>
      <w:bookmarkStart w:id="110" w:name="_Toc6917"/>
      <w:r>
        <w:rPr>
          <w:rFonts w:hint="default" w:ascii="Times New Roman" w:hAnsi="Times New Roman" w:cs="Times New Roman"/>
          <w:color w:val="auto"/>
          <w:szCs w:val="52"/>
          <w:highlight w:val="none"/>
        </w:rPr>
        <w:t>第十</w:t>
      </w:r>
      <w:r>
        <w:rPr>
          <w:rFonts w:hint="eastAsia" w:ascii="Times New Roman" w:hAnsi="Times New Roman" w:cs="Times New Roman"/>
          <w:color w:val="auto"/>
          <w:szCs w:val="52"/>
          <w:highlight w:val="none"/>
          <w:lang w:val="en-US" w:eastAsia="zh-CN"/>
        </w:rPr>
        <w:t>八</w:t>
      </w:r>
      <w:r>
        <w:rPr>
          <w:rFonts w:hint="default" w:ascii="Times New Roman" w:hAnsi="Times New Roman" w:cs="Times New Roman"/>
          <w:color w:val="auto"/>
          <w:szCs w:val="52"/>
          <w:highlight w:val="none"/>
        </w:rPr>
        <w:t>条 居民</w:t>
      </w:r>
      <w:bookmarkEnd w:id="107"/>
      <w:r>
        <w:rPr>
          <w:rFonts w:hint="default" w:ascii="Times New Roman" w:hAnsi="Times New Roman" w:cs="Times New Roman"/>
          <w:color w:val="auto"/>
          <w:szCs w:val="52"/>
          <w:highlight w:val="none"/>
        </w:rPr>
        <w:t>点调控规划</w:t>
      </w:r>
      <w:bookmarkEnd w:id="108"/>
      <w:bookmarkEnd w:id="109"/>
      <w:bookmarkEnd w:id="110"/>
    </w:p>
    <w:p>
      <w:pPr>
        <w:pStyle w:val="14"/>
        <w:wordWrap w:val="0"/>
        <w:autoSpaceDE/>
        <w:autoSpaceDN/>
        <w:spacing w:after="360" w:afterLines="150" w:line="360" w:lineRule="auto"/>
        <w:ind w:firstLine="444" w:firstLineChars="200"/>
        <w:jc w:val="both"/>
        <w:rPr>
          <w:rFonts w:hint="default" w:ascii="Times New Roman" w:hAnsi="Times New Roman" w:cs="Times New Roman"/>
          <w:color w:val="auto"/>
          <w:spacing w:val="-9"/>
          <w:highlight w:val="none"/>
        </w:rPr>
      </w:pPr>
      <w:r>
        <w:rPr>
          <w:rFonts w:hint="default" w:ascii="Times New Roman" w:hAnsi="Times New Roman" w:cs="Times New Roman"/>
          <w:color w:val="auto"/>
          <w:spacing w:val="-9"/>
          <w:highlight w:val="none"/>
        </w:rPr>
        <w:t>风景名胜区内唯一居民点那拉岗村（天村）</w:t>
      </w:r>
      <w:bookmarkStart w:id="111" w:name="_Hlk136363053"/>
      <w:r>
        <w:rPr>
          <w:rFonts w:hint="default" w:ascii="Times New Roman" w:hAnsi="Times New Roman" w:cs="Times New Roman"/>
          <w:color w:val="auto"/>
          <w:spacing w:val="-9"/>
          <w:highlight w:val="none"/>
        </w:rPr>
        <w:t>是第四批四川省传统村落，为控制型居民点，严格控制非本村居民迁入。</w:t>
      </w:r>
      <w:bookmarkEnd w:id="111"/>
      <w:r>
        <w:rPr>
          <w:rFonts w:hint="default" w:ascii="Times New Roman" w:hAnsi="Times New Roman" w:cs="Times New Roman"/>
          <w:color w:val="auto"/>
          <w:spacing w:val="-9"/>
          <w:highlight w:val="none"/>
        </w:rPr>
        <w:t>规划近期居民人口162人，远期居民人口166人。风景名胜区规划期末居民社会用地不增加，保持传统村落整体格局，旅游服务人员优先考虑本地居民，带动居民致富</w:t>
      </w:r>
      <w:r>
        <w:rPr>
          <w:rFonts w:hint="default" w:ascii="Times New Roman" w:hAnsi="Times New Roman" w:cs="Times New Roman"/>
          <w:color w:val="auto"/>
          <w:highlight w:val="none"/>
        </w:rPr>
        <w:t>（见图5-1）</w:t>
      </w:r>
      <w:r>
        <w:rPr>
          <w:rFonts w:hint="default" w:ascii="Times New Roman" w:hAnsi="Times New Roman" w:cs="Times New Roman"/>
          <w:color w:val="auto"/>
          <w:spacing w:val="-9"/>
          <w:highlight w:val="none"/>
        </w:rPr>
        <w:t>。</w:t>
      </w:r>
    </w:p>
    <w:p>
      <w:pPr>
        <w:pStyle w:val="5"/>
        <w:spacing w:before="360" w:after="120"/>
        <w:ind w:left="0"/>
        <w:rPr>
          <w:rFonts w:hint="default" w:ascii="Times New Roman" w:hAnsi="Times New Roman" w:cs="Times New Roman"/>
          <w:color w:val="auto"/>
          <w:szCs w:val="52"/>
          <w:highlight w:val="none"/>
        </w:rPr>
      </w:pPr>
      <w:bookmarkStart w:id="112" w:name="_Toc15738"/>
      <w:bookmarkStart w:id="113" w:name="_Toc24669"/>
      <w:bookmarkStart w:id="114" w:name="_Toc23701"/>
      <w:bookmarkStart w:id="115" w:name="_Toc27576"/>
      <w:r>
        <w:rPr>
          <w:rFonts w:hint="default" w:ascii="Times New Roman" w:hAnsi="Times New Roman" w:cs="Times New Roman"/>
          <w:color w:val="auto"/>
          <w:szCs w:val="52"/>
          <w:highlight w:val="none"/>
        </w:rPr>
        <w:t>第</w:t>
      </w:r>
      <w:r>
        <w:rPr>
          <w:rFonts w:hint="eastAsia" w:ascii="Times New Roman" w:hAnsi="Times New Roman" w:cs="Times New Roman"/>
          <w:color w:val="auto"/>
          <w:szCs w:val="52"/>
          <w:highlight w:val="none"/>
          <w:lang w:val="en-US" w:eastAsia="zh-CN"/>
        </w:rPr>
        <w:t>十九</w:t>
      </w:r>
      <w:r>
        <w:rPr>
          <w:rFonts w:hint="default" w:ascii="Times New Roman" w:hAnsi="Times New Roman" w:cs="Times New Roman"/>
          <w:color w:val="auto"/>
          <w:szCs w:val="52"/>
          <w:highlight w:val="none"/>
        </w:rPr>
        <w:t>条</w:t>
      </w:r>
      <w:bookmarkEnd w:id="112"/>
      <w:r>
        <w:rPr>
          <w:rFonts w:hint="default" w:ascii="Times New Roman" w:hAnsi="Times New Roman" w:cs="Times New Roman"/>
          <w:color w:val="auto"/>
          <w:szCs w:val="52"/>
          <w:highlight w:val="none"/>
        </w:rPr>
        <w:t xml:space="preserve"> 经济发展引导规划</w:t>
      </w:r>
      <w:bookmarkEnd w:id="113"/>
      <w:bookmarkEnd w:id="114"/>
      <w:bookmarkEnd w:id="115"/>
    </w:p>
    <w:p>
      <w:pPr>
        <w:pStyle w:val="14"/>
        <w:wordWrap w:val="0"/>
        <w:autoSpaceDE/>
        <w:autoSpaceDN/>
        <w:spacing w:line="360" w:lineRule="auto"/>
        <w:ind w:firstLine="440" w:firstLineChars="200"/>
        <w:jc w:val="both"/>
        <w:rPr>
          <w:rFonts w:hint="default" w:ascii="Times New Roman" w:hAnsi="Times New Roman" w:cs="Times New Roman"/>
          <w:color w:val="auto"/>
          <w:spacing w:val="-9"/>
          <w:highlight w:val="none"/>
        </w:rPr>
      </w:pPr>
      <w:r>
        <w:rPr>
          <w:rFonts w:hint="default" w:ascii="Times New Roman" w:hAnsi="Times New Roman" w:cs="Times New Roman"/>
          <w:color w:val="auto"/>
          <w:spacing w:val="-10"/>
          <w:highlight w:val="none"/>
        </w:rPr>
        <w:t>改变原有传统农牧产业结构，发展</w:t>
      </w:r>
      <w:r>
        <w:rPr>
          <w:rFonts w:hint="default" w:ascii="Times New Roman" w:hAnsi="Times New Roman" w:cs="Times New Roman"/>
          <w:color w:val="auto"/>
          <w:spacing w:val="-9"/>
          <w:highlight w:val="none"/>
        </w:rPr>
        <w:t>以保护风景资源为基础、旅游服务为主导的第三产业和特产加工业，形成与</w:t>
      </w:r>
      <w:r>
        <w:rPr>
          <w:rFonts w:hint="default" w:ascii="Times New Roman" w:hAnsi="Times New Roman" w:cs="Times New Roman"/>
          <w:color w:val="auto"/>
          <w:spacing w:val="-10"/>
          <w:highlight w:val="none"/>
        </w:rPr>
        <w:t>风景名胜区相协调的经济体系</w:t>
      </w:r>
      <w:r>
        <w:rPr>
          <w:rFonts w:hint="default" w:ascii="Times New Roman" w:hAnsi="Times New Roman" w:cs="Times New Roman"/>
          <w:color w:val="auto"/>
          <w:spacing w:val="-9"/>
          <w:highlight w:val="none"/>
        </w:rPr>
        <w:t>。对风景名胜区内不符合</w:t>
      </w:r>
      <w:r>
        <w:rPr>
          <w:rFonts w:hint="default" w:ascii="Times New Roman" w:hAnsi="Times New Roman" w:cs="Times New Roman"/>
          <w:color w:val="auto"/>
          <w:spacing w:val="-10"/>
          <w:highlight w:val="none"/>
        </w:rPr>
        <w:t>传统村落风貌的建筑进行风貌整治</w:t>
      </w:r>
      <w:r>
        <w:rPr>
          <w:rFonts w:hint="default" w:ascii="Times New Roman" w:hAnsi="Times New Roman" w:cs="Times New Roman"/>
          <w:color w:val="auto"/>
          <w:spacing w:val="-9"/>
          <w:highlight w:val="none"/>
        </w:rPr>
        <w:t>，建设以康巴文化为主题的特色旅游观光产业。加强接待人员的培训管理，挖掘历史文化背景，开展特色旅游活动，增强游人的参与性。</w:t>
      </w:r>
    </w:p>
    <w:p>
      <w:pPr>
        <w:pStyle w:val="14"/>
        <w:wordWrap w:val="0"/>
        <w:autoSpaceDE/>
        <w:autoSpaceDN/>
        <w:spacing w:line="360" w:lineRule="auto"/>
        <w:ind w:firstLine="480" w:firstLineChars="200"/>
        <w:jc w:val="both"/>
        <w:rPr>
          <w:rFonts w:hint="default" w:ascii="Times New Roman" w:hAnsi="Times New Roman" w:cs="Times New Roman"/>
          <w:color w:val="auto"/>
          <w:spacing w:val="-10"/>
          <w:highlight w:val="none"/>
        </w:rPr>
      </w:pPr>
      <w:r>
        <w:rPr>
          <w:rFonts w:hint="default" w:ascii="Times New Roman" w:hAnsi="Times New Roman" w:cs="Times New Roman"/>
          <w:color w:val="auto"/>
          <w:highlight w:val="none"/>
        </w:rPr>
        <w:t>允许风景名胜区内居民进行必要的生产、生活活动（如季节性放牧、松茸和虫草采集等），结合当地实际制定相应管理办法，划定游牧活动范围，控制游牧活动规模，不得开展规模化养殖</w:t>
      </w:r>
      <w:r>
        <w:rPr>
          <w:rFonts w:hint="default" w:ascii="Times New Roman" w:hAnsi="Times New Roman" w:cs="Times New Roman"/>
          <w:color w:val="auto"/>
          <w:spacing w:val="-10"/>
          <w:highlight w:val="none"/>
        </w:rPr>
        <w:t>。</w:t>
      </w:r>
    </w:p>
    <w:p>
      <w:pPr>
        <w:pStyle w:val="14"/>
        <w:wordWrap w:val="0"/>
        <w:autoSpaceDE/>
        <w:autoSpaceDN/>
        <w:spacing w:after="360" w:afterLines="150" w:line="360" w:lineRule="auto"/>
        <w:ind w:right="113" w:firstLine="556"/>
        <w:jc w:val="both"/>
        <w:rPr>
          <w:rFonts w:hint="default" w:ascii="Times New Roman" w:hAnsi="Times New Roman" w:cs="Times New Roman"/>
          <w:color w:val="auto"/>
          <w:spacing w:val="-9"/>
          <w:highlight w:val="none"/>
        </w:rPr>
      </w:pPr>
    </w:p>
    <w:p>
      <w:pPr>
        <w:rPr>
          <w:rFonts w:hint="default" w:ascii="Times New Roman" w:hAnsi="Times New Roman" w:cs="Times New Roman"/>
          <w:color w:val="auto"/>
          <w:highlight w:val="none"/>
        </w:rPr>
      </w:pPr>
      <w:bookmarkStart w:id="116" w:name="bookmark3"/>
      <w:bookmarkEnd w:id="116"/>
      <w:bookmarkStart w:id="117" w:name="_Toc30963"/>
      <w:r>
        <w:rPr>
          <w:rFonts w:hint="default" w:ascii="Times New Roman" w:hAnsi="Times New Roman" w:cs="Times New Roman"/>
          <w:color w:val="auto"/>
          <w:highlight w:val="none"/>
        </w:rPr>
        <w:br w:type="page"/>
      </w:r>
    </w:p>
    <w:p>
      <w:pPr>
        <w:pStyle w:val="4"/>
        <w:numPr>
          <w:ilvl w:val="0"/>
          <w:numId w:val="2"/>
        </w:numPr>
        <w:spacing w:before="240" w:after="720"/>
        <w:rPr>
          <w:rFonts w:hint="default" w:ascii="Times New Roman" w:hAnsi="Times New Roman" w:cs="Times New Roman"/>
          <w:color w:val="auto"/>
          <w:highlight w:val="none"/>
        </w:rPr>
      </w:pPr>
      <w:bookmarkStart w:id="118" w:name="_Toc10960"/>
      <w:bookmarkStart w:id="119" w:name="_Toc8516"/>
      <w:bookmarkStart w:id="120" w:name="_Toc25063"/>
      <w:bookmarkStart w:id="121" w:name="_Toc93"/>
      <w:r>
        <w:rPr>
          <w:rFonts w:hint="default" w:ascii="Times New Roman" w:hAnsi="Times New Roman" w:cs="Times New Roman"/>
          <w:color w:val="auto"/>
          <w:highlight w:val="none"/>
        </w:rPr>
        <w:t>相关规划协调</w:t>
      </w:r>
      <w:bookmarkEnd w:id="117"/>
      <w:bookmarkEnd w:id="118"/>
      <w:bookmarkEnd w:id="119"/>
      <w:bookmarkEnd w:id="120"/>
      <w:bookmarkEnd w:id="121"/>
    </w:p>
    <w:p>
      <w:pPr>
        <w:pStyle w:val="5"/>
        <w:spacing w:before="360" w:after="120"/>
        <w:ind w:left="0"/>
        <w:rPr>
          <w:rFonts w:hint="default" w:ascii="Times New Roman" w:hAnsi="Times New Roman" w:cs="Times New Roman"/>
          <w:color w:val="auto"/>
          <w:szCs w:val="52"/>
          <w:highlight w:val="none"/>
        </w:rPr>
      </w:pPr>
      <w:bookmarkStart w:id="122" w:name="_Toc17012"/>
      <w:bookmarkStart w:id="123" w:name="_Toc16184"/>
      <w:bookmarkStart w:id="124" w:name="_Toc18198"/>
      <w:bookmarkStart w:id="125" w:name="_Toc29950"/>
      <w:r>
        <w:rPr>
          <w:rFonts w:hint="default" w:ascii="Times New Roman" w:hAnsi="Times New Roman" w:cs="Times New Roman"/>
          <w:color w:val="auto"/>
          <w:szCs w:val="52"/>
          <w:highlight w:val="none"/>
        </w:rPr>
        <w:t>第二十条 与国土空间规划协调</w:t>
      </w:r>
      <w:bookmarkEnd w:id="122"/>
      <w:bookmarkEnd w:id="123"/>
      <w:bookmarkEnd w:id="124"/>
      <w:bookmarkEnd w:id="125"/>
    </w:p>
    <w:p>
      <w:pPr>
        <w:pStyle w:val="14"/>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1、与城镇开发边界协调</w:t>
      </w:r>
    </w:p>
    <w:p>
      <w:pPr>
        <w:pStyle w:val="14"/>
        <w:wordWrap w:val="0"/>
        <w:autoSpaceDE/>
        <w:autoSpaceDN/>
        <w:spacing w:before="37"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依据自然资源部下发的“三线成果”，风景名胜区范围不涉及城镇开发边界。</w:t>
      </w:r>
    </w:p>
    <w:p>
      <w:pPr>
        <w:pStyle w:val="14"/>
        <w:numPr>
          <w:ilvl w:val="0"/>
          <w:numId w:val="3"/>
        </w:numPr>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与永久基本农田协调</w:t>
      </w:r>
    </w:p>
    <w:p>
      <w:pPr>
        <w:pStyle w:val="14"/>
        <w:wordWrap w:val="0"/>
        <w:autoSpaceDE/>
        <w:autoSpaceDN/>
        <w:spacing w:before="37"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依据自然资源部下发的“三线成果”，风景名胜区范围内涉及永久基本农田26.77公顷。规划应当对永久基本农田进行严格保护，落实永久基本农田控制线，加强重大建设项目的预审和审查把关，严格控制临时项目占用和毁坏永久基本农田。有序规范地引导村民在永久基本农田上进行农业生产活动，强化动态监管。</w:t>
      </w:r>
    </w:p>
    <w:p>
      <w:pPr>
        <w:pStyle w:val="14"/>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3、与生态保护红线协调</w:t>
      </w:r>
    </w:p>
    <w:p>
      <w:pPr>
        <w:pStyle w:val="14"/>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生态保护红线应按照最新的《自然资源部 生态环境部 国家林业和草原局关于加强生态保护红线管理的通知（试行）》（自然资发〔2022〕142号）进行管控。</w:t>
      </w:r>
    </w:p>
    <w:p>
      <w:pPr>
        <w:pStyle w:val="14"/>
        <w:wordWrap w:val="0"/>
        <w:autoSpaceDE/>
        <w:autoSpaceDN/>
        <w:spacing w:before="37"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依据自然资源部下发的“三线成果”，风景名胜区内涉及生态保护红线（一般控制区）面积171.55平方公里，应当严格执行生态保护红线相关规定，强化生态保护红线的刚性约束，加强生态保护红线内生态环境保护，并落实环境影响评价的相关措施和要求，形成一整套的生态保护红线管控和激励措施。不能避让生态保护红线的项目应满足“生态保护红线内自然保护地核心保护区外，禁止开发性、生产性建设活动，在符合法律法规的前提下，仅允许对生态功能不造成破坏的有限人为活动”及其管控要求，并进行相应的论证，经批复后方可实施。 </w:t>
      </w:r>
    </w:p>
    <w:p>
      <w:pPr>
        <w:pStyle w:val="14"/>
        <w:numPr>
          <w:ilvl w:val="0"/>
          <w:numId w:val="4"/>
        </w:numPr>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土地利用规划协调</w:t>
      </w:r>
    </w:p>
    <w:p>
      <w:pPr>
        <w:pStyle w:val="14"/>
        <w:wordWrap w:val="0"/>
        <w:autoSpaceDE/>
        <w:autoSpaceDN/>
        <w:spacing w:before="37"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落实《中华人民共和国土地管理法》和关于国土空间规划等的相关规定，做好与《乡城县国土空间总体规划（2021-2025年）》中土地使用规划的实施协调，严格保护耕地，严禁占用永久基本农田，适当增加风景游赏用地，控制建设用地规模，节约集约用地（见图6-1-2）。</w:t>
      </w:r>
    </w:p>
    <w:p>
      <w:pPr>
        <w:pStyle w:val="14"/>
        <w:wordWrap w:val="0"/>
        <w:autoSpaceDE/>
        <w:autoSpaceDN/>
        <w:spacing w:before="37" w:line="360" w:lineRule="auto"/>
        <w:ind w:left="218" w:right="152" w:firstLine="559"/>
        <w:rPr>
          <w:rFonts w:hint="default" w:ascii="Times New Roman" w:hAnsi="Times New Roman" w:cs="Times New Roman"/>
          <w:color w:val="auto"/>
          <w:highlight w:val="none"/>
        </w:rPr>
      </w:pPr>
    </w:p>
    <w:p>
      <w:pPr>
        <w:pStyle w:val="14"/>
        <w:wordWrap w:val="0"/>
        <w:autoSpaceDE/>
        <w:autoSpaceDN/>
        <w:spacing w:before="37" w:line="360" w:lineRule="auto"/>
        <w:ind w:left="218" w:right="152" w:firstLine="559"/>
        <w:rPr>
          <w:rFonts w:hint="default" w:ascii="Times New Roman" w:hAnsi="Times New Roman" w:cs="Times New Roman"/>
          <w:color w:val="auto"/>
          <w:highlight w:val="none"/>
        </w:rPr>
      </w:pPr>
    </w:p>
    <w:p>
      <w:pPr>
        <w:pStyle w:val="14"/>
        <w:wordWrap w:val="0"/>
        <w:autoSpaceDE/>
        <w:autoSpaceDN/>
        <w:spacing w:before="37" w:line="360" w:lineRule="auto"/>
        <w:ind w:left="218" w:right="152" w:firstLine="559"/>
        <w:rPr>
          <w:rFonts w:hint="default" w:ascii="Times New Roman" w:hAnsi="Times New Roman" w:cs="Times New Roman"/>
          <w:color w:val="auto"/>
          <w:highlight w:val="none"/>
        </w:rPr>
      </w:pPr>
    </w:p>
    <w:tbl>
      <w:tblPr>
        <w:tblStyle w:val="21"/>
        <w:tblW w:w="5000" w:type="pct"/>
        <w:tblInd w:w="0" w:type="dxa"/>
        <w:tblLayout w:type="autofit"/>
        <w:tblCellMar>
          <w:top w:w="0" w:type="dxa"/>
          <w:left w:w="0" w:type="dxa"/>
          <w:bottom w:w="0" w:type="dxa"/>
          <w:right w:w="0" w:type="dxa"/>
        </w:tblCellMar>
      </w:tblPr>
      <w:tblGrid>
        <w:gridCol w:w="9140"/>
      </w:tblGrid>
      <w:tr>
        <w:tblPrEx>
          <w:tblCellMar>
            <w:top w:w="0" w:type="dxa"/>
            <w:left w:w="0" w:type="dxa"/>
            <w:bottom w:w="0" w:type="dxa"/>
            <w:right w:w="0" w:type="dxa"/>
          </w:tblCellMar>
        </w:tblPrEx>
        <w:trPr>
          <w:trHeight w:val="255" w:hRule="atLeast"/>
        </w:trPr>
        <w:tc>
          <w:tcPr>
            <w:tcW w:w="5000" w:type="pct"/>
            <w:tcBorders>
              <w:top w:val="nil"/>
              <w:left w:val="nil"/>
              <w:bottom w:val="nil"/>
              <w:right w:val="nil"/>
            </w:tcBorders>
            <w:shd w:val="clear" w:color="auto" w:fill="auto"/>
            <w:noWrap/>
            <w:tcMar>
              <w:top w:w="15" w:type="dxa"/>
              <w:left w:w="15" w:type="dxa"/>
              <w:right w:w="15" w:type="dxa"/>
            </w:tcMar>
            <w:vAlign w:val="center"/>
          </w:tcPr>
          <w:p>
            <w:pPr>
              <w:widowControl/>
              <w:spacing w:line="360" w:lineRule="auto"/>
              <w:jc w:val="center"/>
              <w:textAlignment w:val="center"/>
              <w:rPr>
                <w:rStyle w:val="26"/>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22"/>
                <w:szCs w:val="22"/>
                <w:highlight w:val="none"/>
                <w:lang w:bidi="ar"/>
              </w:rPr>
              <w:t>表6-1 风景名胜区用地统计表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592"/>
              <w:gridCol w:w="2101"/>
              <w:gridCol w:w="1485"/>
              <w:gridCol w:w="1307"/>
              <w:gridCol w:w="1489"/>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317" w:type="pct"/>
                  <w:vMerge w:val="restar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序号</w:t>
                  </w:r>
                </w:p>
              </w:tc>
              <w:tc>
                <w:tcPr>
                  <w:tcW w:w="325" w:type="pct"/>
                  <w:vMerge w:val="restar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用地代号</w:t>
                  </w:r>
                </w:p>
              </w:tc>
              <w:tc>
                <w:tcPr>
                  <w:tcW w:w="1154" w:type="pct"/>
                  <w:vMerge w:val="restar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用地名称</w:t>
                  </w:r>
                </w:p>
              </w:tc>
              <w:tc>
                <w:tcPr>
                  <w:tcW w:w="1534" w:type="pct"/>
                  <w:gridSpan w:val="2"/>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现状用地</w:t>
                  </w:r>
                </w:p>
              </w:tc>
              <w:tc>
                <w:tcPr>
                  <w:tcW w:w="1667" w:type="pct"/>
                  <w:gridSpan w:val="2"/>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规划用地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17" w:type="pct"/>
                  <w:vMerge w:val="continue"/>
                  <w:vAlign w:val="center"/>
                </w:tcPr>
                <w:p>
                  <w:pPr>
                    <w:widowControl/>
                    <w:autoSpaceDE/>
                    <w:autoSpaceDN/>
                    <w:adjustRightInd/>
                    <w:rPr>
                      <w:rFonts w:hint="default" w:ascii="Times New Roman" w:hAnsi="Times New Roman" w:cs="Times New Roman"/>
                      <w:b/>
                      <w:bCs/>
                      <w:color w:val="auto"/>
                      <w:sz w:val="22"/>
                      <w:szCs w:val="22"/>
                      <w:highlight w:val="none"/>
                    </w:rPr>
                  </w:pPr>
                </w:p>
              </w:tc>
              <w:tc>
                <w:tcPr>
                  <w:tcW w:w="325" w:type="pct"/>
                  <w:vMerge w:val="continue"/>
                  <w:vAlign w:val="center"/>
                </w:tcPr>
                <w:p>
                  <w:pPr>
                    <w:widowControl/>
                    <w:autoSpaceDE/>
                    <w:autoSpaceDN/>
                    <w:adjustRightInd/>
                    <w:rPr>
                      <w:rFonts w:hint="default" w:ascii="Times New Roman" w:hAnsi="Times New Roman" w:cs="Times New Roman"/>
                      <w:b/>
                      <w:bCs/>
                      <w:color w:val="auto"/>
                      <w:sz w:val="22"/>
                      <w:szCs w:val="22"/>
                      <w:highlight w:val="none"/>
                    </w:rPr>
                  </w:pPr>
                </w:p>
              </w:tc>
              <w:tc>
                <w:tcPr>
                  <w:tcW w:w="1154" w:type="pct"/>
                  <w:vMerge w:val="continue"/>
                  <w:vAlign w:val="center"/>
                </w:tcPr>
                <w:p>
                  <w:pPr>
                    <w:widowControl/>
                    <w:autoSpaceDE/>
                    <w:autoSpaceDN/>
                    <w:adjustRightInd/>
                    <w:rPr>
                      <w:rFonts w:hint="default" w:ascii="Times New Roman" w:hAnsi="Times New Roman" w:cs="Times New Roman"/>
                      <w:b/>
                      <w:bCs/>
                      <w:color w:val="auto"/>
                      <w:sz w:val="22"/>
                      <w:szCs w:val="22"/>
                      <w:highlight w:val="none"/>
                    </w:rPr>
                  </w:pPr>
                </w:p>
              </w:tc>
              <w:tc>
                <w:tcPr>
                  <w:tcW w:w="816" w:type="pc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面积</w:t>
                  </w:r>
                </w:p>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（公顷）</w:t>
                  </w:r>
                </w:p>
              </w:tc>
              <w:tc>
                <w:tcPr>
                  <w:tcW w:w="718" w:type="pc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占总用地百分比（%）</w:t>
                  </w:r>
                </w:p>
              </w:tc>
              <w:tc>
                <w:tcPr>
                  <w:tcW w:w="818" w:type="pc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面积</w:t>
                  </w:r>
                </w:p>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（公顷）</w:t>
                  </w:r>
                </w:p>
              </w:tc>
              <w:tc>
                <w:tcPr>
                  <w:tcW w:w="848" w:type="pct"/>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占总用地百分比（%）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合计</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17224.44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100.00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17224.44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甲</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风景游赏用地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468.23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2.72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9627.74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55.90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乙</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旅游服务设施用地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0.10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0.00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4.70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丙</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居民社会用地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3.43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0.02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3.40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丁</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交通与工程用地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31.66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0.18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51.60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戊</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林地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10281.63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59.69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6012.59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34.91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6</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已</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园地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0.68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0.00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0.68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7</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庚</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耕地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28.90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0.17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28.90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8</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辛</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草地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2450.56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14.23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1043.65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6.06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9</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壬</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水域</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716.08 </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4.16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257.19 </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7"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325"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癸</w:t>
                  </w:r>
                </w:p>
              </w:tc>
              <w:tc>
                <w:tcPr>
                  <w:tcW w:w="1154" w:type="pct"/>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滞留用地</w:t>
                  </w:r>
                </w:p>
              </w:tc>
              <w:tc>
                <w:tcPr>
                  <w:tcW w:w="148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3243.17</w:t>
                  </w:r>
                </w:p>
              </w:tc>
              <w:tc>
                <w:tcPr>
                  <w:tcW w:w="1307"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18.83 </w:t>
                  </w:r>
                </w:p>
              </w:tc>
              <w:tc>
                <w:tcPr>
                  <w:tcW w:w="1489"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193.99</w:t>
                  </w:r>
                </w:p>
              </w:tc>
              <w:tc>
                <w:tcPr>
                  <w:tcW w:w="1545" w:type="dxa"/>
                  <w:shd w:val="clear" w:color="auto" w:fill="auto"/>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val="en-US" w:eastAsia="zh-CN" w:bidi="ar"/>
                    </w:rPr>
                    <w:t xml:space="preserve">1.12 </w:t>
                  </w:r>
                </w:p>
              </w:tc>
            </w:tr>
          </w:tbl>
          <w:p>
            <w:pPr>
              <w:widowControl/>
              <w:jc w:val="center"/>
              <w:textAlignment w:val="center"/>
              <w:rPr>
                <w:rFonts w:hint="default" w:ascii="Times New Roman" w:hAnsi="Times New Roman" w:cs="Times New Roman"/>
                <w:color w:val="auto"/>
                <w:sz w:val="20"/>
                <w:szCs w:val="20"/>
                <w:highlight w:val="none"/>
              </w:rPr>
            </w:pPr>
          </w:p>
        </w:tc>
      </w:tr>
    </w:tbl>
    <w:p>
      <w:pPr>
        <w:widowControl/>
        <w:jc w:val="center"/>
        <w:textAlignment w:val="center"/>
        <w:rPr>
          <w:rFonts w:hint="default" w:ascii="Times New Roman" w:hAnsi="Times New Roman" w:cs="Times New Roman"/>
          <w:b/>
          <w:bCs/>
          <w:color w:val="auto"/>
          <w:sz w:val="28"/>
          <w:szCs w:val="28"/>
          <w:highlight w:val="none"/>
          <w:lang w:bidi="ar"/>
        </w:rPr>
      </w:pPr>
      <w:bookmarkStart w:id="126" w:name="_Toc24266"/>
      <w:bookmarkStart w:id="127" w:name="_Toc21111"/>
    </w:p>
    <w:bookmarkEnd w:id="126"/>
    <w:bookmarkEnd w:id="127"/>
    <w:p>
      <w:pPr>
        <w:widowControl/>
        <w:spacing w:line="360" w:lineRule="auto"/>
        <w:jc w:val="center"/>
        <w:textAlignment w:val="center"/>
        <w:rPr>
          <w:rFonts w:hint="default" w:ascii="Times New Roman" w:hAnsi="Times New Roman" w:cs="Times New Roman"/>
          <w:b/>
          <w:bCs/>
          <w:color w:val="auto"/>
          <w:sz w:val="22"/>
          <w:szCs w:val="22"/>
          <w:highlight w:val="none"/>
          <w:lang w:bidi="ar"/>
        </w:rPr>
      </w:pPr>
      <w:bookmarkStart w:id="128" w:name="_Toc10683"/>
      <w:bookmarkStart w:id="129" w:name="_Toc20769"/>
      <w:bookmarkStart w:id="130" w:name="_Toc14634"/>
      <w:bookmarkStart w:id="131" w:name="_Toc31644"/>
      <w:r>
        <w:rPr>
          <w:rFonts w:hint="default" w:ascii="Times New Roman" w:hAnsi="Times New Roman" w:cs="Times New Roman"/>
          <w:b/>
          <w:bCs/>
          <w:color w:val="auto"/>
          <w:sz w:val="22"/>
          <w:szCs w:val="22"/>
          <w:highlight w:val="none"/>
          <w:lang w:bidi="ar"/>
        </w:rPr>
        <w:t>表 6-2 国土空间调查、规划、用地管制统计表</w:t>
      </w:r>
    </w:p>
    <w:tbl>
      <w:tblPr>
        <w:tblStyle w:val="21"/>
        <w:tblW w:w="4911" w:type="pct"/>
        <w:jc w:val="center"/>
        <w:tblLayout w:type="autofit"/>
        <w:tblCellMar>
          <w:top w:w="0" w:type="dxa"/>
          <w:left w:w="108" w:type="dxa"/>
          <w:bottom w:w="0" w:type="dxa"/>
          <w:right w:w="108" w:type="dxa"/>
        </w:tblCellMar>
      </w:tblPr>
      <w:tblGrid>
        <w:gridCol w:w="563"/>
        <w:gridCol w:w="1073"/>
        <w:gridCol w:w="825"/>
        <w:gridCol w:w="1767"/>
        <w:gridCol w:w="1497"/>
        <w:gridCol w:w="1145"/>
        <w:gridCol w:w="1285"/>
        <w:gridCol w:w="1005"/>
      </w:tblGrid>
      <w:tr>
        <w:tblPrEx>
          <w:tblCellMar>
            <w:top w:w="0" w:type="dxa"/>
            <w:left w:w="108" w:type="dxa"/>
            <w:bottom w:w="0" w:type="dxa"/>
            <w:right w:w="108" w:type="dxa"/>
          </w:tblCellMar>
        </w:tblPrEx>
        <w:trPr>
          <w:trHeight w:val="283" w:hRule="atLeast"/>
          <w:tblHeader/>
          <w:jc w:val="center"/>
        </w:trPr>
        <w:tc>
          <w:tcPr>
            <w:tcW w:w="231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规划分类</w:t>
            </w:r>
          </w:p>
        </w:tc>
        <w:tc>
          <w:tcPr>
            <w:tcW w:w="1444" w:type="pct"/>
            <w:gridSpan w:val="2"/>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现状</w:t>
            </w:r>
          </w:p>
        </w:tc>
        <w:tc>
          <w:tcPr>
            <w:tcW w:w="1242" w:type="pct"/>
            <w:gridSpan w:val="2"/>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规划</w:t>
            </w:r>
          </w:p>
        </w:tc>
      </w:tr>
      <w:tr>
        <w:tblPrEx>
          <w:tblCellMar>
            <w:top w:w="0" w:type="dxa"/>
            <w:left w:w="108" w:type="dxa"/>
            <w:bottom w:w="0" w:type="dxa"/>
            <w:right w:w="108" w:type="dxa"/>
          </w:tblCellMar>
        </w:tblPrEx>
        <w:trPr>
          <w:trHeight w:val="283" w:hRule="atLeast"/>
          <w:tblHeader/>
          <w:jc w:val="center"/>
        </w:trPr>
        <w:tc>
          <w:tcPr>
            <w:tcW w:w="309"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代码</w:t>
            </w:r>
          </w:p>
        </w:tc>
        <w:tc>
          <w:tcPr>
            <w:tcW w:w="587"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一级类名称</w:t>
            </w:r>
          </w:p>
        </w:tc>
        <w:tc>
          <w:tcPr>
            <w:tcW w:w="451"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代码</w:t>
            </w:r>
          </w:p>
        </w:tc>
        <w:tc>
          <w:tcPr>
            <w:tcW w:w="963"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二级类名称</w:t>
            </w:r>
          </w:p>
        </w:tc>
        <w:tc>
          <w:tcPr>
            <w:tcW w:w="818"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面积</w:t>
            </w:r>
          </w:p>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（公顷）</w:t>
            </w:r>
          </w:p>
        </w:tc>
        <w:tc>
          <w:tcPr>
            <w:tcW w:w="626"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占比</w:t>
            </w:r>
          </w:p>
        </w:tc>
        <w:tc>
          <w:tcPr>
            <w:tcW w:w="702"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面积</w:t>
            </w:r>
          </w:p>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（公顷）</w:t>
            </w:r>
          </w:p>
        </w:tc>
        <w:tc>
          <w:tcPr>
            <w:tcW w:w="539"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占比</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01</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耕地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0102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水浇地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0.02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0.02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0103</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旱地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28.88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0.17%</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28.88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0.17%</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02</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园地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0201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果园</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0.08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0.08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0205</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其他园地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0.60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0.60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03</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林地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乔木林地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4193.53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24.35%</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4189.39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24.21%</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0303</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灌木林地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6311.73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36.64%</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6297.78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36.51%</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0304</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其他林地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187.39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1.09%</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187.33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1.09%</w:t>
            </w:r>
          </w:p>
        </w:tc>
      </w:tr>
      <w:tr>
        <w:tblPrEx>
          <w:tblCellMar>
            <w:top w:w="0" w:type="dxa"/>
            <w:left w:w="108" w:type="dxa"/>
            <w:bottom w:w="0" w:type="dxa"/>
            <w:right w:w="108" w:type="dxa"/>
          </w:tblCellMar>
        </w:tblPrEx>
        <w:trPr>
          <w:trHeight w:val="260"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04</w:t>
            </w:r>
          </w:p>
        </w:tc>
        <w:tc>
          <w:tcPr>
            <w:tcW w:w="587" w:type="pct"/>
            <w:tcBorders>
              <w:top w:val="nil"/>
              <w:left w:val="nil"/>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草地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0401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天然牧草地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2450.56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14.23%</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2449.03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14.22%</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05</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湿地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0502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灌丛沼泽</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270.03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1.57%</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269.69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1.57%</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0503</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沼泽草地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214.12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1.24%</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213.93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1.24%</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0506</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内陆滩涂</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1.31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0.01%</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1.31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0.01%</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06</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农业设施建设用地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0601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农村道路</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6.14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0.01%</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10.36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0.07%</w:t>
            </w:r>
          </w:p>
        </w:tc>
      </w:tr>
      <w:tr>
        <w:tblPrEx>
          <w:tblCellMar>
            <w:top w:w="0" w:type="dxa"/>
            <w:left w:w="108" w:type="dxa"/>
            <w:bottom w:w="0" w:type="dxa"/>
            <w:right w:w="108" w:type="dxa"/>
          </w:tblCellMar>
        </w:tblPrEx>
        <w:trPr>
          <w:trHeight w:val="52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0602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设施农用地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0.02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0.02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07</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居住用地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0703</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农村宅基地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3.25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0.02%</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3.22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0.02%</w:t>
            </w:r>
          </w:p>
        </w:tc>
      </w:tr>
      <w:tr>
        <w:tblPrEx>
          <w:tblCellMar>
            <w:top w:w="0" w:type="dxa"/>
            <w:left w:w="108" w:type="dxa"/>
            <w:bottom w:w="0" w:type="dxa"/>
            <w:right w:w="108" w:type="dxa"/>
          </w:tblCellMar>
        </w:tblPrEx>
        <w:trPr>
          <w:trHeight w:val="52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0704</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农村社区服务设施用地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0.18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0.18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520"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09</w:t>
            </w:r>
          </w:p>
        </w:tc>
        <w:tc>
          <w:tcPr>
            <w:tcW w:w="587" w:type="pct"/>
            <w:tcBorders>
              <w:top w:val="nil"/>
              <w:left w:val="nil"/>
              <w:bottom w:val="nil"/>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商业服务业用地</w:t>
            </w:r>
          </w:p>
        </w:tc>
        <w:tc>
          <w:tcPr>
            <w:tcW w:w="825" w:type="dxa"/>
            <w:tcBorders>
              <w:top w:val="nil"/>
              <w:left w:val="nil"/>
              <w:bottom w:val="nil"/>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0901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商业用地</w:t>
            </w:r>
          </w:p>
        </w:tc>
        <w:tc>
          <w:tcPr>
            <w:tcW w:w="1497" w:type="dxa"/>
            <w:tcBorders>
              <w:top w:val="nil"/>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w:t>
            </w:r>
          </w:p>
        </w:tc>
        <w:tc>
          <w:tcPr>
            <w:tcW w:w="11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1.26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0.01%</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12</w:t>
            </w:r>
          </w:p>
        </w:tc>
        <w:tc>
          <w:tcPr>
            <w:tcW w:w="5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交通运输用地</w:t>
            </w:r>
          </w:p>
        </w:tc>
        <w:tc>
          <w:tcPr>
            <w:tcW w:w="8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公路用地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25.40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0.15%</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39.93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0.38%</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1208</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交通场站用地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0.97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0.01%</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公用设施用地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1301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供水用地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0.03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0.14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1302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排水用地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0.11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1311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水工设施用地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0.09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0.09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15</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特殊用地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1503</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宗教用地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0.10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1504</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文物古迹用地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0.25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0.25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1507</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其他特殊用地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0.10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3.44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0.02%</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17</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陆地水域</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1701</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河流水面</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67.54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0.39%</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67.13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0.39%</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1702</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湖泊水面</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219.68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1.28%</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219.68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1.28%</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1704</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坑塘水面</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0.25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0.25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0.00%</w:t>
            </w:r>
          </w:p>
        </w:tc>
      </w:tr>
      <w:tr>
        <w:tblPrEx>
          <w:tblCellMar>
            <w:top w:w="0" w:type="dxa"/>
            <w:left w:w="108" w:type="dxa"/>
            <w:bottom w:w="0" w:type="dxa"/>
            <w:right w:w="108" w:type="dxa"/>
          </w:tblCellMar>
        </w:tblPrEx>
        <w:trPr>
          <w:trHeight w:val="260" w:hRule="atLeast"/>
          <w:jc w:val="center"/>
        </w:trPr>
        <w:tc>
          <w:tcPr>
            <w:tcW w:w="30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23</w:t>
            </w:r>
          </w:p>
        </w:tc>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其他土地</w:t>
            </w: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2306</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裸土地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11.11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0.06%</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11.11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0.06%</w:t>
            </w:r>
          </w:p>
        </w:tc>
      </w:tr>
      <w:tr>
        <w:tblPrEx>
          <w:tblCellMar>
            <w:top w:w="0" w:type="dxa"/>
            <w:left w:w="108" w:type="dxa"/>
            <w:bottom w:w="0" w:type="dxa"/>
            <w:right w:w="108" w:type="dxa"/>
          </w:tblCellMar>
        </w:tblPrEx>
        <w:trPr>
          <w:trHeight w:val="260" w:hRule="atLeast"/>
          <w:jc w:val="center"/>
        </w:trPr>
        <w:tc>
          <w:tcPr>
            <w:tcW w:w="309"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587" w:type="pct"/>
            <w:vMerge w:val="continue"/>
            <w:tcBorders>
              <w:top w:val="nil"/>
              <w:left w:val="single" w:color="auto" w:sz="4" w:space="0"/>
              <w:bottom w:val="single" w:color="auto" w:sz="4" w:space="0"/>
              <w:right w:val="single" w:color="auto" w:sz="4" w:space="0"/>
            </w:tcBorders>
            <w:vAlign w:val="center"/>
          </w:tcPr>
          <w:p>
            <w:pPr>
              <w:widowControl/>
              <w:autoSpaceDE/>
              <w:autoSpaceDN/>
              <w:adjustRightInd/>
              <w:rPr>
                <w:rFonts w:hint="default" w:ascii="Times New Roman" w:hAnsi="Times New Roman" w:cs="Times New Roman"/>
                <w:color w:val="auto"/>
                <w:sz w:val="22"/>
                <w:szCs w:val="22"/>
                <w:highlight w:val="none"/>
              </w:rPr>
            </w:pPr>
          </w:p>
        </w:tc>
        <w:tc>
          <w:tcPr>
            <w:tcW w:w="82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2307</w:t>
            </w:r>
          </w:p>
        </w:tc>
        <w:tc>
          <w:tcPr>
            <w:tcW w:w="176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裸岩石砾地</w:t>
            </w: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3232.05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18.76%</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3228.16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18.75%</w:t>
            </w:r>
          </w:p>
        </w:tc>
      </w:tr>
      <w:tr>
        <w:tblPrEx>
          <w:tblCellMar>
            <w:top w:w="0" w:type="dxa"/>
            <w:left w:w="108" w:type="dxa"/>
            <w:bottom w:w="0" w:type="dxa"/>
            <w:right w:w="108" w:type="dxa"/>
          </w:tblCellMar>
        </w:tblPrEx>
        <w:trPr>
          <w:trHeight w:val="260" w:hRule="atLeast"/>
          <w:jc w:val="center"/>
        </w:trPr>
        <w:tc>
          <w:tcPr>
            <w:tcW w:w="8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总计</w:t>
            </w:r>
          </w:p>
        </w:tc>
        <w:tc>
          <w:tcPr>
            <w:tcW w:w="825"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2"/>
                <w:szCs w:val="22"/>
                <w:highlight w:val="none"/>
              </w:rPr>
            </w:pPr>
          </w:p>
        </w:tc>
        <w:tc>
          <w:tcPr>
            <w:tcW w:w="1767"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2"/>
                <w:szCs w:val="22"/>
                <w:highlight w:val="none"/>
              </w:rPr>
            </w:pPr>
          </w:p>
        </w:tc>
        <w:tc>
          <w:tcPr>
            <w:tcW w:w="149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17224.44 </w:t>
            </w:r>
          </w:p>
        </w:tc>
        <w:tc>
          <w:tcPr>
            <w:tcW w:w="11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100.00%</w:t>
            </w:r>
          </w:p>
        </w:tc>
        <w:tc>
          <w:tcPr>
            <w:tcW w:w="128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17224.44 </w:t>
            </w:r>
          </w:p>
        </w:tc>
        <w:tc>
          <w:tcPr>
            <w:tcW w:w="100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宋体" w:cs="Times New Roman"/>
                <w:i w:val="0"/>
                <w:color w:val="000000"/>
                <w:kern w:val="0"/>
                <w:sz w:val="22"/>
                <w:szCs w:val="22"/>
                <w:highlight w:val="none"/>
                <w:u w:val="none"/>
                <w:lang w:val="en-US" w:eastAsia="zh-CN" w:bidi="ar"/>
              </w:rPr>
              <w:t>100.00%</w:t>
            </w:r>
          </w:p>
        </w:tc>
      </w:tr>
    </w:tbl>
    <w:p>
      <w:pPr>
        <w:pStyle w:val="5"/>
        <w:spacing w:before="360" w:after="120"/>
        <w:ind w:left="0"/>
        <w:rPr>
          <w:rFonts w:hint="default" w:ascii="Times New Roman" w:hAnsi="Times New Roman" w:cs="Times New Roman"/>
          <w:color w:val="auto"/>
          <w:szCs w:val="52"/>
          <w:highlight w:val="none"/>
        </w:rPr>
      </w:pPr>
      <w:bookmarkStart w:id="132" w:name="_Toc19037"/>
      <w:r>
        <w:rPr>
          <w:rFonts w:hint="default" w:ascii="Times New Roman" w:hAnsi="Times New Roman" w:cs="Times New Roman"/>
          <w:color w:val="auto"/>
          <w:szCs w:val="52"/>
          <w:highlight w:val="none"/>
        </w:rPr>
        <w:t>第二十</w:t>
      </w:r>
      <w:r>
        <w:rPr>
          <w:rFonts w:hint="eastAsia" w:ascii="Times New Roman" w:hAnsi="Times New Roman" w:cs="Times New Roman"/>
          <w:color w:val="auto"/>
          <w:szCs w:val="52"/>
          <w:highlight w:val="none"/>
          <w:lang w:val="en-US" w:eastAsia="zh-CN"/>
        </w:rPr>
        <w:t>一</w:t>
      </w:r>
      <w:r>
        <w:rPr>
          <w:rFonts w:hint="default" w:ascii="Times New Roman" w:hAnsi="Times New Roman" w:cs="Times New Roman"/>
          <w:color w:val="auto"/>
          <w:szCs w:val="52"/>
          <w:highlight w:val="none"/>
        </w:rPr>
        <w:t>条 其他相关规划与管理规定协调</w:t>
      </w:r>
      <w:bookmarkEnd w:id="132"/>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33" w:name="_Toc14749"/>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与乡城县全域旅游规划协调</w:t>
      </w:r>
      <w:bookmarkEnd w:id="133"/>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风景名胜区属于全域旅游发展结构“一带两核三片区”的三片区之一，定位为香巴拉七湖徒步探险片区，应当大力保护风景名胜区的生态环境，发展特种旅游项目；其他建设项目应当遵循风景名胜区保护要求，并严格落实环境影响评价和相关审批手续。</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34" w:name="_Toc2476"/>
      <w:bookmarkStart w:id="135" w:name="_Toc32455"/>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与文物保护的协调</w:t>
      </w:r>
      <w:bookmarkEnd w:id="134"/>
      <w:bookmarkEnd w:id="135"/>
      <w:r>
        <w:rPr>
          <w:rFonts w:hint="default" w:ascii="Times New Roman" w:hAnsi="Times New Roman" w:cs="Times New Roman"/>
          <w:color w:val="auto"/>
          <w:highlight w:val="none"/>
        </w:rPr>
        <w:t xml:space="preserve">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风景名胜区内有郎拉岗石碉楼、思姆塔、思姆玛尼堆群、思姆山神祭祀场、那拉岗民居等不可移动文物，其中郎拉岗石碉楼为州级文物保护单位。落实《文物保护法》等相关规定，严格执行四川省人民政府关于各级文物保护单位的保护范围和建设控制地带的规定，做好与文物保护专项规划的实施协调，涉及文物保护修缮的项目，在文物保护单位的保护范围和建设控制地带进行相关设施建设的项目，严格履行相关审批程序。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36" w:name="_Toc15451"/>
      <w:bookmarkStart w:id="137" w:name="_Toc1524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与水利相关规划协调</w:t>
      </w:r>
      <w:bookmarkEnd w:id="136"/>
      <w:bookmarkEnd w:id="137"/>
      <w:r>
        <w:rPr>
          <w:rFonts w:hint="default" w:ascii="Times New Roman" w:hAnsi="Times New Roman" w:cs="Times New Roman"/>
          <w:color w:val="auto"/>
          <w:highlight w:val="none"/>
        </w:rPr>
        <w:t xml:space="preserve">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落实《中华人民共和国水资源保护法》的相关规定，对接《乡城县“一湖一策”管理保护方案》，做好专项岸线规划衔接，根据规划加强岸线开发管理利用，实施分区管理，做好水源保护，做好山洪地质灾害预防。</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38" w:name="_Toc15556"/>
      <w:bookmarkStart w:id="139" w:name="_Toc1188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与矿产资源开发相关规划的协调</w:t>
      </w:r>
      <w:bookmarkEnd w:id="138"/>
      <w:bookmarkEnd w:id="139"/>
      <w:r>
        <w:rPr>
          <w:rFonts w:hint="default" w:ascii="Times New Roman" w:hAnsi="Times New Roman" w:cs="Times New Roman"/>
          <w:color w:val="auto"/>
          <w:highlight w:val="none"/>
        </w:rPr>
        <w:t xml:space="preserve"> </w:t>
      </w:r>
    </w:p>
    <w:p>
      <w:pPr>
        <w:pStyle w:val="14"/>
        <w:keepNext w:val="0"/>
        <w:keepLines w:val="0"/>
        <w:pageBreakBefore w:val="0"/>
        <w:widowControl w:val="0"/>
        <w:kinsoku/>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根据《风景名胜区条例》等相关规定，风景名胜区内不得设置矿业权，禁止开矿。经与县自然资源局核实，风景名胜区内无相关开矿等开采相关活动，也无有效矿业权。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40" w:name="_Toc23668"/>
      <w:bookmarkStart w:id="141" w:name="_Toc867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林地保护和特定区域</w:t>
      </w:r>
      <w:bookmarkEnd w:id="140"/>
      <w:bookmarkEnd w:id="141"/>
      <w:r>
        <w:rPr>
          <w:rFonts w:hint="default" w:ascii="Times New Roman" w:hAnsi="Times New Roman" w:cs="Times New Roman"/>
          <w:color w:val="auto"/>
          <w:highlight w:val="none"/>
        </w:rPr>
        <w:t>协调</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落实《中华人民共和国森林法》《四川省林地保护管理办法》等有关规定，严格保护林地和林木资源，禁止毁林开垦和毁林采石、采砂、采土以及其他毁坏林地的行为，做好退耕还林等工程的实施协调。</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42" w:name="_Toc9725"/>
      <w:bookmarkStart w:id="143" w:name="_Toc23278"/>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与地质公园规划协调</w:t>
      </w:r>
      <w:bookmarkEnd w:id="142"/>
      <w:bookmarkEnd w:id="143"/>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44" w:name="_Toc25805"/>
      <w:bookmarkStart w:id="145" w:name="_Toc3146"/>
      <w:r>
        <w:rPr>
          <w:rFonts w:hint="default" w:ascii="Times New Roman" w:hAnsi="Times New Roman" w:cs="Times New Roman"/>
          <w:color w:val="auto"/>
          <w:highlight w:val="none"/>
        </w:rPr>
        <w:t>根据风景名胜区整合优化规则，乡城县香巴拉七湖风景名胜区与香巴拉七湖省级地质公园大部分重叠，整合优化预案将香巴拉七湖地质公园整合为风景名胜区，整合优化后地质公园除西北部调出生态红线部分用地外，全部纳入风景名胜区范围。在功能分区和分级保护等方面与地质公园进行衔接，对于风景名胜区内的地质遗迹景观的保护参照地质公园相关要求。</w:t>
      </w:r>
    </w:p>
    <w:p>
      <w:pPr>
        <w:pStyle w:val="14"/>
        <w:keepNext w:val="0"/>
        <w:keepLines w:val="0"/>
        <w:pageBreakBefore w:val="0"/>
        <w:widowControl w:val="0"/>
        <w:numPr>
          <w:ilvl w:val="0"/>
          <w:numId w:val="0"/>
        </w:numPr>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bookmarkStart w:id="146" w:name="_Toc7539"/>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宗教活动场所管理</w:t>
      </w:r>
      <w:bookmarkEnd w:id="146"/>
      <w:r>
        <w:rPr>
          <w:rFonts w:hint="default" w:ascii="Times New Roman" w:hAnsi="Times New Roman" w:cs="Times New Roman"/>
          <w:color w:val="auto"/>
          <w:highlight w:val="none"/>
        </w:rPr>
        <w:t xml:space="preserve">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风景名胜区内有一处开放的宗教活动场所——那拉岗寺，应落实《宗教事务条例》《藏传佛教寺庙管理办法》《甘孜藏族自治州藏传佛教事务条例》《关于进一步治理佛教道教商业化问题的若干意见》（国宗发〔2017〕88号）等文件的相关规定，明确风景名胜区内依法登记的宗教活动场所，维护宗教活动场所周边环境和景观风貌。在风景名胜区内的宗教活动场所新建、扩建、改建等都要严格按照《中华人民共和国文物保护法》《宗教事务条例》《风景名胜区条例》管理，风景名胜区主管部门应会同宗教、园林、文物等部门对违法建设行为进行查处。</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旅游管理</w:t>
      </w:r>
      <w:bookmarkEnd w:id="144"/>
      <w:bookmarkEnd w:id="145"/>
      <w:r>
        <w:rPr>
          <w:rFonts w:hint="default" w:ascii="Times New Roman" w:hAnsi="Times New Roman" w:cs="Times New Roman"/>
          <w:color w:val="auto"/>
          <w:highlight w:val="none"/>
        </w:rPr>
        <w:t xml:space="preserve"> </w:t>
      </w:r>
    </w:p>
    <w:p>
      <w:pPr>
        <w:pStyle w:val="14"/>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落实《旅游法》等相关规定，规范旅游和旅游经营活动，提升旅游服务水平。</w:t>
      </w:r>
    </w:p>
    <w:p>
      <w:pPr>
        <w:pStyle w:val="14"/>
        <w:wordWrap w:val="0"/>
        <w:autoSpaceDE/>
        <w:autoSpaceDN/>
        <w:spacing w:before="37" w:line="360" w:lineRule="auto"/>
        <w:ind w:right="152"/>
        <w:rPr>
          <w:rFonts w:hint="default" w:ascii="Times New Roman" w:hAnsi="Times New Roman" w:cs="Times New Roman"/>
          <w:color w:val="auto"/>
          <w:highlight w:val="none"/>
        </w:rPr>
      </w:pPr>
    </w:p>
    <w:p>
      <w:pPr>
        <w:pStyle w:val="14"/>
        <w:wordWrap w:val="0"/>
        <w:autoSpaceDE/>
        <w:autoSpaceDN/>
        <w:spacing w:before="37" w:line="360" w:lineRule="auto"/>
        <w:ind w:right="152"/>
        <w:rPr>
          <w:rFonts w:hint="default" w:ascii="Times New Roman" w:hAnsi="Times New Roman" w:cs="Times New Roman"/>
          <w:color w:val="auto"/>
          <w:highlight w:val="none"/>
        </w:rPr>
      </w:pPr>
    </w:p>
    <w:p>
      <w:pPr>
        <w:rPr>
          <w:rFonts w:hint="default" w:ascii="Times New Roman" w:hAnsi="Times New Roman" w:cs="Times New Roman"/>
          <w:color w:val="auto"/>
          <w:szCs w:val="72"/>
          <w:highlight w:val="none"/>
        </w:rPr>
      </w:pPr>
      <w:r>
        <w:rPr>
          <w:rFonts w:hint="default" w:ascii="Times New Roman" w:hAnsi="Times New Roman" w:cs="Times New Roman"/>
          <w:color w:val="auto"/>
          <w:szCs w:val="72"/>
          <w:highlight w:val="none"/>
        </w:rPr>
        <w:br w:type="page"/>
      </w:r>
    </w:p>
    <w:p>
      <w:pPr>
        <w:pStyle w:val="4"/>
        <w:spacing w:before="240" w:after="720"/>
        <w:rPr>
          <w:rFonts w:hint="default" w:ascii="Times New Roman" w:hAnsi="Times New Roman" w:cs="Times New Roman"/>
          <w:color w:val="auto"/>
          <w:highlight w:val="none"/>
        </w:rPr>
      </w:pPr>
      <w:bookmarkStart w:id="147" w:name="_Toc1187"/>
      <w:r>
        <w:rPr>
          <w:rFonts w:hint="default" w:ascii="Times New Roman" w:hAnsi="Times New Roman" w:cs="Times New Roman"/>
          <w:color w:val="auto"/>
          <w:highlight w:val="none"/>
        </w:rPr>
        <w:t>第七章 分期规划实施</w:t>
      </w:r>
      <w:bookmarkEnd w:id="128"/>
      <w:bookmarkEnd w:id="129"/>
      <w:bookmarkEnd w:id="130"/>
      <w:bookmarkEnd w:id="131"/>
      <w:bookmarkEnd w:id="147"/>
    </w:p>
    <w:p>
      <w:pPr>
        <w:pStyle w:val="5"/>
        <w:spacing w:before="360" w:after="120"/>
        <w:ind w:left="0"/>
        <w:rPr>
          <w:rFonts w:hint="default" w:ascii="Times New Roman" w:hAnsi="Times New Roman" w:cs="Times New Roman"/>
          <w:color w:val="auto"/>
          <w:szCs w:val="52"/>
          <w:highlight w:val="none"/>
        </w:rPr>
      </w:pPr>
      <w:bookmarkStart w:id="148" w:name="_Toc17484"/>
      <w:bookmarkStart w:id="149" w:name="_Toc25213"/>
      <w:bookmarkStart w:id="150" w:name="_Toc14641"/>
      <w:bookmarkStart w:id="151" w:name="_Toc227"/>
      <w:r>
        <w:rPr>
          <w:rFonts w:hint="default" w:ascii="Times New Roman" w:hAnsi="Times New Roman" w:cs="Times New Roman"/>
          <w:color w:val="auto"/>
          <w:szCs w:val="52"/>
          <w:highlight w:val="none"/>
        </w:rPr>
        <w:t>第二十</w:t>
      </w:r>
      <w:r>
        <w:rPr>
          <w:rFonts w:hint="eastAsia" w:ascii="Times New Roman" w:hAnsi="Times New Roman" w:cs="Times New Roman"/>
          <w:color w:val="auto"/>
          <w:szCs w:val="52"/>
          <w:highlight w:val="none"/>
          <w:lang w:val="en-US" w:eastAsia="zh-CN"/>
        </w:rPr>
        <w:t>二</w:t>
      </w:r>
      <w:r>
        <w:rPr>
          <w:rFonts w:hint="default" w:ascii="Times New Roman" w:hAnsi="Times New Roman" w:cs="Times New Roman"/>
          <w:color w:val="auto"/>
          <w:szCs w:val="52"/>
          <w:highlight w:val="none"/>
        </w:rPr>
        <w:t>条 近期实施重点</w:t>
      </w:r>
      <w:bookmarkEnd w:id="148"/>
      <w:bookmarkEnd w:id="149"/>
      <w:bookmarkEnd w:id="150"/>
      <w:bookmarkEnd w:id="151"/>
    </w:p>
    <w:p>
      <w:pPr>
        <w:pStyle w:val="14"/>
        <w:overflowPunct w:val="0"/>
        <w:spacing w:line="360" w:lineRule="auto"/>
        <w:ind w:firstLine="480" w:firstLineChars="200"/>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spacing w:val="-7"/>
          <w:highlight w:val="none"/>
        </w:rPr>
        <w:t xml:space="preserve">建立和完善风景名胜区管理机构组织，落实人员和经费，制定风景名胜区管理制度和规范。 </w:t>
      </w:r>
    </w:p>
    <w:p>
      <w:pPr>
        <w:pStyle w:val="14"/>
        <w:overflowPunct w:val="0"/>
        <w:spacing w:line="360" w:lineRule="auto"/>
        <w:ind w:firstLine="480" w:firstLineChars="200"/>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spacing w:val="-7"/>
          <w:highlight w:val="none"/>
        </w:rPr>
        <w:t xml:space="preserve">自规划批准之日起 1 年内，完成风景名胜区和核心景区范围的标界立桩工作。 </w:t>
      </w:r>
    </w:p>
    <w:p>
      <w:pPr>
        <w:pStyle w:val="14"/>
        <w:overflowPunct w:val="0"/>
        <w:spacing w:line="360" w:lineRule="auto"/>
        <w:ind w:firstLine="480" w:firstLineChars="200"/>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pacing w:val="-7"/>
          <w:highlight w:val="none"/>
        </w:rPr>
        <w:t>完善作那拉岗村（天村）旅游村、七湖（热拥牧场）旅游点和楚足牧场旅游点等主要接待点的基础设施。</w:t>
      </w:r>
    </w:p>
    <w:p>
      <w:pPr>
        <w:pStyle w:val="14"/>
        <w:overflowPunct w:val="0"/>
        <w:spacing w:line="360" w:lineRule="auto"/>
        <w:ind w:firstLine="480" w:firstLineChars="200"/>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spacing w:val="-7"/>
          <w:highlight w:val="none"/>
        </w:rPr>
        <w:t>完成天村景区、七湖景区、泽仁措景区的部分游览设施建设。</w:t>
      </w:r>
    </w:p>
    <w:p>
      <w:pPr>
        <w:pStyle w:val="14"/>
        <w:overflowPunct w:val="0"/>
        <w:spacing w:line="360" w:lineRule="auto"/>
        <w:ind w:firstLine="480" w:firstLineChars="200"/>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5、</w:t>
      </w:r>
      <w:r>
        <w:rPr>
          <w:rFonts w:hint="default" w:ascii="Times New Roman" w:hAnsi="Times New Roman" w:cs="Times New Roman"/>
          <w:color w:val="auto"/>
          <w:spacing w:val="-7"/>
          <w:highlight w:val="none"/>
        </w:rPr>
        <w:t xml:space="preserve">完善风景名胜区标识解说系统。 </w:t>
      </w:r>
    </w:p>
    <w:p>
      <w:pPr>
        <w:pStyle w:val="14"/>
        <w:overflowPunct w:val="0"/>
        <w:spacing w:line="360" w:lineRule="auto"/>
        <w:ind w:firstLine="480" w:firstLineChars="200"/>
        <w:jc w:val="both"/>
        <w:rPr>
          <w:rFonts w:hint="default" w:ascii="Times New Roman" w:hAnsi="Times New Roman" w:cs="Times New Roman"/>
          <w:color w:val="auto"/>
          <w:spacing w:val="-7"/>
          <w:highlight w:val="none"/>
        </w:rPr>
      </w:pPr>
      <w:r>
        <w:rPr>
          <w:rFonts w:hint="default" w:ascii="Times New Roman" w:hAnsi="Times New Roman" w:cs="Times New Roman"/>
          <w:color w:val="auto"/>
          <w:highlight w:val="none"/>
        </w:rPr>
        <w:t>6、与在编县级国土空间总体规划、乡镇级片区国土空间规划进行充分衔接，将风景名胜区用地指标和范围纳入国土空间“一张图”中统一管理，充分协调国土空间规划与风景名胜区开发建设的关系</w:t>
      </w:r>
      <w:r>
        <w:rPr>
          <w:rFonts w:hint="default" w:ascii="Times New Roman" w:hAnsi="Times New Roman" w:cs="Times New Roman"/>
          <w:color w:val="auto"/>
          <w:spacing w:val="-7"/>
          <w:highlight w:val="none"/>
        </w:rPr>
        <w:t>。</w:t>
      </w:r>
    </w:p>
    <w:p>
      <w:pPr>
        <w:widowControl/>
        <w:jc w:val="center"/>
        <w:textAlignment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表 7-1 近期建设项目一览表</w:t>
      </w:r>
    </w:p>
    <w:tbl>
      <w:tblPr>
        <w:tblStyle w:val="21"/>
        <w:tblW w:w="5000" w:type="pct"/>
        <w:jc w:val="center"/>
        <w:tblLayout w:type="fixed"/>
        <w:tblCellMar>
          <w:top w:w="0" w:type="dxa"/>
          <w:left w:w="108" w:type="dxa"/>
          <w:bottom w:w="0" w:type="dxa"/>
          <w:right w:w="108" w:type="dxa"/>
        </w:tblCellMar>
      </w:tblPr>
      <w:tblGrid>
        <w:gridCol w:w="715"/>
        <w:gridCol w:w="430"/>
        <w:gridCol w:w="1388"/>
        <w:gridCol w:w="1343"/>
        <w:gridCol w:w="1488"/>
        <w:gridCol w:w="3962"/>
      </w:tblGrid>
      <w:tr>
        <w:tblPrEx>
          <w:tblCellMar>
            <w:top w:w="0" w:type="dxa"/>
            <w:left w:w="108" w:type="dxa"/>
            <w:bottom w:w="0" w:type="dxa"/>
            <w:right w:w="108" w:type="dxa"/>
          </w:tblCellMar>
        </w:tblPrEx>
        <w:trPr>
          <w:trHeight w:val="481" w:hRule="atLeast"/>
          <w:tblHeader/>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序号</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项目名称</w:t>
            </w:r>
          </w:p>
        </w:tc>
        <w:tc>
          <w:tcPr>
            <w:tcW w:w="720"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建设性质</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建设年限</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建设规模及内容</w:t>
            </w:r>
          </w:p>
        </w:tc>
      </w:tr>
      <w:tr>
        <w:tblPrEx>
          <w:tblCellMar>
            <w:top w:w="0" w:type="dxa"/>
            <w:left w:w="108" w:type="dxa"/>
            <w:bottom w:w="0" w:type="dxa"/>
            <w:right w:w="108" w:type="dxa"/>
          </w:tblCellMar>
        </w:tblPrEx>
        <w:trPr>
          <w:trHeight w:val="72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1</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7"/>
                <w:sz w:val="22"/>
                <w:szCs w:val="22"/>
                <w:highlight w:val="none"/>
              </w:rPr>
              <w:t>标识解说系统</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主次入口、天村景区、索朗景区、达森景区、七湖景区、泽仁措景区、次淋措景区标识解说系统</w:t>
            </w:r>
            <w:r>
              <w:rPr>
                <w:rStyle w:val="46"/>
                <w:rFonts w:hint="default" w:ascii="Times New Roman" w:hAnsi="Times New Roman" w:cs="Times New Roman"/>
                <w:color w:val="auto"/>
                <w:sz w:val="21"/>
                <w:szCs w:val="21"/>
                <w:highlight w:val="none"/>
                <w:lang w:bidi="ar"/>
              </w:rPr>
              <w:t>。</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2</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11"/>
                <w:sz w:val="22"/>
                <w:szCs w:val="22"/>
                <w:highlight w:val="none"/>
              </w:rPr>
              <w:t>水木路（县道X153，水洼乡雨洼村至亚赤公路）</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改扩建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按三级公路标准进行全线改扩建，其中风景名胜区范围内长度约39.8公里，具体长度以设计方案为准。</w:t>
            </w:r>
          </w:p>
        </w:tc>
      </w:tr>
      <w:tr>
        <w:tblPrEx>
          <w:tblCellMar>
            <w:top w:w="0" w:type="dxa"/>
            <w:left w:w="108" w:type="dxa"/>
            <w:bottom w:w="0" w:type="dxa"/>
            <w:right w:w="108" w:type="dxa"/>
          </w:tblCellMar>
        </w:tblPrEx>
        <w:trPr>
          <w:trHeight w:val="2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3</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七湖景区游步道</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七湖环湖游步道建设，宽度1.5米。</w:t>
            </w:r>
          </w:p>
        </w:tc>
      </w:tr>
      <w:tr>
        <w:tblPrEx>
          <w:tblCellMar>
            <w:top w:w="0" w:type="dxa"/>
            <w:left w:w="108" w:type="dxa"/>
            <w:bottom w:w="0" w:type="dxa"/>
            <w:right w:w="108" w:type="dxa"/>
          </w:tblCellMar>
        </w:tblPrEx>
        <w:trPr>
          <w:trHeight w:val="2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4</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生态停车场</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w:t>
            </w:r>
            <w:r>
              <w:rPr>
                <w:rFonts w:hint="default" w:ascii="Times New Roman" w:hAnsi="Times New Roman" w:cs="Times New Roman"/>
                <w:color w:val="auto"/>
                <w:sz w:val="22"/>
                <w:szCs w:val="22"/>
                <w:highlight w:val="none"/>
              </w:rPr>
              <w:t>、改建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天村景区改建停车场1处，七湖（热拥牧场）旅游点、楚足牧场旅游点新建2处停车场。</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5</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观光车站点</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摆渡观光车站始发点建于天村景区，沿旅游公路景点设观光车停靠站点4处。</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6</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天村住宿点</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改建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利用现有藏民居</w:t>
            </w:r>
            <w:r>
              <w:rPr>
                <w:rStyle w:val="46"/>
                <w:rFonts w:hint="default" w:ascii="Times New Roman" w:hAnsi="Times New Roman" w:cs="Times New Roman"/>
                <w:color w:val="auto"/>
                <w:sz w:val="21"/>
                <w:szCs w:val="21"/>
                <w:highlight w:val="none"/>
                <w:lang w:bidi="ar"/>
              </w:rPr>
              <w:t>改建民宿床位40个。</w:t>
            </w:r>
          </w:p>
        </w:tc>
      </w:tr>
      <w:tr>
        <w:tblPrEx>
          <w:tblCellMar>
            <w:top w:w="0" w:type="dxa"/>
            <w:left w:w="108" w:type="dxa"/>
            <w:bottom w:w="0" w:type="dxa"/>
            <w:right w:w="108" w:type="dxa"/>
          </w:tblCellMar>
        </w:tblPrEx>
        <w:trPr>
          <w:trHeight w:val="2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7</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垃圾收集点</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新建、改建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改建那拉岗村（天村）垃圾收集点1个，新建热拥、楚足2个垃圾收集点。</w:t>
            </w:r>
          </w:p>
        </w:tc>
      </w:tr>
      <w:tr>
        <w:tblPrEx>
          <w:tblCellMar>
            <w:top w:w="0" w:type="dxa"/>
            <w:left w:w="108" w:type="dxa"/>
            <w:bottom w:w="0" w:type="dxa"/>
            <w:right w:w="108" w:type="dxa"/>
          </w:tblCellMar>
        </w:tblPrEx>
        <w:trPr>
          <w:trHeight w:val="2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8</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公厕</w:t>
            </w:r>
          </w:p>
        </w:tc>
        <w:tc>
          <w:tcPr>
            <w:tcW w:w="720"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新建、改建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改建</w:t>
            </w:r>
            <w:r>
              <w:rPr>
                <w:rFonts w:hint="default" w:ascii="Times New Roman" w:hAnsi="Times New Roman" w:cs="Times New Roman"/>
                <w:color w:val="auto"/>
                <w:spacing w:val="-10"/>
                <w:sz w:val="21"/>
                <w:szCs w:val="21"/>
                <w:highlight w:val="none"/>
              </w:rPr>
              <w:t>那拉岗村（天村）</w:t>
            </w:r>
            <w:r>
              <w:rPr>
                <w:rFonts w:hint="default" w:ascii="Times New Roman" w:hAnsi="Times New Roman" w:cs="Times New Roman"/>
                <w:color w:val="auto"/>
                <w:sz w:val="21"/>
                <w:szCs w:val="21"/>
                <w:highlight w:val="none"/>
              </w:rPr>
              <w:t>公厕1个，新建其他区域公厕5个，可</w:t>
            </w:r>
            <w:r>
              <w:rPr>
                <w:rFonts w:hint="default" w:ascii="Times New Roman" w:hAnsi="Times New Roman" w:cs="Times New Roman"/>
                <w:color w:val="auto"/>
                <w:spacing w:val="-10"/>
                <w:sz w:val="21"/>
                <w:szCs w:val="21"/>
                <w:highlight w:val="none"/>
              </w:rPr>
              <w:t>采用移动式生态环保无水式厕所或微生物降解环保厕所</w:t>
            </w:r>
            <w:r>
              <w:rPr>
                <w:rFonts w:hint="default" w:ascii="Times New Roman" w:hAnsi="Times New Roman" w:cs="Times New Roman"/>
                <w:color w:val="auto"/>
                <w:sz w:val="21"/>
                <w:szCs w:val="21"/>
                <w:highlight w:val="none"/>
              </w:rPr>
              <w:t>。</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9</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旅游点</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七湖（热拥牧场）旅游点、楚足牧场旅游点基础服务功能建设。</w:t>
            </w:r>
          </w:p>
        </w:tc>
      </w:tr>
      <w:tr>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10</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污水处理设施</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新建那拉岗村（天村）污水收集处理设施。</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11</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供水设施</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新建、改建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新建索朗取水点，改建那拉岗村（天村）供水设施1处。</w:t>
            </w:r>
          </w:p>
        </w:tc>
      </w:tr>
      <w:tr>
        <w:tblPrEx>
          <w:tblCellMar>
            <w:top w:w="0" w:type="dxa"/>
            <w:left w:w="108" w:type="dxa"/>
            <w:bottom w:w="0" w:type="dxa"/>
            <w:right w:w="108" w:type="dxa"/>
          </w:tblCellMar>
        </w:tblPrEx>
        <w:trPr>
          <w:trHeight w:val="480" w:hRule="atLeast"/>
          <w:jc w:val="center"/>
        </w:trPr>
        <w:tc>
          <w:tcPr>
            <w:tcW w:w="383" w:type="pct"/>
            <w:vMerge w:val="restart"/>
            <w:tcBorders>
              <w:top w:val="single" w:color="auto" w:sz="4" w:space="0"/>
              <w:left w:val="single" w:color="auto" w:sz="4" w:space="0"/>
              <w:right w:val="single" w:color="auto" w:sz="4" w:space="0"/>
            </w:tcBorders>
            <w:vAlign w:val="center"/>
          </w:tcPr>
          <w:p>
            <w:pPr>
              <w:widowControl/>
              <w:spacing w:line="264" w:lineRule="auto"/>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12</w:t>
            </w:r>
          </w:p>
        </w:tc>
        <w:tc>
          <w:tcPr>
            <w:tcW w:w="230" w:type="pct"/>
            <w:vMerge w:val="restart"/>
            <w:tcBorders>
              <w:top w:val="single" w:color="auto" w:sz="4" w:space="0"/>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保护培育</w:t>
            </w:r>
          </w:p>
        </w:tc>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人工种草</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c>
          <w:tcPr>
            <w:tcW w:w="798" w:type="pct"/>
            <w:tcBorders>
              <w:top w:val="single" w:color="auto" w:sz="4" w:space="0"/>
              <w:left w:val="single" w:color="auto" w:sz="4" w:space="0"/>
              <w:bottom w:val="single" w:color="auto" w:sz="4" w:space="0"/>
              <w:right w:val="single" w:color="auto" w:sz="4" w:space="0"/>
            </w:tcBorders>
            <w:vAlign w:val="center"/>
          </w:tcPr>
          <w:p>
            <w:pPr>
              <w:widowControl/>
              <w:spacing w:line="264" w:lineRule="auto"/>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2025</w:t>
            </w:r>
            <w:r>
              <w:rPr>
                <w:rFonts w:hint="default" w:ascii="Times New Roman" w:hAnsi="Times New Roman" w:cs="Times New Roman"/>
                <w:color w:val="auto"/>
                <w:sz w:val="22"/>
                <w:szCs w:val="22"/>
                <w:highlight w:val="none"/>
              </w:rPr>
              <w:t>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人工种草10000亩。</w:t>
            </w:r>
          </w:p>
        </w:tc>
      </w:tr>
      <w:tr>
        <w:tblPrEx>
          <w:tblCellMar>
            <w:top w:w="0" w:type="dxa"/>
            <w:left w:w="108" w:type="dxa"/>
            <w:bottom w:w="0" w:type="dxa"/>
            <w:right w:w="108" w:type="dxa"/>
          </w:tblCellMar>
        </w:tblPrEx>
        <w:trPr>
          <w:trHeight w:val="480" w:hRule="atLeast"/>
          <w:jc w:val="center"/>
        </w:trPr>
        <w:tc>
          <w:tcPr>
            <w:tcW w:w="383" w:type="pct"/>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p>
        </w:tc>
        <w:tc>
          <w:tcPr>
            <w:tcW w:w="230" w:type="pct"/>
            <w:vMerge w:val="continue"/>
            <w:tcBorders>
              <w:left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p>
        </w:tc>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草地治理</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c>
          <w:tcPr>
            <w:tcW w:w="798"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2025</w:t>
            </w:r>
            <w:r>
              <w:rPr>
                <w:rFonts w:hint="default" w:ascii="Times New Roman" w:hAnsi="Times New Roman" w:cs="Times New Roman"/>
                <w:color w:val="auto"/>
                <w:sz w:val="22"/>
                <w:szCs w:val="22"/>
                <w:highlight w:val="none"/>
              </w:rPr>
              <w:t>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草地治理20000亩。</w:t>
            </w:r>
          </w:p>
        </w:tc>
      </w:tr>
      <w:tr>
        <w:tblPrEx>
          <w:tblCellMar>
            <w:top w:w="0" w:type="dxa"/>
            <w:left w:w="108" w:type="dxa"/>
            <w:bottom w:w="0" w:type="dxa"/>
            <w:right w:w="108" w:type="dxa"/>
          </w:tblCellMar>
        </w:tblPrEx>
        <w:trPr>
          <w:trHeight w:val="480" w:hRule="atLeast"/>
          <w:jc w:val="center"/>
        </w:trPr>
        <w:tc>
          <w:tcPr>
            <w:tcW w:w="383" w:type="pct"/>
            <w:vMerge w:val="continue"/>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p>
        </w:tc>
        <w:tc>
          <w:tcPr>
            <w:tcW w:w="230" w:type="pct"/>
            <w:vMerge w:val="continue"/>
            <w:tcBorders>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p>
        </w:tc>
        <w:tc>
          <w:tcPr>
            <w:tcW w:w="74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林木抚育</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w:t>
            </w:r>
          </w:p>
        </w:tc>
        <w:tc>
          <w:tcPr>
            <w:tcW w:w="798"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textAlignment w:val="center"/>
              <w:rPr>
                <w:rFonts w:hint="default" w:ascii="Times New Roman" w:hAnsi="Times New Roman" w:cs="Times New Roman"/>
                <w:color w:val="auto"/>
                <w:sz w:val="20"/>
                <w:szCs w:val="20"/>
                <w:highlight w:val="none"/>
                <w:lang w:bidi="ar"/>
              </w:rPr>
            </w:pPr>
            <w:r>
              <w:rPr>
                <w:rFonts w:hint="default" w:ascii="Times New Roman" w:hAnsi="Times New Roman" w:cs="Times New Roman"/>
                <w:color w:val="auto"/>
                <w:sz w:val="21"/>
                <w:szCs w:val="21"/>
                <w:highlight w:val="none"/>
                <w:lang w:bidi="ar"/>
              </w:rPr>
              <w:t>水洼林场3、6作业区退化林修复10000亩。</w:t>
            </w:r>
          </w:p>
        </w:tc>
      </w:tr>
      <w:tr>
        <w:tblPrEx>
          <w:tblCellMar>
            <w:top w:w="0" w:type="dxa"/>
            <w:left w:w="108" w:type="dxa"/>
            <w:bottom w:w="0" w:type="dxa"/>
            <w:right w:w="108" w:type="dxa"/>
          </w:tblCellMar>
        </w:tblPrEx>
        <w:trPr>
          <w:trHeight w:val="480" w:hRule="atLeast"/>
          <w:jc w:val="center"/>
        </w:trPr>
        <w:tc>
          <w:tcPr>
            <w:tcW w:w="3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13</w:t>
            </w:r>
          </w:p>
        </w:tc>
        <w:tc>
          <w:tcPr>
            <w:tcW w:w="97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pacing w:val="-9"/>
                <w:sz w:val="22"/>
                <w:szCs w:val="22"/>
                <w:highlight w:val="none"/>
              </w:rPr>
              <w:t>标</w:t>
            </w:r>
            <w:r>
              <w:rPr>
                <w:rFonts w:hint="default" w:ascii="Times New Roman" w:hAnsi="Times New Roman" w:cs="Times New Roman"/>
                <w:color w:val="auto"/>
                <w:spacing w:val="-7"/>
                <w:sz w:val="22"/>
                <w:szCs w:val="22"/>
                <w:highlight w:val="none"/>
              </w:rPr>
              <w:t>界立桩</w:t>
            </w:r>
          </w:p>
        </w:tc>
        <w:tc>
          <w:tcPr>
            <w:tcW w:w="720"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2"/>
                <w:szCs w:val="22"/>
                <w:highlight w:val="none"/>
                <w:lang w:bidi="ar"/>
              </w:rPr>
            </w:pPr>
            <w:r>
              <w:rPr>
                <w:rFonts w:hint="default" w:ascii="Times New Roman" w:hAnsi="Times New Roman" w:cs="Times New Roman"/>
                <w:color w:val="auto"/>
                <w:sz w:val="22"/>
                <w:szCs w:val="22"/>
                <w:highlight w:val="none"/>
                <w:lang w:bidi="ar"/>
              </w:rPr>
              <w:t>新建</w:t>
            </w:r>
          </w:p>
        </w:tc>
        <w:tc>
          <w:tcPr>
            <w:tcW w:w="798" w:type="pct"/>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2024-2025年</w:t>
            </w:r>
          </w:p>
        </w:tc>
        <w:tc>
          <w:tcPr>
            <w:tcW w:w="2123" w:type="pct"/>
            <w:tcBorders>
              <w:top w:val="single" w:color="auto" w:sz="4" w:space="0"/>
              <w:left w:val="single" w:color="auto" w:sz="4" w:space="0"/>
              <w:bottom w:val="single" w:color="auto" w:sz="4" w:space="0"/>
              <w:right w:val="single" w:color="auto" w:sz="4" w:space="0"/>
            </w:tcBorders>
            <w:vAlign w:val="center"/>
          </w:tcPr>
          <w:p>
            <w:pPr>
              <w:widowControl/>
              <w:jc w:val="both"/>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pacing w:val="-9"/>
                <w:sz w:val="21"/>
                <w:szCs w:val="21"/>
                <w:highlight w:val="none"/>
              </w:rPr>
              <w:t>风景名胜区和核心景区范围的标</w:t>
            </w:r>
            <w:r>
              <w:rPr>
                <w:rFonts w:hint="default" w:ascii="Times New Roman" w:hAnsi="Times New Roman" w:cs="Times New Roman"/>
                <w:color w:val="auto"/>
                <w:spacing w:val="-7"/>
                <w:sz w:val="21"/>
                <w:szCs w:val="21"/>
                <w:highlight w:val="none"/>
              </w:rPr>
              <w:t>界立桩。</w:t>
            </w:r>
          </w:p>
        </w:tc>
      </w:tr>
    </w:tbl>
    <w:p>
      <w:pPr>
        <w:widowControl/>
        <w:jc w:val="center"/>
        <w:textAlignment w:val="center"/>
        <w:rPr>
          <w:rFonts w:hint="default" w:ascii="Times New Roman" w:hAnsi="Times New Roman" w:cs="Times New Roman"/>
          <w:b/>
          <w:bCs/>
          <w:color w:val="auto"/>
          <w:highlight w:val="none"/>
          <w:lang w:bidi="ar"/>
        </w:rPr>
      </w:pPr>
    </w:p>
    <w:p>
      <w:pPr>
        <w:pStyle w:val="5"/>
        <w:spacing w:before="360" w:after="120"/>
        <w:ind w:left="0"/>
        <w:rPr>
          <w:rFonts w:hint="default" w:ascii="Times New Roman" w:hAnsi="Times New Roman" w:cs="Times New Roman"/>
          <w:color w:val="auto"/>
          <w:szCs w:val="52"/>
          <w:highlight w:val="none"/>
        </w:rPr>
      </w:pPr>
      <w:bookmarkStart w:id="152" w:name="_Toc24712"/>
      <w:bookmarkStart w:id="153" w:name="_Toc23256"/>
      <w:r>
        <w:rPr>
          <w:rFonts w:hint="default" w:ascii="Times New Roman" w:hAnsi="Times New Roman" w:cs="Times New Roman"/>
          <w:color w:val="auto"/>
          <w:szCs w:val="52"/>
          <w:highlight w:val="none"/>
        </w:rPr>
        <w:t>第二十</w:t>
      </w:r>
      <w:r>
        <w:rPr>
          <w:rFonts w:hint="eastAsia" w:ascii="Times New Roman" w:hAnsi="Times New Roman" w:cs="Times New Roman"/>
          <w:color w:val="auto"/>
          <w:szCs w:val="52"/>
          <w:highlight w:val="none"/>
          <w:lang w:val="en-US" w:eastAsia="zh-CN"/>
        </w:rPr>
        <w:t>三</w:t>
      </w:r>
      <w:r>
        <w:rPr>
          <w:rFonts w:hint="default" w:ascii="Times New Roman" w:hAnsi="Times New Roman" w:cs="Times New Roman"/>
          <w:color w:val="auto"/>
          <w:szCs w:val="52"/>
          <w:highlight w:val="none"/>
        </w:rPr>
        <w:t>条 远期规划</w:t>
      </w:r>
      <w:bookmarkEnd w:id="152"/>
      <w:bookmarkEnd w:id="153"/>
    </w:p>
    <w:p>
      <w:pPr>
        <w:pStyle w:val="14"/>
        <w:overflowPunct w:val="0"/>
        <w:spacing w:line="336"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远期规划期限为2026-2035年，风景名胜区远景发展目标为建设生态旅游风景名胜区，注重内部职能结构完善，达到景区管理、环境保护、游览观赏、设施建设、配套服务的和谐运转，从而为区域经济和社会的发展提供保障。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1、参照风景名胜区管理要求，保护自然与文化景观资源，提高风景名胜区管理的科学化、精细化。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2、进一步完善风景名胜区的游览体系和内容，实现全风景名胜区游览。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3、继续完善风景名胜区的服务设施和基础设施，满足游览发展需要。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4、积极提倡资源的可持续利用，加强环境保护，使风景名胜区的各项环境指标达到或超过国家规定标准。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5、加强生态环境、地质、动植物等方面的基础研究与监控，提高风景名胜区的社会公益服务能力。 </w:t>
      </w:r>
    </w:p>
    <w:p>
      <w:pPr>
        <w:pStyle w:val="14"/>
        <w:overflowPunct w:val="0"/>
        <w:spacing w:line="336"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6、落实风景名胜区内居民社会调控目标，加强本地居民旅游服务相关培训，大力发展旅游服务产业，达到风景名胜区与社会经济的协调发展。</w:t>
      </w:r>
      <w:bookmarkStart w:id="154" w:name="_Toc3603"/>
      <w:bookmarkStart w:id="155" w:name="_Toc30358"/>
      <w:bookmarkStart w:id="156" w:name="_Toc8876"/>
      <w:r>
        <w:rPr>
          <w:rFonts w:hint="default" w:ascii="Times New Roman" w:hAnsi="Times New Roman" w:cs="Times New Roman"/>
          <w:color w:val="auto"/>
          <w:highlight w:val="none"/>
        </w:rPr>
        <w:br w:type="page"/>
      </w:r>
    </w:p>
    <w:p>
      <w:pPr>
        <w:pStyle w:val="4"/>
        <w:spacing w:before="240" w:after="720"/>
        <w:rPr>
          <w:rFonts w:hint="default" w:ascii="Times New Roman" w:hAnsi="Times New Roman" w:cs="Times New Roman"/>
          <w:color w:val="auto"/>
          <w:szCs w:val="72"/>
          <w:highlight w:val="none"/>
        </w:rPr>
      </w:pPr>
      <w:bookmarkStart w:id="157" w:name="_Toc17436"/>
      <w:bookmarkStart w:id="158" w:name="_Toc19522"/>
      <w:bookmarkStart w:id="159" w:name="_Toc21567"/>
      <w:r>
        <w:rPr>
          <w:rFonts w:hint="default" w:ascii="Times New Roman" w:hAnsi="Times New Roman" w:cs="Times New Roman"/>
          <w:color w:val="auto"/>
          <w:szCs w:val="72"/>
          <w:highlight w:val="none"/>
        </w:rPr>
        <w:t>附  表</w:t>
      </w:r>
      <w:bookmarkEnd w:id="154"/>
      <w:bookmarkEnd w:id="155"/>
      <w:bookmarkEnd w:id="156"/>
      <w:bookmarkEnd w:id="157"/>
      <w:bookmarkEnd w:id="158"/>
      <w:bookmarkEnd w:id="159"/>
    </w:p>
    <w:p>
      <w:pPr>
        <w:pStyle w:val="5"/>
        <w:spacing w:before="360" w:after="120"/>
        <w:ind w:left="0"/>
        <w:rPr>
          <w:rFonts w:hint="default" w:ascii="Times New Roman" w:hAnsi="Times New Roman" w:cs="Times New Roman"/>
          <w:color w:val="auto"/>
          <w:szCs w:val="52"/>
          <w:highlight w:val="none"/>
        </w:rPr>
      </w:pPr>
      <w:bookmarkStart w:id="160" w:name="_Toc12950"/>
      <w:bookmarkStart w:id="161" w:name="_Toc14356"/>
      <w:bookmarkStart w:id="162" w:name="_Toc18300"/>
      <w:bookmarkStart w:id="163" w:name="_Toc24310"/>
      <w:r>
        <w:rPr>
          <w:rFonts w:hint="default" w:ascii="Times New Roman" w:hAnsi="Times New Roman" w:cs="Times New Roman"/>
          <w:color w:val="auto"/>
          <w:szCs w:val="52"/>
          <w:highlight w:val="none"/>
        </w:rPr>
        <w:t>表1-1 风景名胜</w:t>
      </w:r>
      <w:r>
        <w:rPr>
          <w:rFonts w:hint="eastAsia" w:ascii="Times New Roman" w:hAnsi="Times New Roman" w:cs="Times New Roman"/>
          <w:color w:val="auto"/>
          <w:szCs w:val="52"/>
          <w:highlight w:val="none"/>
          <w:lang w:val="en-US" w:eastAsia="zh-CN"/>
        </w:rPr>
        <w:t>区</w:t>
      </w:r>
      <w:r>
        <w:rPr>
          <w:rFonts w:hint="default" w:ascii="Times New Roman" w:hAnsi="Times New Roman" w:cs="Times New Roman"/>
          <w:color w:val="auto"/>
          <w:szCs w:val="52"/>
          <w:highlight w:val="none"/>
        </w:rPr>
        <w:t>资源类型表</w:t>
      </w:r>
      <w:bookmarkEnd w:id="160"/>
      <w:bookmarkEnd w:id="161"/>
      <w:bookmarkEnd w:id="162"/>
      <w:bookmarkEnd w:id="163"/>
    </w:p>
    <w:tbl>
      <w:tblPr>
        <w:tblStyle w:val="21"/>
        <w:tblW w:w="4998" w:type="pct"/>
        <w:jc w:val="center"/>
        <w:tblLayout w:type="autofit"/>
        <w:tblCellMar>
          <w:top w:w="0" w:type="dxa"/>
          <w:left w:w="0" w:type="dxa"/>
          <w:bottom w:w="0" w:type="dxa"/>
          <w:right w:w="0" w:type="dxa"/>
        </w:tblCellMar>
      </w:tblPr>
      <w:tblGrid>
        <w:gridCol w:w="1280"/>
        <w:gridCol w:w="1280"/>
        <w:gridCol w:w="1744"/>
        <w:gridCol w:w="4832"/>
      </w:tblGrid>
      <w:tr>
        <w:tblPrEx>
          <w:tblCellMar>
            <w:top w:w="0" w:type="dxa"/>
            <w:left w:w="0" w:type="dxa"/>
            <w:bottom w:w="0" w:type="dxa"/>
            <w:right w:w="0" w:type="dxa"/>
          </w:tblCellMar>
        </w:tblPrEx>
        <w:trPr>
          <w:trHeight w:val="270" w:hRule="atLeast"/>
          <w:jc w:val="center"/>
        </w:trPr>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大类</w:t>
            </w:r>
          </w:p>
        </w:tc>
        <w:tc>
          <w:tcPr>
            <w:tcW w:w="70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中类</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小类</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2"/>
                <w:szCs w:val="22"/>
                <w:highlight w:val="none"/>
                <w:lang w:bidi="ar"/>
              </w:rPr>
            </w:pPr>
            <w:r>
              <w:rPr>
                <w:rFonts w:hint="default" w:ascii="Times New Roman" w:hAnsi="Times New Roman" w:cs="Times New Roman"/>
                <w:b/>
                <w:bCs/>
                <w:color w:val="auto"/>
                <w:sz w:val="22"/>
                <w:szCs w:val="22"/>
                <w:highlight w:val="none"/>
                <w:lang w:bidi="ar"/>
              </w:rPr>
              <w:t>景点名称</w:t>
            </w:r>
          </w:p>
        </w:tc>
      </w:tr>
      <w:tr>
        <w:tblPrEx>
          <w:tblCellMar>
            <w:top w:w="0" w:type="dxa"/>
            <w:left w:w="0" w:type="dxa"/>
            <w:bottom w:w="0" w:type="dxa"/>
            <w:right w:w="0" w:type="dxa"/>
          </w:tblCellMar>
        </w:tblPrEx>
        <w:trPr>
          <w:trHeight w:val="270" w:hRule="atLeast"/>
          <w:jc w:val="center"/>
        </w:trPr>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bookmarkStart w:id="164" w:name="_Hlk101951604"/>
            <w:r>
              <w:rPr>
                <w:rFonts w:hint="default" w:ascii="Times New Roman" w:hAnsi="Times New Roman" w:cs="Times New Roman"/>
                <w:color w:val="auto"/>
                <w:sz w:val="22"/>
                <w:szCs w:val="22"/>
                <w:highlight w:val="none"/>
                <w:lang w:bidi="ar"/>
              </w:rPr>
              <w:t>自然景观</w:t>
            </w: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天景</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虹霞蜃景</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日朗拥措七湖</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冰雪霜露</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热勒拥河谷、日朗拥措七湖、次淋措</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地景</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山景</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索朗峰</w:t>
            </w:r>
          </w:p>
        </w:tc>
      </w:tr>
      <w:tr>
        <w:tblPrEx>
          <w:tblCellMar>
            <w:top w:w="0" w:type="dxa"/>
            <w:left w:w="0" w:type="dxa"/>
            <w:bottom w:w="0" w:type="dxa"/>
            <w:right w:w="0" w:type="dxa"/>
          </w:tblCellMar>
        </w:tblPrEx>
        <w:trPr>
          <w:trHeight w:val="54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地质珍迹</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地质公园石阵、热拥措波冰斗群、狼坡猴石、热拥石阵</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水景</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江河</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热勒拥河谷、珍珠滩</w:t>
            </w:r>
          </w:p>
        </w:tc>
      </w:tr>
      <w:tr>
        <w:tblPrEx>
          <w:tblCellMar>
            <w:top w:w="0" w:type="dxa"/>
            <w:left w:w="0" w:type="dxa"/>
            <w:bottom w:w="0" w:type="dxa"/>
            <w:right w:w="0" w:type="dxa"/>
          </w:tblCellMar>
        </w:tblPrEx>
        <w:trPr>
          <w:trHeight w:val="54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湖泊</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日朗拥措七湖、泽仁措、次淋措、次央休、斯令措、次乔措、翡翠海</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瀑布跌水</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沙沧五瀑、瀑布、蛇泉、泽仁冰瀑</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生景</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草地草原</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达森牧场、楚足牧场、布该牧场、日朗拥草甸、热拥牧场、泽仁虫草牧场、本仍草场</w:t>
            </w:r>
          </w:p>
        </w:tc>
      </w:tr>
      <w:tr>
        <w:tblPrEx>
          <w:tblCellMar>
            <w:top w:w="0" w:type="dxa"/>
            <w:left w:w="0" w:type="dxa"/>
            <w:bottom w:w="0" w:type="dxa"/>
            <w:right w:w="0" w:type="dxa"/>
          </w:tblCellMar>
        </w:tblPrEx>
        <w:trPr>
          <w:trHeight w:val="54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珍稀生物</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白唇鹿、狗熊、马熊、岩羊、苏门羚、马鸡等</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植物生态类群</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杜鹃山、泽仁杜鹃、桃坞、桃花林、青冈林、热拥滨水森林</w:t>
            </w:r>
          </w:p>
        </w:tc>
      </w:tr>
      <w:tr>
        <w:tblPrEx>
          <w:tblCellMar>
            <w:top w:w="0" w:type="dxa"/>
            <w:left w:w="0" w:type="dxa"/>
            <w:bottom w:w="0" w:type="dxa"/>
            <w:right w:w="0" w:type="dxa"/>
          </w:tblCellMar>
        </w:tblPrEx>
        <w:trPr>
          <w:trHeight w:val="270" w:hRule="atLeast"/>
          <w:jc w:val="center"/>
        </w:trPr>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人文景观</w:t>
            </w: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建筑</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特色村寨</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天村藏寨</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其他建筑</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郎拉岗石碉楼、石古碉堡、牛棚子</w:t>
            </w:r>
          </w:p>
        </w:tc>
      </w:tr>
      <w:tr>
        <w:tblPrEx>
          <w:tblCellMar>
            <w:top w:w="0" w:type="dxa"/>
            <w:left w:w="0" w:type="dxa"/>
            <w:bottom w:w="0" w:type="dxa"/>
            <w:right w:w="0" w:type="dxa"/>
          </w:tblCellMar>
        </w:tblPrEx>
        <w:trPr>
          <w:trHeight w:val="54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风物</w:t>
            </w: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节假庆典</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藏历年、燃灯节、传召节、水洼乡“蒙乖”节</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民族民俗</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疯装锅庄、笑宴、游牧活动</w:t>
            </w:r>
          </w:p>
        </w:tc>
      </w:tr>
      <w:tr>
        <w:tblPrEx>
          <w:tblCellMar>
            <w:top w:w="0" w:type="dxa"/>
            <w:left w:w="0" w:type="dxa"/>
            <w:bottom w:w="0" w:type="dxa"/>
            <w:right w:w="0" w:type="dxa"/>
          </w:tblCellMar>
        </w:tblPrEx>
        <w:trPr>
          <w:trHeight w:val="54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地方物产</w:t>
            </w: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糌粑、酥油、牛羊肉、奶制品、奶茶、青稞酒</w:t>
            </w:r>
          </w:p>
        </w:tc>
      </w:tr>
      <w:tr>
        <w:tblPrEx>
          <w:tblCellMar>
            <w:top w:w="0" w:type="dxa"/>
            <w:left w:w="0" w:type="dxa"/>
            <w:bottom w:w="0" w:type="dxa"/>
            <w:right w:w="0" w:type="dxa"/>
          </w:tblCellMar>
        </w:tblPrEx>
        <w:trPr>
          <w:trHeight w:val="270"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700"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jc w:val="center"/>
              <w:rPr>
                <w:rFonts w:hint="default" w:ascii="Times New Roman" w:hAnsi="Times New Roman" w:cs="Times New Roman"/>
                <w:color w:val="auto"/>
                <w:sz w:val="22"/>
                <w:szCs w:val="22"/>
                <w:highlight w:val="none"/>
              </w:rPr>
            </w:pPr>
          </w:p>
        </w:tc>
        <w:tc>
          <w:tcPr>
            <w:tcW w:w="95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40" w:firstLineChars="200"/>
              <w:rPr>
                <w:rFonts w:hint="default" w:ascii="Times New Roman" w:hAnsi="Times New Roman" w:cs="Times New Roman"/>
                <w:color w:val="auto"/>
                <w:sz w:val="22"/>
                <w:szCs w:val="22"/>
                <w:highlight w:val="none"/>
              </w:rPr>
            </w:pPr>
          </w:p>
        </w:tc>
        <w:tc>
          <w:tcPr>
            <w:tcW w:w="26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bidi="ar"/>
              </w:rPr>
              <w:t>牛羊肉、各种奶制品、虫草、松茸</w:t>
            </w:r>
          </w:p>
        </w:tc>
      </w:tr>
      <w:bookmarkEnd w:id="164"/>
    </w:tbl>
    <w:p>
      <w:pPr>
        <w:pStyle w:val="14"/>
        <w:tabs>
          <w:tab w:val="left" w:pos="1447"/>
        </w:tabs>
        <w:wordWrap w:val="0"/>
        <w:autoSpaceDE/>
        <w:autoSpaceDN/>
        <w:spacing w:line="360" w:lineRule="auto"/>
        <w:ind w:left="142"/>
        <w:rPr>
          <w:rFonts w:hint="default" w:ascii="Times New Roman" w:hAnsi="Times New Roman" w:cs="Times New Roman"/>
          <w:b/>
          <w:bCs/>
          <w:color w:val="auto"/>
          <w:sz w:val="28"/>
          <w:szCs w:val="28"/>
          <w:highlight w:val="none"/>
          <w:u w:val="single"/>
        </w:rPr>
      </w:pPr>
    </w:p>
    <w:p>
      <w:pPr>
        <w:pStyle w:val="5"/>
        <w:spacing w:before="360" w:after="120"/>
        <w:ind w:left="0"/>
        <w:rPr>
          <w:rFonts w:hint="default" w:ascii="Times New Roman" w:hAnsi="Times New Roman" w:cs="Times New Roman"/>
          <w:color w:val="auto"/>
          <w:szCs w:val="52"/>
          <w:highlight w:val="none"/>
        </w:rPr>
      </w:pPr>
      <w:bookmarkStart w:id="165" w:name="_Toc18557"/>
      <w:bookmarkStart w:id="166" w:name="_Toc30246"/>
      <w:bookmarkStart w:id="167" w:name="_Toc12887"/>
      <w:bookmarkStart w:id="168" w:name="_Toc12623"/>
      <w:bookmarkStart w:id="169" w:name="_Toc20006"/>
      <w:bookmarkStart w:id="170" w:name="_Toc21334"/>
      <w:r>
        <w:rPr>
          <w:rFonts w:hint="default" w:ascii="Times New Roman" w:hAnsi="Times New Roman" w:cs="Times New Roman"/>
          <w:color w:val="auto"/>
          <w:szCs w:val="52"/>
          <w:highlight w:val="none"/>
        </w:rPr>
        <w:t>表2-1 文物保护单位一览表</w:t>
      </w:r>
      <w:bookmarkEnd w:id="165"/>
      <w:bookmarkEnd w:id="166"/>
      <w:bookmarkEnd w:id="167"/>
      <w:bookmarkEnd w:id="168"/>
      <w:bookmarkEnd w:id="169"/>
      <w:bookmarkEnd w:id="170"/>
    </w:p>
    <w:tbl>
      <w:tblPr>
        <w:tblStyle w:val="22"/>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33"/>
        <w:gridCol w:w="1866"/>
        <w:gridCol w:w="1866"/>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级别</w:t>
            </w:r>
          </w:p>
        </w:tc>
        <w:tc>
          <w:tcPr>
            <w:tcW w:w="1218" w:type="pct"/>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名称</w:t>
            </w:r>
          </w:p>
        </w:tc>
        <w:tc>
          <w:tcPr>
            <w:tcW w:w="1018" w:type="pct"/>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类别</w:t>
            </w:r>
          </w:p>
        </w:tc>
        <w:tc>
          <w:tcPr>
            <w:tcW w:w="1018" w:type="pct"/>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年代</w:t>
            </w:r>
          </w:p>
        </w:tc>
        <w:tc>
          <w:tcPr>
            <w:tcW w:w="893" w:type="pct"/>
            <w:vAlign w:val="center"/>
          </w:tcPr>
          <w:p>
            <w:pPr>
              <w:jc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州级</w:t>
            </w:r>
          </w:p>
        </w:tc>
        <w:tc>
          <w:tcPr>
            <w:tcW w:w="1218" w:type="pct"/>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郎拉岗石碉楼</w:t>
            </w:r>
          </w:p>
        </w:tc>
        <w:tc>
          <w:tcPr>
            <w:tcW w:w="1018" w:type="pct"/>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古建筑</w:t>
            </w:r>
          </w:p>
        </w:tc>
        <w:tc>
          <w:tcPr>
            <w:tcW w:w="1018" w:type="pct"/>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民国</w:t>
            </w:r>
          </w:p>
        </w:tc>
        <w:tc>
          <w:tcPr>
            <w:tcW w:w="893" w:type="pct"/>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那拉岗村</w:t>
            </w:r>
          </w:p>
        </w:tc>
      </w:tr>
    </w:tbl>
    <w:p>
      <w:pPr>
        <w:pStyle w:val="14"/>
        <w:tabs>
          <w:tab w:val="left" w:pos="1447"/>
        </w:tabs>
        <w:wordWrap w:val="0"/>
        <w:autoSpaceDE/>
        <w:autoSpaceDN/>
        <w:spacing w:line="360" w:lineRule="auto"/>
        <w:ind w:left="142"/>
        <w:rPr>
          <w:rFonts w:hint="default" w:ascii="Times New Roman" w:hAnsi="Times New Roman" w:cs="Times New Roman"/>
          <w:b/>
          <w:bCs/>
          <w:color w:val="auto"/>
          <w:sz w:val="28"/>
          <w:szCs w:val="28"/>
          <w:highlight w:val="none"/>
          <w:u w:val="single"/>
        </w:rPr>
      </w:pPr>
    </w:p>
    <w:p>
      <w:pPr>
        <w:pStyle w:val="14"/>
        <w:tabs>
          <w:tab w:val="left" w:pos="1447"/>
        </w:tabs>
        <w:wordWrap w:val="0"/>
        <w:autoSpaceDE/>
        <w:autoSpaceDN/>
        <w:spacing w:line="360" w:lineRule="auto"/>
        <w:ind w:left="142"/>
        <w:rPr>
          <w:rFonts w:hint="default" w:ascii="Times New Roman" w:hAnsi="Times New Roman" w:cs="Times New Roman"/>
          <w:b/>
          <w:bCs/>
          <w:color w:val="auto"/>
          <w:sz w:val="28"/>
          <w:szCs w:val="28"/>
          <w:highlight w:val="none"/>
          <w:u w:val="single"/>
        </w:rPr>
      </w:pPr>
    </w:p>
    <w:p>
      <w:pPr>
        <w:rPr>
          <w:rFonts w:hint="default" w:ascii="Times New Roman" w:hAnsi="Times New Roman" w:cs="Times New Roman"/>
          <w:color w:val="auto"/>
          <w:highlight w:val="none"/>
        </w:rPr>
      </w:pPr>
      <w:bookmarkStart w:id="171" w:name="_Toc31306"/>
      <w:bookmarkStart w:id="172" w:name="_Toc19935"/>
      <w:bookmarkStart w:id="173" w:name="_Toc17850"/>
      <w:r>
        <w:rPr>
          <w:rFonts w:hint="default" w:ascii="Times New Roman" w:hAnsi="Times New Roman" w:cs="Times New Roman"/>
          <w:color w:val="auto"/>
          <w:highlight w:val="none"/>
        </w:rPr>
        <w:br w:type="page"/>
      </w:r>
    </w:p>
    <w:p>
      <w:pPr>
        <w:pStyle w:val="5"/>
        <w:spacing w:before="360" w:after="120"/>
        <w:ind w:left="0"/>
        <w:rPr>
          <w:rFonts w:hint="default" w:ascii="Times New Roman" w:hAnsi="Times New Roman" w:cs="Times New Roman"/>
          <w:color w:val="auto"/>
          <w:szCs w:val="52"/>
          <w:highlight w:val="none"/>
        </w:rPr>
      </w:pPr>
      <w:bookmarkStart w:id="174" w:name="_Toc5511"/>
      <w:bookmarkStart w:id="175" w:name="_Toc12849"/>
      <w:bookmarkStart w:id="176" w:name="_Toc11862"/>
      <w:r>
        <w:rPr>
          <w:rFonts w:hint="default" w:ascii="Times New Roman" w:hAnsi="Times New Roman" w:cs="Times New Roman"/>
          <w:color w:val="auto"/>
          <w:szCs w:val="52"/>
          <w:highlight w:val="none"/>
        </w:rPr>
        <w:t>表3-1 风景名胜区游客容量表</w:t>
      </w:r>
      <w:bookmarkEnd w:id="171"/>
      <w:bookmarkEnd w:id="172"/>
      <w:bookmarkEnd w:id="173"/>
      <w:bookmarkEnd w:id="174"/>
      <w:bookmarkEnd w:id="175"/>
      <w:bookmarkEnd w:id="176"/>
    </w:p>
    <w:tbl>
      <w:tblPr>
        <w:tblStyle w:val="21"/>
        <w:tblW w:w="9067" w:type="dxa"/>
        <w:jc w:val="center"/>
        <w:tblLayout w:type="fixed"/>
        <w:tblCellMar>
          <w:top w:w="0" w:type="dxa"/>
          <w:left w:w="0" w:type="dxa"/>
          <w:bottom w:w="0" w:type="dxa"/>
          <w:right w:w="0" w:type="dxa"/>
        </w:tblCellMar>
      </w:tblPr>
      <w:tblGrid>
        <w:gridCol w:w="591"/>
        <w:gridCol w:w="756"/>
        <w:gridCol w:w="1313"/>
        <w:gridCol w:w="1226"/>
        <w:gridCol w:w="1269"/>
        <w:gridCol w:w="987"/>
        <w:gridCol w:w="1462"/>
        <w:gridCol w:w="1463"/>
      </w:tblGrid>
      <w:tr>
        <w:tblPrEx>
          <w:tblCellMar>
            <w:top w:w="0" w:type="dxa"/>
            <w:left w:w="0" w:type="dxa"/>
            <w:bottom w:w="0" w:type="dxa"/>
            <w:right w:w="0" w:type="dxa"/>
          </w:tblCellMar>
        </w:tblPrEx>
        <w:trPr>
          <w:trHeight w:val="874" w:hRule="atLeast"/>
          <w:jc w:val="center"/>
        </w:trPr>
        <w:tc>
          <w:tcPr>
            <w:tcW w:w="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景区名称</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类别</w:t>
            </w: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计算面积（㎡）</w:t>
            </w:r>
          </w:p>
        </w:tc>
        <w:tc>
          <w:tcPr>
            <w:tcW w:w="12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计算指标</w:t>
            </w:r>
            <w:r>
              <w:rPr>
                <w:rFonts w:hint="default" w:ascii="Times New Roman" w:hAnsi="Times New Roman" w:cs="Times New Roman"/>
                <w:b/>
                <w:bCs/>
                <w:color w:val="auto"/>
                <w:sz w:val="22"/>
                <w:szCs w:val="22"/>
                <w:highlight w:val="none"/>
              </w:rPr>
              <w:br w:type="textWrapping"/>
            </w:r>
            <w:r>
              <w:rPr>
                <w:rFonts w:hint="default" w:ascii="Times New Roman" w:hAnsi="Times New Roman" w:cs="Times New Roman"/>
                <w:b/>
                <w:bCs/>
                <w:color w:val="auto"/>
                <w:sz w:val="22"/>
                <w:szCs w:val="22"/>
                <w:highlight w:val="none"/>
              </w:rPr>
              <w:t>（㎡/人）</w:t>
            </w:r>
          </w:p>
        </w:tc>
        <w:tc>
          <w:tcPr>
            <w:tcW w:w="12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一次性容量</w:t>
            </w:r>
          </w:p>
          <w:p>
            <w:pPr>
              <w:widowControl/>
              <w:jc w:val="center"/>
              <w:textAlignment w:val="top"/>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（人/次）</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日周转率（次）</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日游客容量</w:t>
            </w:r>
          </w:p>
          <w:p>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（人次/日）</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z w:val="22"/>
                <w:szCs w:val="22"/>
                <w:highlight w:val="none"/>
              </w:rPr>
              <w:t>日极限游客量（人次/日）</w:t>
            </w:r>
          </w:p>
        </w:tc>
      </w:tr>
      <w:tr>
        <w:tblPrEx>
          <w:tblCellMar>
            <w:top w:w="0" w:type="dxa"/>
            <w:left w:w="0" w:type="dxa"/>
            <w:bottom w:w="0" w:type="dxa"/>
            <w:right w:w="0" w:type="dxa"/>
          </w:tblCellMar>
        </w:tblPrEx>
        <w:trPr>
          <w:trHeight w:val="90"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天村景区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2700m*1.5m=4050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405</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810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2025</w:t>
            </w:r>
          </w:p>
        </w:tc>
      </w:tr>
      <w:tr>
        <w:tblPrEx>
          <w:tblCellMar>
            <w:top w:w="0" w:type="dxa"/>
            <w:left w:w="0" w:type="dxa"/>
            <w:bottom w:w="0" w:type="dxa"/>
            <w:right w:w="0" w:type="dxa"/>
          </w:tblCellMar>
        </w:tblPrEx>
        <w:trPr>
          <w:trHeight w:val="90" w:hRule="atLeast"/>
          <w:jc w:val="center"/>
        </w:trPr>
        <w:tc>
          <w:tcPr>
            <w:tcW w:w="59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那拉岗村（天村）</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1020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2550</w:t>
            </w:r>
          </w:p>
        </w:tc>
      </w:tr>
      <w:tr>
        <w:tblPrEx>
          <w:tblCellMar>
            <w:top w:w="0" w:type="dxa"/>
            <w:left w:w="0" w:type="dxa"/>
            <w:bottom w:w="0" w:type="dxa"/>
            <w:right w:w="0" w:type="dxa"/>
          </w:tblCellMar>
        </w:tblPrEx>
        <w:trPr>
          <w:trHeight w:val="622"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索朗景区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12800m*1.5m=19200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1920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1920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4800</w:t>
            </w:r>
          </w:p>
        </w:tc>
      </w:tr>
      <w:tr>
        <w:tblPrEx>
          <w:tblCellMar>
            <w:top w:w="0" w:type="dxa"/>
            <w:left w:w="0" w:type="dxa"/>
            <w:bottom w:w="0" w:type="dxa"/>
            <w:right w:w="0" w:type="dxa"/>
          </w:tblCellMar>
        </w:tblPrEx>
        <w:trPr>
          <w:trHeight w:val="519" w:hRule="atLeast"/>
          <w:jc w:val="center"/>
        </w:trPr>
        <w:tc>
          <w:tcPr>
            <w:tcW w:w="591" w:type="dxa"/>
            <w:vMerge w:val="continue"/>
            <w:tcBorders>
              <w:left w:val="single" w:color="000000" w:sz="4" w:space="0"/>
              <w:bottom w:val="nil"/>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本仍草场</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70000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700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700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1750</w:t>
            </w:r>
          </w:p>
        </w:tc>
      </w:tr>
      <w:tr>
        <w:tblPrEx>
          <w:tblCellMar>
            <w:top w:w="0" w:type="dxa"/>
            <w:left w:w="0" w:type="dxa"/>
            <w:bottom w:w="0" w:type="dxa"/>
            <w:right w:w="0" w:type="dxa"/>
          </w:tblCellMar>
        </w:tblPrEx>
        <w:trPr>
          <w:trHeight w:val="572"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达森景区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3200m*1.5m=4800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480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480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1200</w:t>
            </w:r>
          </w:p>
        </w:tc>
      </w:tr>
      <w:tr>
        <w:tblPrEx>
          <w:tblCellMar>
            <w:top w:w="0" w:type="dxa"/>
            <w:left w:w="0" w:type="dxa"/>
            <w:bottom w:w="0" w:type="dxa"/>
            <w:right w:w="0" w:type="dxa"/>
          </w:tblCellMar>
        </w:tblPrEx>
        <w:trPr>
          <w:trHeight w:val="351" w:hRule="atLeast"/>
          <w:jc w:val="center"/>
        </w:trPr>
        <w:tc>
          <w:tcPr>
            <w:tcW w:w="59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达森牧场</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130000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1300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1300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3250</w:t>
            </w:r>
          </w:p>
        </w:tc>
      </w:tr>
      <w:tr>
        <w:tblPrEx>
          <w:tblCellMar>
            <w:top w:w="0" w:type="dxa"/>
            <w:left w:w="0" w:type="dxa"/>
            <w:bottom w:w="0" w:type="dxa"/>
            <w:right w:w="0" w:type="dxa"/>
          </w:tblCellMar>
        </w:tblPrEx>
        <w:trPr>
          <w:trHeight w:val="506"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七湖景区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14800m*1.5m=22200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2220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4440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11100</w:t>
            </w:r>
          </w:p>
        </w:tc>
      </w:tr>
      <w:tr>
        <w:tblPrEx>
          <w:tblCellMar>
            <w:top w:w="0" w:type="dxa"/>
            <w:left w:w="0" w:type="dxa"/>
            <w:bottom w:w="0" w:type="dxa"/>
            <w:right w:w="0" w:type="dxa"/>
          </w:tblCellMar>
        </w:tblPrEx>
        <w:trPr>
          <w:trHeight w:val="452" w:hRule="atLeast"/>
          <w:jc w:val="center"/>
        </w:trPr>
        <w:tc>
          <w:tcPr>
            <w:tcW w:w="59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热拥牧场</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130000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1300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2600</w:t>
            </w:r>
          </w:p>
        </w:tc>
        <w:tc>
          <w:tcPr>
            <w:tcW w:w="1463" w:type="dxa"/>
            <w:tcBorders>
              <w:top w:val="single" w:color="000000" w:sz="4" w:space="0"/>
              <w:left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6500</w:t>
            </w:r>
          </w:p>
        </w:tc>
      </w:tr>
      <w:tr>
        <w:tblPrEx>
          <w:tblCellMar>
            <w:top w:w="0" w:type="dxa"/>
            <w:left w:w="0" w:type="dxa"/>
            <w:bottom w:w="0" w:type="dxa"/>
            <w:right w:w="0" w:type="dxa"/>
          </w:tblCellMar>
        </w:tblPrEx>
        <w:trPr>
          <w:trHeight w:val="694"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泽仁措景区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13900m*1.5m=20850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2085</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4170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10425</w:t>
            </w:r>
          </w:p>
        </w:tc>
      </w:tr>
      <w:tr>
        <w:tblPrEx>
          <w:tblCellMar>
            <w:top w:w="0" w:type="dxa"/>
            <w:left w:w="0" w:type="dxa"/>
            <w:bottom w:w="0" w:type="dxa"/>
            <w:right w:w="0" w:type="dxa"/>
          </w:tblCellMar>
        </w:tblPrEx>
        <w:trPr>
          <w:trHeight w:val="496" w:hRule="atLeast"/>
          <w:jc w:val="center"/>
        </w:trPr>
        <w:tc>
          <w:tcPr>
            <w:tcW w:w="591" w:type="dxa"/>
            <w:vMerge w:val="continue"/>
            <w:tcBorders>
              <w:left w:val="single" w:color="000000" w:sz="4" w:space="0"/>
              <w:bottom w:val="nil"/>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泽仁虫草牧场</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1275</w:t>
            </w:r>
          </w:p>
        </w:tc>
      </w:tr>
      <w:tr>
        <w:tblPrEx>
          <w:tblCellMar>
            <w:top w:w="0" w:type="dxa"/>
            <w:left w:w="0" w:type="dxa"/>
            <w:bottom w:w="0" w:type="dxa"/>
            <w:right w:w="0" w:type="dxa"/>
          </w:tblCellMar>
        </w:tblPrEx>
        <w:trPr>
          <w:trHeight w:val="426" w:hRule="atLeast"/>
          <w:jc w:val="center"/>
        </w:trPr>
        <w:tc>
          <w:tcPr>
            <w:tcW w:w="59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次淋措景区</w:t>
            </w: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游步道</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6000m*1.5m=9000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900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1800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4500</w:t>
            </w:r>
          </w:p>
        </w:tc>
      </w:tr>
      <w:tr>
        <w:tblPrEx>
          <w:tblCellMar>
            <w:top w:w="0" w:type="dxa"/>
            <w:left w:w="0" w:type="dxa"/>
            <w:bottom w:w="0" w:type="dxa"/>
            <w:right w:w="0" w:type="dxa"/>
          </w:tblCellMar>
        </w:tblPrEx>
        <w:trPr>
          <w:trHeight w:val="352" w:hRule="atLeast"/>
          <w:jc w:val="center"/>
        </w:trPr>
        <w:tc>
          <w:tcPr>
            <w:tcW w:w="591" w:type="dxa"/>
            <w:vMerge w:val="continue"/>
            <w:tcBorders>
              <w:left w:val="single" w:color="000000" w:sz="4" w:space="0"/>
              <w:bottom w:val="nil"/>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p>
        </w:tc>
        <w:tc>
          <w:tcPr>
            <w:tcW w:w="756" w:type="dxa"/>
            <w:tcBorders>
              <w:top w:val="single" w:color="000000" w:sz="4" w:space="0"/>
              <w:left w:val="single" w:color="000000" w:sz="4" w:space="0"/>
              <w:right w:val="single" w:color="000000" w:sz="4" w:space="0"/>
            </w:tcBorders>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楚足牧场</w:t>
            </w:r>
          </w:p>
        </w:tc>
        <w:tc>
          <w:tcPr>
            <w:tcW w:w="1313"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90000</w:t>
            </w:r>
          </w:p>
        </w:tc>
        <w:tc>
          <w:tcPr>
            <w:tcW w:w="1226"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100</w:t>
            </w:r>
          </w:p>
        </w:tc>
        <w:tc>
          <w:tcPr>
            <w:tcW w:w="1269" w:type="dxa"/>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900</w:t>
            </w:r>
          </w:p>
        </w:tc>
        <w:tc>
          <w:tcPr>
            <w:tcW w:w="987" w:type="dxa"/>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w:t>
            </w:r>
          </w:p>
        </w:tc>
        <w:tc>
          <w:tcPr>
            <w:tcW w:w="1462"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900</w:t>
            </w:r>
          </w:p>
        </w:tc>
        <w:tc>
          <w:tcPr>
            <w:tcW w:w="1463" w:type="dxa"/>
            <w:tcBorders>
              <w:top w:val="single" w:color="000000" w:sz="4" w:space="0"/>
              <w:left w:val="single" w:color="000000" w:sz="4" w:space="0"/>
              <w:bottom w:val="nil"/>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2250</w:t>
            </w:r>
          </w:p>
        </w:tc>
      </w:tr>
      <w:tr>
        <w:tblPrEx>
          <w:tblCellMar>
            <w:top w:w="0" w:type="dxa"/>
            <w:left w:w="0" w:type="dxa"/>
            <w:bottom w:w="0" w:type="dxa"/>
            <w:right w:w="0" w:type="dxa"/>
          </w:tblCellMar>
        </w:tblPrEx>
        <w:trPr>
          <w:trHeight w:val="285" w:hRule="atLeast"/>
          <w:jc w:val="center"/>
        </w:trPr>
        <w:tc>
          <w:tcPr>
            <w:tcW w:w="5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合计</w:t>
            </w:r>
          </w:p>
        </w:tc>
        <w:tc>
          <w:tcPr>
            <w:tcW w:w="75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p>
        </w:tc>
        <w:tc>
          <w:tcPr>
            <w:tcW w:w="12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p>
        </w:tc>
        <w:tc>
          <w:tcPr>
            <w:tcW w:w="12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top"/>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13230</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auto"/>
                <w:sz w:val="22"/>
                <w:szCs w:val="22"/>
                <w:highlight w:val="none"/>
              </w:rPr>
            </w:pP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20650</w:t>
            </w:r>
          </w:p>
        </w:tc>
        <w:tc>
          <w:tcPr>
            <w:tcW w:w="146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51625</w:t>
            </w:r>
          </w:p>
        </w:tc>
      </w:tr>
    </w:tbl>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spacing w:line="360" w:lineRule="auto"/>
        <w:rPr>
          <w:rFonts w:hint="default" w:ascii="Times New Roman" w:hAnsi="Times New Roman" w:cs="Times New Roman"/>
          <w:color w:val="auto"/>
          <w:sz w:val="28"/>
          <w:szCs w:val="28"/>
          <w:highlight w:val="none"/>
        </w:rPr>
      </w:pPr>
    </w:p>
    <w:sectPr>
      <w:headerReference r:id="rId11" w:type="default"/>
      <w:footerReference r:id="rId12" w:type="default"/>
      <w:footerReference r:id="rId13" w:type="even"/>
      <w:pgSz w:w="11910" w:h="16840"/>
      <w:pgMar w:top="1340" w:right="1240" w:bottom="1440" w:left="1560" w:header="964" w:footer="1241" w:gutter="0"/>
      <w:pgNumType w:start="1"/>
      <w:cols w:equalWidth="0" w:num="1">
        <w:col w:w="9110"/>
      </w:cols>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A0000287" w:usb1="28C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0"/>
        <w:szCs w:val="20"/>
      </w:rPr>
    </w:pPr>
    <w:r>
      <mc:AlternateContent>
        <mc:Choice Requires="wps">
          <w:drawing>
            <wp:anchor distT="0" distB="0" distL="114300" distR="114300" simplePos="0" relativeHeight="251659264" behindDoc="1" locked="0" layoutInCell="0" allowOverlap="1">
              <wp:simplePos x="0" y="0"/>
              <wp:positionH relativeFrom="page">
                <wp:posOffset>3023235</wp:posOffset>
              </wp:positionH>
              <wp:positionV relativeFrom="page">
                <wp:posOffset>9839960</wp:posOffset>
              </wp:positionV>
              <wp:extent cx="266700" cy="241300"/>
              <wp:effectExtent l="0" t="0" r="0" b="0"/>
              <wp:wrapNone/>
              <wp:docPr id="15" name="Rectangle 125"/>
              <wp:cNvGraphicFramePr/>
              <a:graphic xmlns:a="http://schemas.openxmlformats.org/drawingml/2006/main">
                <a:graphicData uri="http://schemas.microsoft.com/office/word/2010/wordprocessingShape">
                  <wps:wsp>
                    <wps:cNvSpPr>
                      <a:spLocks noChangeArrowheads="1"/>
                    </wps:cNvSpPr>
                    <wps:spPr bwMode="auto">
                      <a:xfrm>
                        <a:off x="0" y="0"/>
                        <a:ext cx="266700" cy="241300"/>
                      </a:xfrm>
                      <a:prstGeom prst="rect">
                        <a:avLst/>
                      </a:prstGeom>
                      <a:noFill/>
                      <a:ln>
                        <a:noFill/>
                      </a:ln>
                    </wps:spPr>
                    <wps:txbx>
                      <w:txbxContent>
                        <w:p>
                          <w:pPr>
                            <w:widowControl/>
                            <w:autoSpaceDE/>
                            <w:autoSpaceDN/>
                            <w:adjustRightInd/>
                            <w:spacing w:line="380" w:lineRule="atLeast"/>
                            <w:rPr>
                              <w:rFonts w:ascii="Times New Roman" w:eastAsia="等线" w:cs="Times New Roman"/>
                            </w:rPr>
                          </w:pPr>
                        </w:p>
                        <w:p>
                          <w:pPr>
                            <w:rPr>
                              <w:rFonts w:ascii="Times New Roman" w:eastAsia="等线" w:cs="Times New Roman"/>
                            </w:rPr>
                          </w:pPr>
                        </w:p>
                      </w:txbxContent>
                    </wps:txbx>
                    <wps:bodyPr rot="0" vert="horz" wrap="square" lIns="0" tIns="0" rIns="0" bIns="0" anchor="t" anchorCtr="0" upright="1">
                      <a:noAutofit/>
                    </wps:bodyPr>
                  </wps:wsp>
                </a:graphicData>
              </a:graphic>
            </wp:anchor>
          </w:drawing>
        </mc:Choice>
        <mc:Fallback>
          <w:pict>
            <v:rect id="Rectangle 125" o:spid="_x0000_s1026" o:spt="1" style="position:absolute;left:0pt;margin-left:238.05pt;margin-top:774.8pt;height:19pt;width:21pt;mso-position-horizontal-relative:page;mso-position-vertical-relative:page;z-index:-251657216;mso-width-relative:page;mso-height-relative:page;" filled="f" stroked="f" coordsize="21600,21600" o:allowincell="f" o:gfxdata="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rvbr3AAAAA0BAAAPAAAAAAAAAAEAIAAAACIAAABkcnMvZG93bnJl&#10;di54bWxQSwECFAAUAAAACACHTuJAfhApAfkBAAD9AwAADgAAAAAAAAABACAAAAArAQAAZHJzL2Uy&#10;b0RvYy54bWxQSwUGAAAAAAYABgBZAQAAlgUAAAAA&#10;">
              <v:fill on="f" focussize="0,0"/>
              <v:stroke on="f"/>
              <v:imagedata o:title=""/>
              <o:lock v:ext="edit" aspectratio="f"/>
              <v:textbox inset="0mm,0mm,0mm,0mm">
                <w:txbxContent>
                  <w:p>
                    <w:pPr>
                      <w:widowControl/>
                      <w:autoSpaceDE/>
                      <w:autoSpaceDN/>
                      <w:adjustRightInd/>
                      <w:spacing w:line="380" w:lineRule="atLeast"/>
                      <w:rPr>
                        <w:rFonts w:ascii="Times New Roman" w:eastAsia="等线" w:cs="Times New Roman"/>
                      </w:rPr>
                    </w:pPr>
                  </w:p>
                  <w:p>
                    <w:pPr>
                      <w:rPr>
                        <w:rFonts w:ascii="Times New Roman" w:eastAsia="等线" w:cs="Times New Roman"/>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0"/>
        <w:szCs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1" locked="0" layoutInCell="0" allowOverlap="1">
              <wp:simplePos x="0" y="0"/>
              <wp:positionH relativeFrom="page">
                <wp:posOffset>3023235</wp:posOffset>
              </wp:positionH>
              <wp:positionV relativeFrom="page">
                <wp:posOffset>9839960</wp:posOffset>
              </wp:positionV>
              <wp:extent cx="266700" cy="241300"/>
              <wp:effectExtent l="0" t="0" r="0" b="0"/>
              <wp:wrapNone/>
              <wp:docPr id="6" name="Rectangle 125"/>
              <wp:cNvGraphicFramePr/>
              <a:graphic xmlns:a="http://schemas.openxmlformats.org/drawingml/2006/main">
                <a:graphicData uri="http://schemas.microsoft.com/office/word/2010/wordprocessingShape">
                  <wps:wsp>
                    <wps:cNvSpPr>
                      <a:spLocks noChangeArrowheads="1"/>
                    </wps:cNvSpPr>
                    <wps:spPr bwMode="auto">
                      <a:xfrm>
                        <a:off x="0" y="0"/>
                        <a:ext cx="266700" cy="241300"/>
                      </a:xfrm>
                      <a:prstGeom prst="rect">
                        <a:avLst/>
                      </a:prstGeom>
                      <a:noFill/>
                      <a:ln>
                        <a:noFill/>
                      </a:ln>
                    </wps:spPr>
                    <wps:txbx>
                      <w:txbxContent>
                        <w:p>
                          <w:pPr>
                            <w:widowControl/>
                            <w:autoSpaceDE/>
                            <w:autoSpaceDN/>
                            <w:adjustRightInd/>
                            <w:spacing w:line="380" w:lineRule="atLeast"/>
                            <w:rPr>
                              <w:rFonts w:ascii="Times New Roman" w:eastAsia="等线" w:cs="Times New Roman"/>
                            </w:rPr>
                          </w:pPr>
                        </w:p>
                        <w:p>
                          <w:pPr>
                            <w:rPr>
                              <w:rFonts w:ascii="Times New Roman" w:eastAsia="等线" w:cs="Times New Roman"/>
                            </w:rPr>
                          </w:pPr>
                        </w:p>
                      </w:txbxContent>
                    </wps:txbx>
                    <wps:bodyPr rot="0" vert="horz" wrap="square" lIns="0" tIns="0" rIns="0" bIns="0" anchor="t" anchorCtr="0" upright="1">
                      <a:noAutofit/>
                    </wps:bodyPr>
                  </wps:wsp>
                </a:graphicData>
              </a:graphic>
            </wp:anchor>
          </w:drawing>
        </mc:Choice>
        <mc:Fallback>
          <w:pict>
            <v:rect id="Rectangle 125" o:spid="_x0000_s1026" o:spt="1" style="position:absolute;left:0pt;margin-left:238.05pt;margin-top:774.8pt;height:19pt;width:21pt;mso-position-horizontal-relative:page;mso-position-vertical-relative:page;z-index:-251653120;mso-width-relative:page;mso-height-relative:page;" filled="f" stroked="f" coordsize="21600,21600" o:allowincell="f" o:gfxdata="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mu9uvcAAAADQEAAA8AAAAAAAAAAQAgAAAAIgAAAGRycy9kb3ducmV2&#10;LnhtbFBLAQIUABQAAAAIAIdO4kCBcJtG+AEAAPwDAAAOAAAAAAAAAAEAIAAAACsBAABkcnMvZTJv&#10;RG9jLnhtbFBLBQYAAAAABgAGAFkBAACVBQAAAAA=&#10;">
              <v:fill on="f" focussize="0,0"/>
              <v:stroke on="f"/>
              <v:imagedata o:title=""/>
              <o:lock v:ext="edit" aspectratio="f"/>
              <v:textbox inset="0mm,0mm,0mm,0mm">
                <w:txbxContent>
                  <w:p>
                    <w:pPr>
                      <w:widowControl/>
                      <w:autoSpaceDE/>
                      <w:autoSpaceDN/>
                      <w:adjustRightInd/>
                      <w:spacing w:line="380" w:lineRule="atLeast"/>
                      <w:rPr>
                        <w:rFonts w:ascii="Times New Roman" w:eastAsia="等线" w:cs="Times New Roman"/>
                      </w:rPr>
                    </w:pPr>
                  </w:p>
                  <w:p>
                    <w:pPr>
                      <w:rPr>
                        <w:rFonts w:ascii="Times New Roman" w:eastAsia="等线" w:cs="Times New Roman"/>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1223956"/>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60" w:lineRule="exact"/>
    </w:pPr>
    <w:r>
      <mc:AlternateContent>
        <mc:Choice Requires="wps">
          <w:drawing>
            <wp:anchor distT="0" distB="0" distL="114300" distR="114300" simplePos="0" relativeHeight="251666432" behindDoc="1" locked="0" layoutInCell="0" allowOverlap="1">
              <wp:simplePos x="0" y="0"/>
              <wp:positionH relativeFrom="page">
                <wp:posOffset>970915</wp:posOffset>
              </wp:positionH>
              <wp:positionV relativeFrom="page">
                <wp:posOffset>490220</wp:posOffset>
              </wp:positionV>
              <wp:extent cx="5791835" cy="217805"/>
              <wp:effectExtent l="0" t="0" r="18415" b="10795"/>
              <wp:wrapNone/>
              <wp:docPr id="2" name="文本框 2"/>
              <wp:cNvGraphicFramePr/>
              <a:graphic xmlns:a="http://schemas.openxmlformats.org/drawingml/2006/main">
                <a:graphicData uri="http://schemas.microsoft.com/office/word/2010/wordprocessingShape">
                  <wps:wsp>
                    <wps:cNvSpPr txBox="1"/>
                    <wps:spPr>
                      <a:xfrm>
                        <a:off x="0" y="0"/>
                        <a:ext cx="5791835" cy="217805"/>
                      </a:xfrm>
                      <a:prstGeom prst="rect">
                        <a:avLst/>
                      </a:prstGeom>
                      <a:noFill/>
                      <a:ln>
                        <a:noFill/>
                      </a:ln>
                    </wps:spPr>
                    <wps:txbx>
                      <w:txbxContent>
                        <w:p>
                          <w:pPr>
                            <w:pStyle w:val="14"/>
                            <w:tabs>
                              <w:tab w:val="left" w:pos="754"/>
                            </w:tabs>
                            <w:kinsoku w:val="0"/>
                            <w:overflowPunct w:val="0"/>
                            <w:spacing w:line="257" w:lineRule="exact"/>
                            <w:ind w:firstLine="180" w:firstLineChars="100"/>
                            <w:rPr>
                              <w:spacing w:val="-1"/>
                              <w:sz w:val="18"/>
                              <w:szCs w:val="18"/>
                            </w:rPr>
                          </w:pPr>
                          <w:r>
                            <w:rPr>
                              <w:rFonts w:hint="eastAsia" w:hAnsi="宋体"/>
                              <w:color w:val="000000"/>
                              <w:sz w:val="18"/>
                              <w:szCs w:val="18"/>
                              <w:lang w:bidi="ar"/>
                            </w:rPr>
                            <w:t>乡城县香巴拉七湖风景名胜区总体规划（2022—2035年）   规划文本</w:t>
                          </w:r>
                        </w:p>
                      </w:txbxContent>
                    </wps:txbx>
                    <wps:bodyPr lIns="0" tIns="0" rIns="0" bIns="0" upright="1"/>
                  </wps:wsp>
                </a:graphicData>
              </a:graphic>
            </wp:anchor>
          </w:drawing>
        </mc:Choice>
        <mc:Fallback>
          <w:pict>
            <v:shape id="_x0000_s1026" o:spid="_x0000_s1026" o:spt="202" type="#_x0000_t202" style="position:absolute;left:0pt;margin-left:76.45pt;margin-top:38.6pt;height:17.15pt;width:456.05pt;mso-position-horizontal-relative:page;mso-position-vertical-relative:page;z-index:-251650048;mso-width-relative:page;mso-height-relative:page;" filled="f" stroked="f" coordsize="21600,21600" o:allowincell="f" o:gfxdata="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m25A9gAAAALAQAADwAAAAAAAAABACAAAAAiAAAAZHJzL2Rvd25yZXYueG1sUEsB&#10;AhQAFAAAAAgAh07iQBiQIhO8AQAAcgMAAA4AAAAAAAAAAQAgAAAAJwEAAGRycy9lMm9Eb2MueG1s&#10;UEsFBgAAAAAGAAYAWQEAAFUFAAAAAA==&#10;">
              <v:fill on="f" focussize="0,0"/>
              <v:stroke on="f"/>
              <v:imagedata o:title=""/>
              <o:lock v:ext="edit" aspectratio="f"/>
              <v:textbox inset="0mm,0mm,0mm,0mm">
                <w:txbxContent>
                  <w:p>
                    <w:pPr>
                      <w:pStyle w:val="14"/>
                      <w:tabs>
                        <w:tab w:val="left" w:pos="754"/>
                      </w:tabs>
                      <w:kinsoku w:val="0"/>
                      <w:overflowPunct w:val="0"/>
                      <w:spacing w:line="257" w:lineRule="exact"/>
                      <w:ind w:firstLine="180" w:firstLineChars="100"/>
                      <w:rPr>
                        <w:spacing w:val="-1"/>
                        <w:sz w:val="18"/>
                        <w:szCs w:val="18"/>
                      </w:rPr>
                    </w:pPr>
                    <w:r>
                      <w:rPr>
                        <w:rFonts w:hint="eastAsia" w:hAnsi="宋体"/>
                        <w:color w:val="000000"/>
                        <w:sz w:val="18"/>
                        <w:szCs w:val="18"/>
                        <w:lang w:bidi="ar"/>
                      </w:rPr>
                      <w:t>乡城县香巴拉七湖风景名胜区总体规划（2022—2035年）   规划文本</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line="14" w:lineRule="auto"/>
      <w:rPr>
        <w:rFonts w:ascii="Times New Roman" w:eastAsia="等线" w:cs="Times New Roman"/>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kinsoku w:val="0"/>
      <w:overflowPunct w:val="0"/>
      <w:spacing w:line="14" w:lineRule="auto"/>
      <w:rPr>
        <w:rFonts w:ascii="Times New Roman" w:eastAsia="等线" w:cs="Times New Roman"/>
        <w:sz w:val="20"/>
        <w:szCs w:val="20"/>
      </w:rPr>
    </w:pPr>
    <w:r>
      <mc:AlternateContent>
        <mc:Choice Requires="wps">
          <w:drawing>
            <wp:anchor distT="0" distB="0" distL="114300" distR="114300" simplePos="0" relativeHeight="251661312" behindDoc="1" locked="0" layoutInCell="0" allowOverlap="1">
              <wp:simplePos x="0" y="0"/>
              <wp:positionH relativeFrom="page">
                <wp:posOffset>1026160</wp:posOffset>
              </wp:positionH>
              <wp:positionV relativeFrom="page">
                <wp:posOffset>511175</wp:posOffset>
              </wp:positionV>
              <wp:extent cx="5751830" cy="17589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751830" cy="175895"/>
                      </a:xfrm>
                      <a:prstGeom prst="rect">
                        <a:avLst/>
                      </a:prstGeom>
                      <a:noFill/>
                      <a:ln>
                        <a:noFill/>
                      </a:ln>
                    </wps:spPr>
                    <wps:txbx>
                      <w:txbxContent>
                        <w:p>
                          <w:pPr>
                            <w:pStyle w:val="14"/>
                            <w:tabs>
                              <w:tab w:val="left" w:pos="754"/>
                            </w:tabs>
                            <w:kinsoku w:val="0"/>
                            <w:overflowPunct w:val="0"/>
                            <w:spacing w:line="257" w:lineRule="exact"/>
                            <w:ind w:firstLine="180" w:firstLineChars="100"/>
                            <w:jc w:val="right"/>
                            <w:rPr>
                              <w:spacing w:val="-1"/>
                              <w:sz w:val="18"/>
                              <w:szCs w:val="18"/>
                            </w:rPr>
                          </w:pPr>
                          <w:r>
                            <w:rPr>
                              <w:rFonts w:hint="eastAsia" w:hAnsi="宋体"/>
                              <w:color w:val="000000"/>
                              <w:sz w:val="18"/>
                              <w:szCs w:val="18"/>
                              <w:lang w:bidi="ar"/>
                            </w:rPr>
                            <w:t>乡城县香巴拉七湖风景名胜区总体规划（2022—2035年）  规划文本</w:t>
                          </w:r>
                        </w:p>
                      </w:txbxContent>
                    </wps:txbx>
                    <wps:bodyPr lIns="0" tIns="0" rIns="0" bIns="0" upright="1"/>
                  </wps:wsp>
                </a:graphicData>
              </a:graphic>
            </wp:anchor>
          </w:drawing>
        </mc:Choice>
        <mc:Fallback>
          <w:pict>
            <v:shape id="_x0000_s1026" o:spid="_x0000_s1026" o:spt="202" type="#_x0000_t202" style="position:absolute;left:0pt;margin-left:80.8pt;margin-top:40.25pt;height:13.85pt;width:452.9pt;mso-position-horizontal-relative:page;mso-position-vertical-relative:page;z-index:-251655168;mso-width-relative:page;mso-height-relative:page;" filled="f" stroked="f" coordsize="21600,21600" o:allowincell="f" o:gfxdata="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EkbW9gAAAALAQAADwAAAAAAAAABACAAAAAiAAAAZHJzL2Rvd25yZXYueG1sUEsB&#10;AhQAFAAAAAgAh07iQCqGVJi8AQAAdAMAAA4AAAAAAAAAAQAgAAAAJwEAAGRycy9lMm9Eb2MueG1s&#10;UEsFBgAAAAAGAAYAWQEAAFUFAAAAAA==&#10;">
              <v:fill on="f" focussize="0,0"/>
              <v:stroke on="f"/>
              <v:imagedata o:title=""/>
              <o:lock v:ext="edit" aspectratio="f"/>
              <v:textbox inset="0mm,0mm,0mm,0mm">
                <w:txbxContent>
                  <w:p>
                    <w:pPr>
                      <w:pStyle w:val="14"/>
                      <w:tabs>
                        <w:tab w:val="left" w:pos="754"/>
                      </w:tabs>
                      <w:kinsoku w:val="0"/>
                      <w:overflowPunct w:val="0"/>
                      <w:spacing w:line="257" w:lineRule="exact"/>
                      <w:ind w:firstLine="180" w:firstLineChars="100"/>
                      <w:jc w:val="right"/>
                      <w:rPr>
                        <w:spacing w:val="-1"/>
                        <w:sz w:val="18"/>
                        <w:szCs w:val="18"/>
                      </w:rPr>
                    </w:pPr>
                    <w:r>
                      <w:rPr>
                        <w:rFonts w:hint="eastAsia" w:hAnsi="宋体"/>
                        <w:color w:val="000000"/>
                        <w:sz w:val="18"/>
                        <w:szCs w:val="18"/>
                        <w:lang w:bidi="ar"/>
                      </w:rPr>
                      <w:t>乡城县香巴拉七湖风景名胜区总体规划（2022—2035年）  规划文本</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kinsoku w:val="0"/>
      <w:overflowPunct w:val="0"/>
      <w:spacing w:line="14" w:lineRule="auto"/>
      <w:rPr>
        <w:rFonts w:hint="eastAsia" w:ascii="Times New Roman" w:eastAsia="等线" w:cs="Times New Roman"/>
        <w:sz w:val="20"/>
        <w:szCs w:val="20"/>
      </w:rPr>
    </w:pPr>
  </w:p>
  <w:p>
    <w:pPr>
      <w:pStyle w:val="14"/>
      <w:pBdr>
        <w:bottom w:val="single" w:color="auto" w:sz="4" w:space="0"/>
      </w:pBdr>
      <w:kinsoku w:val="0"/>
      <w:overflowPunct w:val="0"/>
      <w:spacing w:line="14" w:lineRule="auto"/>
      <w:rPr>
        <w:rFonts w:ascii="Times New Roman" w:eastAsia="等线" w:cs="Times New Roman"/>
        <w:sz w:val="20"/>
        <w:szCs w:val="20"/>
      </w:rPr>
    </w:pPr>
    <w:r>
      <mc:AlternateContent>
        <mc:Choice Requires="wps">
          <w:drawing>
            <wp:anchor distT="0" distB="0" distL="114300" distR="114300" simplePos="0" relativeHeight="251665408" behindDoc="1" locked="0" layoutInCell="0" allowOverlap="1">
              <wp:simplePos x="0" y="0"/>
              <wp:positionH relativeFrom="page">
                <wp:posOffset>981075</wp:posOffset>
              </wp:positionH>
              <wp:positionV relativeFrom="page">
                <wp:posOffset>472440</wp:posOffset>
              </wp:positionV>
              <wp:extent cx="5791835" cy="2178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91835" cy="217805"/>
                      </a:xfrm>
                      <a:prstGeom prst="rect">
                        <a:avLst/>
                      </a:prstGeom>
                      <a:noFill/>
                      <a:ln>
                        <a:noFill/>
                      </a:ln>
                    </wps:spPr>
                    <wps:txbx>
                      <w:txbxContent>
                        <w:p>
                          <w:pPr>
                            <w:pStyle w:val="14"/>
                            <w:tabs>
                              <w:tab w:val="left" w:pos="754"/>
                            </w:tabs>
                            <w:kinsoku w:val="0"/>
                            <w:overflowPunct w:val="0"/>
                            <w:spacing w:line="257" w:lineRule="exact"/>
                            <w:ind w:firstLine="180" w:firstLineChars="100"/>
                            <w:jc w:val="right"/>
                            <w:rPr>
                              <w:spacing w:val="-1"/>
                              <w:sz w:val="18"/>
                              <w:szCs w:val="18"/>
                            </w:rPr>
                          </w:pPr>
                          <w:r>
                            <w:rPr>
                              <w:rFonts w:hint="eastAsia" w:hAnsi="宋体"/>
                              <w:color w:val="000000"/>
                              <w:sz w:val="18"/>
                              <w:szCs w:val="18"/>
                              <w:lang w:bidi="ar"/>
                            </w:rPr>
                            <w:t>乡城县香巴拉七湖风景名胜区总体规划（2022—2035年）   规划文本</w:t>
                          </w:r>
                        </w:p>
                      </w:txbxContent>
                    </wps:txbx>
                    <wps:bodyPr lIns="0" tIns="0" rIns="0" bIns="0" upright="1"/>
                  </wps:wsp>
                </a:graphicData>
              </a:graphic>
            </wp:anchor>
          </w:drawing>
        </mc:Choice>
        <mc:Fallback>
          <w:pict>
            <v:shape id="_x0000_s1026" o:spid="_x0000_s1026" o:spt="202" type="#_x0000_t202" style="position:absolute;left:0pt;margin-left:77.25pt;margin-top:37.2pt;height:17.15pt;width:456.05pt;mso-position-horizontal-relative:page;mso-position-vertical-relative:page;z-index:-251651072;mso-width-relative:page;mso-height-relative:page;" filled="f" stroked="f" coordsize="21600,21600" o:allowincell="f" o:gfxdata="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vkKONgAAAALAQAADwAAAAAAAAABACAAAAAiAAAAZHJzL2Rvd25yZXYueG1sUEsB&#10;AhQAFAAAAAgAh07iQJd5idG8AQAAcgMAAA4AAAAAAAAAAQAgAAAAJwEAAGRycy9lMm9Eb2MueG1s&#10;UEsFBgAAAAAGAAYAWQEAAFUFAAAAAA==&#10;">
              <v:fill on="f" focussize="0,0"/>
              <v:stroke on="f"/>
              <v:imagedata o:title=""/>
              <o:lock v:ext="edit" aspectratio="f"/>
              <v:textbox inset="0mm,0mm,0mm,0mm">
                <w:txbxContent>
                  <w:p>
                    <w:pPr>
                      <w:pStyle w:val="14"/>
                      <w:tabs>
                        <w:tab w:val="left" w:pos="754"/>
                      </w:tabs>
                      <w:kinsoku w:val="0"/>
                      <w:overflowPunct w:val="0"/>
                      <w:spacing w:line="257" w:lineRule="exact"/>
                      <w:ind w:firstLine="180" w:firstLineChars="100"/>
                      <w:jc w:val="right"/>
                      <w:rPr>
                        <w:spacing w:val="-1"/>
                        <w:sz w:val="18"/>
                        <w:szCs w:val="18"/>
                      </w:rPr>
                    </w:pPr>
                    <w:r>
                      <w:rPr>
                        <w:rFonts w:hint="eastAsia" w:hAnsi="宋体"/>
                        <w:color w:val="000000"/>
                        <w:sz w:val="18"/>
                        <w:szCs w:val="18"/>
                        <w:lang w:bidi="ar"/>
                      </w:rPr>
                      <w:t>乡城县香巴拉七湖风景名胜区总体规划（2022—2035年）   规划文本</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698644"/>
    <w:multiLevelType w:val="singleLevel"/>
    <w:tmpl w:val="B5698644"/>
    <w:lvl w:ilvl="0" w:tentative="0">
      <w:start w:val="2"/>
      <w:numFmt w:val="decimal"/>
      <w:suff w:val="nothing"/>
      <w:lvlText w:val="%1、"/>
      <w:lvlJc w:val="left"/>
    </w:lvl>
  </w:abstractNum>
  <w:abstractNum w:abstractNumId="1">
    <w:nsid w:val="D4159F75"/>
    <w:multiLevelType w:val="singleLevel"/>
    <w:tmpl w:val="D4159F75"/>
    <w:lvl w:ilvl="0" w:tentative="0">
      <w:start w:val="6"/>
      <w:numFmt w:val="chineseCounting"/>
      <w:suff w:val="space"/>
      <w:lvlText w:val="第%1章"/>
      <w:lvlJc w:val="left"/>
      <w:rPr>
        <w:rFonts w:hint="eastAsia"/>
      </w:rPr>
    </w:lvl>
  </w:abstractNum>
  <w:abstractNum w:abstractNumId="2">
    <w:nsid w:val="F6D9AB3D"/>
    <w:multiLevelType w:val="singleLevel"/>
    <w:tmpl w:val="F6D9AB3D"/>
    <w:lvl w:ilvl="0" w:tentative="0">
      <w:start w:val="4"/>
      <w:numFmt w:val="decimal"/>
      <w:suff w:val="nothing"/>
      <w:lvlText w:val="%1、"/>
      <w:lvlJc w:val="left"/>
    </w:lvl>
  </w:abstractNum>
  <w:abstractNum w:abstractNumId="3">
    <w:nsid w:val="6C98AC2F"/>
    <w:multiLevelType w:val="singleLevel"/>
    <w:tmpl w:val="6C98AC2F"/>
    <w:lvl w:ilvl="0" w:tentative="0">
      <w:start w:val="2"/>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720"/>
  <w:evenAndOddHeaders w:val="1"/>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1ZTZkN2VjZjlkMDdjYWMwYzA5OWRlOWFjNDFjNTYifQ=="/>
  </w:docVars>
  <w:rsids>
    <w:rsidRoot w:val="00C4528F"/>
    <w:rsid w:val="00000049"/>
    <w:rsid w:val="000040B1"/>
    <w:rsid w:val="0001453E"/>
    <w:rsid w:val="000169E8"/>
    <w:rsid w:val="0002013E"/>
    <w:rsid w:val="000202E5"/>
    <w:rsid w:val="00022B6C"/>
    <w:rsid w:val="00023DB6"/>
    <w:rsid w:val="0003165F"/>
    <w:rsid w:val="000338E5"/>
    <w:rsid w:val="0004285A"/>
    <w:rsid w:val="00042A2D"/>
    <w:rsid w:val="000470F1"/>
    <w:rsid w:val="00047E47"/>
    <w:rsid w:val="00053339"/>
    <w:rsid w:val="0006559A"/>
    <w:rsid w:val="000729C0"/>
    <w:rsid w:val="00085643"/>
    <w:rsid w:val="000935A2"/>
    <w:rsid w:val="00094E9A"/>
    <w:rsid w:val="000963F7"/>
    <w:rsid w:val="000A0197"/>
    <w:rsid w:val="000B41EB"/>
    <w:rsid w:val="000B518B"/>
    <w:rsid w:val="000C091E"/>
    <w:rsid w:val="000C26DE"/>
    <w:rsid w:val="000C36B9"/>
    <w:rsid w:val="000C38AD"/>
    <w:rsid w:val="000C62F4"/>
    <w:rsid w:val="000C6D3B"/>
    <w:rsid w:val="000D0826"/>
    <w:rsid w:val="000D77F5"/>
    <w:rsid w:val="000E15F7"/>
    <w:rsid w:val="000E422E"/>
    <w:rsid w:val="000E67C9"/>
    <w:rsid w:val="000E7ABF"/>
    <w:rsid w:val="000F02CD"/>
    <w:rsid w:val="000F1D2C"/>
    <w:rsid w:val="000F1D59"/>
    <w:rsid w:val="000F30AC"/>
    <w:rsid w:val="00111626"/>
    <w:rsid w:val="00111D41"/>
    <w:rsid w:val="001202B0"/>
    <w:rsid w:val="00122E18"/>
    <w:rsid w:val="0012393A"/>
    <w:rsid w:val="00127154"/>
    <w:rsid w:val="00136D03"/>
    <w:rsid w:val="00140E0D"/>
    <w:rsid w:val="00144E33"/>
    <w:rsid w:val="00145F91"/>
    <w:rsid w:val="00151A45"/>
    <w:rsid w:val="00155645"/>
    <w:rsid w:val="00163EBC"/>
    <w:rsid w:val="00166C95"/>
    <w:rsid w:val="0017404F"/>
    <w:rsid w:val="00177379"/>
    <w:rsid w:val="00177E62"/>
    <w:rsid w:val="001817F0"/>
    <w:rsid w:val="00184624"/>
    <w:rsid w:val="001852C0"/>
    <w:rsid w:val="001A1501"/>
    <w:rsid w:val="001A323A"/>
    <w:rsid w:val="001A417A"/>
    <w:rsid w:val="001A79E0"/>
    <w:rsid w:val="001C2B31"/>
    <w:rsid w:val="001C3177"/>
    <w:rsid w:val="001C47E5"/>
    <w:rsid w:val="001C5322"/>
    <w:rsid w:val="001E127C"/>
    <w:rsid w:val="001E3790"/>
    <w:rsid w:val="001E516C"/>
    <w:rsid w:val="001F081E"/>
    <w:rsid w:val="001F0A78"/>
    <w:rsid w:val="001F7538"/>
    <w:rsid w:val="001F7F6C"/>
    <w:rsid w:val="00200992"/>
    <w:rsid w:val="00201344"/>
    <w:rsid w:val="002209C0"/>
    <w:rsid w:val="002251A2"/>
    <w:rsid w:val="002265D5"/>
    <w:rsid w:val="00226DB6"/>
    <w:rsid w:val="00227481"/>
    <w:rsid w:val="00227E1A"/>
    <w:rsid w:val="00241951"/>
    <w:rsid w:val="002448EE"/>
    <w:rsid w:val="00252F78"/>
    <w:rsid w:val="00262461"/>
    <w:rsid w:val="00262EF7"/>
    <w:rsid w:val="00263F23"/>
    <w:rsid w:val="00274404"/>
    <w:rsid w:val="00280C5C"/>
    <w:rsid w:val="00282425"/>
    <w:rsid w:val="002842E8"/>
    <w:rsid w:val="00284430"/>
    <w:rsid w:val="002870CF"/>
    <w:rsid w:val="002915C5"/>
    <w:rsid w:val="00291B51"/>
    <w:rsid w:val="0029230E"/>
    <w:rsid w:val="0029492B"/>
    <w:rsid w:val="00294B6B"/>
    <w:rsid w:val="0029631E"/>
    <w:rsid w:val="0029779D"/>
    <w:rsid w:val="002A0476"/>
    <w:rsid w:val="002A38EB"/>
    <w:rsid w:val="002A7F29"/>
    <w:rsid w:val="002C0AD3"/>
    <w:rsid w:val="002C4181"/>
    <w:rsid w:val="00300180"/>
    <w:rsid w:val="003068CF"/>
    <w:rsid w:val="00306BC1"/>
    <w:rsid w:val="00324A35"/>
    <w:rsid w:val="00330FD2"/>
    <w:rsid w:val="00342816"/>
    <w:rsid w:val="0034544A"/>
    <w:rsid w:val="003504B5"/>
    <w:rsid w:val="00351039"/>
    <w:rsid w:val="003549BE"/>
    <w:rsid w:val="0035541A"/>
    <w:rsid w:val="00360BEF"/>
    <w:rsid w:val="00362054"/>
    <w:rsid w:val="00363025"/>
    <w:rsid w:val="00363295"/>
    <w:rsid w:val="00367B5B"/>
    <w:rsid w:val="00370572"/>
    <w:rsid w:val="0037478B"/>
    <w:rsid w:val="003811CB"/>
    <w:rsid w:val="00383884"/>
    <w:rsid w:val="00392117"/>
    <w:rsid w:val="00393AEB"/>
    <w:rsid w:val="00394009"/>
    <w:rsid w:val="003A0C37"/>
    <w:rsid w:val="003B0F46"/>
    <w:rsid w:val="003B4726"/>
    <w:rsid w:val="003B7EB0"/>
    <w:rsid w:val="003C2199"/>
    <w:rsid w:val="003C4369"/>
    <w:rsid w:val="003C6338"/>
    <w:rsid w:val="003D3F1F"/>
    <w:rsid w:val="003D580D"/>
    <w:rsid w:val="003D78FE"/>
    <w:rsid w:val="003E06F6"/>
    <w:rsid w:val="003E2FB6"/>
    <w:rsid w:val="00400287"/>
    <w:rsid w:val="004078EA"/>
    <w:rsid w:val="00407A7A"/>
    <w:rsid w:val="00422262"/>
    <w:rsid w:val="00426F93"/>
    <w:rsid w:val="00440D45"/>
    <w:rsid w:val="00455287"/>
    <w:rsid w:val="00461214"/>
    <w:rsid w:val="004621FD"/>
    <w:rsid w:val="004773E5"/>
    <w:rsid w:val="00485D73"/>
    <w:rsid w:val="00496450"/>
    <w:rsid w:val="00496694"/>
    <w:rsid w:val="0049676B"/>
    <w:rsid w:val="004A3E3E"/>
    <w:rsid w:val="004A5C7C"/>
    <w:rsid w:val="004A666F"/>
    <w:rsid w:val="004B007F"/>
    <w:rsid w:val="004B6428"/>
    <w:rsid w:val="004C172C"/>
    <w:rsid w:val="004D0089"/>
    <w:rsid w:val="004D613B"/>
    <w:rsid w:val="004D6202"/>
    <w:rsid w:val="004E0309"/>
    <w:rsid w:val="004E165F"/>
    <w:rsid w:val="004E4B43"/>
    <w:rsid w:val="004E6047"/>
    <w:rsid w:val="004F0B53"/>
    <w:rsid w:val="004F1EBF"/>
    <w:rsid w:val="004F758A"/>
    <w:rsid w:val="0050368F"/>
    <w:rsid w:val="0050718C"/>
    <w:rsid w:val="00511533"/>
    <w:rsid w:val="00514FA4"/>
    <w:rsid w:val="005213AA"/>
    <w:rsid w:val="00521D7B"/>
    <w:rsid w:val="00524294"/>
    <w:rsid w:val="00531080"/>
    <w:rsid w:val="00531583"/>
    <w:rsid w:val="0053165A"/>
    <w:rsid w:val="005436BA"/>
    <w:rsid w:val="005638CE"/>
    <w:rsid w:val="005643E5"/>
    <w:rsid w:val="00567A53"/>
    <w:rsid w:val="00576011"/>
    <w:rsid w:val="00584BCF"/>
    <w:rsid w:val="005913B5"/>
    <w:rsid w:val="00591AB1"/>
    <w:rsid w:val="005935F7"/>
    <w:rsid w:val="005A1F88"/>
    <w:rsid w:val="005A21F8"/>
    <w:rsid w:val="005A522C"/>
    <w:rsid w:val="005A7F4D"/>
    <w:rsid w:val="005B4736"/>
    <w:rsid w:val="005C0E1E"/>
    <w:rsid w:val="005C1E3C"/>
    <w:rsid w:val="005C500B"/>
    <w:rsid w:val="005D79E6"/>
    <w:rsid w:val="005E1690"/>
    <w:rsid w:val="005E44B5"/>
    <w:rsid w:val="005F2991"/>
    <w:rsid w:val="006061C6"/>
    <w:rsid w:val="00612151"/>
    <w:rsid w:val="00612FC5"/>
    <w:rsid w:val="00614416"/>
    <w:rsid w:val="006149A9"/>
    <w:rsid w:val="00620CA5"/>
    <w:rsid w:val="00620DF5"/>
    <w:rsid w:val="006261C5"/>
    <w:rsid w:val="00627A98"/>
    <w:rsid w:val="00627E4B"/>
    <w:rsid w:val="00634338"/>
    <w:rsid w:val="006372ED"/>
    <w:rsid w:val="00637C4A"/>
    <w:rsid w:val="006400CB"/>
    <w:rsid w:val="006408F8"/>
    <w:rsid w:val="006459F3"/>
    <w:rsid w:val="00646C40"/>
    <w:rsid w:val="0065113B"/>
    <w:rsid w:val="006532A8"/>
    <w:rsid w:val="00656135"/>
    <w:rsid w:val="00662FA4"/>
    <w:rsid w:val="00664944"/>
    <w:rsid w:val="00670228"/>
    <w:rsid w:val="00670DEC"/>
    <w:rsid w:val="00683F10"/>
    <w:rsid w:val="00687D0E"/>
    <w:rsid w:val="006A27C2"/>
    <w:rsid w:val="006A5671"/>
    <w:rsid w:val="006B448F"/>
    <w:rsid w:val="006B4618"/>
    <w:rsid w:val="006B6085"/>
    <w:rsid w:val="006B7E20"/>
    <w:rsid w:val="006C1573"/>
    <w:rsid w:val="006C4095"/>
    <w:rsid w:val="006D4027"/>
    <w:rsid w:val="006D4BA7"/>
    <w:rsid w:val="006E171A"/>
    <w:rsid w:val="006E5FC8"/>
    <w:rsid w:val="006E6FDB"/>
    <w:rsid w:val="006E756D"/>
    <w:rsid w:val="006E7759"/>
    <w:rsid w:val="006E7AE6"/>
    <w:rsid w:val="006F0D3B"/>
    <w:rsid w:val="006F2C73"/>
    <w:rsid w:val="006F5E11"/>
    <w:rsid w:val="006F6BE3"/>
    <w:rsid w:val="0070081E"/>
    <w:rsid w:val="00700C1C"/>
    <w:rsid w:val="00704672"/>
    <w:rsid w:val="00705925"/>
    <w:rsid w:val="00714A30"/>
    <w:rsid w:val="0071564E"/>
    <w:rsid w:val="00716310"/>
    <w:rsid w:val="0071775B"/>
    <w:rsid w:val="00717CEF"/>
    <w:rsid w:val="007368D6"/>
    <w:rsid w:val="00741151"/>
    <w:rsid w:val="00742444"/>
    <w:rsid w:val="00743093"/>
    <w:rsid w:val="007475CC"/>
    <w:rsid w:val="00747E57"/>
    <w:rsid w:val="0075035E"/>
    <w:rsid w:val="00753ED8"/>
    <w:rsid w:val="00754EE1"/>
    <w:rsid w:val="007563DA"/>
    <w:rsid w:val="00760219"/>
    <w:rsid w:val="00766184"/>
    <w:rsid w:val="00767DE9"/>
    <w:rsid w:val="0077143E"/>
    <w:rsid w:val="007763A1"/>
    <w:rsid w:val="00785803"/>
    <w:rsid w:val="00787F84"/>
    <w:rsid w:val="00790209"/>
    <w:rsid w:val="00790214"/>
    <w:rsid w:val="00790D1D"/>
    <w:rsid w:val="00796F38"/>
    <w:rsid w:val="007A449A"/>
    <w:rsid w:val="007B578B"/>
    <w:rsid w:val="007B7414"/>
    <w:rsid w:val="007C3D31"/>
    <w:rsid w:val="007C7AE5"/>
    <w:rsid w:val="007D4131"/>
    <w:rsid w:val="007D5B32"/>
    <w:rsid w:val="007E1321"/>
    <w:rsid w:val="007F4C2D"/>
    <w:rsid w:val="00801381"/>
    <w:rsid w:val="0080343D"/>
    <w:rsid w:val="0080640E"/>
    <w:rsid w:val="008126F6"/>
    <w:rsid w:val="00817F2E"/>
    <w:rsid w:val="00825097"/>
    <w:rsid w:val="00825A3D"/>
    <w:rsid w:val="00827ABA"/>
    <w:rsid w:val="00830FD0"/>
    <w:rsid w:val="008334C0"/>
    <w:rsid w:val="008407E2"/>
    <w:rsid w:val="00841760"/>
    <w:rsid w:val="00843B73"/>
    <w:rsid w:val="00851365"/>
    <w:rsid w:val="00851A0D"/>
    <w:rsid w:val="0086219E"/>
    <w:rsid w:val="00862343"/>
    <w:rsid w:val="00873C77"/>
    <w:rsid w:val="00875A47"/>
    <w:rsid w:val="00882373"/>
    <w:rsid w:val="008826C3"/>
    <w:rsid w:val="00884B4D"/>
    <w:rsid w:val="00890266"/>
    <w:rsid w:val="008917D5"/>
    <w:rsid w:val="008971E7"/>
    <w:rsid w:val="008D0DA1"/>
    <w:rsid w:val="008D4E49"/>
    <w:rsid w:val="008D5ED9"/>
    <w:rsid w:val="008D7A1B"/>
    <w:rsid w:val="008E33EE"/>
    <w:rsid w:val="008E7B2A"/>
    <w:rsid w:val="008F1ED9"/>
    <w:rsid w:val="008F3990"/>
    <w:rsid w:val="008F7310"/>
    <w:rsid w:val="008F7474"/>
    <w:rsid w:val="00905BA7"/>
    <w:rsid w:val="00905E77"/>
    <w:rsid w:val="0091081E"/>
    <w:rsid w:val="009117E4"/>
    <w:rsid w:val="0091263B"/>
    <w:rsid w:val="00925D10"/>
    <w:rsid w:val="00935346"/>
    <w:rsid w:val="00944A13"/>
    <w:rsid w:val="009464B6"/>
    <w:rsid w:val="00947B9F"/>
    <w:rsid w:val="00956485"/>
    <w:rsid w:val="009621D3"/>
    <w:rsid w:val="00962ECB"/>
    <w:rsid w:val="009636F0"/>
    <w:rsid w:val="0096479B"/>
    <w:rsid w:val="00974317"/>
    <w:rsid w:val="0097472B"/>
    <w:rsid w:val="00977354"/>
    <w:rsid w:val="0098555E"/>
    <w:rsid w:val="00985747"/>
    <w:rsid w:val="00992A0A"/>
    <w:rsid w:val="00995103"/>
    <w:rsid w:val="009A0BF1"/>
    <w:rsid w:val="009A5D52"/>
    <w:rsid w:val="009A7D69"/>
    <w:rsid w:val="009C27B9"/>
    <w:rsid w:val="009C4579"/>
    <w:rsid w:val="009C648E"/>
    <w:rsid w:val="009C7624"/>
    <w:rsid w:val="009C7E0F"/>
    <w:rsid w:val="009F1B58"/>
    <w:rsid w:val="009F62DE"/>
    <w:rsid w:val="00A112BA"/>
    <w:rsid w:val="00A13A5B"/>
    <w:rsid w:val="00A15CFF"/>
    <w:rsid w:val="00A26C71"/>
    <w:rsid w:val="00A3008D"/>
    <w:rsid w:val="00A328D0"/>
    <w:rsid w:val="00A3293F"/>
    <w:rsid w:val="00A37108"/>
    <w:rsid w:val="00A513B6"/>
    <w:rsid w:val="00A54C20"/>
    <w:rsid w:val="00A55497"/>
    <w:rsid w:val="00A6170F"/>
    <w:rsid w:val="00A66847"/>
    <w:rsid w:val="00A66E7B"/>
    <w:rsid w:val="00A72191"/>
    <w:rsid w:val="00A72D40"/>
    <w:rsid w:val="00A8172B"/>
    <w:rsid w:val="00A81CAE"/>
    <w:rsid w:val="00A81FBD"/>
    <w:rsid w:val="00AA0980"/>
    <w:rsid w:val="00AA62C5"/>
    <w:rsid w:val="00AB1EB7"/>
    <w:rsid w:val="00AB3E87"/>
    <w:rsid w:val="00AB630B"/>
    <w:rsid w:val="00AC4507"/>
    <w:rsid w:val="00AC5911"/>
    <w:rsid w:val="00AD03F5"/>
    <w:rsid w:val="00AD33B6"/>
    <w:rsid w:val="00AD3E9C"/>
    <w:rsid w:val="00AD556C"/>
    <w:rsid w:val="00AF027E"/>
    <w:rsid w:val="00B11C04"/>
    <w:rsid w:val="00B147D5"/>
    <w:rsid w:val="00B1508F"/>
    <w:rsid w:val="00B20466"/>
    <w:rsid w:val="00B33D5B"/>
    <w:rsid w:val="00B35B92"/>
    <w:rsid w:val="00B53F04"/>
    <w:rsid w:val="00B542FB"/>
    <w:rsid w:val="00B60D46"/>
    <w:rsid w:val="00B623B1"/>
    <w:rsid w:val="00B70F94"/>
    <w:rsid w:val="00B71423"/>
    <w:rsid w:val="00B76E2E"/>
    <w:rsid w:val="00B84715"/>
    <w:rsid w:val="00B84A74"/>
    <w:rsid w:val="00B84CD3"/>
    <w:rsid w:val="00B862B7"/>
    <w:rsid w:val="00BA08D0"/>
    <w:rsid w:val="00BA293B"/>
    <w:rsid w:val="00BA320C"/>
    <w:rsid w:val="00BB4705"/>
    <w:rsid w:val="00BB490E"/>
    <w:rsid w:val="00BB5A6E"/>
    <w:rsid w:val="00BB6BCF"/>
    <w:rsid w:val="00BB7EA7"/>
    <w:rsid w:val="00BC3F36"/>
    <w:rsid w:val="00BC4236"/>
    <w:rsid w:val="00BC53E2"/>
    <w:rsid w:val="00BC6D47"/>
    <w:rsid w:val="00BD077D"/>
    <w:rsid w:val="00BD1851"/>
    <w:rsid w:val="00BD49D7"/>
    <w:rsid w:val="00BD4FBE"/>
    <w:rsid w:val="00BE1116"/>
    <w:rsid w:val="00BF3B11"/>
    <w:rsid w:val="00BF5567"/>
    <w:rsid w:val="00C01C9D"/>
    <w:rsid w:val="00C07A11"/>
    <w:rsid w:val="00C07A5D"/>
    <w:rsid w:val="00C105DA"/>
    <w:rsid w:val="00C106F2"/>
    <w:rsid w:val="00C11E48"/>
    <w:rsid w:val="00C120F6"/>
    <w:rsid w:val="00C152AC"/>
    <w:rsid w:val="00C16AD6"/>
    <w:rsid w:val="00C24079"/>
    <w:rsid w:val="00C35BF7"/>
    <w:rsid w:val="00C41796"/>
    <w:rsid w:val="00C43412"/>
    <w:rsid w:val="00C4528F"/>
    <w:rsid w:val="00C568F6"/>
    <w:rsid w:val="00C664FF"/>
    <w:rsid w:val="00C679A1"/>
    <w:rsid w:val="00C74853"/>
    <w:rsid w:val="00C74863"/>
    <w:rsid w:val="00C813A4"/>
    <w:rsid w:val="00C81643"/>
    <w:rsid w:val="00C84181"/>
    <w:rsid w:val="00C85A7A"/>
    <w:rsid w:val="00C86F9B"/>
    <w:rsid w:val="00C87940"/>
    <w:rsid w:val="00C92FFA"/>
    <w:rsid w:val="00C95584"/>
    <w:rsid w:val="00C95852"/>
    <w:rsid w:val="00CA2BD2"/>
    <w:rsid w:val="00CB1A1D"/>
    <w:rsid w:val="00CB2A2F"/>
    <w:rsid w:val="00CB3938"/>
    <w:rsid w:val="00CB5104"/>
    <w:rsid w:val="00CC0244"/>
    <w:rsid w:val="00CC0F6A"/>
    <w:rsid w:val="00CC1A20"/>
    <w:rsid w:val="00CC48F1"/>
    <w:rsid w:val="00CC5BCB"/>
    <w:rsid w:val="00CD0582"/>
    <w:rsid w:val="00CD1C02"/>
    <w:rsid w:val="00CF15C9"/>
    <w:rsid w:val="00CF6B8A"/>
    <w:rsid w:val="00CF7587"/>
    <w:rsid w:val="00D03AB0"/>
    <w:rsid w:val="00D07AEC"/>
    <w:rsid w:val="00D216D0"/>
    <w:rsid w:val="00D34DE1"/>
    <w:rsid w:val="00D37E1E"/>
    <w:rsid w:val="00D406B0"/>
    <w:rsid w:val="00D412CB"/>
    <w:rsid w:val="00D43D3C"/>
    <w:rsid w:val="00D457EA"/>
    <w:rsid w:val="00D45B4C"/>
    <w:rsid w:val="00D620F1"/>
    <w:rsid w:val="00D62F85"/>
    <w:rsid w:val="00D630D9"/>
    <w:rsid w:val="00D6534A"/>
    <w:rsid w:val="00D6556D"/>
    <w:rsid w:val="00D7058C"/>
    <w:rsid w:val="00D7299E"/>
    <w:rsid w:val="00D76178"/>
    <w:rsid w:val="00D82D08"/>
    <w:rsid w:val="00D83269"/>
    <w:rsid w:val="00D8535A"/>
    <w:rsid w:val="00D976C6"/>
    <w:rsid w:val="00DA417D"/>
    <w:rsid w:val="00DB09A4"/>
    <w:rsid w:val="00DB5CC3"/>
    <w:rsid w:val="00DC1A61"/>
    <w:rsid w:val="00DC75DC"/>
    <w:rsid w:val="00DD181D"/>
    <w:rsid w:val="00DD1A4D"/>
    <w:rsid w:val="00DD3015"/>
    <w:rsid w:val="00DD5E59"/>
    <w:rsid w:val="00DD665B"/>
    <w:rsid w:val="00DE35B5"/>
    <w:rsid w:val="00DE4AA8"/>
    <w:rsid w:val="00DE511C"/>
    <w:rsid w:val="00DF20F4"/>
    <w:rsid w:val="00DF3D46"/>
    <w:rsid w:val="00DF4CE8"/>
    <w:rsid w:val="00E00913"/>
    <w:rsid w:val="00E06AD1"/>
    <w:rsid w:val="00E14A13"/>
    <w:rsid w:val="00E15059"/>
    <w:rsid w:val="00E1551E"/>
    <w:rsid w:val="00E21FAE"/>
    <w:rsid w:val="00E27CCB"/>
    <w:rsid w:val="00E30ADF"/>
    <w:rsid w:val="00E30F11"/>
    <w:rsid w:val="00E340E5"/>
    <w:rsid w:val="00E3467D"/>
    <w:rsid w:val="00E37323"/>
    <w:rsid w:val="00E40FB8"/>
    <w:rsid w:val="00E4470C"/>
    <w:rsid w:val="00E45B7E"/>
    <w:rsid w:val="00E53869"/>
    <w:rsid w:val="00E57AE3"/>
    <w:rsid w:val="00E62C18"/>
    <w:rsid w:val="00E72A33"/>
    <w:rsid w:val="00E72D54"/>
    <w:rsid w:val="00E75209"/>
    <w:rsid w:val="00E76FEC"/>
    <w:rsid w:val="00E77220"/>
    <w:rsid w:val="00E82CAD"/>
    <w:rsid w:val="00E83320"/>
    <w:rsid w:val="00E851E1"/>
    <w:rsid w:val="00E8526F"/>
    <w:rsid w:val="00E9514B"/>
    <w:rsid w:val="00E96937"/>
    <w:rsid w:val="00EA0035"/>
    <w:rsid w:val="00EA077A"/>
    <w:rsid w:val="00EA4365"/>
    <w:rsid w:val="00EB0CC1"/>
    <w:rsid w:val="00EB1E4F"/>
    <w:rsid w:val="00EB28A2"/>
    <w:rsid w:val="00EB2A24"/>
    <w:rsid w:val="00EB3DE4"/>
    <w:rsid w:val="00EB4467"/>
    <w:rsid w:val="00EC0ECA"/>
    <w:rsid w:val="00EC4CCE"/>
    <w:rsid w:val="00EC63C4"/>
    <w:rsid w:val="00ED132A"/>
    <w:rsid w:val="00ED27C2"/>
    <w:rsid w:val="00ED2CE4"/>
    <w:rsid w:val="00ED4AFB"/>
    <w:rsid w:val="00EE6F53"/>
    <w:rsid w:val="00EF4133"/>
    <w:rsid w:val="00EF6FDA"/>
    <w:rsid w:val="00F03111"/>
    <w:rsid w:val="00F05C5F"/>
    <w:rsid w:val="00F0727E"/>
    <w:rsid w:val="00F14A09"/>
    <w:rsid w:val="00F253AC"/>
    <w:rsid w:val="00F3104C"/>
    <w:rsid w:val="00F31840"/>
    <w:rsid w:val="00F3314B"/>
    <w:rsid w:val="00F525C5"/>
    <w:rsid w:val="00F602D3"/>
    <w:rsid w:val="00F61BC7"/>
    <w:rsid w:val="00F740EE"/>
    <w:rsid w:val="00F81EE5"/>
    <w:rsid w:val="00F9095E"/>
    <w:rsid w:val="00FA29BB"/>
    <w:rsid w:val="00FA5E20"/>
    <w:rsid w:val="00FA6675"/>
    <w:rsid w:val="00FB079D"/>
    <w:rsid w:val="00FB1D40"/>
    <w:rsid w:val="00FB35C1"/>
    <w:rsid w:val="00FB5B6A"/>
    <w:rsid w:val="00FC584E"/>
    <w:rsid w:val="00FE4F91"/>
    <w:rsid w:val="00FF3CF0"/>
    <w:rsid w:val="00FF5215"/>
    <w:rsid w:val="01383C5D"/>
    <w:rsid w:val="018636D6"/>
    <w:rsid w:val="01C96E11"/>
    <w:rsid w:val="0200594F"/>
    <w:rsid w:val="022978B3"/>
    <w:rsid w:val="029342B1"/>
    <w:rsid w:val="03EF1C39"/>
    <w:rsid w:val="04022DC6"/>
    <w:rsid w:val="04046D9B"/>
    <w:rsid w:val="04246F2A"/>
    <w:rsid w:val="04565DD8"/>
    <w:rsid w:val="046F7411"/>
    <w:rsid w:val="04A004D7"/>
    <w:rsid w:val="04A7435F"/>
    <w:rsid w:val="054653A1"/>
    <w:rsid w:val="063764FA"/>
    <w:rsid w:val="0704099C"/>
    <w:rsid w:val="077B2A6F"/>
    <w:rsid w:val="079E33DC"/>
    <w:rsid w:val="07AE5187"/>
    <w:rsid w:val="07BA3676"/>
    <w:rsid w:val="08CF4BDB"/>
    <w:rsid w:val="08DD691A"/>
    <w:rsid w:val="09030DA6"/>
    <w:rsid w:val="09716BB2"/>
    <w:rsid w:val="099058B5"/>
    <w:rsid w:val="099864D9"/>
    <w:rsid w:val="09C43D36"/>
    <w:rsid w:val="09EE4224"/>
    <w:rsid w:val="0A135118"/>
    <w:rsid w:val="0A7B2343"/>
    <w:rsid w:val="0AA50D77"/>
    <w:rsid w:val="0AD4001C"/>
    <w:rsid w:val="0AFE3D7C"/>
    <w:rsid w:val="0B0C5286"/>
    <w:rsid w:val="0B1837B3"/>
    <w:rsid w:val="0BAB0DD5"/>
    <w:rsid w:val="0C6A1169"/>
    <w:rsid w:val="0CAC1D0E"/>
    <w:rsid w:val="0CBC79F6"/>
    <w:rsid w:val="0CE04E8C"/>
    <w:rsid w:val="0D2D18A9"/>
    <w:rsid w:val="0D2D351B"/>
    <w:rsid w:val="0D6143A4"/>
    <w:rsid w:val="0D6F52FE"/>
    <w:rsid w:val="0D7563CF"/>
    <w:rsid w:val="0DFA1EA1"/>
    <w:rsid w:val="0E2B7009"/>
    <w:rsid w:val="0E3B3FAE"/>
    <w:rsid w:val="0EB40D1C"/>
    <w:rsid w:val="0F3452C5"/>
    <w:rsid w:val="0F4C3826"/>
    <w:rsid w:val="10915C2C"/>
    <w:rsid w:val="11137C5C"/>
    <w:rsid w:val="11393C06"/>
    <w:rsid w:val="113A57FB"/>
    <w:rsid w:val="115D5AC3"/>
    <w:rsid w:val="11B03573"/>
    <w:rsid w:val="120B4EC6"/>
    <w:rsid w:val="120E781A"/>
    <w:rsid w:val="1212277B"/>
    <w:rsid w:val="122960CA"/>
    <w:rsid w:val="12335214"/>
    <w:rsid w:val="12DD7FA9"/>
    <w:rsid w:val="1350319D"/>
    <w:rsid w:val="138E6B9F"/>
    <w:rsid w:val="1414029B"/>
    <w:rsid w:val="14202F83"/>
    <w:rsid w:val="14515AB2"/>
    <w:rsid w:val="145A29E8"/>
    <w:rsid w:val="14C4014D"/>
    <w:rsid w:val="14E9294F"/>
    <w:rsid w:val="14E93F5E"/>
    <w:rsid w:val="15091064"/>
    <w:rsid w:val="152D543E"/>
    <w:rsid w:val="162E3427"/>
    <w:rsid w:val="166F2693"/>
    <w:rsid w:val="17837D9D"/>
    <w:rsid w:val="17DF49A0"/>
    <w:rsid w:val="180849DE"/>
    <w:rsid w:val="188B78C7"/>
    <w:rsid w:val="194F45DE"/>
    <w:rsid w:val="19F811CC"/>
    <w:rsid w:val="1A337FAF"/>
    <w:rsid w:val="1A5E5C62"/>
    <w:rsid w:val="1A812557"/>
    <w:rsid w:val="1AC6754A"/>
    <w:rsid w:val="1B366468"/>
    <w:rsid w:val="1B5F3B67"/>
    <w:rsid w:val="1B630455"/>
    <w:rsid w:val="1B87333C"/>
    <w:rsid w:val="1B956608"/>
    <w:rsid w:val="1C6F2F46"/>
    <w:rsid w:val="1C74135E"/>
    <w:rsid w:val="1C7F7BB7"/>
    <w:rsid w:val="1C841F5A"/>
    <w:rsid w:val="1CFC4553"/>
    <w:rsid w:val="1D2E2D32"/>
    <w:rsid w:val="1DBD55A6"/>
    <w:rsid w:val="1DC740C3"/>
    <w:rsid w:val="1DD7323E"/>
    <w:rsid w:val="1E050383"/>
    <w:rsid w:val="1EB4442A"/>
    <w:rsid w:val="1FE715E4"/>
    <w:rsid w:val="200A2BDA"/>
    <w:rsid w:val="208312DA"/>
    <w:rsid w:val="20864EF5"/>
    <w:rsid w:val="20E7446C"/>
    <w:rsid w:val="21496CFE"/>
    <w:rsid w:val="21745E0A"/>
    <w:rsid w:val="219F661B"/>
    <w:rsid w:val="21C942AD"/>
    <w:rsid w:val="222201F7"/>
    <w:rsid w:val="226F2DE9"/>
    <w:rsid w:val="227C2080"/>
    <w:rsid w:val="22A42AF1"/>
    <w:rsid w:val="22B70B0E"/>
    <w:rsid w:val="23075ADD"/>
    <w:rsid w:val="23504FFA"/>
    <w:rsid w:val="236F4B40"/>
    <w:rsid w:val="23FA7D6F"/>
    <w:rsid w:val="23FF20F4"/>
    <w:rsid w:val="242D6BD9"/>
    <w:rsid w:val="242E481E"/>
    <w:rsid w:val="251F52D6"/>
    <w:rsid w:val="255F1DE1"/>
    <w:rsid w:val="25706BDF"/>
    <w:rsid w:val="25784F56"/>
    <w:rsid w:val="25883CCE"/>
    <w:rsid w:val="26230974"/>
    <w:rsid w:val="26483562"/>
    <w:rsid w:val="26543B20"/>
    <w:rsid w:val="271F7E89"/>
    <w:rsid w:val="279A3E73"/>
    <w:rsid w:val="27DA7516"/>
    <w:rsid w:val="27F73393"/>
    <w:rsid w:val="28067FD7"/>
    <w:rsid w:val="287608BC"/>
    <w:rsid w:val="28A02198"/>
    <w:rsid w:val="29013FA8"/>
    <w:rsid w:val="298228B8"/>
    <w:rsid w:val="2A3F568A"/>
    <w:rsid w:val="2A48360C"/>
    <w:rsid w:val="2A613585"/>
    <w:rsid w:val="2AD4010E"/>
    <w:rsid w:val="2AFD0F77"/>
    <w:rsid w:val="2B1F29E2"/>
    <w:rsid w:val="2B8F3095"/>
    <w:rsid w:val="2BD70ED0"/>
    <w:rsid w:val="2C0F3F88"/>
    <w:rsid w:val="2C2117C2"/>
    <w:rsid w:val="2C57142F"/>
    <w:rsid w:val="2C7034BD"/>
    <w:rsid w:val="2C8C3110"/>
    <w:rsid w:val="2D633A2F"/>
    <w:rsid w:val="2D9722CE"/>
    <w:rsid w:val="2E043220"/>
    <w:rsid w:val="2E2432AA"/>
    <w:rsid w:val="2E294DE0"/>
    <w:rsid w:val="2E3152E3"/>
    <w:rsid w:val="2E873E0D"/>
    <w:rsid w:val="2E8D67D9"/>
    <w:rsid w:val="2F794F92"/>
    <w:rsid w:val="2FD62AB5"/>
    <w:rsid w:val="30081E88"/>
    <w:rsid w:val="30341A63"/>
    <w:rsid w:val="30597BA4"/>
    <w:rsid w:val="30AA66FB"/>
    <w:rsid w:val="30AD4922"/>
    <w:rsid w:val="30D74EF6"/>
    <w:rsid w:val="30D83A85"/>
    <w:rsid w:val="310F4AE4"/>
    <w:rsid w:val="31437DD9"/>
    <w:rsid w:val="31E9056C"/>
    <w:rsid w:val="32393877"/>
    <w:rsid w:val="327F4625"/>
    <w:rsid w:val="333D33E0"/>
    <w:rsid w:val="337837AA"/>
    <w:rsid w:val="33D33A57"/>
    <w:rsid w:val="33F8251C"/>
    <w:rsid w:val="341D19C5"/>
    <w:rsid w:val="34D54B36"/>
    <w:rsid w:val="35460264"/>
    <w:rsid w:val="35617AF3"/>
    <w:rsid w:val="359F3D47"/>
    <w:rsid w:val="361B7E04"/>
    <w:rsid w:val="36244542"/>
    <w:rsid w:val="36C535B8"/>
    <w:rsid w:val="374155C1"/>
    <w:rsid w:val="37427DE6"/>
    <w:rsid w:val="374C7B24"/>
    <w:rsid w:val="3772126C"/>
    <w:rsid w:val="3772520A"/>
    <w:rsid w:val="377B0E9B"/>
    <w:rsid w:val="37886732"/>
    <w:rsid w:val="37B65E19"/>
    <w:rsid w:val="37C00F4A"/>
    <w:rsid w:val="37C92932"/>
    <w:rsid w:val="37F9668C"/>
    <w:rsid w:val="38FA0288"/>
    <w:rsid w:val="39870E42"/>
    <w:rsid w:val="3A0431EA"/>
    <w:rsid w:val="3A0A3E39"/>
    <w:rsid w:val="3A3B46C4"/>
    <w:rsid w:val="3A4E708E"/>
    <w:rsid w:val="3AAD586A"/>
    <w:rsid w:val="3B272BB1"/>
    <w:rsid w:val="3B7E2FD0"/>
    <w:rsid w:val="3B9D4C04"/>
    <w:rsid w:val="3C033F59"/>
    <w:rsid w:val="3C1D7811"/>
    <w:rsid w:val="3C3E1DE9"/>
    <w:rsid w:val="3C675C6B"/>
    <w:rsid w:val="3CAE02D5"/>
    <w:rsid w:val="3CD54EEA"/>
    <w:rsid w:val="3D656E71"/>
    <w:rsid w:val="3D6A7B8D"/>
    <w:rsid w:val="3DA14620"/>
    <w:rsid w:val="3DE57B48"/>
    <w:rsid w:val="3E4C48D5"/>
    <w:rsid w:val="3F3E52C2"/>
    <w:rsid w:val="3F3F1BB9"/>
    <w:rsid w:val="40387460"/>
    <w:rsid w:val="407033BB"/>
    <w:rsid w:val="40C57DFE"/>
    <w:rsid w:val="415945D5"/>
    <w:rsid w:val="419D1754"/>
    <w:rsid w:val="41A02B45"/>
    <w:rsid w:val="41F51E95"/>
    <w:rsid w:val="42854084"/>
    <w:rsid w:val="42922682"/>
    <w:rsid w:val="4295327D"/>
    <w:rsid w:val="42E669A8"/>
    <w:rsid w:val="42FB4FCF"/>
    <w:rsid w:val="43431A46"/>
    <w:rsid w:val="43A06548"/>
    <w:rsid w:val="43B822BF"/>
    <w:rsid w:val="43C238BE"/>
    <w:rsid w:val="43D86274"/>
    <w:rsid w:val="442B4513"/>
    <w:rsid w:val="44351CB9"/>
    <w:rsid w:val="443B7089"/>
    <w:rsid w:val="447218AE"/>
    <w:rsid w:val="447A4276"/>
    <w:rsid w:val="4485210D"/>
    <w:rsid w:val="44D63CED"/>
    <w:rsid w:val="45B80EC5"/>
    <w:rsid w:val="45BB7DA4"/>
    <w:rsid w:val="45C46190"/>
    <w:rsid w:val="45E662CA"/>
    <w:rsid w:val="45EE5AA2"/>
    <w:rsid w:val="45F45A39"/>
    <w:rsid w:val="462D07C4"/>
    <w:rsid w:val="46D435AF"/>
    <w:rsid w:val="473B494F"/>
    <w:rsid w:val="47465055"/>
    <w:rsid w:val="478C470B"/>
    <w:rsid w:val="47CE5B1B"/>
    <w:rsid w:val="47E51E26"/>
    <w:rsid w:val="47F673F7"/>
    <w:rsid w:val="48165A73"/>
    <w:rsid w:val="48430219"/>
    <w:rsid w:val="486117A8"/>
    <w:rsid w:val="486334BA"/>
    <w:rsid w:val="48EC7389"/>
    <w:rsid w:val="4934070E"/>
    <w:rsid w:val="49911084"/>
    <w:rsid w:val="49C32C80"/>
    <w:rsid w:val="49CA509E"/>
    <w:rsid w:val="4A4E0C04"/>
    <w:rsid w:val="4A6B5CDA"/>
    <w:rsid w:val="4A754999"/>
    <w:rsid w:val="4B3D65BF"/>
    <w:rsid w:val="4B6C0F60"/>
    <w:rsid w:val="4B7F1238"/>
    <w:rsid w:val="4C511FD1"/>
    <w:rsid w:val="4C85116A"/>
    <w:rsid w:val="4C8F5DB7"/>
    <w:rsid w:val="4CA43CDC"/>
    <w:rsid w:val="4CCF6BAC"/>
    <w:rsid w:val="4D331182"/>
    <w:rsid w:val="4D456ACF"/>
    <w:rsid w:val="4D53086D"/>
    <w:rsid w:val="4D63571E"/>
    <w:rsid w:val="4D680EB0"/>
    <w:rsid w:val="4E3B3E99"/>
    <w:rsid w:val="4E9C29AD"/>
    <w:rsid w:val="4EDC7894"/>
    <w:rsid w:val="4F1A5B58"/>
    <w:rsid w:val="4F5439FB"/>
    <w:rsid w:val="4F5D2A61"/>
    <w:rsid w:val="4F865CCF"/>
    <w:rsid w:val="4F9273B7"/>
    <w:rsid w:val="4FF30A4A"/>
    <w:rsid w:val="500800C7"/>
    <w:rsid w:val="50AF3314"/>
    <w:rsid w:val="50B77BED"/>
    <w:rsid w:val="50BB6A75"/>
    <w:rsid w:val="50D43D1B"/>
    <w:rsid w:val="50EC59E4"/>
    <w:rsid w:val="5105364D"/>
    <w:rsid w:val="513C5724"/>
    <w:rsid w:val="51955735"/>
    <w:rsid w:val="51D34F29"/>
    <w:rsid w:val="51E1623D"/>
    <w:rsid w:val="52062580"/>
    <w:rsid w:val="52503CF9"/>
    <w:rsid w:val="52FC32D5"/>
    <w:rsid w:val="5350541D"/>
    <w:rsid w:val="53633B12"/>
    <w:rsid w:val="53A47CBB"/>
    <w:rsid w:val="53EE78F3"/>
    <w:rsid w:val="541F368E"/>
    <w:rsid w:val="54391FBB"/>
    <w:rsid w:val="544F10B9"/>
    <w:rsid w:val="545A25D8"/>
    <w:rsid w:val="54DB51F9"/>
    <w:rsid w:val="55A85DA5"/>
    <w:rsid w:val="55E500A1"/>
    <w:rsid w:val="564D54DB"/>
    <w:rsid w:val="567E2422"/>
    <w:rsid w:val="56AC4273"/>
    <w:rsid w:val="56BC6BD3"/>
    <w:rsid w:val="56F11BE8"/>
    <w:rsid w:val="57443017"/>
    <w:rsid w:val="57650252"/>
    <w:rsid w:val="579F3600"/>
    <w:rsid w:val="57C01A0D"/>
    <w:rsid w:val="57C1218C"/>
    <w:rsid w:val="5828379D"/>
    <w:rsid w:val="587B2B4D"/>
    <w:rsid w:val="58D67544"/>
    <w:rsid w:val="59212BE4"/>
    <w:rsid w:val="59314A94"/>
    <w:rsid w:val="599C1DD8"/>
    <w:rsid w:val="59AC361D"/>
    <w:rsid w:val="59B505ED"/>
    <w:rsid w:val="5AB36C32"/>
    <w:rsid w:val="5AC65423"/>
    <w:rsid w:val="5AD433DD"/>
    <w:rsid w:val="5AEE69E8"/>
    <w:rsid w:val="5B9C428D"/>
    <w:rsid w:val="5BCF2157"/>
    <w:rsid w:val="5C0C417C"/>
    <w:rsid w:val="5CA53545"/>
    <w:rsid w:val="5D5209D0"/>
    <w:rsid w:val="5DA52219"/>
    <w:rsid w:val="5DC10261"/>
    <w:rsid w:val="5DEA5109"/>
    <w:rsid w:val="5E027223"/>
    <w:rsid w:val="5EF52728"/>
    <w:rsid w:val="5F744F7D"/>
    <w:rsid w:val="5F7B1B9D"/>
    <w:rsid w:val="5FCC2194"/>
    <w:rsid w:val="5FFE68E7"/>
    <w:rsid w:val="61230E5B"/>
    <w:rsid w:val="61497AC4"/>
    <w:rsid w:val="616162E4"/>
    <w:rsid w:val="61994DD0"/>
    <w:rsid w:val="61A46899"/>
    <w:rsid w:val="61BA410B"/>
    <w:rsid w:val="61EB32AA"/>
    <w:rsid w:val="61FC07BC"/>
    <w:rsid w:val="627C6EEA"/>
    <w:rsid w:val="62A175C4"/>
    <w:rsid w:val="62B107B6"/>
    <w:rsid w:val="633F6C11"/>
    <w:rsid w:val="638236C9"/>
    <w:rsid w:val="645223D0"/>
    <w:rsid w:val="647230E4"/>
    <w:rsid w:val="64863F8F"/>
    <w:rsid w:val="64D64A49"/>
    <w:rsid w:val="64E31F41"/>
    <w:rsid w:val="65515547"/>
    <w:rsid w:val="65FA2FD5"/>
    <w:rsid w:val="668F002D"/>
    <w:rsid w:val="66B61059"/>
    <w:rsid w:val="66BD39B4"/>
    <w:rsid w:val="66C75CEC"/>
    <w:rsid w:val="66E747C3"/>
    <w:rsid w:val="671F48D9"/>
    <w:rsid w:val="6725544C"/>
    <w:rsid w:val="67641CC1"/>
    <w:rsid w:val="68434CBD"/>
    <w:rsid w:val="68870938"/>
    <w:rsid w:val="68A722B1"/>
    <w:rsid w:val="68DF4346"/>
    <w:rsid w:val="696C6CB2"/>
    <w:rsid w:val="69A4736B"/>
    <w:rsid w:val="69CE1061"/>
    <w:rsid w:val="6A2D43CB"/>
    <w:rsid w:val="6A60146D"/>
    <w:rsid w:val="6ACF733B"/>
    <w:rsid w:val="6AF97F82"/>
    <w:rsid w:val="6B0E38FD"/>
    <w:rsid w:val="6B1E2D85"/>
    <w:rsid w:val="6BE62939"/>
    <w:rsid w:val="6CA8442D"/>
    <w:rsid w:val="6D9F0C88"/>
    <w:rsid w:val="6DC02A45"/>
    <w:rsid w:val="6DDA5109"/>
    <w:rsid w:val="6E3B5B68"/>
    <w:rsid w:val="6E3D1055"/>
    <w:rsid w:val="6E7B52D8"/>
    <w:rsid w:val="6EF507BD"/>
    <w:rsid w:val="6EF800E0"/>
    <w:rsid w:val="6F140D18"/>
    <w:rsid w:val="6F1F7613"/>
    <w:rsid w:val="6F665AD9"/>
    <w:rsid w:val="6FB138E4"/>
    <w:rsid w:val="70286576"/>
    <w:rsid w:val="70996349"/>
    <w:rsid w:val="717111F8"/>
    <w:rsid w:val="71A71A51"/>
    <w:rsid w:val="71C60F92"/>
    <w:rsid w:val="71C936B1"/>
    <w:rsid w:val="722E288F"/>
    <w:rsid w:val="727865ED"/>
    <w:rsid w:val="72B676F6"/>
    <w:rsid w:val="72C21BDB"/>
    <w:rsid w:val="72C567A2"/>
    <w:rsid w:val="72D91139"/>
    <w:rsid w:val="730542BB"/>
    <w:rsid w:val="732C60FF"/>
    <w:rsid w:val="738A7DDC"/>
    <w:rsid w:val="73D93839"/>
    <w:rsid w:val="740D2B64"/>
    <w:rsid w:val="74C93F64"/>
    <w:rsid w:val="751D4D75"/>
    <w:rsid w:val="757A4701"/>
    <w:rsid w:val="759945FE"/>
    <w:rsid w:val="75C17734"/>
    <w:rsid w:val="75EA2939"/>
    <w:rsid w:val="76120F41"/>
    <w:rsid w:val="76E439D1"/>
    <w:rsid w:val="77A97D48"/>
    <w:rsid w:val="77E85D27"/>
    <w:rsid w:val="78646D10"/>
    <w:rsid w:val="78723462"/>
    <w:rsid w:val="787C2015"/>
    <w:rsid w:val="78AC2EFA"/>
    <w:rsid w:val="78E73D59"/>
    <w:rsid w:val="79B22189"/>
    <w:rsid w:val="79CE25D6"/>
    <w:rsid w:val="79EA526C"/>
    <w:rsid w:val="79EB6111"/>
    <w:rsid w:val="79FB422F"/>
    <w:rsid w:val="7A4D0EBE"/>
    <w:rsid w:val="7A875E9A"/>
    <w:rsid w:val="7AC82E26"/>
    <w:rsid w:val="7AF009D8"/>
    <w:rsid w:val="7B4E1AE7"/>
    <w:rsid w:val="7B4E33E7"/>
    <w:rsid w:val="7BAF2BE7"/>
    <w:rsid w:val="7C7E0F49"/>
    <w:rsid w:val="7C940D77"/>
    <w:rsid w:val="7D20564A"/>
    <w:rsid w:val="7D5161C9"/>
    <w:rsid w:val="7D802F2F"/>
    <w:rsid w:val="7D8465F9"/>
    <w:rsid w:val="7DC0132E"/>
    <w:rsid w:val="7EDC32F2"/>
    <w:rsid w:val="7FD77B7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宋体" w:hAnsi="Times New Roman" w:eastAsia="宋体" w:cs="宋体"/>
      <w:sz w:val="24"/>
      <w:szCs w:val="24"/>
      <w:lang w:val="en-US" w:eastAsia="zh-CN" w:bidi="ar-SA"/>
    </w:rPr>
  </w:style>
  <w:style w:type="paragraph" w:styleId="4">
    <w:name w:val="heading 1"/>
    <w:basedOn w:val="1"/>
    <w:next w:val="1"/>
    <w:link w:val="27"/>
    <w:qFormat/>
    <w:uiPriority w:val="1"/>
    <w:pPr>
      <w:spacing w:before="100" w:beforeLines="100" w:after="300" w:afterLines="300"/>
      <w:ind w:left="147"/>
      <w:jc w:val="center"/>
      <w:outlineLvl w:val="0"/>
    </w:pPr>
    <w:rPr>
      <w:rFonts w:ascii="黑体" w:hAnsi="黑体" w:cs="黑体"/>
      <w:b/>
      <w:sz w:val="32"/>
      <w:szCs w:val="74"/>
    </w:rPr>
  </w:style>
  <w:style w:type="paragraph" w:styleId="5">
    <w:name w:val="heading 2"/>
    <w:basedOn w:val="1"/>
    <w:next w:val="1"/>
    <w:link w:val="29"/>
    <w:qFormat/>
    <w:uiPriority w:val="1"/>
    <w:pPr>
      <w:spacing w:before="150" w:beforeLines="150" w:after="50" w:afterLines="50" w:line="360" w:lineRule="auto"/>
      <w:ind w:left="147"/>
      <w:outlineLvl w:val="1"/>
    </w:pPr>
    <w:rPr>
      <w:rFonts w:ascii="黑体" w:hAnsi="黑体" w:cs="黑体"/>
      <w:b/>
      <w:sz w:val="28"/>
      <w:szCs w:val="54"/>
    </w:rPr>
  </w:style>
  <w:style w:type="paragraph" w:styleId="6">
    <w:name w:val="heading 3"/>
    <w:basedOn w:val="1"/>
    <w:next w:val="1"/>
    <w:link w:val="30"/>
    <w:qFormat/>
    <w:uiPriority w:val="1"/>
    <w:pPr>
      <w:jc w:val="center"/>
      <w:outlineLvl w:val="2"/>
    </w:pPr>
    <w:rPr>
      <w:sz w:val="42"/>
      <w:szCs w:val="42"/>
    </w:rPr>
  </w:style>
  <w:style w:type="paragraph" w:styleId="7">
    <w:name w:val="heading 4"/>
    <w:basedOn w:val="1"/>
    <w:next w:val="1"/>
    <w:link w:val="31"/>
    <w:qFormat/>
    <w:uiPriority w:val="1"/>
    <w:pPr>
      <w:ind w:right="1151"/>
      <w:jc w:val="center"/>
      <w:outlineLvl w:val="3"/>
    </w:pPr>
    <w:rPr>
      <w:sz w:val="38"/>
      <w:szCs w:val="38"/>
    </w:rPr>
  </w:style>
  <w:style w:type="paragraph" w:styleId="8">
    <w:name w:val="heading 5"/>
    <w:basedOn w:val="1"/>
    <w:next w:val="1"/>
    <w:link w:val="32"/>
    <w:qFormat/>
    <w:uiPriority w:val="1"/>
    <w:pPr>
      <w:outlineLvl w:val="4"/>
    </w:pPr>
    <w:rPr>
      <w:rFonts w:ascii="黑体" w:eastAsia="黑体" w:cs="黑体"/>
      <w:b/>
      <w:bCs/>
      <w:sz w:val="36"/>
      <w:szCs w:val="36"/>
    </w:rPr>
  </w:style>
  <w:style w:type="paragraph" w:styleId="9">
    <w:name w:val="heading 6"/>
    <w:basedOn w:val="1"/>
    <w:next w:val="1"/>
    <w:link w:val="33"/>
    <w:qFormat/>
    <w:uiPriority w:val="1"/>
    <w:pPr>
      <w:ind w:left="2129" w:right="1895"/>
      <w:jc w:val="center"/>
      <w:outlineLvl w:val="5"/>
    </w:pPr>
    <w:rPr>
      <w:rFonts w:ascii="黑体" w:eastAsia="黑体" w:cs="黑体"/>
      <w:sz w:val="36"/>
      <w:szCs w:val="36"/>
    </w:rPr>
  </w:style>
  <w:style w:type="paragraph" w:styleId="10">
    <w:name w:val="heading 7"/>
    <w:basedOn w:val="1"/>
    <w:next w:val="1"/>
    <w:link w:val="34"/>
    <w:qFormat/>
    <w:uiPriority w:val="1"/>
    <w:pPr>
      <w:ind w:left="-20"/>
      <w:outlineLvl w:val="6"/>
    </w:pPr>
    <w:rPr>
      <w:sz w:val="35"/>
      <w:szCs w:val="35"/>
    </w:rPr>
  </w:style>
  <w:style w:type="paragraph" w:styleId="11">
    <w:name w:val="heading 8"/>
    <w:basedOn w:val="1"/>
    <w:next w:val="1"/>
    <w:link w:val="35"/>
    <w:qFormat/>
    <w:uiPriority w:val="1"/>
    <w:pPr>
      <w:ind w:left="806"/>
      <w:outlineLvl w:val="7"/>
    </w:pPr>
    <w:rPr>
      <w:sz w:val="33"/>
      <w:szCs w:val="33"/>
    </w:rPr>
  </w:style>
  <w:style w:type="paragraph" w:styleId="12">
    <w:name w:val="heading 9"/>
    <w:basedOn w:val="1"/>
    <w:next w:val="1"/>
    <w:link w:val="36"/>
    <w:qFormat/>
    <w:uiPriority w:val="1"/>
    <w:pPr>
      <w:outlineLvl w:val="8"/>
    </w:pPr>
    <w:rPr>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line="360" w:lineRule="atLeast"/>
      <w:ind w:firstLine="420"/>
    </w:pPr>
    <w:rPr>
      <w:szCs w:val="20"/>
    </w:rPr>
  </w:style>
  <w:style w:type="paragraph" w:styleId="13">
    <w:name w:val="annotation text"/>
    <w:basedOn w:val="1"/>
    <w:link w:val="47"/>
    <w:unhideWhenUsed/>
    <w:qFormat/>
    <w:uiPriority w:val="99"/>
  </w:style>
  <w:style w:type="paragraph" w:styleId="14">
    <w:name w:val="Body Text"/>
    <w:basedOn w:val="1"/>
    <w:link w:val="28"/>
    <w:qFormat/>
    <w:uiPriority w:val="1"/>
  </w:style>
  <w:style w:type="paragraph" w:styleId="15">
    <w:name w:val="Balloon Text"/>
    <w:basedOn w:val="1"/>
    <w:link w:val="49"/>
    <w:semiHidden/>
    <w:unhideWhenUsed/>
    <w:qFormat/>
    <w:uiPriority w:val="99"/>
    <w:rPr>
      <w:sz w:val="18"/>
      <w:szCs w:val="18"/>
    </w:rPr>
  </w:style>
  <w:style w:type="paragraph" w:styleId="16">
    <w:name w:val="footer"/>
    <w:basedOn w:val="1"/>
    <w:link w:val="40"/>
    <w:unhideWhenUsed/>
    <w:qFormat/>
    <w:uiPriority w:val="99"/>
    <w:pPr>
      <w:tabs>
        <w:tab w:val="center" w:pos="4153"/>
        <w:tab w:val="right" w:pos="8306"/>
      </w:tabs>
      <w:snapToGrid w:val="0"/>
    </w:pPr>
    <w:rPr>
      <w:sz w:val="18"/>
      <w:szCs w:val="18"/>
    </w:rPr>
  </w:style>
  <w:style w:type="paragraph" w:styleId="17">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semiHidden/>
    <w:unhideWhenUsed/>
    <w:qFormat/>
    <w:uiPriority w:val="39"/>
    <w:pPr>
      <w:ind w:left="420" w:leftChars="200"/>
    </w:pPr>
  </w:style>
  <w:style w:type="paragraph" w:styleId="20">
    <w:name w:val="annotation subject"/>
    <w:basedOn w:val="13"/>
    <w:next w:val="13"/>
    <w:link w:val="48"/>
    <w:semiHidden/>
    <w:unhideWhenUsed/>
    <w:qFormat/>
    <w:uiPriority w:val="99"/>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Emphasis"/>
    <w:basedOn w:val="23"/>
    <w:qFormat/>
    <w:uiPriority w:val="20"/>
    <w:rPr>
      <w:i/>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标题 1 Char"/>
    <w:link w:val="4"/>
    <w:qFormat/>
    <w:uiPriority w:val="9"/>
    <w:rPr>
      <w:rFonts w:ascii="宋体" w:hAnsi="黑体" w:eastAsia="宋体" w:cs="宋体"/>
      <w:b/>
      <w:bCs/>
      <w:kern w:val="44"/>
      <w:sz w:val="32"/>
      <w:szCs w:val="44"/>
    </w:rPr>
  </w:style>
  <w:style w:type="character" w:customStyle="1" w:styleId="28">
    <w:name w:val="正文文本 Char"/>
    <w:link w:val="14"/>
    <w:qFormat/>
    <w:uiPriority w:val="99"/>
    <w:rPr>
      <w:rFonts w:ascii="宋体" w:hAnsi="Times New Roman" w:eastAsia="宋体" w:cs="宋体"/>
      <w:kern w:val="0"/>
      <w:sz w:val="24"/>
      <w:szCs w:val="24"/>
    </w:rPr>
  </w:style>
  <w:style w:type="character" w:customStyle="1" w:styleId="29">
    <w:name w:val="标题 2 Char"/>
    <w:link w:val="5"/>
    <w:semiHidden/>
    <w:qFormat/>
    <w:uiPriority w:val="9"/>
    <w:rPr>
      <w:rFonts w:ascii="等线 Light" w:hAnsi="黑体" w:eastAsia="宋体" w:cs="Times New Roman"/>
      <w:b/>
      <w:bCs/>
      <w:kern w:val="0"/>
      <w:sz w:val="28"/>
      <w:szCs w:val="32"/>
    </w:rPr>
  </w:style>
  <w:style w:type="character" w:customStyle="1" w:styleId="30">
    <w:name w:val="标题 3 Char"/>
    <w:link w:val="6"/>
    <w:semiHidden/>
    <w:qFormat/>
    <w:uiPriority w:val="9"/>
    <w:rPr>
      <w:rFonts w:ascii="宋体" w:hAnsi="Times New Roman" w:eastAsia="宋体" w:cs="宋体"/>
      <w:b/>
      <w:bCs/>
      <w:kern w:val="0"/>
      <w:sz w:val="32"/>
      <w:szCs w:val="32"/>
    </w:rPr>
  </w:style>
  <w:style w:type="character" w:customStyle="1" w:styleId="31">
    <w:name w:val="标题 4 Char"/>
    <w:link w:val="7"/>
    <w:semiHidden/>
    <w:qFormat/>
    <w:uiPriority w:val="9"/>
    <w:rPr>
      <w:rFonts w:ascii="等线 Light" w:hAnsi="等线 Light" w:eastAsia="等线 Light" w:cs="Times New Roman"/>
      <w:b/>
      <w:bCs/>
      <w:kern w:val="0"/>
      <w:sz w:val="28"/>
      <w:szCs w:val="28"/>
    </w:rPr>
  </w:style>
  <w:style w:type="character" w:customStyle="1" w:styleId="32">
    <w:name w:val="标题 5 Char"/>
    <w:link w:val="8"/>
    <w:semiHidden/>
    <w:qFormat/>
    <w:uiPriority w:val="9"/>
    <w:rPr>
      <w:rFonts w:ascii="宋体" w:hAnsi="Times New Roman" w:eastAsia="宋体" w:cs="宋体"/>
      <w:b/>
      <w:bCs/>
      <w:kern w:val="0"/>
      <w:sz w:val="28"/>
      <w:szCs w:val="28"/>
    </w:rPr>
  </w:style>
  <w:style w:type="character" w:customStyle="1" w:styleId="33">
    <w:name w:val="标题 6 Char"/>
    <w:link w:val="9"/>
    <w:semiHidden/>
    <w:qFormat/>
    <w:uiPriority w:val="9"/>
    <w:rPr>
      <w:rFonts w:ascii="等线 Light" w:hAnsi="等线 Light" w:eastAsia="等线 Light" w:cs="Times New Roman"/>
      <w:b/>
      <w:bCs/>
      <w:kern w:val="0"/>
      <w:sz w:val="24"/>
      <w:szCs w:val="24"/>
    </w:rPr>
  </w:style>
  <w:style w:type="character" w:customStyle="1" w:styleId="34">
    <w:name w:val="标题 7 Char"/>
    <w:link w:val="10"/>
    <w:semiHidden/>
    <w:qFormat/>
    <w:uiPriority w:val="9"/>
    <w:rPr>
      <w:rFonts w:ascii="宋体" w:hAnsi="Times New Roman" w:eastAsia="宋体" w:cs="宋体"/>
      <w:b/>
      <w:bCs/>
      <w:kern w:val="0"/>
      <w:sz w:val="24"/>
      <w:szCs w:val="24"/>
    </w:rPr>
  </w:style>
  <w:style w:type="character" w:customStyle="1" w:styleId="35">
    <w:name w:val="标题 8 Char"/>
    <w:link w:val="11"/>
    <w:semiHidden/>
    <w:qFormat/>
    <w:uiPriority w:val="9"/>
    <w:rPr>
      <w:rFonts w:ascii="等线 Light" w:hAnsi="等线 Light" w:eastAsia="等线 Light" w:cs="Times New Roman"/>
      <w:kern w:val="0"/>
      <w:sz w:val="24"/>
      <w:szCs w:val="24"/>
    </w:rPr>
  </w:style>
  <w:style w:type="character" w:customStyle="1" w:styleId="36">
    <w:name w:val="标题 9 Char"/>
    <w:link w:val="12"/>
    <w:semiHidden/>
    <w:qFormat/>
    <w:uiPriority w:val="9"/>
    <w:rPr>
      <w:rFonts w:ascii="等线 Light" w:hAnsi="等线 Light" w:eastAsia="等线 Light" w:cs="Times New Roman"/>
      <w:kern w:val="0"/>
      <w:szCs w:val="21"/>
    </w:rPr>
  </w:style>
  <w:style w:type="paragraph" w:styleId="37">
    <w:name w:val="List Paragraph"/>
    <w:basedOn w:val="1"/>
    <w:qFormat/>
    <w:uiPriority w:val="1"/>
    <w:pPr>
      <w:spacing w:before="135"/>
      <w:ind w:left="1104" w:hanging="480"/>
    </w:pPr>
  </w:style>
  <w:style w:type="paragraph" w:customStyle="1" w:styleId="38">
    <w:name w:val="Table Paragraph"/>
    <w:basedOn w:val="1"/>
    <w:qFormat/>
    <w:uiPriority w:val="1"/>
    <w:pPr>
      <w:jc w:val="center"/>
    </w:pPr>
  </w:style>
  <w:style w:type="character" w:customStyle="1" w:styleId="39">
    <w:name w:val="页眉 Char"/>
    <w:basedOn w:val="23"/>
    <w:link w:val="17"/>
    <w:qFormat/>
    <w:uiPriority w:val="99"/>
    <w:rPr>
      <w:rFonts w:ascii="宋体" w:hAnsi="Times New Roman" w:eastAsia="宋体" w:cs="宋体"/>
      <w:sz w:val="18"/>
      <w:szCs w:val="18"/>
    </w:rPr>
  </w:style>
  <w:style w:type="character" w:customStyle="1" w:styleId="40">
    <w:name w:val="页脚 Char"/>
    <w:basedOn w:val="23"/>
    <w:link w:val="16"/>
    <w:qFormat/>
    <w:uiPriority w:val="99"/>
    <w:rPr>
      <w:rFonts w:ascii="宋体" w:hAnsi="Times New Roman" w:eastAsia="宋体" w:cs="宋体"/>
      <w:sz w:val="18"/>
      <w:szCs w:val="18"/>
    </w:rPr>
  </w:style>
  <w:style w:type="character" w:customStyle="1" w:styleId="41">
    <w:name w:val="font31"/>
    <w:qFormat/>
    <w:uiPriority w:val="0"/>
    <w:rPr>
      <w:rFonts w:ascii="微软雅黑" w:hAnsi="微软雅黑" w:eastAsia="微软雅黑"/>
      <w:color w:val="000000"/>
      <w:sz w:val="36"/>
      <w:u w:val="none"/>
    </w:rPr>
  </w:style>
  <w:style w:type="character" w:customStyle="1" w:styleId="42">
    <w:name w:val="font01"/>
    <w:qFormat/>
    <w:uiPriority w:val="0"/>
    <w:rPr>
      <w:rFonts w:ascii="宋体" w:hAnsi="宋体" w:eastAsia="宋体"/>
      <w:color w:val="000000"/>
      <w:sz w:val="22"/>
      <w:u w:val="none"/>
    </w:rPr>
  </w:style>
  <w:style w:type="paragraph" w:customStyle="1" w:styleId="43">
    <w:name w:val="WPSOffice手动目录 2"/>
    <w:qFormat/>
    <w:uiPriority w:val="0"/>
    <w:pPr>
      <w:ind w:left="200" w:leftChars="200"/>
    </w:pPr>
    <w:rPr>
      <w:rFonts w:ascii="方正仿宋_GBK" w:hAnsi="Times New Roman" w:eastAsia="方正仿宋_GBK" w:cs="Times New Roman"/>
      <w:lang w:val="en-US" w:eastAsia="zh-CN" w:bidi="ar-SA"/>
    </w:rPr>
  </w:style>
  <w:style w:type="paragraph" w:customStyle="1" w:styleId="44">
    <w:name w:val="WPSOffice手动目录 1"/>
    <w:qFormat/>
    <w:uiPriority w:val="0"/>
    <w:rPr>
      <w:rFonts w:ascii="方正仿宋_GBK" w:hAnsi="Times New Roman" w:eastAsia="方正仿宋_GBK" w:cs="Times New Roman"/>
      <w:lang w:val="en-US" w:eastAsia="zh-CN" w:bidi="ar-SA"/>
    </w:rPr>
  </w:style>
  <w:style w:type="character" w:customStyle="1" w:styleId="45">
    <w:name w:val="font21"/>
    <w:basedOn w:val="23"/>
    <w:qFormat/>
    <w:uiPriority w:val="0"/>
    <w:rPr>
      <w:rFonts w:hint="eastAsia" w:ascii="宋体" w:hAnsi="宋体" w:eastAsia="宋体" w:cs="宋体"/>
      <w:color w:val="FF0000"/>
      <w:sz w:val="18"/>
      <w:szCs w:val="18"/>
      <w:u w:val="none"/>
    </w:rPr>
  </w:style>
  <w:style w:type="character" w:customStyle="1" w:styleId="46">
    <w:name w:val="font11"/>
    <w:basedOn w:val="23"/>
    <w:qFormat/>
    <w:uiPriority w:val="0"/>
    <w:rPr>
      <w:rFonts w:ascii="Arial" w:hAnsi="Arial" w:cs="Arial"/>
      <w:color w:val="000000"/>
      <w:sz w:val="20"/>
      <w:szCs w:val="20"/>
      <w:u w:val="none"/>
    </w:rPr>
  </w:style>
  <w:style w:type="character" w:customStyle="1" w:styleId="47">
    <w:name w:val="批注文字 Char"/>
    <w:basedOn w:val="23"/>
    <w:link w:val="13"/>
    <w:qFormat/>
    <w:uiPriority w:val="99"/>
    <w:rPr>
      <w:rFonts w:ascii="宋体" w:cs="宋体"/>
      <w:sz w:val="24"/>
      <w:szCs w:val="24"/>
    </w:rPr>
  </w:style>
  <w:style w:type="character" w:customStyle="1" w:styleId="48">
    <w:name w:val="批注主题 Char"/>
    <w:basedOn w:val="47"/>
    <w:link w:val="20"/>
    <w:semiHidden/>
    <w:qFormat/>
    <w:uiPriority w:val="99"/>
    <w:rPr>
      <w:rFonts w:ascii="宋体" w:cs="宋体"/>
      <w:b/>
      <w:bCs/>
      <w:sz w:val="24"/>
      <w:szCs w:val="24"/>
    </w:rPr>
  </w:style>
  <w:style w:type="character" w:customStyle="1" w:styleId="49">
    <w:name w:val="批注框文本 Char"/>
    <w:basedOn w:val="23"/>
    <w:link w:val="15"/>
    <w:semiHidden/>
    <w:qFormat/>
    <w:uiPriority w:val="99"/>
    <w:rPr>
      <w:rFonts w:asci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22806;&#37096;&#25991;&#20214;\&#27704;&#32418;\&#39321;&#24052;&#25289;&#19971;&#28246;&#39118;&#26223;&#21517;&#32988;&#21306;&#25991;&#2641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0482DF-1579-4D18-B44D-3F905EFA6FFE}">
  <ds:schemaRefs/>
</ds:datastoreItem>
</file>

<file path=docProps/app.xml><?xml version="1.0" encoding="utf-8"?>
<Properties xmlns="http://schemas.openxmlformats.org/officeDocument/2006/extended-properties" xmlns:vt="http://schemas.openxmlformats.org/officeDocument/2006/docPropsVTypes">
  <Template>香巴拉七湖风景名胜区文本</Template>
  <Pages>31</Pages>
  <Words>16736</Words>
  <Characters>18358</Characters>
  <Lines>153</Lines>
  <Paragraphs>43</Paragraphs>
  <TotalTime>13</TotalTime>
  <ScaleCrop>false</ScaleCrop>
  <LinksUpToDate>false</LinksUpToDate>
  <CharactersWithSpaces>19475</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2023-11-01T11:06:00Z</dcterms:created>
  <dc:creator>LENOVO</dc:creator>
  <cp:lastModifiedBy>银尧</cp:lastModifiedBy>
  <dcterms:modified xsi:type="dcterms:W3CDTF">2023-11-25T12:52:24Z</dcterms:modified>
  <dc:title>龙门山风景名胜区总体规划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KSOProductBuildVer">
    <vt:lpwstr>2052-11.1.0.10116</vt:lpwstr>
  </property>
  <property fmtid="{D5CDD505-2E9C-101B-9397-08002B2CF9AE}" pid="4" name="ICV">
    <vt:lpwstr>6AC6D478F7EA43C596F722B676BFDE93_13</vt:lpwstr>
  </property>
</Properties>
</file>