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博美乡人民政府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3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2019年，我乡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TW"/>
        </w:rPr>
        <w:t>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县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TW"/>
        </w:rPr>
        <w:t>委、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县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TW"/>
        </w:rPr>
        <w:t>政府的领导下，严格按照政务公开工作要点，细化信息公开工作任务，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坚持以公开为常态、不公开为例外，推进行政决策公开、执行公开、管理公开、服务公开和结果公开。进一步加强组织领导，完善体制机制，突出重点，狠抓落实，政府信息公开范围和渠道不断拓展，公开内容不断丰富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TW"/>
        </w:rPr>
        <w:t>充分利用微信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公众号的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TW"/>
        </w:rPr>
        <w:t>形式进行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政务信息公开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TW"/>
        </w:rPr>
        <w:t>，增强公开实效，形成全方位、多层次、广覆盖的信息公开体系，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保障了人民群众的知情权、参与权和监督权。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二、主动公开政府信息情况</w:t>
      </w:r>
    </w:p>
    <w:tbl>
      <w:tblPr>
        <w:tblStyle w:val="4"/>
        <w:tblW w:w="88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6"/>
        <w:gridCol w:w="2039"/>
        <w:gridCol w:w="7"/>
        <w:gridCol w:w="1375"/>
        <w:gridCol w:w="20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8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3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8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8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8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4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3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2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3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4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78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86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820"/>
        <w:gridCol w:w="1853"/>
        <w:gridCol w:w="879"/>
        <w:gridCol w:w="730"/>
        <w:gridCol w:w="730"/>
        <w:gridCol w:w="783"/>
        <w:gridCol w:w="929"/>
        <w:gridCol w:w="695"/>
        <w:gridCol w:w="6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27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2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27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86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7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327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7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327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327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.属于国家秘密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.其他法律行政法规禁止公开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.危及“三安全一稳定”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.保护第三方合法权益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.属于三类内部事务信息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.属于四类过程性信息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.属于行政执法案卷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.属于行政查询事项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.本机关不掌握相关政府信息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.没有现成信息需要另行制作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.补正后申请内容仍不明确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.信访举报投诉类申请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.重复申请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.要求提供公开出版物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.无正当理由大量反复申请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.要求行政机关确认或重新出具已获取信息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27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78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/>
              <w:ind w:left="0"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五、存在的主要问题及改进情况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b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一是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依法公开意识还不强，工作缺乏刚性规范，存在随意性；</w:t>
      </w:r>
      <w:r>
        <w:rPr>
          <w:rFonts w:hint="eastAsia" w:ascii="仿宋_GB2312" w:hAnsi="宋体" w:eastAsia="仿宋_GB2312" w:cs="仿宋_GB2312"/>
          <w:b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二是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政信息公开的内容还不够全面。下一步，要加强制度落实，使政府信息公开工作程序化、常态化；加大主动公开力度，妥善处理依申请公开，加大电子政务建设力度，及时高效地做好政府信息公开工作。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六、其他需要报告的事项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jc w:val="left"/>
        <w:textAlignment w:val="auto"/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9111A"/>
    <w:rsid w:val="0031360B"/>
    <w:rsid w:val="02E126A6"/>
    <w:rsid w:val="09E9111A"/>
    <w:rsid w:val="401C61C5"/>
    <w:rsid w:val="593C0051"/>
    <w:rsid w:val="7DB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2020-02-05T10:10:00Z</dcterms:created>
  <dc:creator>倾城月落丶帝殇</dc:creator>
  <cp:lastModifiedBy>倾城月落丶帝殇</cp:lastModifiedBy>
  <dcterms:modified xsi:type="dcterms:W3CDTF">2020-02-07T05:26:03Z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