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color w:val="333333"/>
          <w:kern w:val="0"/>
          <w:sz w:val="44"/>
          <w:szCs w:val="44"/>
        </w:rPr>
      </w:pPr>
      <w:r>
        <w:rPr>
          <w:rFonts w:hint="eastAsia" w:ascii="方正小标宋简体" w:hAnsi="方正小标宋简体" w:eastAsia="方正小标宋简体" w:cs="方正小标宋简体"/>
          <w:b/>
          <w:bCs/>
          <w:color w:val="333333"/>
          <w:kern w:val="0"/>
          <w:sz w:val="44"/>
          <w:szCs w:val="44"/>
        </w:rPr>
        <w:t>2018年炉霍县预算公开情况说明</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333333"/>
          <w:kern w:val="0"/>
          <w:sz w:val="32"/>
          <w:szCs w:val="32"/>
        </w:rPr>
      </w:pP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一、2018年炉霍县一般公共预算收入情况说明</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2018年炉霍县</w:t>
      </w:r>
      <w:r>
        <w:rPr>
          <w:rFonts w:hint="eastAsia" w:ascii="仿宋_GB2312" w:hAnsi="仿宋_GB2312" w:eastAsia="仿宋_GB2312" w:cs="仿宋_GB2312"/>
          <w:bCs/>
          <w:color w:val="333333"/>
          <w:kern w:val="0"/>
          <w:sz w:val="32"/>
          <w:szCs w:val="32"/>
        </w:rPr>
        <w:t>一般公共预算收入安排</w:t>
      </w:r>
      <w:r>
        <w:rPr>
          <w:rFonts w:hint="eastAsia" w:ascii="仿宋_GB2312" w:hAnsi="仿宋_GB2312" w:eastAsia="仿宋_GB2312" w:cs="仿宋_GB2312"/>
          <w:color w:val="333333"/>
          <w:kern w:val="0"/>
          <w:sz w:val="32"/>
          <w:szCs w:val="32"/>
        </w:rPr>
        <w:t>5613万元（税收收入3963万元，非税收入1650万元），增长0.6%。</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税收收入具体项目如下：</w:t>
      </w: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增值税1950万元，增长30.96%；企业所得税</w:t>
      </w:r>
      <w:r>
        <w:rPr>
          <w:rFonts w:hint="eastAsia" w:ascii="仿宋_GB2312" w:hAnsi="仿宋_GB2312" w:eastAsia="仿宋_GB2312" w:cs="仿宋_GB2312"/>
          <w:color w:val="000000"/>
          <w:kern w:val="0"/>
          <w:sz w:val="32"/>
          <w:szCs w:val="32"/>
        </w:rPr>
        <w:t>100万元，增长2%；</w:t>
      </w:r>
      <w:r>
        <w:rPr>
          <w:rFonts w:hint="eastAsia" w:ascii="仿宋_GB2312" w:hAnsi="仿宋_GB2312" w:eastAsia="仿宋_GB2312" w:cs="仿宋_GB2312"/>
          <w:color w:val="333333"/>
          <w:kern w:val="0"/>
          <w:sz w:val="32"/>
          <w:szCs w:val="32"/>
        </w:rPr>
        <w:t>个人所得税450万元，</w:t>
      </w:r>
      <w:r>
        <w:rPr>
          <w:rFonts w:hint="eastAsia" w:ascii="仿宋_GB2312" w:hAnsi="仿宋_GB2312" w:eastAsia="仿宋_GB2312" w:cs="仿宋_GB2312"/>
          <w:color w:val="000000"/>
          <w:kern w:val="0"/>
          <w:sz w:val="32"/>
          <w:szCs w:val="32"/>
        </w:rPr>
        <w:t>增长87.5%；</w:t>
      </w:r>
      <w:r>
        <w:rPr>
          <w:rFonts w:hint="eastAsia" w:ascii="仿宋_GB2312" w:hAnsi="仿宋_GB2312" w:eastAsia="仿宋_GB2312" w:cs="仿宋_GB2312"/>
          <w:color w:val="333333"/>
          <w:kern w:val="0"/>
          <w:sz w:val="32"/>
          <w:szCs w:val="32"/>
        </w:rPr>
        <w:t>资源税50万元，</w:t>
      </w:r>
      <w:r>
        <w:rPr>
          <w:rFonts w:hint="eastAsia" w:ascii="仿宋_GB2312" w:hAnsi="仿宋_GB2312" w:eastAsia="仿宋_GB2312" w:cs="仿宋_GB2312"/>
          <w:color w:val="000000"/>
          <w:kern w:val="0"/>
          <w:sz w:val="32"/>
          <w:szCs w:val="32"/>
        </w:rPr>
        <w:t>增长100%；</w:t>
      </w:r>
      <w:r>
        <w:rPr>
          <w:rFonts w:hint="eastAsia" w:ascii="仿宋_GB2312" w:hAnsi="仿宋_GB2312" w:eastAsia="仿宋_GB2312" w:cs="仿宋_GB2312"/>
          <w:color w:val="333333"/>
          <w:kern w:val="0"/>
          <w:sz w:val="32"/>
          <w:szCs w:val="32"/>
        </w:rPr>
        <w:t>城市维护建设税170万元，</w:t>
      </w:r>
      <w:r>
        <w:rPr>
          <w:rFonts w:hint="eastAsia" w:ascii="仿宋_GB2312" w:hAnsi="仿宋_GB2312" w:eastAsia="仿宋_GB2312" w:cs="仿宋_GB2312"/>
          <w:color w:val="000000"/>
          <w:kern w:val="0"/>
          <w:sz w:val="32"/>
          <w:szCs w:val="32"/>
        </w:rPr>
        <w:t>增长15.65%；</w:t>
      </w:r>
      <w:r>
        <w:rPr>
          <w:rFonts w:hint="eastAsia" w:ascii="仿宋_GB2312" w:hAnsi="仿宋_GB2312" w:eastAsia="仿宋_GB2312" w:cs="仿宋_GB2312"/>
          <w:color w:val="333333"/>
          <w:kern w:val="0"/>
          <w:sz w:val="32"/>
          <w:szCs w:val="32"/>
        </w:rPr>
        <w:t>房产税135万元，</w:t>
      </w:r>
      <w:r>
        <w:rPr>
          <w:rFonts w:hint="eastAsia" w:ascii="仿宋_GB2312" w:hAnsi="仿宋_GB2312" w:eastAsia="仿宋_GB2312" w:cs="仿宋_GB2312"/>
          <w:color w:val="000000"/>
          <w:kern w:val="0"/>
          <w:sz w:val="32"/>
          <w:szCs w:val="32"/>
        </w:rPr>
        <w:t>增长19.47%；</w:t>
      </w:r>
      <w:r>
        <w:rPr>
          <w:rFonts w:hint="eastAsia" w:ascii="仿宋_GB2312" w:hAnsi="仿宋_GB2312" w:eastAsia="仿宋_GB2312" w:cs="仿宋_GB2312"/>
          <w:color w:val="333333"/>
          <w:kern w:val="0"/>
          <w:sz w:val="32"/>
          <w:szCs w:val="32"/>
        </w:rPr>
        <w:t>印花税50万元，</w:t>
      </w:r>
      <w:r>
        <w:rPr>
          <w:rFonts w:hint="eastAsia" w:ascii="仿宋_GB2312" w:hAnsi="仿宋_GB2312" w:eastAsia="仿宋_GB2312" w:cs="仿宋_GB2312"/>
          <w:color w:val="000000"/>
          <w:kern w:val="0"/>
          <w:sz w:val="32"/>
          <w:szCs w:val="32"/>
        </w:rPr>
        <w:t>增长2.04%；</w:t>
      </w:r>
      <w:r>
        <w:rPr>
          <w:rFonts w:hint="eastAsia" w:ascii="仿宋_GB2312" w:hAnsi="仿宋_GB2312" w:eastAsia="仿宋_GB2312" w:cs="仿宋_GB2312"/>
          <w:color w:val="333333"/>
          <w:kern w:val="0"/>
          <w:sz w:val="32"/>
          <w:szCs w:val="32"/>
        </w:rPr>
        <w:t>城镇土地使用税20万元，</w:t>
      </w:r>
      <w:r>
        <w:rPr>
          <w:rFonts w:hint="eastAsia" w:ascii="仿宋_GB2312" w:hAnsi="仿宋_GB2312" w:eastAsia="仿宋_GB2312" w:cs="仿宋_GB2312"/>
          <w:color w:val="000000"/>
          <w:kern w:val="0"/>
          <w:sz w:val="32"/>
          <w:szCs w:val="32"/>
        </w:rPr>
        <w:t>与去年持平；</w:t>
      </w:r>
      <w:r>
        <w:rPr>
          <w:rFonts w:hint="eastAsia" w:ascii="仿宋_GB2312" w:hAnsi="仿宋_GB2312" w:eastAsia="仿宋_GB2312" w:cs="仿宋_GB2312"/>
          <w:color w:val="333333"/>
          <w:kern w:val="0"/>
          <w:sz w:val="32"/>
          <w:szCs w:val="32"/>
        </w:rPr>
        <w:t>车船税320万元，</w:t>
      </w:r>
      <w:r>
        <w:rPr>
          <w:rFonts w:hint="eastAsia" w:ascii="仿宋_GB2312" w:hAnsi="仿宋_GB2312" w:eastAsia="仿宋_GB2312" w:cs="仿宋_GB2312"/>
          <w:color w:val="000000"/>
          <w:kern w:val="0"/>
          <w:sz w:val="32"/>
          <w:szCs w:val="32"/>
        </w:rPr>
        <w:t>增长20.3%；</w:t>
      </w:r>
      <w:r>
        <w:rPr>
          <w:rFonts w:hint="eastAsia" w:ascii="仿宋_GB2312" w:hAnsi="仿宋_GB2312" w:eastAsia="仿宋_GB2312" w:cs="仿宋_GB2312"/>
          <w:color w:val="333333"/>
          <w:kern w:val="0"/>
          <w:sz w:val="32"/>
          <w:szCs w:val="32"/>
        </w:rPr>
        <w:t>耕地占用税658万元，</w:t>
      </w:r>
      <w:r>
        <w:rPr>
          <w:rFonts w:hint="eastAsia" w:ascii="仿宋_GB2312" w:hAnsi="仿宋_GB2312" w:eastAsia="仿宋_GB2312" w:cs="仿宋_GB2312"/>
          <w:color w:val="000000"/>
          <w:kern w:val="0"/>
          <w:sz w:val="32"/>
          <w:szCs w:val="32"/>
        </w:rPr>
        <w:t>减少3.24%；</w:t>
      </w:r>
      <w:r>
        <w:rPr>
          <w:rFonts w:hint="eastAsia" w:ascii="仿宋_GB2312" w:hAnsi="仿宋_GB2312" w:eastAsia="仿宋_GB2312" w:cs="仿宋_GB2312"/>
          <w:color w:val="333333"/>
          <w:kern w:val="0"/>
          <w:sz w:val="32"/>
          <w:szCs w:val="32"/>
        </w:rPr>
        <w:t>契税60万元，</w:t>
      </w:r>
      <w:r>
        <w:rPr>
          <w:rFonts w:hint="eastAsia" w:ascii="仿宋_GB2312" w:hAnsi="仿宋_GB2312" w:eastAsia="仿宋_GB2312" w:cs="仿宋_GB2312"/>
          <w:color w:val="000000"/>
          <w:kern w:val="0"/>
          <w:sz w:val="32"/>
          <w:szCs w:val="32"/>
        </w:rPr>
        <w:t>增长53.85%</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bCs/>
          <w:color w:val="333333"/>
          <w:kern w:val="0"/>
          <w:sz w:val="32"/>
          <w:szCs w:val="32"/>
        </w:rPr>
      </w:pPr>
      <w:r>
        <w:rPr>
          <w:rFonts w:hint="eastAsia" w:ascii="黑体" w:hAnsi="黑体" w:eastAsia="黑体" w:cs="黑体"/>
          <w:color w:val="333333"/>
          <w:kern w:val="0"/>
          <w:sz w:val="32"/>
          <w:szCs w:val="32"/>
        </w:rPr>
        <w:t>二、</w:t>
      </w:r>
      <w:r>
        <w:rPr>
          <w:rFonts w:hint="eastAsia" w:ascii="黑体" w:hAnsi="黑体" w:eastAsia="黑体" w:cs="黑体"/>
          <w:b/>
          <w:bCs/>
          <w:color w:val="333333"/>
          <w:kern w:val="0"/>
          <w:sz w:val="32"/>
          <w:szCs w:val="32"/>
        </w:rPr>
        <w:t>2018年炉霍县一般公共预算支出情况说明</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2018年炉霍县一般公共预算支出52513万元，比2017年实际执行数126659万元，减少74146万元，</w:t>
      </w:r>
      <w:r>
        <w:rPr>
          <w:rFonts w:hint="eastAsia" w:ascii="仿宋_GB2312" w:hAnsi="仿宋_GB2312" w:eastAsia="仿宋_GB2312" w:cs="仿宋_GB2312"/>
          <w:color w:val="000000"/>
          <w:kern w:val="0"/>
          <w:sz w:val="32"/>
          <w:szCs w:val="32"/>
        </w:rPr>
        <w:t>下降</w:t>
      </w:r>
      <w:r>
        <w:rPr>
          <w:rFonts w:hint="eastAsia" w:ascii="仿宋_GB2312" w:hAnsi="仿宋_GB2312" w:eastAsia="仿宋_GB2312" w:cs="仿宋_GB2312"/>
          <w:color w:val="333333"/>
          <w:kern w:val="0"/>
          <w:sz w:val="32"/>
          <w:szCs w:val="32"/>
        </w:rPr>
        <w:t>58.54%，具体如下：</w:t>
      </w: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一般公共服务支出预算数12368万元，比2017年实际执行数20840万元，减少8472万元，下降40.65%;国防支出预算数31万元，与2017年实际执行数31万元持平；公共安全支出预算数4364万元，比2017年实际执行数5907万元，减少 1190万元，下降26.12%；教育支出预算数12380万元，比2017年实际执行数14488万元，减少2098万元，下降14.48%；科学技术支出预算数 90万元，比2017年实际执行数216万元，减少126万元，下降58.33%；文化体育与传媒支出预算数544万元，比2017年实际执行数1583万元，减少55万元，下降65.63%；社会保障和就业支出预算数5704万元，比2017年实际执行数10170万元，减少4466万元，下降43.91%；医疗卫生与计划生育支出预算数5942万元，比2017年实际执行数10420万元，减少1933万元，下降42.98%；节能环保支出预算数220万元，比2017年实际执行</w:t>
      </w:r>
      <w:r>
        <w:rPr>
          <w:rFonts w:hint="eastAsia" w:ascii="仿宋_GB2312" w:hAnsi="仿宋_GB2312" w:eastAsia="仿宋_GB2312" w:cs="仿宋_GB2312"/>
          <w:color w:val="333333"/>
          <w:kern w:val="0"/>
          <w:sz w:val="32"/>
          <w:szCs w:val="32"/>
          <w:lang w:eastAsia="zh-CN"/>
        </w:rPr>
        <w:t>数</w:t>
      </w:r>
      <w:r>
        <w:rPr>
          <w:rFonts w:hint="eastAsia" w:ascii="仿宋_GB2312" w:hAnsi="仿宋_GB2312" w:eastAsia="仿宋_GB2312" w:cs="仿宋_GB2312"/>
          <w:color w:val="333333"/>
          <w:kern w:val="0"/>
          <w:sz w:val="32"/>
          <w:szCs w:val="32"/>
        </w:rPr>
        <w:t xml:space="preserve">6257万元，减少6037万元，下降96.48%；城乡社区支出预算数415万元，比2017年实际执行数4197万元，减少3782万元，下降90.11%；农林水支出预算数6298万元，比2017年实际执行数28420万元，减少22122万元，下降77.84%；交通运输支出预算数508万元，比2017年实际执行数20417万元，减少19909万元，下降97.51%； 资源勘探信息等支出预算数207万元，比2017年实际执行数380万元，减少173万元，下降45.53%；国土海洋气象等支出预算数300万元，比2017年实际执行数782万元，减少482元，下降61.64%；住房保障支出预算数2542万元，比2017年实际执行数2040万元，增加502万元，增长24.61%。 </w:t>
      </w:r>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 三、</w:t>
      </w:r>
      <w:r>
        <w:rPr>
          <w:rFonts w:hint="eastAsia" w:ascii="黑体" w:hAnsi="黑体" w:eastAsia="黑体" w:cs="黑体"/>
          <w:b/>
          <w:bCs/>
          <w:color w:val="333333"/>
          <w:kern w:val="0"/>
          <w:sz w:val="32"/>
          <w:szCs w:val="32"/>
        </w:rPr>
        <w:t>2018年炉霍县政府性基金收入情况说明</w:t>
      </w:r>
    </w:p>
    <w:p>
      <w:pPr>
        <w:keepNext w:val="0"/>
        <w:keepLines w:val="0"/>
        <w:pageBreakBefore w:val="0"/>
        <w:widowControl/>
        <w:kinsoku/>
        <w:wordWrap/>
        <w:overflowPunct/>
        <w:topLinePunct w:val="0"/>
        <w:autoSpaceDE/>
        <w:autoSpaceDN/>
        <w:bidi w:val="0"/>
        <w:adjustRightInd/>
        <w:snapToGrid/>
        <w:spacing w:line="576" w:lineRule="exact"/>
        <w:ind w:firstLine="57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2018年炉霍县政府性基金收入700万元。其中：国有土地使用权出让收入700万元，主要是国有土地使用权出让收入及对应专项债务收入。</w:t>
      </w:r>
    </w:p>
    <w:p>
      <w:pPr>
        <w:keepNext w:val="0"/>
        <w:keepLines w:val="0"/>
        <w:pageBreakBefore w:val="0"/>
        <w:widowControl/>
        <w:kinsoku/>
        <w:wordWrap/>
        <w:overflowPunct/>
        <w:topLinePunct w:val="0"/>
        <w:autoSpaceDE/>
        <w:autoSpaceDN/>
        <w:bidi w:val="0"/>
        <w:adjustRightInd/>
        <w:snapToGrid/>
        <w:spacing w:line="576" w:lineRule="exact"/>
        <w:ind w:firstLine="57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2018年炉霍县政府性基金支出700万元，其中：国有土地使用权出让收入对应专项债务收入安排的支出700万元，主要用于土地开发支出。</w:t>
      </w:r>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四、炉霍县国有资本经营情况说明</w:t>
      </w:r>
    </w:p>
    <w:p>
      <w:pPr>
        <w:keepNext w:val="0"/>
        <w:keepLines w:val="0"/>
        <w:pageBreakBefore w:val="0"/>
        <w:widowControl/>
        <w:kinsoku/>
        <w:wordWrap/>
        <w:overflowPunct/>
        <w:topLinePunct w:val="0"/>
        <w:autoSpaceDE/>
        <w:autoSpaceDN/>
        <w:bidi w:val="0"/>
        <w:adjustRightInd/>
        <w:snapToGrid/>
        <w:spacing w:line="576" w:lineRule="exact"/>
        <w:ind w:firstLine="570"/>
        <w:jc w:val="left"/>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333333"/>
          <w:kern w:val="0"/>
          <w:sz w:val="32"/>
          <w:szCs w:val="32"/>
        </w:rPr>
        <w:t>按照2017年企业财务决算要求，我县填报国有企业为炉霍雪域俄色有限责任公司、县粮食购销公司、国有资产经营公司等五家企业。</w:t>
      </w:r>
      <w:r>
        <w:rPr>
          <w:rFonts w:hint="eastAsia" w:ascii="仿宋_GB2312" w:hAnsi="仿宋_GB2312" w:eastAsia="仿宋_GB2312" w:cs="仿宋_GB2312"/>
          <w:color w:val="000000" w:themeColor="text1"/>
          <w:kern w:val="0"/>
          <w:sz w:val="32"/>
          <w:szCs w:val="32"/>
        </w:rPr>
        <w:t>县属国有企业资产总额36043.5万元 ,所有者权益总额28518.2万元。</w:t>
      </w:r>
    </w:p>
    <w:p>
      <w:pPr>
        <w:keepNext w:val="0"/>
        <w:keepLines w:val="0"/>
        <w:pageBreakBefore w:val="0"/>
        <w:widowControl/>
        <w:kinsoku/>
        <w:wordWrap/>
        <w:overflowPunct/>
        <w:topLinePunct w:val="0"/>
        <w:autoSpaceDE/>
        <w:autoSpaceDN/>
        <w:bidi w:val="0"/>
        <w:adjustRightInd/>
        <w:snapToGrid/>
        <w:spacing w:line="576" w:lineRule="exact"/>
        <w:ind w:firstLine="57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县级国有资本经营预算收入预算根据各企业经营状况和国有资本收益收取比例测算编制，结合2017年企业利润预计情况，预计2018年国有资本经营预算收入300万元。</w:t>
      </w:r>
    </w:p>
    <w:p>
      <w:pPr>
        <w:keepNext w:val="0"/>
        <w:keepLines w:val="0"/>
        <w:pageBreakBefore w:val="0"/>
        <w:widowControl/>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根据州委、州政府、县委、县政府要求，按照“收支平衡、不列赤字”的原则，安排2018年国有资本经营支出预算300万元。具体如下：</w:t>
      </w:r>
    </w:p>
    <w:p>
      <w:pPr>
        <w:keepNext w:val="0"/>
        <w:keepLines w:val="0"/>
        <w:pageBreakBefore w:val="0"/>
        <w:widowControl/>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1．国有经济结构调整支出：234万。 </w:t>
      </w:r>
    </w:p>
    <w:p>
      <w:pPr>
        <w:keepNext w:val="0"/>
        <w:keepLines w:val="0"/>
        <w:pageBreakBefore w:val="0"/>
        <w:widowControl/>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2．国有资本经营预算调出资金：66万。</w:t>
      </w:r>
      <w:bookmarkStart w:id="0" w:name="_GoBack"/>
      <w:bookmarkEnd w:id="0"/>
    </w:p>
    <w:p>
      <w:pPr>
        <w:keepNext w:val="0"/>
        <w:keepLines w:val="0"/>
        <w:pageBreakBefore w:val="0"/>
        <w:widowControl/>
        <w:kinsoku/>
        <w:wordWrap/>
        <w:overflowPunct/>
        <w:topLinePunct w:val="0"/>
        <w:autoSpaceDE/>
        <w:autoSpaceDN/>
        <w:bidi w:val="0"/>
        <w:adjustRightInd/>
        <w:snapToGrid/>
        <w:spacing w:line="576" w:lineRule="exact"/>
        <w:ind w:left="493" w:leftChars="235" w:firstLine="0" w:firstLineChars="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五、炉霍县“三公经费”情况说明</w:t>
      </w:r>
    </w:p>
    <w:p>
      <w:pPr>
        <w:keepNext w:val="0"/>
        <w:keepLines w:val="0"/>
        <w:pageBreakBefore w:val="0"/>
        <w:widowControl/>
        <w:kinsoku/>
        <w:wordWrap/>
        <w:overflowPunct/>
        <w:topLinePunct w:val="0"/>
        <w:autoSpaceDE/>
        <w:autoSpaceDN/>
        <w:bidi w:val="0"/>
        <w:adjustRightInd/>
        <w:snapToGrid/>
        <w:spacing w:line="576" w:lineRule="exact"/>
        <w:ind w:firstLine="540"/>
        <w:textAlignment w:val="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000000"/>
          <w:kern w:val="0"/>
          <w:sz w:val="32"/>
          <w:szCs w:val="32"/>
        </w:rPr>
        <w:t>根据《中华人民共和国预算法》</w:t>
      </w:r>
      <w:r>
        <w:rPr>
          <w:rFonts w:hint="eastAsia" w:ascii="仿宋_GB2312" w:hAnsi="仿宋_GB2312" w:eastAsia="仿宋_GB2312" w:cs="仿宋_GB2312"/>
          <w:b w:val="0"/>
          <w:bCs w:val="0"/>
          <w:color w:val="333333"/>
          <w:kern w:val="0"/>
          <w:sz w:val="32"/>
          <w:szCs w:val="32"/>
        </w:rPr>
        <w:t>和《国务院关于深化预算管理制度改革的决定》（国发〔2014〕45号）的有关规定，2018年炉霍县各行政单位（含参照公务员法管理的事业单位）、事业单位使用财政拨款安排“三公”经费预算总额为1700万元，与2017年的1700万元持平。其中：公务接待费1000万元</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rPr>
        <w:t>公务用车购置及运行维护费700万元。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32B8DA-AF6F-4F3B-816A-86F95033F4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FEDD5326-C21C-472D-9B1B-273D5344B030}"/>
  </w:font>
  <w:font w:name="仿宋_GB2312">
    <w:panose1 w:val="02010609030101010101"/>
    <w:charset w:val="86"/>
    <w:family w:val="auto"/>
    <w:pitch w:val="default"/>
    <w:sig w:usb0="00000001" w:usb1="080E0000" w:usb2="00000000" w:usb3="00000000" w:csb0="00040000" w:csb1="00000000"/>
    <w:embedRegular r:id="rId3" w:fontKey="{D56F5C57-52A0-418D-AE13-8EA6804C1F7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zYmJiYzZlZTU4NTdmMDE0Yjg5ZWM5ODIxZjA4MDMifQ=="/>
  </w:docVars>
  <w:rsids>
    <w:rsidRoot w:val="00F0311C"/>
    <w:rsid w:val="0015354F"/>
    <w:rsid w:val="001A2A7E"/>
    <w:rsid w:val="001B0B18"/>
    <w:rsid w:val="001E1C41"/>
    <w:rsid w:val="002142D8"/>
    <w:rsid w:val="00237652"/>
    <w:rsid w:val="0026303B"/>
    <w:rsid w:val="00387F5E"/>
    <w:rsid w:val="003D6BAF"/>
    <w:rsid w:val="004162EA"/>
    <w:rsid w:val="00452274"/>
    <w:rsid w:val="00506518"/>
    <w:rsid w:val="005318A7"/>
    <w:rsid w:val="005D098B"/>
    <w:rsid w:val="006002ED"/>
    <w:rsid w:val="006215F2"/>
    <w:rsid w:val="006677E0"/>
    <w:rsid w:val="006762B3"/>
    <w:rsid w:val="00695E01"/>
    <w:rsid w:val="006B4701"/>
    <w:rsid w:val="006F2C50"/>
    <w:rsid w:val="006F2DB0"/>
    <w:rsid w:val="00766F4C"/>
    <w:rsid w:val="0078024A"/>
    <w:rsid w:val="007C7EDD"/>
    <w:rsid w:val="007F1C55"/>
    <w:rsid w:val="009C23C0"/>
    <w:rsid w:val="009E025B"/>
    <w:rsid w:val="009E0850"/>
    <w:rsid w:val="009F79D8"/>
    <w:rsid w:val="00A32597"/>
    <w:rsid w:val="00A417F6"/>
    <w:rsid w:val="00A6746B"/>
    <w:rsid w:val="00A72AF5"/>
    <w:rsid w:val="00AF5F40"/>
    <w:rsid w:val="00B94F22"/>
    <w:rsid w:val="00B950DB"/>
    <w:rsid w:val="00C10A06"/>
    <w:rsid w:val="00C2177F"/>
    <w:rsid w:val="00CB6945"/>
    <w:rsid w:val="00D622B3"/>
    <w:rsid w:val="00DD0C75"/>
    <w:rsid w:val="00ED0699"/>
    <w:rsid w:val="00EE716E"/>
    <w:rsid w:val="00F0311C"/>
    <w:rsid w:val="00F531F9"/>
    <w:rsid w:val="00FC6EAE"/>
    <w:rsid w:val="093479C7"/>
    <w:rsid w:val="512D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中国微软</Company>
  <Pages>3</Pages>
  <Words>271</Words>
  <Characters>1551</Characters>
  <Lines>12</Lines>
  <Paragraphs>3</Paragraphs>
  <TotalTime>113</TotalTime>
  <ScaleCrop>false</ScaleCrop>
  <LinksUpToDate>false</LinksUpToDate>
  <CharactersWithSpaces>1819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2018-03-07T02:25:00Z</dcterms:created>
  <dc:creator>微软中国</dc:creator>
  <cp:lastModifiedBy>人勤春来早.</cp:lastModifiedBy>
  <dcterms:modified xsi:type="dcterms:W3CDTF">2023-08-29T03:27:10Z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94F980E75EA64BDEBEB55783F37B22DF</vt:lpwstr>
  </property>
</Properties>
</file>