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炉霍县人民政府</w:t>
      </w:r>
    </w:p>
    <w:p>
      <w:pPr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关于2018年财政决算（草案）情况报告</w:t>
      </w:r>
    </w:p>
    <w:p>
      <w:pPr>
        <w:spacing w:line="576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（2019年9月）</w:t>
      </w:r>
    </w:p>
    <w:p>
      <w:pPr>
        <w:spacing w:line="576" w:lineRule="exact"/>
        <w:jc w:val="center"/>
        <w:rPr>
          <w:rFonts w:ascii="楷体_GB2312" w:hAnsi="楷体_GB2312" w:eastAsia="楷体_GB2312" w:cs="楷体_GB2312"/>
          <w:sz w:val="32"/>
          <w:szCs w:val="32"/>
        </w:rPr>
      </w:pPr>
    </w:p>
    <w:p>
      <w:pPr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尊敬的康玲主任，各位副主任，各位委员：</w:t>
      </w:r>
    </w:p>
    <w:p>
      <w:pPr>
        <w:spacing w:line="576" w:lineRule="exact"/>
        <w:ind w:firstLine="640"/>
        <w:rPr>
          <w:rFonts w:ascii="仿宋_GB2312" w:hAnsi="仿宋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根据会议安排，现将我县2018年财政收支预算执行情况报告如下，敬请审议。</w:t>
      </w:r>
    </w:p>
    <w:p>
      <w:pPr>
        <w:spacing w:line="576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一、2018年财政决算情况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2018年，以习近平新时代中国特色社会主义思想为指导，在县委坚强领导下，在县人大的依法监督指导和县政协的民主监督下，在全县各单位的大力支持下，紧紧围绕县委总体工作思路，严格执行县人民代表大会审议通过的2018年度财政预算，坚持稳中求进工作总基调，主动适应经济发展新常态，积极创新财政调控思路方式，全面深化预算管理制度改革，深入贯彻落实稳增长、调结构、促改革、惠民生、保稳定、防风险等一系列政策措施，坚定信心，攻坚克难，开拓进取，财政运行总体平稳，为促进全县经济发展与社会稳定提供了有力的财力支撑。</w:t>
      </w:r>
    </w:p>
    <w:p>
      <w:pPr>
        <w:spacing w:line="57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(一)一般公共预算决算情况。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2018年一般公共财政预算收入完成5，467 万元，完成调整预算的100 %，同口径增长 5 %；上级补助158，523万元（其中：一般性转移支付85，152万元，专项转移支付72，431万元，返还性收入940万元），上年结转结余6，505万元、调入资金66万元、地方政府一般债务转贷收入9，130万元（未含易地扶贫搬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债券</w:t>
      </w:r>
      <w:r>
        <w:rPr>
          <w:rFonts w:hint="eastAsia" w:ascii="仿宋_GB2312" w:hAnsi="仿宋_GB2312" w:eastAsia="仿宋_GB2312" w:cs="仿宋_GB2312"/>
          <w:sz w:val="32"/>
          <w:szCs w:val="32"/>
        </w:rPr>
        <w:t>线下收入2，170万元），收入总量为179，691万元。一般公共财政支出165，331万元（未含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债券</w:t>
      </w:r>
      <w:r>
        <w:rPr>
          <w:rFonts w:hint="eastAsia" w:ascii="仿宋_GB2312" w:hAnsi="仿宋_GB2312" w:eastAsia="仿宋_GB2312" w:cs="仿宋_GB2312"/>
          <w:sz w:val="32"/>
          <w:szCs w:val="32"/>
        </w:rPr>
        <w:t>还本线下支出2，170万元），完成调整预算的 92%；上解上级支出1，345万元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结转下年支出13，015万元。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收支相抵，财政收支实现平衡。</w:t>
      </w:r>
    </w:p>
    <w:p>
      <w:pPr>
        <w:pStyle w:val="4"/>
        <w:shd w:val="clear" w:color="auto" w:fill="FFFFFF"/>
        <w:spacing w:beforeAutospacing="0" w:afterAutospacing="0" w:line="576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收入决算的具体情况是：</w:t>
      </w:r>
    </w:p>
    <w:p>
      <w:pPr>
        <w:pStyle w:val="4"/>
        <w:shd w:val="clear" w:color="auto" w:fill="FFFFFF"/>
        <w:spacing w:beforeAutospacing="0" w:afterAutospacing="0" w:line="576" w:lineRule="exact"/>
        <w:ind w:firstLine="48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（1）税收收入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完成3，743万元，为调整预算的94%；其中：增值税2，128万元、企业所得税 205万元、个人所得税205万元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、城市维护建设税227万元、城镇土地使用税28万元、耕地占用税487万元、车船税304万元、契税11万元、房产税87万元、印花税17万元、资源税30万元、土地增值税12万元、其他税收收入2万元。</w:t>
      </w:r>
    </w:p>
    <w:p>
      <w:pPr>
        <w:pStyle w:val="4"/>
        <w:shd w:val="clear" w:color="auto" w:fill="FFFFFF"/>
        <w:spacing w:beforeAutospacing="0" w:afterAutospacing="0" w:line="576" w:lineRule="exact"/>
        <w:ind w:firstLine="480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（2）非税收入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1，724万元，为调整预算的115%，其中： 专项收入490万元、 行政事业性收费收入95万元、 罚没收入205万元、国有资源（资产）有偿使用收入859万元、政府住房基金收入74万元、捐赠收入1万元。</w:t>
      </w:r>
    </w:p>
    <w:p>
      <w:pPr>
        <w:spacing w:line="576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支出决算情况是</w:t>
      </w:r>
      <w:r>
        <w:rPr>
          <w:rFonts w:hint="eastAsia" w:ascii="仿宋_GB2312" w:hAnsi="仿宋_GB2312" w:eastAsia="仿宋_GB2312" w:cs="仿宋_GB2312"/>
          <w:sz w:val="32"/>
          <w:szCs w:val="32"/>
        </w:rPr>
        <w:t>：地方一般预算支出完成165，331万元，其中：一般公共服务支出20，881万元，国防支出31万元，公共安全支出7，533万元，教育支出19，455万元，科学技术支出171万元，文化体育与传媒支出2，330万元，社会保障和就业支出9，205万元，医疗卫生支出11，798万元，节能环保支出9，988万元，城乡社区事务支出3，365万元，农林水事务支出37，549万元，交通运输支出37，882万元，资源勘探电力等事务支出437万元，商业服务等事务支出839万元，金融支出19万元，国土资源气象等事务支出811万元，住房保障支出2，816万元，粮油物资管理事务支出54万元，债务付息支出98万元，其他支出69万元。</w:t>
      </w:r>
    </w:p>
    <w:p>
      <w:pPr>
        <w:spacing w:line="57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（二）政府性基金预算决算情况。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政府性基金预算收入完成424万元，上级补助收入2，362万元、上年结转结余1，754万元,收入总量为4，540 万元。政府性基金预算支出3，506万元，结转下年1，034万元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spacing w:line="57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（三）国有资本经营预算决算情况。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全县国有资本经营预算收入300万元，全县国有资本经营预算支出完成234万元，调入公共预算支出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66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spacing w:line="57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（四）社会保险基金决算情况。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全县社会保险基金收入930万元，社会保险基金支出600万元，结转结余330万元。</w:t>
      </w:r>
    </w:p>
    <w:p>
      <w:pPr>
        <w:spacing w:line="576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(五）部门决算情况。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全县共69个决算单位，其中：县级单位49个，乡镇16个、工委4个。2018年全县部门决算中总收入为168，988万元，其中年初结转和结余29，542万元、一般公共预算财政拨款收入165，093万元、政府性基金收入3，445万元、其他收入450万元。部门决算总支出147，750万元，其中一般公共预算财政拨款支出144，240万元（其中：工资福利和个人及家庭补助支出50，163万元、商品服务支出12，948万元、基本建设及资本性支出81，129万元、）、政府基金预算财政支出1，360万元、其他资金支出2，149万元。年末结转结余50，781万元。</w:t>
      </w:r>
    </w:p>
    <w:p>
      <w:pPr>
        <w:spacing w:line="576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（六）存量资金安排情况。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2018年盘活存量资金4，080万元，加上2017年盘活存量资金结余455 万元，共安排 20 个单位77个项目4，357 万元。</w:t>
      </w:r>
    </w:p>
    <w:p>
      <w:pPr>
        <w:spacing w:line="576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二、2018年财政工作</w:t>
      </w:r>
    </w:p>
    <w:p>
      <w:pPr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，面对财政收入增长滞后和财政支出刚性增长的双重压力，全县财政工作坚持“保工资、保运转、保民生、促发展”的工作目标，积极发挥财政职能，不断强化收入征管，努力保障重点支出，持续推进财税改革，为全县经济社会发展作出了积极的贡献。</w:t>
      </w:r>
    </w:p>
    <w:p>
      <w:pPr>
        <w:spacing w:line="57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（一）强化措施，加强征管。</w:t>
      </w:r>
      <w:r>
        <w:rPr>
          <w:rFonts w:hint="eastAsia" w:ascii="仿宋_GB2312" w:hAnsi="仿宋_GB2312" w:eastAsia="仿宋_GB2312" w:cs="仿宋_GB2312"/>
          <w:sz w:val="32"/>
          <w:szCs w:val="32"/>
        </w:rPr>
        <w:t>面对经济下行、政策性减收、企业减负、财政收入增长乏力等诸多因素，狠抓财政收入不放松。一方面加强与征收部门和项目实施单位的沟通衔接，分析税收形势、税收政策，确保税收及时入库；另一方面强化对重点行业、重点企业、重大项目纳税情况的监控，加大协税、护税力度，强化非税收入管理，确保应收尽收。</w:t>
      </w:r>
    </w:p>
    <w:p>
      <w:pPr>
        <w:spacing w:line="576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（二）财税体制改革不断深化。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</w:t>
      </w:r>
    </w:p>
    <w:p>
      <w:pPr>
        <w:spacing w:line="57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1.继续健全完善国库集中支付管理改革。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按照“单位、资金、账户、流程、业务”五个完整要求，持续深化国库集中支付制度改革。一是进一步扩大国库集中支付范围。将所有财政资金和使用财政资金的部门、乡（镇）纳入国库集中支付范围，做到纵向到底、横向到边。二是加强财政资金动态运行监控，规范财政资金使用。全年共发现疑点支付728笔，涉及金额43723.39万元。 三是试点编制权责发生制综合财务报告。在教体局、卫计局等5个部门编制了权责发生制综合财务报告，对准确反映部门预算收支情况，进一步识别和管理财政风险，更好地加强政府预算、资产、绩效管理提供了有力支撑。            </w:t>
      </w:r>
    </w:p>
    <w:p>
      <w:pPr>
        <w:spacing w:line="57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2.积极开展村级固定资产清查。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助力脱贫攻坚，全面掌握村级资产情况。在财政牵头，农牧科技局、久其公司及乡（镇）的通力协作下，对全县16个乡（镇）171个行政村、4个社区的村级资产进行了全面清查，共清理出的村级固定资产总量80,272.72万元。其中：经营性固定资产40.00万元、非经营性固定资产10,289.53万元、财政支农项目形成资产69,943.19万元。为进一步加强农村“三资”管理和村级财务管理、精准施策等提供了强有力的信息支撑。</w:t>
      </w:r>
    </w:p>
    <w:p>
      <w:pPr>
        <w:spacing w:line="57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3.政府性债务管理不断加强。</w:t>
      </w:r>
      <w:r>
        <w:rPr>
          <w:rFonts w:hint="eastAsia" w:ascii="仿宋_GB2312" w:hAnsi="仿宋_GB2312" w:eastAsia="仿宋_GB2312" w:cs="仿宋_GB2312"/>
          <w:sz w:val="32"/>
          <w:szCs w:val="32"/>
        </w:rPr>
        <w:t>为切实做好防风险工作，对地方政府性债务进行了全面清理，并严格控制新增债务规模，将地方政府性债务的举借、偿还纳入政府债务系统管理，将政府性债务控制在警戒线以内。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截至2018年底</w:t>
      </w:r>
      <w:r>
        <w:rPr>
          <w:rFonts w:hint="eastAsia" w:ascii="仿宋_GB2312" w:hAnsi="仿宋_GB2312" w:eastAsia="仿宋_GB2312" w:cs="仿宋_GB2312"/>
          <w:sz w:val="32"/>
          <w:szCs w:val="32"/>
        </w:rPr>
        <w:t>全县地方政府性债务累计余额为14086.05万元，其中：一般债务为12389万元、专项债务为1573万元、担保债务124.05万元。当年新增债券9130万元，主要用于易地扶贫搬迁1953万元、三区三州脱贫攻坚6627万元、污水垃圾治理400万元、公立幼儿园建设150万元，并安排地方政府债券还本付息资金 163万元。</w:t>
      </w:r>
    </w:p>
    <w:p>
      <w:pPr>
        <w:spacing w:line="57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4.强化财政预算管理，提升财政管理科学化水平。</w:t>
      </w:r>
      <w:r>
        <w:rPr>
          <w:rFonts w:hint="eastAsia" w:ascii="仿宋_GB2312" w:hAnsi="仿宋_GB2312" w:eastAsia="仿宋_GB2312" w:cs="仿宋_GB2312"/>
          <w:sz w:val="32"/>
          <w:szCs w:val="32"/>
        </w:rPr>
        <w:t>深化推进财政预算管理改革，加快构建全面规范、公开透明的预算管理制度。一是在部门预算编制方面，认真落实新《预算法》、稳步推进全口径预算管理，将所有收入纳入部门预算编制。通过规范收支行为、健全审批流程、明确管理权责、构建完整统一、规范透明的全口径预算管理机制。二是完善政府预算体系，进一步强化财政管理水平。加大一般公共预算、政府性基金预算、国有资本经营预算、社保基金预算的统筹力度，把政府所有收支全部纳入预算管理，实现“收入一个笼子、预算一个盘子、支出一个口子”。三是深化预（决）算信息公开。“阳光是最好的防腐剂”，通过政府门户网站对财政预决算、部门预决算以及“三公”经费实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非涉密</w:t>
      </w:r>
      <w:r>
        <w:rPr>
          <w:rFonts w:hint="eastAsia" w:ascii="仿宋_GB2312" w:hAnsi="仿宋_GB2312" w:eastAsia="仿宋_GB2312" w:cs="仿宋_GB2312"/>
          <w:sz w:val="32"/>
          <w:szCs w:val="32"/>
        </w:rPr>
        <w:t>全公开，增强了财政资金使用的透明度。</w:t>
      </w:r>
    </w:p>
    <w:p>
      <w:pPr>
        <w:spacing w:line="576" w:lineRule="exact"/>
        <w:ind w:firstLine="643" w:firstLineChars="200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（三）财政监督检查不断加强。</w:t>
      </w:r>
    </w:p>
    <w:p>
      <w:pPr>
        <w:spacing w:line="57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1.政府采购、财政评审监管力度不断加强。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2018年共完成 188个项目财政评审，评审金额为62，539.95 万元，审减 2，516.6万元，审减率4.03 %。共批复政府采购计划84个、政府采购资金6，019.20万元；并按政府采购相关规定进行了合同备案，财政监督事前参与、事中监督的力度不断增强。</w:t>
      </w:r>
    </w:p>
    <w:p>
      <w:pPr>
        <w:spacing w:line="57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2.日常监督检查不断发力</w:t>
      </w:r>
      <w:r>
        <w:rPr>
          <w:rFonts w:hint="eastAsia" w:ascii="仿宋_GB2312" w:hAnsi="仿宋_GB2312" w:eastAsia="仿宋_GB2312" w:cs="仿宋_GB2312"/>
          <w:sz w:val="32"/>
          <w:szCs w:val="32"/>
        </w:rPr>
        <w:t>。一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针对惠民惠农财政补贴资金发放中可能出现的扣留“一卡通”、滞留资金、贪污挪用、以权谋私、拖延发放等问题，组织开展了“一卡通”专项检查。全面摸清了“一卡通”管理使用和发放情况，并建立问题台账。同时建立长效机制、加强资金发放情况的监督，为2019年全面推行惠民惠农资金“一卡通”发放奠定了基础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了违规发放津贴补贴、乱发钱物、“私设”小金库、公款赠送红包礼金、会计信息质量、村集体经济、乡镇财务等专项检查。对加强扶贫资金管理、严肃财经纪律、强化党风廉政起到了积极的作用。三是国有资产监督管理不断加强。深入推进国资监管，监管职能得到优化和调整，监管效能得以提高，资产登记、报废、处置程序不断完善，组织开展了行政、事业单位财务人员的国有资产系统清查培训。</w:t>
      </w:r>
    </w:p>
    <w:p>
      <w:pPr>
        <w:spacing w:line="57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3.强力推进“互联网+精准扶贫代理记账”工作。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进一步加强财政扶贫资金监管，村级财务管理水平不断提高, 在16个乡（镇）171个行政村，实行了互联网+精准扶贫代理记账工作，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截至2018年底</w:t>
      </w:r>
      <w:r>
        <w:rPr>
          <w:rFonts w:hint="eastAsia" w:ascii="仿宋_GB2312" w:hAnsi="仿宋_GB2312" w:eastAsia="仿宋_GB2312" w:cs="仿宋_GB2312"/>
          <w:sz w:val="32"/>
          <w:szCs w:val="32"/>
        </w:rPr>
        <w:t>开通手机app4612个，上传村级财务资料 5613笔，改变了过去村级财务“包包账”的历史。着力破解了人员不专业、账务不规范、核算不及时、审核不到位、公开不透明等问题。并建成新都镇规范化财政所1个。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完善制度，规范管理。为从源头上加强管理，确保 “互联网+精准扶贫代理记账”取得实效，指导乡镇、村制定完善村级财务管理制度、内部控制制度、档案管理等 21 项制度，强力推进“互联网+精准扶贫代理记账”工作。</w:t>
      </w:r>
    </w:p>
    <w:p>
      <w:pPr>
        <w:spacing w:line="576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（四）财政金融助推脱贫攻坚。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创新财政支持脱贫攻坚的模式，统筹整合涉农资金44160.51万元，用于农业农村基础设施、产业发展等；历年累计安排扶贫小额信贷分险基金1400万元，用于贫困村贫困户小额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信贷</w:t>
      </w:r>
      <w:r>
        <w:rPr>
          <w:rFonts w:hint="eastAsia" w:ascii="仿宋_GB2312" w:hAnsi="仿宋_GB2312" w:eastAsia="仿宋_GB2312" w:cs="仿宋_GB2312"/>
          <w:sz w:val="32"/>
          <w:szCs w:val="32"/>
        </w:rPr>
        <w:t>分险担保，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截至2018年底</w:t>
      </w:r>
      <w:r>
        <w:rPr>
          <w:rFonts w:hint="eastAsia" w:ascii="仿宋_GB2312" w:hAnsi="仿宋_GB2312" w:eastAsia="仿宋_GB2312" w:cs="仿宋_GB2312"/>
          <w:sz w:val="32"/>
          <w:szCs w:val="32"/>
        </w:rPr>
        <w:t>，共发放扶贫小额信用贷款 4457万元；二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筹集资金68785万元（含县级财政专项扶贫资金500万元），用于22个专项扶贫方案确定项目支出。为全县脱贫奔康提供了资金支撑。</w:t>
      </w:r>
    </w:p>
    <w:p>
      <w:pPr>
        <w:spacing w:line="576" w:lineRule="exact"/>
        <w:ind w:firstLine="643" w:firstLineChars="200"/>
        <w:rPr>
          <w:rFonts w:ascii="仿宋_GB2312" w:hAnsi="仿宋_GB2312" w:eastAsia="仿宋_GB2312" w:cs="仿宋_GB2312"/>
          <w:color w:val="231F1F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（五）加强财政干部队伍建设。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扎实开展“大学习、大讨论、大调研”等学教活动，进一步加深了对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习近平新时代中国特色社会主义思想和党的十九大精神</w:t>
      </w:r>
      <w:r>
        <w:rPr>
          <w:rFonts w:hint="eastAsia" w:ascii="仿宋_GB2312" w:hAnsi="仿宋_GB2312" w:eastAsia="仿宋_GB2312" w:cs="仿宋_GB2312"/>
          <w:sz w:val="32"/>
          <w:szCs w:val="32"/>
        </w:rPr>
        <w:t>和“四川篇”的理解把握，切实转变了干部工作作风。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积极参加省、州组织的各类理论、专业培训和对口帮扶单位业务指导培训等，进一步提升了财政干部理财能力。</w:t>
      </w:r>
      <w:r>
        <w:rPr>
          <w:rFonts w:hint="eastAsia" w:ascii="仿宋_GB2312" w:hAnsi="仿宋_GB2312" w:eastAsia="仿宋_GB2312" w:cs="仿宋_GB2312"/>
          <w:color w:val="231F1F"/>
          <w:sz w:val="32"/>
          <w:szCs w:val="32"/>
        </w:rPr>
        <w:t xml:space="preserve">　 </w:t>
      </w:r>
    </w:p>
    <w:p>
      <w:pPr>
        <w:widowControl/>
        <w:spacing w:line="576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2018年，全县财政运行保持了总体平稳的良好态势，但我们清醒地看到，全县财政工作还存在一些困难和不足。主要是：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shd w:val="clear" w:color="auto" w:fill="FFFFFF"/>
        </w:rPr>
        <w:t>一是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财政收入增长乏力。经济下行压力仍然较大，加上国家实施大规模的减税降费政策，收入增长乏力。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shd w:val="clear" w:color="auto" w:fill="FFFFFF"/>
        </w:rPr>
        <w:t>二是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收支矛盾十分突出。在增收乏力的同时，调资政策、基本民生保障、生态建设和污染治理、政府性债务还本付息等刚性支出持续增加，“三保”和“三大攻坚战”都需要大量资金。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shd w:val="clear" w:color="auto" w:fill="FFFFFF"/>
        </w:rPr>
        <w:t>三是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预算绩效有待提高。部分财政资金使用绩效不高，支出结构还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进一步优化。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shd w:val="clear" w:color="auto" w:fill="FFFFFF"/>
        </w:rPr>
        <w:t>四是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监督管理还需规范。</w:t>
      </w:r>
    </w:p>
    <w:p>
      <w:pPr>
        <w:widowControl/>
        <w:spacing w:line="576" w:lineRule="exact"/>
        <w:ind w:firstLine="640" w:firstLineChars="200"/>
        <w:jc w:val="left"/>
        <w:rPr>
          <w:rFonts w:ascii="仿宋_GB2312" w:hAnsi="仿宋_GB2312" w:eastAsia="仿宋_GB2312" w:cs="仿宋_GB2312"/>
          <w:color w:val="231F1F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下一步我们将对照上级的要求和审计等部门指出的问题，认真整改，努力提升财政管理水平。</w:t>
      </w:r>
      <w:r>
        <w:rPr>
          <w:rFonts w:hint="eastAsia" w:ascii="仿宋_GB2312" w:hAnsi="仿宋_GB2312" w:eastAsia="仿宋_GB2312" w:cs="仿宋_GB2312"/>
          <w:color w:val="231F1F"/>
          <w:sz w:val="32"/>
          <w:szCs w:val="32"/>
        </w:rPr>
        <w:t>我们将坚持以习近平新时代中国特色社会主义思想为指导，深入贯彻落实党的十九大和十九届二中、三中全会精神，在县委的坚强领导下，保持定力、解放思想、创新实干、攻坚克难，化危机为机遇，变压力为动力，不遗余力推动全县经济社会高质量发展。</w:t>
      </w:r>
    </w:p>
    <w:p>
      <w:pPr>
        <w:widowControl/>
        <w:spacing w:line="576" w:lineRule="exact"/>
        <w:ind w:firstLine="960" w:firstLineChars="300"/>
        <w:jc w:val="left"/>
        <w:rPr>
          <w:rFonts w:ascii="仿宋_GB2312" w:hAnsi="仿宋_GB2312" w:eastAsia="仿宋_GB2312" w:cs="仿宋_GB2312"/>
          <w:color w:val="231F1F"/>
          <w:sz w:val="32"/>
          <w:szCs w:val="32"/>
        </w:rPr>
      </w:pPr>
    </w:p>
    <w:p>
      <w:pPr>
        <w:widowControl/>
        <w:spacing w:line="576" w:lineRule="exact"/>
        <w:ind w:firstLine="960" w:firstLineChars="300"/>
        <w:jc w:val="left"/>
        <w:rPr>
          <w:rFonts w:ascii="仿宋_GB2312" w:hAnsi="仿宋_GB2312" w:eastAsia="仿宋_GB2312" w:cs="仿宋_GB2312"/>
          <w:color w:val="231F1F"/>
          <w:sz w:val="32"/>
          <w:szCs w:val="32"/>
        </w:rPr>
      </w:pPr>
    </w:p>
    <w:p>
      <w:pPr>
        <w:widowControl/>
        <w:spacing w:line="576" w:lineRule="exact"/>
        <w:ind w:firstLine="645"/>
        <w:jc w:val="left"/>
        <w:rPr>
          <w:rFonts w:ascii="仿宋_GB2312" w:hAnsi="仿宋_GB2312" w:eastAsia="仿宋_GB2312" w:cs="仿宋_GB2312"/>
          <w:color w:val="242424"/>
          <w:kern w:val="0"/>
          <w:sz w:val="32"/>
          <w:szCs w:val="32"/>
        </w:rPr>
      </w:pPr>
    </w:p>
    <w:p>
      <w:pPr>
        <w:spacing w:line="576" w:lineRule="exact"/>
        <w:ind w:left="414" w:leftChars="197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76" w:lineRule="exact"/>
        <w:ind w:left="414" w:leftChars="197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sectPr>
      <w:head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80F20F2-10C7-4113-A4E6-B199B6BA3D2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0261DBB0-EA05-46D1-90B7-1C926F2C24D7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B33598E6-C37F-4AA8-A0D5-4710A7623D5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FA9B240-EE99-42C8-B531-27A1E927A9C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AE7A2BCD-73F9-4A7B-BB8D-026F8741C58E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czYmJiYzZlZTU4NTdmMDE0Yjg5ZWM5ODIxZjA4MDMifQ=="/>
  </w:docVars>
  <w:rsids>
    <w:rsidRoot w:val="48402C51"/>
    <w:rsid w:val="00033BA0"/>
    <w:rsid w:val="00057519"/>
    <w:rsid w:val="000C292F"/>
    <w:rsid w:val="000D1360"/>
    <w:rsid w:val="000E70D8"/>
    <w:rsid w:val="00124FBB"/>
    <w:rsid w:val="00142512"/>
    <w:rsid w:val="001537AC"/>
    <w:rsid w:val="001801F9"/>
    <w:rsid w:val="00193BE8"/>
    <w:rsid w:val="001C57C1"/>
    <w:rsid w:val="001E589B"/>
    <w:rsid w:val="002D54FA"/>
    <w:rsid w:val="002E3004"/>
    <w:rsid w:val="003279C3"/>
    <w:rsid w:val="00377D8A"/>
    <w:rsid w:val="003A2B0B"/>
    <w:rsid w:val="003B04EB"/>
    <w:rsid w:val="00413D1D"/>
    <w:rsid w:val="00431FBE"/>
    <w:rsid w:val="00434922"/>
    <w:rsid w:val="00437ACF"/>
    <w:rsid w:val="00474C1B"/>
    <w:rsid w:val="00483B83"/>
    <w:rsid w:val="004957F0"/>
    <w:rsid w:val="004B459F"/>
    <w:rsid w:val="0051191F"/>
    <w:rsid w:val="005202D3"/>
    <w:rsid w:val="00546B74"/>
    <w:rsid w:val="0056724B"/>
    <w:rsid w:val="005A15D5"/>
    <w:rsid w:val="005A6160"/>
    <w:rsid w:val="005B1270"/>
    <w:rsid w:val="005B62B2"/>
    <w:rsid w:val="005D065C"/>
    <w:rsid w:val="005D1CD7"/>
    <w:rsid w:val="00605304"/>
    <w:rsid w:val="00622936"/>
    <w:rsid w:val="00677266"/>
    <w:rsid w:val="006C5B69"/>
    <w:rsid w:val="00745AF0"/>
    <w:rsid w:val="0074649F"/>
    <w:rsid w:val="00780A5C"/>
    <w:rsid w:val="007B0272"/>
    <w:rsid w:val="007C3342"/>
    <w:rsid w:val="007E77CC"/>
    <w:rsid w:val="0080649C"/>
    <w:rsid w:val="00830642"/>
    <w:rsid w:val="008A1D24"/>
    <w:rsid w:val="008A5191"/>
    <w:rsid w:val="008A5673"/>
    <w:rsid w:val="009203CC"/>
    <w:rsid w:val="0092267E"/>
    <w:rsid w:val="0092400C"/>
    <w:rsid w:val="00981ED5"/>
    <w:rsid w:val="009825A9"/>
    <w:rsid w:val="009A2558"/>
    <w:rsid w:val="009B63D9"/>
    <w:rsid w:val="00A0750C"/>
    <w:rsid w:val="00A374F8"/>
    <w:rsid w:val="00A76877"/>
    <w:rsid w:val="00AE5A60"/>
    <w:rsid w:val="00B01E70"/>
    <w:rsid w:val="00B2780E"/>
    <w:rsid w:val="00B463C2"/>
    <w:rsid w:val="00B6086D"/>
    <w:rsid w:val="00B90302"/>
    <w:rsid w:val="00BE2658"/>
    <w:rsid w:val="00C23C7A"/>
    <w:rsid w:val="00C45844"/>
    <w:rsid w:val="00CB1489"/>
    <w:rsid w:val="00CC41B0"/>
    <w:rsid w:val="00D52A8A"/>
    <w:rsid w:val="00D70A82"/>
    <w:rsid w:val="00D75210"/>
    <w:rsid w:val="00D83E97"/>
    <w:rsid w:val="00D869A9"/>
    <w:rsid w:val="00DE4E95"/>
    <w:rsid w:val="00E023C1"/>
    <w:rsid w:val="00E222DA"/>
    <w:rsid w:val="00E96F48"/>
    <w:rsid w:val="00EB1BB0"/>
    <w:rsid w:val="00EF39E2"/>
    <w:rsid w:val="00EF7991"/>
    <w:rsid w:val="00F15F7B"/>
    <w:rsid w:val="00F41733"/>
    <w:rsid w:val="00F41B59"/>
    <w:rsid w:val="00F44232"/>
    <w:rsid w:val="00F62E1C"/>
    <w:rsid w:val="00FB0294"/>
    <w:rsid w:val="00FC1E7B"/>
    <w:rsid w:val="00FC3F44"/>
    <w:rsid w:val="00FD32A9"/>
    <w:rsid w:val="03DD41F5"/>
    <w:rsid w:val="09B7190D"/>
    <w:rsid w:val="0CAE579C"/>
    <w:rsid w:val="0E2F0986"/>
    <w:rsid w:val="0EB276FA"/>
    <w:rsid w:val="10641993"/>
    <w:rsid w:val="12CE2C23"/>
    <w:rsid w:val="145F3CB8"/>
    <w:rsid w:val="14D12AD9"/>
    <w:rsid w:val="1E663E92"/>
    <w:rsid w:val="248F6666"/>
    <w:rsid w:val="2AA90185"/>
    <w:rsid w:val="2EA24FD4"/>
    <w:rsid w:val="35664D2B"/>
    <w:rsid w:val="35CA73B3"/>
    <w:rsid w:val="36A24BF7"/>
    <w:rsid w:val="3ACE3144"/>
    <w:rsid w:val="48402C51"/>
    <w:rsid w:val="4E543225"/>
    <w:rsid w:val="538936E6"/>
    <w:rsid w:val="569D39CB"/>
    <w:rsid w:val="57761E52"/>
    <w:rsid w:val="58830789"/>
    <w:rsid w:val="5AA736B0"/>
    <w:rsid w:val="5FA75BA4"/>
    <w:rsid w:val="65E75BB7"/>
    <w:rsid w:val="6F9A2CBA"/>
    <w:rsid w:val="71061E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7">
    <w:name w:val="页眉 Char"/>
    <w:basedOn w:val="6"/>
    <w:link w:val="3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locked/>
    <w:uiPriority w:val="99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715</Words>
  <Characters>4079</Characters>
  <Lines>33</Lines>
  <Paragraphs>9</Paragraphs>
  <TotalTime>6</TotalTime>
  <ScaleCrop>false</ScaleCrop>
  <LinksUpToDate>false</LinksUpToDate>
  <CharactersWithSpaces>4785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2016-08-24T01:56:00Z</dcterms:created>
  <dc:creator>Administrator</dc:creator>
  <cp:lastModifiedBy>人勤春来早.</cp:lastModifiedBy>
  <cp:lastPrinted>2019-08-01T08:09:00Z</cp:lastPrinted>
  <dcterms:modified xsi:type="dcterms:W3CDTF">2023-09-14T07:06:48Z</dcterms:modified>
  <dc:title>炉霍县人民政府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AB6852BE31334A87A6477CCA54F7DF6D_12</vt:lpwstr>
  </property>
</Properties>
</file>