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空表说明</w:t>
      </w:r>
      <w:bookmarkEnd w:id="0"/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炉霍县不涉及对下一般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公共预算转移支付和税收返还预算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2022年炉霍县本级年初不涉及重大投资计划和项目。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2022年炉霍县不涉及对下政府性基金预算转移支付预算。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2022年炉霍县不涉及对下国有资本经营预算转移支付预算。</w:t>
      </w:r>
    </w:p>
    <w:p>
      <w:pPr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5、2020—2022年炉霍县不涉及专项地方政府专项债务余额。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17A88"/>
    <w:rsid w:val="1C717A88"/>
    <w:rsid w:val="638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2023-09-15T07:52:00Z</dcterms:created>
  <dc:creator>人勤春来早.</dc:creator>
  <cp:lastModifiedBy>人勤春来早.</cp:lastModifiedBy>
  <dcterms:modified xsi:type="dcterms:W3CDTF">2023-09-15T08:03:02Z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B09EE07D06054F62B9ADB57EF16527BD</vt:lpwstr>
  </property>
</Properties>
</file>