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sz w:val="44"/>
          <w:szCs w:val="44"/>
        </w:rPr>
      </w:pPr>
      <w:r>
        <w:rPr>
          <w:rFonts w:hint="eastAsia" w:ascii="方正小标宋简体" w:eastAsia="方正小标宋简体"/>
          <w:b/>
          <w:sz w:val="44"/>
          <w:szCs w:val="44"/>
        </w:rPr>
        <w:t>202</w:t>
      </w:r>
      <w:r>
        <w:rPr>
          <w:rFonts w:hint="eastAsia" w:ascii="方正小标宋简体" w:eastAsia="方正小标宋简体"/>
          <w:b/>
          <w:sz w:val="44"/>
          <w:szCs w:val="44"/>
          <w:lang w:val="en-US" w:eastAsia="zh-CN"/>
        </w:rPr>
        <w:t>2</w:t>
      </w:r>
      <w:r>
        <w:rPr>
          <w:rFonts w:hint="eastAsia" w:ascii="方正小标宋简体" w:eastAsia="方正小标宋简体"/>
          <w:b/>
          <w:sz w:val="44"/>
          <w:szCs w:val="44"/>
        </w:rPr>
        <w:t>年市场监督管理局</w:t>
      </w:r>
    </w:p>
    <w:p>
      <w:pPr>
        <w:jc w:val="center"/>
        <w:rPr>
          <w:rFonts w:ascii="方正小标宋简体" w:eastAsia="方正小标宋简体"/>
          <w:b/>
          <w:sz w:val="44"/>
          <w:szCs w:val="44"/>
        </w:rPr>
      </w:pPr>
      <w:r>
        <w:rPr>
          <w:rFonts w:hint="eastAsia" w:ascii="方正小标宋简体" w:eastAsia="方正小标宋简体"/>
          <w:b/>
          <w:sz w:val="44"/>
          <w:szCs w:val="44"/>
        </w:rPr>
        <w:t>部门预算情况说明</w:t>
      </w:r>
    </w:p>
    <w:p>
      <w:pPr>
        <w:ind w:firstLine="161" w:firstLineChars="50"/>
        <w:rPr>
          <w:rFonts w:ascii="仿宋" w:hAnsi="仿宋" w:eastAsia="仿宋"/>
          <w:b/>
          <w:sz w:val="32"/>
          <w:szCs w:val="32"/>
        </w:rPr>
      </w:pPr>
      <w:r>
        <w:rPr>
          <w:rFonts w:hint="eastAsia" w:ascii="黑体" w:hAnsi="黑体" w:eastAsia="黑体"/>
          <w:b/>
          <w:sz w:val="32"/>
          <w:szCs w:val="32"/>
        </w:rPr>
        <w:t xml:space="preserve"> </w:t>
      </w:r>
      <w:r>
        <w:rPr>
          <w:rFonts w:hint="eastAsia" w:asciiTheme="minorEastAsia" w:hAnsiTheme="minorEastAsia" w:eastAsiaTheme="minorEastAsia"/>
          <w:b/>
          <w:sz w:val="32"/>
          <w:szCs w:val="32"/>
        </w:rPr>
        <w:t xml:space="preserve">  </w:t>
      </w:r>
      <w:r>
        <w:rPr>
          <w:rFonts w:hint="eastAsia" w:ascii="仿宋" w:hAnsi="仿宋" w:eastAsia="仿宋"/>
          <w:b/>
          <w:sz w:val="32"/>
          <w:szCs w:val="32"/>
        </w:rPr>
        <w:t>一、部门职责</w:t>
      </w:r>
    </w:p>
    <w:p>
      <w:pPr>
        <w:pStyle w:val="2"/>
        <w:adjustRightInd w:val="0"/>
        <w:snapToGrid w:val="0"/>
        <w:spacing w:before="93" w:line="600" w:lineRule="exact"/>
        <w:ind w:firstLine="640" w:firstLineChars="200"/>
        <w:outlineLvl w:val="2"/>
        <w:rPr>
          <w:rFonts w:ascii="仿宋" w:hAnsi="仿宋" w:eastAsia="仿宋"/>
          <w:sz w:val="32"/>
          <w:szCs w:val="32"/>
        </w:rPr>
      </w:pPr>
      <w:r>
        <w:rPr>
          <w:rFonts w:hint="eastAsia" w:ascii="仿宋" w:hAnsi="仿宋" w:eastAsia="仿宋"/>
          <w:sz w:val="32"/>
          <w:szCs w:val="32"/>
        </w:rPr>
        <w:t>炉霍县市场监督管理局属行政单位，其主要职责：</w:t>
      </w:r>
    </w:p>
    <w:p>
      <w:pPr>
        <w:pStyle w:val="2"/>
        <w:adjustRightInd w:val="0"/>
        <w:snapToGrid w:val="0"/>
        <w:spacing w:before="93" w:line="600" w:lineRule="exact"/>
        <w:ind w:firstLine="672" w:firstLineChars="210"/>
        <w:outlineLvl w:val="2"/>
        <w:rPr>
          <w:rFonts w:ascii="仿宋" w:hAnsi="仿宋" w:eastAsia="仿宋"/>
          <w:sz w:val="32"/>
          <w:szCs w:val="32"/>
        </w:rPr>
      </w:pPr>
      <w:r>
        <w:rPr>
          <w:rFonts w:hint="eastAsia" w:ascii="仿宋" w:hAnsi="仿宋" w:eastAsia="仿宋"/>
          <w:sz w:val="32"/>
          <w:szCs w:val="32"/>
        </w:rPr>
        <w:t>一是贯彻执行国家、省市有关食品药品安全、工商行政管理、技术质量监督管理等方面的方针政策和法律法规规章，制定有关文件规定并组织实施，依法开展市场监督管理和行政执法工作。</w:t>
      </w:r>
    </w:p>
    <w:p>
      <w:pPr>
        <w:pStyle w:val="2"/>
        <w:adjustRightInd w:val="0"/>
        <w:snapToGrid w:val="0"/>
        <w:spacing w:before="93" w:line="600" w:lineRule="exact"/>
        <w:ind w:firstLine="672" w:firstLineChars="210"/>
        <w:outlineLvl w:val="2"/>
        <w:rPr>
          <w:rFonts w:ascii="仿宋" w:hAnsi="仿宋" w:eastAsia="仿宋"/>
          <w:sz w:val="32"/>
          <w:szCs w:val="32"/>
        </w:rPr>
      </w:pPr>
      <w:r>
        <w:rPr>
          <w:rFonts w:hint="eastAsia" w:ascii="仿宋" w:hAnsi="仿宋" w:eastAsia="仿宋"/>
          <w:sz w:val="32"/>
          <w:szCs w:val="32"/>
        </w:rPr>
        <w:t>二是组织并实施市场监督管理事业发展规划和技术建设规划，参与制定商品交易市场发展规划。</w:t>
      </w:r>
    </w:p>
    <w:p>
      <w:pPr>
        <w:pStyle w:val="2"/>
        <w:adjustRightInd w:val="0"/>
        <w:snapToGrid w:val="0"/>
        <w:spacing w:before="93" w:line="600" w:lineRule="exact"/>
        <w:ind w:firstLine="672" w:firstLineChars="210"/>
        <w:outlineLvl w:val="2"/>
        <w:rPr>
          <w:rFonts w:ascii="仿宋" w:hAnsi="仿宋" w:eastAsia="仿宋"/>
          <w:sz w:val="32"/>
          <w:szCs w:val="32"/>
        </w:rPr>
      </w:pPr>
      <w:r>
        <w:rPr>
          <w:rFonts w:hint="eastAsia" w:ascii="仿宋" w:hAnsi="仿宋" w:eastAsia="仿宋"/>
          <w:sz w:val="32"/>
          <w:szCs w:val="32"/>
        </w:rPr>
        <w:t>三是承担食品安全委员会日常工作，负责食品药品安全监督管理综合协调，健全协调联动机制，承担食品药品安全监督考评和协调指导职责，协调食品安全事故和突发事件的应对处置工作，统一发布重大食品安全信息。</w:t>
      </w:r>
    </w:p>
    <w:p>
      <w:pPr>
        <w:pStyle w:val="2"/>
        <w:adjustRightInd w:val="0"/>
        <w:snapToGrid w:val="0"/>
        <w:spacing w:before="93" w:line="600" w:lineRule="exact"/>
        <w:ind w:firstLine="672" w:firstLineChars="210"/>
        <w:outlineLvl w:val="2"/>
        <w:rPr>
          <w:rFonts w:ascii="仿宋" w:hAnsi="仿宋" w:eastAsia="仿宋"/>
          <w:sz w:val="32"/>
          <w:szCs w:val="32"/>
        </w:rPr>
      </w:pPr>
      <w:r>
        <w:rPr>
          <w:rFonts w:hint="eastAsia" w:ascii="仿宋" w:hAnsi="仿宋" w:eastAsia="仿宋"/>
          <w:sz w:val="32"/>
          <w:szCs w:val="32"/>
        </w:rPr>
        <w:t>四是负责食品和食品相关产品生产、流通及消费环节的安全监督管理，负责食品质量监督抽查、抽验、检测工作，依法查处食品安全违法行为。</w:t>
      </w:r>
    </w:p>
    <w:p>
      <w:pPr>
        <w:pStyle w:val="2"/>
        <w:adjustRightInd w:val="0"/>
        <w:snapToGrid w:val="0"/>
        <w:spacing w:before="93" w:line="600" w:lineRule="exact"/>
        <w:ind w:firstLine="672" w:firstLineChars="210"/>
        <w:outlineLvl w:val="2"/>
        <w:rPr>
          <w:rFonts w:ascii="仿宋" w:hAnsi="仿宋" w:eastAsia="仿宋"/>
          <w:sz w:val="32"/>
          <w:szCs w:val="32"/>
        </w:rPr>
      </w:pPr>
      <w:r>
        <w:rPr>
          <w:rFonts w:hint="eastAsia" w:ascii="仿宋" w:hAnsi="仿宋" w:eastAsia="仿宋"/>
          <w:sz w:val="32"/>
          <w:szCs w:val="32"/>
        </w:rPr>
        <w:t>五是负责对各类市场经济秩序的监管工作。负责市场交易和网络商品交易有关服务行为监督，负责反垄断执法有关工作，依法监督管理经纪人、经纪机构及经纪活动，依法监督管理直销和传销行为，依法查处不正当竞争、假冒伪劣等违法行为。</w:t>
      </w:r>
    </w:p>
    <w:p>
      <w:pPr>
        <w:pStyle w:val="2"/>
        <w:adjustRightInd w:val="0"/>
        <w:snapToGrid w:val="0"/>
        <w:spacing w:before="93" w:line="600" w:lineRule="exact"/>
        <w:ind w:firstLine="672" w:firstLineChars="210"/>
        <w:outlineLvl w:val="2"/>
        <w:rPr>
          <w:rFonts w:ascii="仿宋" w:hAnsi="仿宋" w:eastAsia="仿宋"/>
          <w:sz w:val="32"/>
          <w:szCs w:val="32"/>
        </w:rPr>
      </w:pPr>
      <w:r>
        <w:rPr>
          <w:rFonts w:hint="eastAsia" w:ascii="仿宋" w:hAnsi="仿宋" w:eastAsia="仿宋"/>
          <w:sz w:val="32"/>
          <w:szCs w:val="32"/>
        </w:rPr>
        <w:t>六是负责全县商标、广告监督管理工作，依法保护商标专用权和查处商标侵权行为。</w:t>
      </w:r>
    </w:p>
    <w:p>
      <w:pPr>
        <w:pStyle w:val="2"/>
        <w:adjustRightInd w:val="0"/>
        <w:snapToGrid w:val="0"/>
        <w:spacing w:before="93" w:line="600" w:lineRule="exact"/>
        <w:ind w:firstLine="672" w:firstLineChars="210"/>
        <w:outlineLvl w:val="2"/>
        <w:rPr>
          <w:rFonts w:ascii="仿宋" w:hAnsi="仿宋" w:eastAsia="仿宋"/>
          <w:sz w:val="32"/>
          <w:szCs w:val="32"/>
        </w:rPr>
      </w:pPr>
      <w:r>
        <w:rPr>
          <w:rFonts w:hint="eastAsia" w:ascii="仿宋" w:hAnsi="仿宋" w:eastAsia="仿宋"/>
          <w:sz w:val="32"/>
          <w:szCs w:val="32"/>
        </w:rPr>
        <w:t>七是负责各类企业、农民专业合作社和从事经营活动的单位、个人等市场主体的登记注册、监督管理，依法牵头查处取缔无证无照经营行为。</w:t>
      </w:r>
    </w:p>
    <w:p>
      <w:pPr>
        <w:pStyle w:val="2"/>
        <w:adjustRightInd w:val="0"/>
        <w:snapToGrid w:val="0"/>
        <w:spacing w:before="93" w:line="600" w:lineRule="exact"/>
        <w:ind w:firstLine="672" w:firstLineChars="210"/>
        <w:outlineLvl w:val="2"/>
        <w:rPr>
          <w:rFonts w:ascii="仿宋" w:hAnsi="仿宋" w:eastAsia="仿宋"/>
          <w:sz w:val="32"/>
          <w:szCs w:val="32"/>
        </w:rPr>
      </w:pPr>
      <w:r>
        <w:rPr>
          <w:rFonts w:hint="eastAsia" w:ascii="仿宋" w:hAnsi="仿宋" w:eastAsia="仿宋"/>
          <w:sz w:val="32"/>
          <w:szCs w:val="32"/>
        </w:rPr>
        <w:t>八是负责辖区内消费者权益保护工作，建立消费者权益保护体系，组织指导消费者维权工作。</w:t>
      </w:r>
    </w:p>
    <w:p>
      <w:pPr>
        <w:pStyle w:val="2"/>
        <w:adjustRightInd w:val="0"/>
        <w:snapToGrid w:val="0"/>
        <w:spacing w:before="93" w:line="600" w:lineRule="exact"/>
        <w:ind w:firstLine="640" w:firstLineChars="200"/>
        <w:outlineLvl w:val="2"/>
        <w:rPr>
          <w:rFonts w:ascii="仿宋" w:hAnsi="仿宋" w:eastAsia="仿宋"/>
          <w:b/>
          <w:sz w:val="32"/>
          <w:szCs w:val="32"/>
        </w:rPr>
      </w:pPr>
      <w:r>
        <w:rPr>
          <w:rFonts w:hint="eastAsia" w:ascii="仿宋" w:hAnsi="仿宋" w:eastAsia="仿宋"/>
          <w:sz w:val="32"/>
          <w:szCs w:val="32"/>
        </w:rPr>
        <w:t>九是承担产品质量诚信体系建设有关工作，组织实施质量振兴工作，组织有关产品质量事故的调查处理，实施缺陷产品和不安全食品药品等召回制。</w:t>
      </w:r>
    </w:p>
    <w:p>
      <w:pPr>
        <w:ind w:firstLine="643" w:firstLineChars="200"/>
        <w:rPr>
          <w:rFonts w:ascii="仿宋" w:hAnsi="仿宋" w:eastAsia="仿宋"/>
          <w:b/>
          <w:sz w:val="32"/>
          <w:szCs w:val="32"/>
        </w:rPr>
      </w:pPr>
      <w:r>
        <w:rPr>
          <w:rFonts w:hint="eastAsia" w:ascii="仿宋" w:hAnsi="仿宋" w:eastAsia="仿宋"/>
          <w:b/>
          <w:sz w:val="32"/>
          <w:szCs w:val="32"/>
        </w:rPr>
        <w:t>二、机构设置情况</w:t>
      </w:r>
    </w:p>
    <w:p>
      <w:pPr>
        <w:ind w:firstLine="640" w:firstLineChars="200"/>
        <w:rPr>
          <w:rFonts w:ascii="仿宋" w:hAnsi="仿宋" w:eastAsia="仿宋"/>
          <w:b/>
          <w:sz w:val="32"/>
          <w:szCs w:val="32"/>
        </w:rPr>
      </w:pPr>
      <w:r>
        <w:rPr>
          <w:rFonts w:hint="eastAsia" w:ascii="仿宋" w:hAnsi="仿宋" w:eastAsia="仿宋"/>
          <w:sz w:val="32"/>
          <w:szCs w:val="32"/>
        </w:rPr>
        <w:t>炉霍县市场监督管理局内设办公室、政工股、行政审批股、财务股、综合协调股、法规股、食品生产安全监督管理股、消费者权益保护股、质量与认证监督管理股。人员编制28人，其中公务员14人，参公14个。</w:t>
      </w:r>
    </w:p>
    <w:p>
      <w:pPr>
        <w:ind w:firstLine="482" w:firstLineChars="150"/>
        <w:rPr>
          <w:rFonts w:ascii="仿宋" w:hAnsi="仿宋" w:eastAsia="仿宋"/>
          <w:b/>
          <w:sz w:val="32"/>
          <w:szCs w:val="32"/>
        </w:rPr>
      </w:pPr>
      <w:r>
        <w:rPr>
          <w:rFonts w:hint="eastAsia" w:ascii="仿宋" w:hAnsi="仿宋" w:eastAsia="仿宋"/>
          <w:b/>
          <w:sz w:val="32"/>
          <w:szCs w:val="32"/>
        </w:rPr>
        <w:t xml:space="preserve"> 三、预算收支情况说明（表1-1、1-2）</w:t>
      </w:r>
    </w:p>
    <w:p>
      <w:pPr>
        <w:rPr>
          <w:rFonts w:ascii="仿宋" w:hAnsi="仿宋" w:eastAsia="仿宋"/>
          <w:sz w:val="32"/>
          <w:szCs w:val="32"/>
        </w:rPr>
      </w:pPr>
      <w:r>
        <w:rPr>
          <w:rFonts w:hint="eastAsia" w:ascii="仿宋" w:hAnsi="仿宋" w:eastAsia="仿宋"/>
          <w:sz w:val="32"/>
          <w:szCs w:val="32"/>
        </w:rPr>
        <w:t xml:space="preserve">   （一）收入预算情况</w:t>
      </w:r>
    </w:p>
    <w:p>
      <w:pPr>
        <w:ind w:firstLine="64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年部门预算收入总数</w:t>
      </w:r>
      <w:r>
        <w:rPr>
          <w:rFonts w:hint="eastAsia" w:ascii="仿宋" w:hAnsi="仿宋" w:eastAsia="仿宋"/>
          <w:sz w:val="32"/>
          <w:szCs w:val="32"/>
          <w:lang w:val="en-US" w:eastAsia="zh-CN"/>
        </w:rPr>
        <w:t>368.67</w:t>
      </w:r>
      <w:r>
        <w:rPr>
          <w:rFonts w:hint="eastAsia" w:ascii="仿宋" w:hAnsi="仿宋" w:eastAsia="仿宋"/>
          <w:sz w:val="32"/>
          <w:szCs w:val="32"/>
        </w:rPr>
        <w:t>万元，其中一般公共预算拨款收入</w:t>
      </w:r>
      <w:r>
        <w:rPr>
          <w:rFonts w:hint="eastAsia" w:ascii="仿宋" w:hAnsi="仿宋" w:eastAsia="仿宋"/>
          <w:sz w:val="32"/>
          <w:szCs w:val="32"/>
          <w:lang w:val="en-US" w:eastAsia="zh-CN"/>
        </w:rPr>
        <w:t>368.67</w:t>
      </w:r>
      <w:r>
        <w:rPr>
          <w:rFonts w:hint="eastAsia" w:ascii="仿宋" w:hAnsi="仿宋" w:eastAsia="仿宋"/>
          <w:sz w:val="32"/>
          <w:szCs w:val="32"/>
        </w:rPr>
        <w:t>万元，占100%。</w:t>
      </w:r>
    </w:p>
    <w:p>
      <w:pPr>
        <w:ind w:firstLine="640"/>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3443605" cy="1784985"/>
            <wp:effectExtent l="4445" t="5080" r="11430" b="825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rPr>
          <w:rFonts w:ascii="仿宋" w:hAnsi="仿宋" w:eastAsia="仿宋"/>
          <w:sz w:val="32"/>
          <w:szCs w:val="32"/>
        </w:rPr>
      </w:pPr>
      <w:r>
        <w:rPr>
          <w:rFonts w:hint="eastAsia" w:ascii="仿宋" w:hAnsi="仿宋" w:eastAsia="仿宋"/>
          <w:sz w:val="32"/>
          <w:szCs w:val="32"/>
        </w:rPr>
        <w:t xml:space="preserve">    (二)支出预算情况</w:t>
      </w:r>
    </w:p>
    <w:p>
      <w:pPr>
        <w:rPr>
          <w:rFonts w:hint="eastAsia" w:ascii="仿宋" w:hAnsi="仿宋" w:eastAsia="仿宋"/>
          <w:sz w:val="32"/>
          <w:szCs w:val="32"/>
          <w:lang w:eastAsia="zh-CN"/>
        </w:rPr>
      </w:pPr>
      <w:r>
        <w:rPr>
          <w:rFonts w:hint="eastAsia" w:ascii="仿宋" w:hAnsi="仿宋" w:eastAsia="仿宋"/>
          <w:sz w:val="32"/>
          <w:szCs w:val="32"/>
        </w:rPr>
        <w:t xml:space="preserve">    202</w:t>
      </w:r>
      <w:r>
        <w:rPr>
          <w:rFonts w:hint="eastAsia" w:ascii="仿宋" w:hAnsi="仿宋" w:eastAsia="仿宋"/>
          <w:sz w:val="32"/>
          <w:szCs w:val="32"/>
          <w:lang w:val="en-US" w:eastAsia="zh-CN"/>
        </w:rPr>
        <w:t>2</w:t>
      </w:r>
      <w:r>
        <w:rPr>
          <w:rFonts w:hint="eastAsia" w:ascii="仿宋" w:hAnsi="仿宋" w:eastAsia="仿宋"/>
          <w:sz w:val="32"/>
          <w:szCs w:val="32"/>
        </w:rPr>
        <w:t>年部门预算支出总数</w:t>
      </w:r>
      <w:r>
        <w:rPr>
          <w:rFonts w:hint="eastAsia" w:ascii="仿宋" w:hAnsi="仿宋" w:eastAsia="仿宋"/>
          <w:sz w:val="32"/>
          <w:szCs w:val="32"/>
          <w:lang w:val="en-US" w:eastAsia="zh-CN"/>
        </w:rPr>
        <w:t>368.67</w:t>
      </w:r>
      <w:r>
        <w:rPr>
          <w:rFonts w:hint="eastAsia" w:ascii="仿宋" w:hAnsi="仿宋" w:eastAsia="仿宋"/>
          <w:sz w:val="32"/>
          <w:szCs w:val="32"/>
        </w:rPr>
        <w:t>万元，其中：基本支出</w:t>
      </w:r>
      <w:r>
        <w:rPr>
          <w:rFonts w:hint="eastAsia" w:ascii="仿宋" w:hAnsi="仿宋" w:eastAsia="仿宋"/>
          <w:sz w:val="32"/>
          <w:szCs w:val="32"/>
          <w:lang w:val="en-US" w:eastAsia="zh-CN"/>
        </w:rPr>
        <w:t>368.67</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hint="eastAsia" w:ascii="仿宋" w:hAnsi="仿宋" w:eastAsia="仿宋"/>
          <w:sz w:val="32"/>
          <w:szCs w:val="32"/>
        </w:rPr>
        <w:t>%，</w:t>
      </w:r>
      <w:r>
        <w:rPr>
          <w:rFonts w:hint="eastAsia" w:ascii="仿宋" w:hAnsi="仿宋" w:eastAsia="仿宋"/>
          <w:sz w:val="32"/>
          <w:szCs w:val="32"/>
          <w:lang w:eastAsia="zh-CN"/>
        </w:rPr>
        <w:t>无</w:t>
      </w:r>
      <w:r>
        <w:rPr>
          <w:rFonts w:hint="eastAsia" w:ascii="仿宋" w:hAnsi="仿宋" w:eastAsia="仿宋"/>
          <w:sz w:val="32"/>
          <w:szCs w:val="32"/>
        </w:rPr>
        <w:t>项目支出</w:t>
      </w:r>
      <w:r>
        <w:rPr>
          <w:rFonts w:hint="eastAsia" w:ascii="仿宋" w:hAnsi="仿宋" w:eastAsia="仿宋"/>
          <w:sz w:val="32"/>
          <w:szCs w:val="32"/>
          <w:lang w:eastAsia="zh-CN"/>
        </w:rPr>
        <w:t>。</w:t>
      </w:r>
    </w:p>
    <w:p>
      <w:pPr>
        <w:rPr>
          <w:rFonts w:ascii="仿宋" w:hAnsi="仿宋" w:eastAsia="仿宋"/>
          <w:b/>
          <w:sz w:val="32"/>
          <w:szCs w:val="32"/>
        </w:rPr>
      </w:pPr>
      <w:r>
        <w:rPr>
          <w:rFonts w:hint="eastAsia" w:ascii="仿宋" w:hAnsi="仿宋" w:eastAsia="仿宋"/>
          <w:b/>
          <w:sz w:val="32"/>
          <w:szCs w:val="32"/>
        </w:rPr>
        <w:t xml:space="preserve">    四、财政拨款收支预算情况说明（表2）</w:t>
      </w:r>
    </w:p>
    <w:p>
      <w:pPr>
        <w:ind w:firstLine="640"/>
        <w:rPr>
          <w:rFonts w:hint="eastAsia"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年财政拨款收支总预算</w:t>
      </w:r>
      <w:r>
        <w:rPr>
          <w:rFonts w:hint="eastAsia" w:ascii="仿宋" w:hAnsi="仿宋" w:eastAsia="仿宋"/>
          <w:sz w:val="32"/>
          <w:szCs w:val="32"/>
          <w:lang w:val="en-US" w:eastAsia="zh-CN"/>
        </w:rPr>
        <w:t>368.67</w:t>
      </w:r>
      <w:r>
        <w:rPr>
          <w:rFonts w:hint="eastAsia" w:ascii="仿宋" w:hAnsi="仿宋" w:eastAsia="仿宋"/>
          <w:sz w:val="32"/>
          <w:szCs w:val="32"/>
        </w:rPr>
        <w:t>万元，比202</w:t>
      </w:r>
      <w:r>
        <w:rPr>
          <w:rFonts w:hint="eastAsia" w:ascii="仿宋" w:hAnsi="仿宋" w:eastAsia="仿宋"/>
          <w:sz w:val="32"/>
          <w:szCs w:val="32"/>
          <w:lang w:val="en-US" w:eastAsia="zh-CN"/>
        </w:rPr>
        <w:t>1</w:t>
      </w:r>
      <w:r>
        <w:rPr>
          <w:rFonts w:hint="eastAsia" w:ascii="仿宋" w:hAnsi="仿宋" w:eastAsia="仿宋"/>
          <w:sz w:val="32"/>
          <w:szCs w:val="32"/>
        </w:rPr>
        <w:t>年财政拨款收支总预算减少</w:t>
      </w:r>
      <w:r>
        <w:rPr>
          <w:rFonts w:hint="eastAsia" w:ascii="仿宋" w:hAnsi="仿宋" w:eastAsia="仿宋"/>
          <w:sz w:val="32"/>
          <w:szCs w:val="32"/>
          <w:lang w:val="en-US" w:eastAsia="zh-CN"/>
        </w:rPr>
        <w:t>21</w:t>
      </w:r>
      <w:r>
        <w:rPr>
          <w:rFonts w:hint="eastAsia" w:ascii="仿宋" w:hAnsi="仿宋" w:eastAsia="仿宋"/>
          <w:sz w:val="32"/>
          <w:szCs w:val="32"/>
        </w:rPr>
        <w:t>万元，主要是因为</w:t>
      </w:r>
      <w:r>
        <w:rPr>
          <w:rFonts w:hint="eastAsia" w:ascii="仿宋" w:hAnsi="仿宋" w:eastAsia="仿宋"/>
          <w:sz w:val="32"/>
          <w:szCs w:val="32"/>
          <w:lang w:val="en-US" w:eastAsia="zh-CN"/>
        </w:rPr>
        <w:t>2022年无项目预算。</w:t>
      </w:r>
    </w:p>
    <w:p>
      <w:pPr>
        <w:ind w:firstLine="640"/>
        <w:rPr>
          <w:rFonts w:ascii="仿宋" w:hAnsi="仿宋" w:eastAsia="仿宋"/>
          <w:sz w:val="32"/>
          <w:szCs w:val="32"/>
        </w:rPr>
      </w:pPr>
      <w:r>
        <w:rPr>
          <w:rFonts w:hint="eastAsia" w:ascii="仿宋" w:hAnsi="仿宋" w:eastAsia="仿宋"/>
          <w:sz w:val="32"/>
          <w:szCs w:val="32"/>
        </w:rPr>
        <w:t xml:space="preserve">   收入包括：本年一般公共预算拨款收入</w:t>
      </w:r>
      <w:r>
        <w:rPr>
          <w:rFonts w:hint="eastAsia" w:ascii="仿宋" w:hAnsi="仿宋" w:eastAsia="仿宋"/>
          <w:sz w:val="32"/>
          <w:szCs w:val="32"/>
          <w:lang w:val="en-US" w:eastAsia="zh-CN"/>
        </w:rPr>
        <w:t>368.67</w:t>
      </w:r>
      <w:r>
        <w:rPr>
          <w:rFonts w:hint="eastAsia" w:ascii="仿宋" w:hAnsi="仿宋" w:eastAsia="仿宋"/>
          <w:sz w:val="32"/>
          <w:szCs w:val="32"/>
        </w:rPr>
        <w:t>万元。</w:t>
      </w:r>
    </w:p>
    <w:p>
      <w:pPr>
        <w:rPr>
          <w:rFonts w:ascii="仿宋" w:hAnsi="仿宋" w:eastAsia="仿宋"/>
          <w:b/>
          <w:sz w:val="32"/>
          <w:szCs w:val="32"/>
        </w:rPr>
      </w:pPr>
      <w:r>
        <w:rPr>
          <w:rFonts w:hint="eastAsia" w:ascii="仿宋" w:hAnsi="仿宋" w:eastAsia="仿宋"/>
          <w:b/>
          <w:sz w:val="32"/>
          <w:szCs w:val="32"/>
        </w:rPr>
        <w:t xml:space="preserve">    五、一般公共预算当年拨款情况说明(表3）</w:t>
      </w:r>
    </w:p>
    <w:p>
      <w:pPr>
        <w:ind w:firstLine="640" w:firstLineChars="200"/>
        <w:rPr>
          <w:rFonts w:ascii="仿宋" w:hAnsi="仿宋" w:eastAsia="仿宋"/>
          <w:sz w:val="32"/>
          <w:szCs w:val="32"/>
        </w:rPr>
      </w:pPr>
      <w:r>
        <w:rPr>
          <w:rFonts w:hint="eastAsia" w:ascii="仿宋" w:hAnsi="仿宋" w:eastAsia="仿宋"/>
          <w:sz w:val="32"/>
          <w:szCs w:val="32"/>
        </w:rPr>
        <w:t>（一）一般公共预算当年拨款规模变化情况。</w:t>
      </w:r>
    </w:p>
    <w:p>
      <w:pPr>
        <w:ind w:firstLine="640"/>
        <w:rPr>
          <w:rFonts w:hint="eastAsia"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年一般公共预算当年拨款</w:t>
      </w:r>
      <w:r>
        <w:rPr>
          <w:rFonts w:hint="eastAsia" w:ascii="仿宋" w:hAnsi="仿宋" w:eastAsia="仿宋"/>
          <w:sz w:val="32"/>
          <w:szCs w:val="32"/>
          <w:lang w:val="en-US" w:eastAsia="zh-CN"/>
        </w:rPr>
        <w:t>368.67</w:t>
      </w:r>
      <w:r>
        <w:rPr>
          <w:rFonts w:hint="eastAsia" w:ascii="仿宋" w:hAnsi="仿宋" w:eastAsia="仿宋"/>
          <w:sz w:val="32"/>
          <w:szCs w:val="32"/>
        </w:rPr>
        <w:t>万元，比202</w:t>
      </w:r>
      <w:r>
        <w:rPr>
          <w:rFonts w:hint="eastAsia" w:ascii="仿宋" w:hAnsi="仿宋" w:eastAsia="仿宋"/>
          <w:sz w:val="32"/>
          <w:szCs w:val="32"/>
          <w:lang w:val="en-US" w:eastAsia="zh-CN"/>
        </w:rPr>
        <w:t>1</w:t>
      </w:r>
      <w:r>
        <w:rPr>
          <w:rFonts w:hint="eastAsia" w:ascii="仿宋" w:hAnsi="仿宋" w:eastAsia="仿宋"/>
          <w:sz w:val="32"/>
          <w:szCs w:val="32"/>
        </w:rPr>
        <w:t>年预算数减少</w:t>
      </w:r>
      <w:r>
        <w:rPr>
          <w:rFonts w:hint="eastAsia" w:ascii="仿宋" w:hAnsi="仿宋" w:eastAsia="仿宋"/>
          <w:sz w:val="32"/>
          <w:szCs w:val="32"/>
          <w:lang w:val="en-US" w:eastAsia="zh-CN"/>
        </w:rPr>
        <w:t>21</w:t>
      </w:r>
      <w:r>
        <w:rPr>
          <w:rFonts w:hint="eastAsia" w:ascii="仿宋" w:hAnsi="仿宋" w:eastAsia="仿宋"/>
          <w:sz w:val="32"/>
          <w:szCs w:val="32"/>
        </w:rPr>
        <w:t>万元，</w:t>
      </w:r>
      <w:r>
        <w:rPr>
          <w:rFonts w:hint="eastAsia" w:ascii="仿宋" w:hAnsi="仿宋" w:eastAsia="仿宋"/>
          <w:sz w:val="32"/>
          <w:szCs w:val="32"/>
          <w:lang w:eastAsia="zh-CN"/>
        </w:rPr>
        <w:t>主要是因为</w:t>
      </w:r>
      <w:r>
        <w:rPr>
          <w:rFonts w:hint="eastAsia" w:ascii="仿宋" w:hAnsi="仿宋" w:eastAsia="仿宋"/>
          <w:sz w:val="32"/>
          <w:szCs w:val="32"/>
          <w:lang w:val="en-US" w:eastAsia="zh-CN"/>
        </w:rPr>
        <w:t>2022年无项目预算。</w:t>
      </w:r>
    </w:p>
    <w:p>
      <w:pPr>
        <w:ind w:firstLine="640"/>
        <w:rPr>
          <w:rFonts w:hint="default" w:ascii="仿宋" w:hAnsi="仿宋" w:eastAsia="仿宋"/>
          <w:sz w:val="32"/>
          <w:szCs w:val="32"/>
          <w:lang w:val="en-US" w:eastAsia="zh-CN"/>
        </w:rPr>
      </w:pPr>
      <w:r>
        <w:rPr>
          <w:rFonts w:hint="default" w:ascii="仿宋" w:hAnsi="仿宋" w:eastAsia="仿宋"/>
          <w:sz w:val="32"/>
          <w:szCs w:val="32"/>
          <w:lang w:val="en-US" w:eastAsia="zh-CN"/>
        </w:rPr>
        <w:drawing>
          <wp:inline distT="0" distB="0" distL="114300" distR="114300">
            <wp:extent cx="3657600" cy="1875790"/>
            <wp:effectExtent l="4445" t="4445" r="10795"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ind w:firstLine="640" w:firstLineChars="200"/>
        <w:rPr>
          <w:rFonts w:ascii="仿宋" w:hAnsi="仿宋" w:eastAsia="仿宋"/>
          <w:sz w:val="32"/>
          <w:szCs w:val="32"/>
        </w:rPr>
      </w:pPr>
      <w:r>
        <w:rPr>
          <w:rFonts w:hint="eastAsia" w:ascii="仿宋" w:hAnsi="仿宋" w:eastAsia="仿宋"/>
          <w:sz w:val="32"/>
          <w:szCs w:val="32"/>
        </w:rPr>
        <w:t>（二）一般公共预算当年拨款结构情况</w:t>
      </w:r>
    </w:p>
    <w:p>
      <w:pPr>
        <w:ind w:firstLine="660"/>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lang w:val="en-US" w:eastAsia="zh-CN"/>
        </w:rPr>
        <w:t>368.67</w:t>
      </w:r>
      <w:r>
        <w:rPr>
          <w:rFonts w:hint="eastAsia" w:ascii="仿宋" w:hAnsi="仿宋" w:eastAsia="仿宋"/>
          <w:sz w:val="32"/>
          <w:szCs w:val="32"/>
        </w:rPr>
        <w:t>万元，占100%，具体为基本支出</w:t>
      </w:r>
      <w:r>
        <w:rPr>
          <w:rFonts w:hint="eastAsia" w:ascii="仿宋" w:hAnsi="仿宋" w:eastAsia="仿宋"/>
          <w:sz w:val="32"/>
          <w:szCs w:val="32"/>
          <w:lang w:val="en-US" w:eastAsia="zh-CN"/>
        </w:rPr>
        <w:t>251.63</w:t>
      </w:r>
      <w:r>
        <w:rPr>
          <w:rFonts w:hint="eastAsia" w:ascii="仿宋" w:hAnsi="仿宋" w:eastAsia="仿宋"/>
          <w:sz w:val="32"/>
          <w:szCs w:val="32"/>
        </w:rPr>
        <w:t>万元（2013801行政运行</w:t>
      </w:r>
      <w:r>
        <w:rPr>
          <w:rFonts w:hint="eastAsia" w:ascii="仿宋" w:hAnsi="仿宋" w:eastAsia="仿宋"/>
          <w:sz w:val="32"/>
          <w:szCs w:val="32"/>
          <w:lang w:val="en-US" w:eastAsia="zh-CN"/>
        </w:rPr>
        <w:t>249.83</w:t>
      </w:r>
      <w:r>
        <w:rPr>
          <w:rFonts w:hint="eastAsia" w:ascii="仿宋" w:hAnsi="仿宋" w:eastAsia="仿宋"/>
          <w:sz w:val="32"/>
          <w:szCs w:val="32"/>
        </w:rPr>
        <w:t>万元，</w:t>
      </w:r>
      <w:r>
        <w:rPr>
          <w:rFonts w:hint="eastAsia" w:ascii="仿宋" w:hAnsi="仿宋" w:eastAsia="仿宋"/>
          <w:sz w:val="32"/>
          <w:szCs w:val="32"/>
          <w:lang w:val="en-US" w:eastAsia="zh-CN"/>
        </w:rPr>
        <w:t>2013850事业运行1.90万元，</w:t>
      </w:r>
      <w:r>
        <w:rPr>
          <w:rFonts w:hint="eastAsia" w:ascii="仿宋" w:hAnsi="仿宋" w:eastAsia="仿宋"/>
          <w:sz w:val="32"/>
          <w:szCs w:val="32"/>
        </w:rPr>
        <w:t>2080501行政单位离退休</w:t>
      </w:r>
      <w:r>
        <w:rPr>
          <w:rFonts w:hint="eastAsia" w:ascii="仿宋" w:hAnsi="仿宋" w:eastAsia="仿宋"/>
          <w:sz w:val="32"/>
          <w:szCs w:val="32"/>
          <w:lang w:val="en-US" w:eastAsia="zh-CN"/>
        </w:rPr>
        <w:t>14.50</w:t>
      </w:r>
      <w:r>
        <w:rPr>
          <w:rFonts w:hint="eastAsia" w:ascii="仿宋" w:hAnsi="仿宋" w:eastAsia="仿宋"/>
          <w:sz w:val="32"/>
          <w:szCs w:val="32"/>
        </w:rPr>
        <w:t>万元，2080505机关事业单位养老保险缴费支出3</w:t>
      </w:r>
      <w:r>
        <w:rPr>
          <w:rFonts w:hint="eastAsia" w:ascii="仿宋" w:hAnsi="仿宋" w:eastAsia="仿宋"/>
          <w:sz w:val="32"/>
          <w:szCs w:val="32"/>
          <w:lang w:val="en-US" w:eastAsia="zh-CN"/>
        </w:rPr>
        <w:t>6.14</w:t>
      </w:r>
      <w:r>
        <w:rPr>
          <w:rFonts w:hint="eastAsia" w:ascii="仿宋" w:hAnsi="仿宋" w:eastAsia="仿宋"/>
          <w:sz w:val="32"/>
          <w:szCs w:val="32"/>
        </w:rPr>
        <w:t>万元，2080599其他行政事业单位养老支出2.0</w:t>
      </w:r>
      <w:r>
        <w:rPr>
          <w:rFonts w:hint="eastAsia" w:ascii="仿宋" w:hAnsi="仿宋" w:eastAsia="仿宋"/>
          <w:sz w:val="32"/>
          <w:szCs w:val="32"/>
          <w:lang w:val="en-US" w:eastAsia="zh-CN"/>
        </w:rPr>
        <w:t>5</w:t>
      </w:r>
      <w:r>
        <w:rPr>
          <w:rFonts w:hint="eastAsia" w:ascii="仿宋" w:hAnsi="仿宋" w:eastAsia="仿宋"/>
          <w:sz w:val="32"/>
          <w:szCs w:val="32"/>
        </w:rPr>
        <w:t>万元，2089901其他社会保障和就业支出</w:t>
      </w:r>
      <w:r>
        <w:rPr>
          <w:rFonts w:hint="eastAsia" w:ascii="仿宋" w:hAnsi="仿宋" w:eastAsia="仿宋"/>
          <w:sz w:val="32"/>
          <w:szCs w:val="32"/>
          <w:lang w:val="en-US" w:eastAsia="zh-CN"/>
        </w:rPr>
        <w:t>3.44</w:t>
      </w:r>
      <w:r>
        <w:rPr>
          <w:rFonts w:hint="eastAsia" w:ascii="仿宋" w:hAnsi="仿宋" w:eastAsia="仿宋"/>
          <w:sz w:val="32"/>
          <w:szCs w:val="32"/>
        </w:rPr>
        <w:t>万元，2101101行政单位医疗</w:t>
      </w:r>
      <w:r>
        <w:rPr>
          <w:rFonts w:hint="eastAsia" w:ascii="仿宋" w:hAnsi="仿宋" w:eastAsia="仿宋"/>
          <w:sz w:val="32"/>
          <w:szCs w:val="32"/>
          <w:lang w:val="en-US" w:eastAsia="zh-CN"/>
        </w:rPr>
        <w:t>7.35</w:t>
      </w:r>
      <w:r>
        <w:rPr>
          <w:rFonts w:hint="eastAsia" w:ascii="仿宋" w:hAnsi="仿宋" w:eastAsia="仿宋"/>
          <w:sz w:val="32"/>
          <w:szCs w:val="32"/>
        </w:rPr>
        <w:t>万元，2101103公务员医疗补助</w:t>
      </w:r>
      <w:r>
        <w:rPr>
          <w:rFonts w:hint="eastAsia" w:ascii="仿宋" w:hAnsi="仿宋" w:eastAsia="仿宋"/>
          <w:sz w:val="32"/>
          <w:szCs w:val="32"/>
          <w:lang w:val="en-US" w:eastAsia="zh-CN"/>
        </w:rPr>
        <w:t>15.59</w:t>
      </w:r>
      <w:r>
        <w:rPr>
          <w:rFonts w:hint="eastAsia" w:ascii="仿宋" w:hAnsi="仿宋" w:eastAsia="仿宋"/>
          <w:sz w:val="32"/>
          <w:szCs w:val="32"/>
        </w:rPr>
        <w:t>万元，2210201住房公积金</w:t>
      </w:r>
      <w:r>
        <w:rPr>
          <w:rFonts w:hint="eastAsia" w:ascii="仿宋" w:hAnsi="仿宋" w:eastAsia="仿宋"/>
          <w:sz w:val="32"/>
          <w:szCs w:val="32"/>
          <w:lang w:val="en-US" w:eastAsia="zh-CN"/>
        </w:rPr>
        <w:t>37.87</w:t>
      </w:r>
      <w:r>
        <w:rPr>
          <w:rFonts w:hint="eastAsia" w:ascii="仿宋" w:hAnsi="仿宋" w:eastAsia="仿宋"/>
          <w:sz w:val="32"/>
          <w:szCs w:val="32"/>
        </w:rPr>
        <w:t>万元；</w:t>
      </w:r>
    </w:p>
    <w:p>
      <w:pPr>
        <w:ind w:firstLine="480" w:firstLineChars="150"/>
        <w:rPr>
          <w:rFonts w:ascii="仿宋" w:hAnsi="仿宋" w:eastAsia="仿宋"/>
          <w:sz w:val="32"/>
          <w:szCs w:val="32"/>
        </w:rPr>
      </w:pPr>
      <w:r>
        <w:rPr>
          <w:rFonts w:hint="eastAsia" w:ascii="仿宋" w:hAnsi="仿宋" w:eastAsia="仿宋"/>
          <w:sz w:val="32"/>
          <w:szCs w:val="32"/>
        </w:rPr>
        <w:t>（三）一般公共预算当年拨款具体使用情况</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、2013801行政运行，</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年预算数为</w:t>
      </w:r>
      <w:r>
        <w:rPr>
          <w:rFonts w:hint="eastAsia" w:ascii="仿宋" w:hAnsi="仿宋" w:eastAsia="仿宋"/>
          <w:sz w:val="32"/>
          <w:szCs w:val="32"/>
          <w:lang w:val="en-US" w:eastAsia="zh-CN"/>
        </w:rPr>
        <w:t>249.83</w:t>
      </w:r>
      <w:r>
        <w:rPr>
          <w:rFonts w:hint="eastAsia" w:ascii="仿宋" w:hAnsi="仿宋" w:eastAsia="仿宋"/>
          <w:sz w:val="32"/>
          <w:szCs w:val="32"/>
        </w:rPr>
        <w:t>万元，主要用于工资支出、商品和服务支出、对个人和家庭的补助支出，较2020年预算</w:t>
      </w:r>
      <w:r>
        <w:rPr>
          <w:rFonts w:hint="eastAsia" w:ascii="仿宋" w:hAnsi="仿宋" w:eastAsia="仿宋"/>
          <w:sz w:val="32"/>
          <w:szCs w:val="32"/>
          <w:lang w:val="en-US" w:eastAsia="zh-CN"/>
        </w:rPr>
        <w:t>251.19</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20</w:t>
      </w:r>
      <w:r>
        <w:rPr>
          <w:rFonts w:hint="eastAsia" w:ascii="仿宋" w:hAnsi="仿宋" w:eastAsia="仿宋"/>
          <w:sz w:val="32"/>
          <w:szCs w:val="32"/>
        </w:rPr>
        <w:t>万元，</w:t>
      </w:r>
      <w:r>
        <w:rPr>
          <w:rFonts w:hint="eastAsia" w:ascii="仿宋" w:hAnsi="仿宋" w:eastAsia="仿宋"/>
          <w:sz w:val="32"/>
          <w:szCs w:val="32"/>
          <w:lang w:eastAsia="zh-CN"/>
        </w:rPr>
        <w:t>增加原因为人员增加，</w:t>
      </w:r>
      <w:r>
        <w:rPr>
          <w:rFonts w:hint="eastAsia" w:ascii="仿宋" w:hAnsi="仿宋" w:eastAsia="仿宋"/>
          <w:sz w:val="32"/>
          <w:szCs w:val="32"/>
        </w:rPr>
        <w:t>工资及福利支出</w:t>
      </w:r>
      <w:r>
        <w:rPr>
          <w:rFonts w:hint="eastAsia" w:ascii="仿宋" w:hAnsi="仿宋" w:eastAsia="仿宋"/>
          <w:sz w:val="32"/>
          <w:szCs w:val="32"/>
          <w:lang w:eastAsia="zh-CN"/>
        </w:rPr>
        <w:t>增加</w:t>
      </w:r>
      <w:r>
        <w:rPr>
          <w:rFonts w:hint="eastAsia" w:ascii="仿宋" w:hAnsi="仿宋" w:eastAsia="仿宋"/>
          <w:sz w:val="32"/>
          <w:szCs w:val="32"/>
        </w:rPr>
        <w:t>，社会保障缴费</w:t>
      </w:r>
      <w:r>
        <w:rPr>
          <w:rFonts w:hint="eastAsia" w:ascii="仿宋" w:hAnsi="仿宋" w:eastAsia="仿宋"/>
          <w:sz w:val="32"/>
          <w:szCs w:val="32"/>
          <w:lang w:eastAsia="zh-CN"/>
        </w:rPr>
        <w:t>增加</w:t>
      </w:r>
      <w:r>
        <w:rPr>
          <w:rFonts w:hint="eastAsia" w:ascii="仿宋" w:hAnsi="仿宋" w:eastAsia="仿宋"/>
          <w:sz w:val="32"/>
          <w:szCs w:val="32"/>
        </w:rPr>
        <w:t>。</w:t>
      </w:r>
    </w:p>
    <w:p>
      <w:pPr>
        <w:ind w:firstLine="615"/>
        <w:rPr>
          <w:rFonts w:ascii="仿宋" w:hAnsi="仿宋" w:eastAsia="仿宋"/>
          <w:sz w:val="32"/>
          <w:szCs w:val="32"/>
        </w:rPr>
      </w:pPr>
      <w:r>
        <w:rPr>
          <w:rFonts w:hint="eastAsia" w:ascii="仿宋" w:hAnsi="仿宋" w:eastAsia="仿宋"/>
          <w:sz w:val="32"/>
          <w:szCs w:val="32"/>
        </w:rPr>
        <w:t>2、2080505机关事业单位养老保险缴费支出</w:t>
      </w:r>
      <w:r>
        <w:rPr>
          <w:rFonts w:hint="eastAsia" w:ascii="仿宋" w:hAnsi="仿宋" w:eastAsia="仿宋"/>
          <w:sz w:val="32"/>
          <w:szCs w:val="32"/>
          <w:lang w:val="en-US" w:eastAsia="zh-CN"/>
        </w:rPr>
        <w:t>36.14</w:t>
      </w:r>
      <w:r>
        <w:rPr>
          <w:rFonts w:hint="eastAsia" w:ascii="仿宋" w:hAnsi="仿宋" w:eastAsia="仿宋"/>
          <w:sz w:val="32"/>
          <w:szCs w:val="32"/>
        </w:rPr>
        <w:t>万元，较202</w:t>
      </w:r>
      <w:r>
        <w:rPr>
          <w:rFonts w:hint="eastAsia" w:ascii="仿宋" w:hAnsi="仿宋" w:eastAsia="仿宋"/>
          <w:sz w:val="32"/>
          <w:szCs w:val="32"/>
          <w:lang w:val="en-US" w:eastAsia="zh-CN"/>
        </w:rPr>
        <w:t>1</w:t>
      </w:r>
      <w:r>
        <w:rPr>
          <w:rFonts w:hint="eastAsia" w:ascii="仿宋" w:hAnsi="仿宋" w:eastAsia="仿宋"/>
          <w:sz w:val="32"/>
          <w:szCs w:val="32"/>
        </w:rPr>
        <w:t>年预算</w:t>
      </w:r>
      <w:r>
        <w:rPr>
          <w:rFonts w:hint="eastAsia" w:ascii="仿宋" w:hAnsi="仿宋" w:eastAsia="仿宋"/>
          <w:sz w:val="32"/>
          <w:szCs w:val="32"/>
          <w:lang w:val="en-US" w:eastAsia="zh-CN"/>
        </w:rPr>
        <w:t>35.35</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1</w:t>
      </w:r>
      <w:r>
        <w:rPr>
          <w:rFonts w:hint="eastAsia" w:ascii="仿宋" w:hAnsi="仿宋" w:eastAsia="仿宋"/>
          <w:sz w:val="32"/>
          <w:szCs w:val="32"/>
        </w:rPr>
        <w:t>万元；</w:t>
      </w:r>
    </w:p>
    <w:p>
      <w:pPr>
        <w:ind w:firstLine="615"/>
        <w:rPr>
          <w:rFonts w:ascii="仿宋" w:hAnsi="仿宋" w:eastAsia="仿宋"/>
          <w:sz w:val="32"/>
          <w:szCs w:val="32"/>
        </w:rPr>
      </w:pPr>
      <w:r>
        <w:rPr>
          <w:rFonts w:hint="eastAsia" w:ascii="仿宋" w:hAnsi="仿宋" w:eastAsia="仿宋"/>
          <w:sz w:val="32"/>
          <w:szCs w:val="32"/>
        </w:rPr>
        <w:t>3、2080599其他行政事业单位养老支出2.0</w:t>
      </w:r>
      <w:r>
        <w:rPr>
          <w:rFonts w:hint="eastAsia" w:ascii="仿宋" w:hAnsi="仿宋" w:eastAsia="仿宋"/>
          <w:sz w:val="32"/>
          <w:szCs w:val="32"/>
          <w:lang w:val="en-US" w:eastAsia="zh-CN"/>
        </w:rPr>
        <w:t>7</w:t>
      </w:r>
      <w:r>
        <w:rPr>
          <w:rFonts w:hint="eastAsia" w:ascii="仿宋" w:hAnsi="仿宋" w:eastAsia="仿宋"/>
          <w:sz w:val="32"/>
          <w:szCs w:val="32"/>
        </w:rPr>
        <w:t>万元，用于退休职工体检费，较202</w:t>
      </w:r>
      <w:r>
        <w:rPr>
          <w:rFonts w:hint="eastAsia" w:ascii="仿宋" w:hAnsi="仿宋" w:eastAsia="仿宋"/>
          <w:sz w:val="32"/>
          <w:szCs w:val="32"/>
          <w:lang w:val="en-US" w:eastAsia="zh-CN"/>
        </w:rPr>
        <w:t>1</w:t>
      </w:r>
      <w:r>
        <w:rPr>
          <w:rFonts w:hint="eastAsia" w:ascii="仿宋" w:hAnsi="仿宋" w:eastAsia="仿宋"/>
          <w:sz w:val="32"/>
          <w:szCs w:val="32"/>
        </w:rPr>
        <w:t>年预算</w:t>
      </w:r>
      <w:r>
        <w:rPr>
          <w:rFonts w:hint="eastAsia" w:ascii="仿宋" w:hAnsi="仿宋" w:eastAsia="仿宋"/>
          <w:sz w:val="32"/>
          <w:szCs w:val="32"/>
          <w:lang w:val="en-US" w:eastAsia="zh-CN"/>
        </w:rPr>
        <w:t>2.05</w:t>
      </w:r>
      <w:r>
        <w:rPr>
          <w:rFonts w:hint="eastAsia" w:ascii="仿宋" w:hAnsi="仿宋" w:eastAsia="仿宋"/>
          <w:sz w:val="32"/>
          <w:szCs w:val="32"/>
        </w:rPr>
        <w:t>增加了</w:t>
      </w:r>
      <w:r>
        <w:rPr>
          <w:rFonts w:hint="eastAsia" w:ascii="仿宋" w:hAnsi="仿宋" w:eastAsia="仿宋"/>
          <w:sz w:val="32"/>
          <w:szCs w:val="32"/>
          <w:lang w:val="en-US" w:eastAsia="zh-CN"/>
        </w:rPr>
        <w:t>0.02</w:t>
      </w:r>
      <w:r>
        <w:rPr>
          <w:rFonts w:hint="eastAsia" w:ascii="仿宋" w:hAnsi="仿宋" w:eastAsia="仿宋"/>
          <w:sz w:val="32"/>
          <w:szCs w:val="32"/>
        </w:rPr>
        <w:t>万元；</w:t>
      </w:r>
    </w:p>
    <w:p>
      <w:pPr>
        <w:ind w:firstLine="615"/>
        <w:rPr>
          <w:rFonts w:hint="default" w:ascii="仿宋" w:hAnsi="仿宋" w:eastAsia="仿宋"/>
          <w:sz w:val="32"/>
          <w:szCs w:val="32"/>
          <w:lang w:val="en-US" w:eastAsia="zh-CN"/>
        </w:rPr>
      </w:pPr>
      <w:r>
        <w:rPr>
          <w:rFonts w:hint="eastAsia" w:ascii="仿宋" w:hAnsi="仿宋" w:eastAsia="仿宋"/>
          <w:sz w:val="32"/>
          <w:szCs w:val="32"/>
        </w:rPr>
        <w:t>4、2081199其他残疾人事业支出3</w:t>
      </w:r>
      <w:r>
        <w:rPr>
          <w:rFonts w:hint="eastAsia" w:ascii="仿宋" w:hAnsi="仿宋" w:eastAsia="仿宋"/>
          <w:sz w:val="32"/>
          <w:szCs w:val="32"/>
          <w:lang w:val="en-US" w:eastAsia="zh-CN"/>
        </w:rPr>
        <w:t>.00</w:t>
      </w:r>
      <w:r>
        <w:rPr>
          <w:rFonts w:hint="eastAsia" w:ascii="仿宋" w:hAnsi="仿宋" w:eastAsia="仿宋"/>
          <w:sz w:val="32"/>
          <w:szCs w:val="32"/>
        </w:rPr>
        <w:t>万元，用于缴纳残疾人保障金，较202</w:t>
      </w:r>
      <w:r>
        <w:rPr>
          <w:rFonts w:hint="eastAsia" w:ascii="仿宋" w:hAnsi="仿宋" w:eastAsia="仿宋"/>
          <w:sz w:val="32"/>
          <w:szCs w:val="32"/>
          <w:lang w:val="en-US" w:eastAsia="zh-CN"/>
        </w:rPr>
        <w:t>1</w:t>
      </w:r>
      <w:r>
        <w:rPr>
          <w:rFonts w:hint="eastAsia" w:ascii="仿宋" w:hAnsi="仿宋" w:eastAsia="仿宋"/>
          <w:sz w:val="32"/>
          <w:szCs w:val="32"/>
        </w:rPr>
        <w:t>年预算3.48万元</w:t>
      </w:r>
      <w:r>
        <w:rPr>
          <w:rFonts w:hint="eastAsia" w:ascii="仿宋" w:hAnsi="仿宋" w:eastAsia="仿宋"/>
          <w:sz w:val="32"/>
          <w:szCs w:val="32"/>
          <w:lang w:eastAsia="zh-CN"/>
        </w:rPr>
        <w:t>减少</w:t>
      </w:r>
      <w:r>
        <w:rPr>
          <w:rFonts w:hint="eastAsia" w:ascii="仿宋" w:hAnsi="仿宋" w:eastAsia="仿宋"/>
          <w:sz w:val="32"/>
          <w:szCs w:val="32"/>
          <w:lang w:val="en-US" w:eastAsia="zh-CN"/>
        </w:rPr>
        <w:t>0.48万元。</w:t>
      </w:r>
    </w:p>
    <w:p>
      <w:pPr>
        <w:ind w:firstLine="615"/>
        <w:rPr>
          <w:rFonts w:ascii="仿宋" w:hAnsi="仿宋" w:eastAsia="仿宋"/>
          <w:sz w:val="32"/>
          <w:szCs w:val="32"/>
        </w:rPr>
      </w:pPr>
      <w:r>
        <w:rPr>
          <w:rFonts w:hint="eastAsia" w:ascii="仿宋" w:hAnsi="仿宋" w:eastAsia="仿宋"/>
          <w:sz w:val="32"/>
          <w:szCs w:val="32"/>
        </w:rPr>
        <w:t>5、2089901其他社会保障和就业支出0.4</w:t>
      </w:r>
      <w:r>
        <w:rPr>
          <w:rFonts w:hint="eastAsia" w:ascii="仿宋" w:hAnsi="仿宋" w:eastAsia="仿宋"/>
          <w:sz w:val="32"/>
          <w:szCs w:val="32"/>
          <w:lang w:val="en-US" w:eastAsia="zh-CN"/>
        </w:rPr>
        <w:t>4</w:t>
      </w:r>
      <w:r>
        <w:rPr>
          <w:rFonts w:hint="eastAsia" w:ascii="仿宋" w:hAnsi="仿宋" w:eastAsia="仿宋"/>
          <w:sz w:val="32"/>
          <w:szCs w:val="32"/>
        </w:rPr>
        <w:t>万元，用于支付失业保险、工伤保险，较202</w:t>
      </w:r>
      <w:r>
        <w:rPr>
          <w:rFonts w:hint="eastAsia" w:ascii="仿宋" w:hAnsi="仿宋" w:eastAsia="仿宋"/>
          <w:sz w:val="32"/>
          <w:szCs w:val="32"/>
          <w:lang w:val="en-US" w:eastAsia="zh-CN"/>
        </w:rPr>
        <w:t>1</w:t>
      </w:r>
      <w:r>
        <w:rPr>
          <w:rFonts w:hint="eastAsia" w:ascii="仿宋" w:hAnsi="仿宋" w:eastAsia="仿宋"/>
          <w:sz w:val="32"/>
          <w:szCs w:val="32"/>
        </w:rPr>
        <w:t>年预算</w:t>
      </w:r>
      <w:r>
        <w:rPr>
          <w:rFonts w:hint="eastAsia" w:ascii="仿宋" w:hAnsi="仿宋" w:eastAsia="仿宋"/>
          <w:sz w:val="32"/>
          <w:szCs w:val="32"/>
          <w:lang w:val="en-US" w:eastAsia="zh-CN"/>
        </w:rPr>
        <w:t>0.45</w:t>
      </w:r>
      <w:r>
        <w:rPr>
          <w:rFonts w:hint="eastAsia" w:ascii="仿宋" w:hAnsi="仿宋" w:eastAsia="仿宋"/>
          <w:sz w:val="32"/>
          <w:szCs w:val="32"/>
        </w:rPr>
        <w:t>万元减少0.</w:t>
      </w:r>
      <w:r>
        <w:rPr>
          <w:rFonts w:hint="eastAsia" w:ascii="仿宋" w:hAnsi="仿宋" w:eastAsia="仿宋"/>
          <w:sz w:val="32"/>
          <w:szCs w:val="32"/>
          <w:lang w:val="en-US" w:eastAsia="zh-CN"/>
        </w:rPr>
        <w:t>01</w:t>
      </w:r>
      <w:r>
        <w:rPr>
          <w:rFonts w:hint="eastAsia" w:ascii="仿宋" w:hAnsi="仿宋" w:eastAsia="仿宋"/>
          <w:sz w:val="32"/>
          <w:szCs w:val="32"/>
        </w:rPr>
        <w:t>万元，减少原因为人员工资调减；</w:t>
      </w:r>
    </w:p>
    <w:p>
      <w:pPr>
        <w:ind w:firstLine="615"/>
        <w:rPr>
          <w:rFonts w:ascii="仿宋" w:hAnsi="仿宋" w:eastAsia="仿宋"/>
          <w:sz w:val="32"/>
          <w:szCs w:val="32"/>
        </w:rPr>
      </w:pPr>
      <w:r>
        <w:rPr>
          <w:rFonts w:hint="eastAsia" w:ascii="仿宋" w:hAnsi="仿宋" w:eastAsia="仿宋"/>
          <w:sz w:val="32"/>
          <w:szCs w:val="32"/>
        </w:rPr>
        <w:t>6、2101101行政单位医疗15.25万元，较2020年预算18.57万元减少3.32万元，减少原因为人员工资调减；</w:t>
      </w:r>
    </w:p>
    <w:p>
      <w:pPr>
        <w:ind w:firstLine="615"/>
        <w:rPr>
          <w:rFonts w:ascii="仿宋" w:hAnsi="仿宋" w:eastAsia="仿宋"/>
          <w:sz w:val="32"/>
          <w:szCs w:val="32"/>
        </w:rPr>
      </w:pPr>
      <w:r>
        <w:rPr>
          <w:rFonts w:hint="eastAsia" w:ascii="仿宋" w:hAnsi="仿宋" w:eastAsia="仿宋"/>
          <w:sz w:val="32"/>
          <w:szCs w:val="32"/>
        </w:rPr>
        <w:t>7、2101103公务员医疗补助7</w:t>
      </w:r>
      <w:r>
        <w:rPr>
          <w:rFonts w:hint="eastAsia" w:ascii="仿宋" w:hAnsi="仿宋" w:eastAsia="仿宋"/>
          <w:sz w:val="32"/>
          <w:szCs w:val="32"/>
          <w:lang w:val="en-US" w:eastAsia="zh-CN"/>
        </w:rPr>
        <w:t>.35</w:t>
      </w:r>
      <w:r>
        <w:rPr>
          <w:rFonts w:hint="eastAsia" w:ascii="仿宋" w:hAnsi="仿宋" w:eastAsia="仿宋"/>
          <w:sz w:val="32"/>
          <w:szCs w:val="32"/>
        </w:rPr>
        <w:t>万元，较202</w:t>
      </w:r>
      <w:r>
        <w:rPr>
          <w:rFonts w:hint="eastAsia" w:ascii="仿宋" w:hAnsi="仿宋" w:eastAsia="仿宋"/>
          <w:sz w:val="32"/>
          <w:szCs w:val="32"/>
          <w:lang w:val="en-US" w:eastAsia="zh-CN"/>
        </w:rPr>
        <w:t>1</w:t>
      </w:r>
      <w:r>
        <w:rPr>
          <w:rFonts w:hint="eastAsia" w:ascii="仿宋" w:hAnsi="仿宋" w:eastAsia="仿宋"/>
          <w:sz w:val="32"/>
          <w:szCs w:val="32"/>
        </w:rPr>
        <w:t>年预算</w:t>
      </w:r>
      <w:r>
        <w:rPr>
          <w:rFonts w:hint="eastAsia" w:ascii="仿宋" w:hAnsi="仿宋" w:eastAsia="仿宋"/>
          <w:sz w:val="32"/>
          <w:szCs w:val="32"/>
          <w:lang w:val="en-US" w:eastAsia="zh-CN"/>
        </w:rPr>
        <w:t>7</w:t>
      </w:r>
      <w:r>
        <w:rPr>
          <w:rFonts w:hint="eastAsia" w:ascii="仿宋" w:hAnsi="仿宋" w:eastAsia="仿宋"/>
          <w:sz w:val="32"/>
          <w:szCs w:val="32"/>
        </w:rPr>
        <w:t>万元减少</w:t>
      </w:r>
      <w:r>
        <w:rPr>
          <w:rFonts w:hint="eastAsia" w:ascii="仿宋" w:hAnsi="仿宋" w:eastAsia="仿宋"/>
          <w:sz w:val="32"/>
          <w:szCs w:val="32"/>
          <w:lang w:val="en-US" w:eastAsia="zh-CN"/>
        </w:rPr>
        <w:t>0.35</w:t>
      </w:r>
      <w:r>
        <w:rPr>
          <w:rFonts w:hint="eastAsia" w:ascii="仿宋" w:hAnsi="仿宋" w:eastAsia="仿宋"/>
          <w:sz w:val="32"/>
          <w:szCs w:val="32"/>
        </w:rPr>
        <w:t>万元，减少原因为人员工资调减；</w:t>
      </w:r>
    </w:p>
    <w:p>
      <w:pPr>
        <w:ind w:firstLine="615"/>
        <w:rPr>
          <w:rFonts w:ascii="仿宋" w:hAnsi="仿宋" w:eastAsia="仿宋"/>
          <w:sz w:val="32"/>
          <w:szCs w:val="32"/>
        </w:rPr>
      </w:pPr>
      <w:r>
        <w:rPr>
          <w:rFonts w:hint="eastAsia" w:ascii="仿宋" w:hAnsi="仿宋" w:eastAsia="仿宋"/>
          <w:sz w:val="32"/>
          <w:szCs w:val="32"/>
        </w:rPr>
        <w:t>8、2210201住房公积金</w:t>
      </w:r>
      <w:r>
        <w:rPr>
          <w:rFonts w:hint="eastAsia" w:ascii="仿宋" w:hAnsi="仿宋" w:eastAsia="仿宋"/>
          <w:sz w:val="32"/>
          <w:szCs w:val="32"/>
          <w:lang w:val="en-US" w:eastAsia="zh-CN"/>
        </w:rPr>
        <w:t>37.87</w:t>
      </w:r>
      <w:r>
        <w:rPr>
          <w:rFonts w:hint="eastAsia" w:ascii="仿宋" w:hAnsi="仿宋" w:eastAsia="仿宋"/>
          <w:sz w:val="32"/>
          <w:szCs w:val="32"/>
        </w:rPr>
        <w:t>万元，较202</w:t>
      </w:r>
      <w:r>
        <w:rPr>
          <w:rFonts w:hint="eastAsia" w:ascii="仿宋" w:hAnsi="仿宋" w:eastAsia="仿宋"/>
          <w:sz w:val="32"/>
          <w:szCs w:val="32"/>
          <w:lang w:val="en-US" w:eastAsia="zh-CN"/>
        </w:rPr>
        <w:t>1</w:t>
      </w:r>
      <w:r>
        <w:rPr>
          <w:rFonts w:hint="eastAsia" w:ascii="仿宋" w:hAnsi="仿宋" w:eastAsia="仿宋"/>
          <w:sz w:val="32"/>
          <w:szCs w:val="32"/>
        </w:rPr>
        <w:t>年预算</w:t>
      </w:r>
      <w:r>
        <w:rPr>
          <w:rFonts w:hint="eastAsia" w:ascii="仿宋" w:hAnsi="仿宋" w:eastAsia="仿宋"/>
          <w:sz w:val="32"/>
          <w:szCs w:val="32"/>
          <w:lang w:val="en-US" w:eastAsia="zh-CN"/>
        </w:rPr>
        <w:t>25.21</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13</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rPr>
        <w:t>原因为人员工资；</w:t>
      </w:r>
    </w:p>
    <w:p>
      <w:pPr>
        <w:rPr>
          <w:rFonts w:ascii="仿宋" w:hAnsi="仿宋" w:eastAsia="仿宋"/>
          <w:b/>
          <w:sz w:val="32"/>
          <w:szCs w:val="32"/>
        </w:rPr>
      </w:pPr>
      <w:r>
        <w:rPr>
          <w:rFonts w:hint="eastAsia" w:ascii="仿宋" w:hAnsi="仿宋" w:eastAsia="仿宋"/>
          <w:b/>
          <w:sz w:val="32"/>
          <w:szCs w:val="32"/>
        </w:rPr>
        <w:t xml:space="preserve">    六、一般公共预算基本支出情况说明（表3-1）</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b/>
          <w:sz w:val="32"/>
          <w:szCs w:val="32"/>
        </w:rPr>
        <w:t xml:space="preserve"> </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368.67</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其中人员经费</w:t>
      </w:r>
      <w:r>
        <w:rPr>
          <w:rFonts w:hint="eastAsia" w:ascii="仿宋" w:hAnsi="仿宋" w:eastAsia="仿宋"/>
          <w:sz w:val="32"/>
          <w:szCs w:val="32"/>
          <w:lang w:val="en-US" w:eastAsia="zh-CN"/>
        </w:rPr>
        <w:t>335.37</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主要包括基本工资、津贴补贴、奖金、社会保障缴费、安全协管员补助、体检费等支出。</w:t>
      </w:r>
    </w:p>
    <w:p>
      <w:pP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公用经费</w:t>
      </w:r>
      <w:r>
        <w:rPr>
          <w:rFonts w:hint="eastAsia" w:ascii="仿宋" w:hAnsi="仿宋" w:eastAsia="仿宋"/>
          <w:sz w:val="32"/>
          <w:szCs w:val="32"/>
          <w:lang w:val="en-US" w:eastAsia="zh-CN"/>
        </w:rPr>
        <w:t>33.3</w:t>
      </w:r>
      <w:r>
        <w:rPr>
          <w:rFonts w:hint="eastAsia" w:ascii="仿宋" w:hAnsi="仿宋" w:eastAsia="仿宋"/>
          <w:sz w:val="32"/>
          <w:szCs w:val="32"/>
        </w:rPr>
        <w:t>万元，主要包括办公费、水费、电费、邮电费、差旅费、公务车运行维护费等支出</w:t>
      </w:r>
    </w:p>
    <w:p>
      <w:pPr>
        <w:rPr>
          <w:rFonts w:ascii="仿宋" w:hAnsi="仿宋" w:eastAsia="仿宋"/>
          <w:b/>
          <w:sz w:val="32"/>
          <w:szCs w:val="32"/>
        </w:rPr>
      </w:pPr>
      <w:r>
        <w:rPr>
          <w:rFonts w:hint="eastAsia" w:ascii="仿宋" w:hAnsi="仿宋" w:eastAsia="仿宋"/>
          <w:b/>
          <w:sz w:val="32"/>
          <w:szCs w:val="32"/>
        </w:rPr>
        <w:t xml:space="preserve">    七、“三公”经费财政拨款预算安排情况说明（表3-3）</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年使用财政拨款安排“三公”经费预算总额为1</w:t>
      </w:r>
      <w:r>
        <w:rPr>
          <w:rFonts w:hint="eastAsia" w:ascii="仿宋" w:hAnsi="仿宋" w:eastAsia="仿宋"/>
          <w:sz w:val="32"/>
          <w:szCs w:val="32"/>
          <w:lang w:val="en-US" w:eastAsia="zh-CN"/>
        </w:rPr>
        <w:t>5</w:t>
      </w:r>
      <w:r>
        <w:rPr>
          <w:rFonts w:hint="eastAsia" w:ascii="仿宋" w:hAnsi="仿宋" w:eastAsia="仿宋"/>
          <w:sz w:val="32"/>
          <w:szCs w:val="32"/>
        </w:rPr>
        <w:t>.47</w:t>
      </w:r>
      <w:r>
        <w:rPr>
          <w:rFonts w:ascii="仿宋" w:hAnsi="仿宋" w:eastAsia="仿宋"/>
          <w:sz w:val="32"/>
          <w:szCs w:val="32"/>
        </w:rPr>
        <w:t xml:space="preserve">  </w:t>
      </w:r>
      <w:r>
        <w:rPr>
          <w:rFonts w:hint="eastAsia" w:ascii="仿宋" w:hAnsi="仿宋" w:eastAsia="仿宋"/>
          <w:sz w:val="32"/>
          <w:szCs w:val="32"/>
        </w:rPr>
        <w:t>万元，其中公务接待费3.47万元，公务用车购置及运行费1</w:t>
      </w:r>
      <w:r>
        <w:rPr>
          <w:rFonts w:hint="eastAsia" w:ascii="仿宋" w:hAnsi="仿宋" w:eastAsia="仿宋"/>
          <w:sz w:val="32"/>
          <w:szCs w:val="32"/>
          <w:lang w:val="en-US" w:eastAsia="zh-CN"/>
        </w:rPr>
        <w:t>2</w:t>
      </w:r>
      <w:r>
        <w:rPr>
          <w:rFonts w:hint="eastAsia" w:ascii="仿宋" w:hAnsi="仿宋" w:eastAsia="仿宋"/>
          <w:sz w:val="32"/>
          <w:szCs w:val="32"/>
        </w:rPr>
        <w:t>.00万元。</w:t>
      </w:r>
    </w:p>
    <w:p>
      <w:pPr>
        <w:rPr>
          <w:rFonts w:ascii="仿宋" w:hAnsi="仿宋" w:eastAsia="仿宋"/>
          <w:color w:val="000000"/>
          <w:sz w:val="32"/>
          <w:szCs w:val="32"/>
        </w:rPr>
      </w:pPr>
      <w:r>
        <w:rPr>
          <w:rFonts w:ascii="仿宋" w:hAnsi="仿宋" w:eastAsia="仿宋"/>
          <w:sz w:val="32"/>
          <w:szCs w:val="32"/>
        </w:rPr>
        <w:t xml:space="preserve"> </w:t>
      </w:r>
      <w:r>
        <w:rPr>
          <w:rFonts w:ascii="仿宋" w:hAnsi="仿宋" w:eastAsia="仿宋"/>
          <w:color w:val="000000"/>
          <w:sz w:val="32"/>
          <w:szCs w:val="32"/>
        </w:rPr>
        <w:t xml:space="preserve"> </w:t>
      </w:r>
      <w:r>
        <w:rPr>
          <w:rFonts w:hint="eastAsia" w:ascii="仿宋" w:hAnsi="仿宋" w:eastAsia="仿宋"/>
          <w:b/>
          <w:sz w:val="32"/>
          <w:szCs w:val="32"/>
        </w:rPr>
        <w:t>（一）</w:t>
      </w:r>
      <w:bookmarkStart w:id="0" w:name="OLE_LINK3"/>
      <w:bookmarkStart w:id="1" w:name="OLE_LINK2"/>
      <w:r>
        <w:rPr>
          <w:rFonts w:hint="eastAsia" w:ascii="仿宋" w:hAnsi="仿宋" w:eastAsia="仿宋"/>
          <w:color w:val="000000"/>
          <w:sz w:val="32"/>
          <w:szCs w:val="32"/>
        </w:rPr>
        <w:t>公务接待</w:t>
      </w:r>
      <w:bookmarkEnd w:id="0"/>
      <w:bookmarkEnd w:id="1"/>
      <w:r>
        <w:rPr>
          <w:rFonts w:hint="eastAsia" w:ascii="仿宋" w:hAnsi="仿宋" w:eastAsia="仿宋"/>
          <w:color w:val="000000"/>
          <w:sz w:val="32"/>
          <w:szCs w:val="32"/>
        </w:rPr>
        <w:t>费3.47万元。</w:t>
      </w:r>
    </w:p>
    <w:p>
      <w:pPr>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（二）</w:t>
      </w:r>
      <w:bookmarkStart w:id="2" w:name="OLE_LINK1"/>
      <w:r>
        <w:rPr>
          <w:rFonts w:hint="eastAsia" w:ascii="仿宋" w:hAnsi="仿宋" w:eastAsia="仿宋"/>
          <w:sz w:val="32"/>
          <w:szCs w:val="32"/>
        </w:rPr>
        <w:t>公务用车</w:t>
      </w:r>
      <w:bookmarkEnd w:id="2"/>
      <w:r>
        <w:rPr>
          <w:rFonts w:hint="eastAsia" w:ascii="仿宋" w:hAnsi="仿宋" w:eastAsia="仿宋"/>
          <w:sz w:val="32"/>
          <w:szCs w:val="32"/>
        </w:rPr>
        <w:t>购置及运行费1</w:t>
      </w:r>
      <w:r>
        <w:rPr>
          <w:rFonts w:hint="eastAsia" w:ascii="仿宋" w:hAnsi="仿宋" w:eastAsia="仿宋"/>
          <w:sz w:val="32"/>
          <w:szCs w:val="32"/>
          <w:lang w:val="en-US" w:eastAsia="zh-CN"/>
        </w:rPr>
        <w:t>2</w:t>
      </w:r>
      <w:r>
        <w:rPr>
          <w:rFonts w:hint="eastAsia" w:ascii="仿宋" w:hAnsi="仿宋" w:eastAsia="仿宋"/>
          <w:sz w:val="32"/>
          <w:szCs w:val="32"/>
        </w:rPr>
        <w:t>.00万元，</w:t>
      </w:r>
      <w:r>
        <w:rPr>
          <w:rFonts w:hint="eastAsia" w:ascii="仿宋" w:hAnsi="仿宋" w:eastAsia="仿宋"/>
          <w:sz w:val="32"/>
          <w:szCs w:val="32"/>
          <w:lang w:eastAsia="zh-CN"/>
        </w:rPr>
        <w:t>减少</w:t>
      </w:r>
      <w:r>
        <w:rPr>
          <w:rFonts w:hint="eastAsia" w:ascii="仿宋" w:hAnsi="仿宋" w:eastAsia="仿宋"/>
          <w:sz w:val="32"/>
          <w:szCs w:val="32"/>
        </w:rPr>
        <w:t>的原因为编制内车辆</w:t>
      </w:r>
      <w:r>
        <w:rPr>
          <w:rFonts w:hint="eastAsia" w:ascii="仿宋" w:hAnsi="仿宋" w:eastAsia="仿宋"/>
          <w:sz w:val="32"/>
          <w:szCs w:val="32"/>
          <w:lang w:eastAsia="zh-CN"/>
        </w:rPr>
        <w:t>减少</w:t>
      </w:r>
      <w:r>
        <w:rPr>
          <w:rFonts w:hint="eastAsia" w:ascii="仿宋" w:hAnsi="仿宋" w:eastAsia="仿宋"/>
          <w:sz w:val="32"/>
          <w:szCs w:val="32"/>
        </w:rPr>
        <w:t>。</w:t>
      </w:r>
    </w:p>
    <w:p>
      <w:pPr>
        <w:rPr>
          <w:rFonts w:ascii="仿宋" w:hAnsi="仿宋" w:eastAsia="仿宋"/>
          <w:b/>
          <w:sz w:val="32"/>
          <w:szCs w:val="32"/>
        </w:rPr>
      </w:pPr>
      <w:r>
        <w:rPr>
          <w:rFonts w:hint="eastAsia" w:ascii="仿宋" w:hAnsi="仿宋" w:eastAsia="仿宋"/>
          <w:b/>
          <w:sz w:val="32"/>
          <w:szCs w:val="32"/>
        </w:rPr>
        <w:t xml:space="preserve">    八、政府性基金预算支出情况说明（表4）</w:t>
      </w:r>
    </w:p>
    <w:p>
      <w:pPr>
        <w:rPr>
          <w:rFonts w:ascii="仿宋" w:hAnsi="仿宋" w:eastAsia="仿宋"/>
          <w:sz w:val="32"/>
          <w:szCs w:val="32"/>
        </w:rPr>
      </w:pPr>
      <w:r>
        <w:rPr>
          <w:rFonts w:hint="eastAsia" w:ascii="仿宋" w:hAnsi="仿宋" w:eastAsia="仿宋"/>
          <w:sz w:val="32"/>
          <w:szCs w:val="32"/>
        </w:rPr>
        <w:t xml:space="preserve">    202</w:t>
      </w:r>
      <w:r>
        <w:rPr>
          <w:rFonts w:hint="eastAsia" w:ascii="仿宋" w:hAnsi="仿宋" w:eastAsia="仿宋"/>
          <w:sz w:val="32"/>
          <w:szCs w:val="32"/>
          <w:lang w:val="en-US" w:eastAsia="zh-CN"/>
        </w:rPr>
        <w:t>2</w:t>
      </w:r>
      <w:r>
        <w:rPr>
          <w:rFonts w:hint="eastAsia" w:ascii="仿宋" w:hAnsi="仿宋" w:eastAsia="仿宋"/>
          <w:sz w:val="32"/>
          <w:szCs w:val="32"/>
        </w:rPr>
        <w:t>年没有使用政府性基金预算拨款安排的支出。</w:t>
      </w:r>
    </w:p>
    <w:p>
      <w:pPr>
        <w:rPr>
          <w:rFonts w:ascii="仿宋" w:hAnsi="仿宋" w:eastAsia="仿宋"/>
          <w:b/>
          <w:sz w:val="32"/>
          <w:szCs w:val="32"/>
        </w:rPr>
      </w:pPr>
      <w:r>
        <w:rPr>
          <w:rFonts w:hint="eastAsia" w:ascii="仿宋" w:hAnsi="仿宋" w:eastAsia="仿宋"/>
          <w:b/>
          <w:sz w:val="32"/>
          <w:szCs w:val="32"/>
        </w:rPr>
        <w:t xml:space="preserve">    九、国有资本经营预算支出情况说明（表5）</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年没有使用政府性基金预算拨款安排的支出。</w:t>
      </w:r>
    </w:p>
    <w:p>
      <w:pPr>
        <w:rPr>
          <w:rFonts w:ascii="仿宋" w:hAnsi="仿宋" w:eastAsia="仿宋"/>
          <w:b/>
          <w:sz w:val="32"/>
          <w:szCs w:val="32"/>
        </w:rPr>
      </w:pPr>
      <w:r>
        <w:rPr>
          <w:rFonts w:hint="eastAsia" w:ascii="仿宋" w:hAnsi="仿宋" w:eastAsia="仿宋"/>
          <w:b/>
          <w:sz w:val="32"/>
          <w:szCs w:val="32"/>
        </w:rPr>
        <w:t xml:space="preserve">    十、其他重要事项的情况说明</w:t>
      </w:r>
    </w:p>
    <w:p>
      <w:pPr>
        <w:ind w:firstLine="643" w:firstLineChars="200"/>
        <w:rPr>
          <w:rFonts w:ascii="仿宋" w:hAnsi="仿宋" w:eastAsia="仿宋"/>
          <w:sz w:val="32"/>
          <w:szCs w:val="32"/>
        </w:rPr>
      </w:pPr>
      <w:r>
        <w:rPr>
          <w:rFonts w:hint="eastAsia" w:ascii="仿宋" w:hAnsi="仿宋" w:eastAsia="仿宋"/>
          <w:b/>
          <w:sz w:val="32"/>
          <w:szCs w:val="32"/>
        </w:rPr>
        <w:t>（一）机关运行经费</w:t>
      </w:r>
      <w:r>
        <w:rPr>
          <w:rFonts w:hint="eastAsia" w:ascii="仿宋" w:hAnsi="仿宋" w:eastAsia="仿宋"/>
          <w:sz w:val="32"/>
          <w:szCs w:val="32"/>
        </w:rPr>
        <w:t>（主要包括办公及印刷费、邮电费、差旅费、会议费、福利费、日常维修费、专用材料及一般设备购置费、办公用房水电费、办公用房取暖费、办公用房物业管理费、公务用车运行维护费以及其他费用）。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年机关运行经费财政拨款预算为33.</w:t>
      </w:r>
      <w:r>
        <w:rPr>
          <w:rFonts w:hint="eastAsia" w:ascii="仿宋" w:hAnsi="仿宋" w:eastAsia="仿宋"/>
          <w:sz w:val="32"/>
          <w:szCs w:val="32"/>
          <w:lang w:val="en-US" w:eastAsia="zh-CN"/>
        </w:rPr>
        <w:t>3</w:t>
      </w:r>
      <w:r>
        <w:rPr>
          <w:rFonts w:hint="eastAsia" w:ascii="仿宋" w:hAnsi="仿宋" w:eastAsia="仿宋"/>
          <w:sz w:val="32"/>
          <w:szCs w:val="32"/>
        </w:rPr>
        <w:t>0万元。</w:t>
      </w:r>
    </w:p>
    <w:p>
      <w:pPr>
        <w:ind w:firstLine="643" w:firstLineChars="200"/>
        <w:rPr>
          <w:rFonts w:ascii="仿宋" w:hAnsi="仿宋" w:eastAsia="仿宋"/>
          <w:b/>
          <w:sz w:val="32"/>
          <w:szCs w:val="32"/>
        </w:rPr>
      </w:pPr>
      <w:r>
        <w:rPr>
          <w:rFonts w:hint="eastAsia" w:ascii="仿宋" w:hAnsi="仿宋" w:eastAsia="仿宋"/>
          <w:b/>
          <w:sz w:val="32"/>
          <w:szCs w:val="32"/>
        </w:rPr>
        <w:t>（二）政府采购情况</w:t>
      </w:r>
    </w:p>
    <w:p>
      <w:pPr>
        <w:ind w:firstLine="640" w:firstLineChars="200"/>
        <w:rPr>
          <w:rFonts w:hint="eastAsia" w:ascii="仿宋" w:hAnsi="仿宋" w:eastAsia="仿宋"/>
          <w:b/>
          <w:sz w:val="32"/>
          <w:szCs w:val="32"/>
          <w:lang w:eastAsia="zh-CN"/>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eastAsia="zh-CN"/>
        </w:rPr>
        <w:t>无政府采购预算。</w:t>
      </w:r>
    </w:p>
    <w:p>
      <w:pPr>
        <w:ind w:firstLine="643" w:firstLineChars="200"/>
        <w:rPr>
          <w:rFonts w:ascii="仿宋" w:hAnsi="仿宋" w:eastAsia="仿宋"/>
          <w:b/>
          <w:sz w:val="32"/>
          <w:szCs w:val="32"/>
        </w:rPr>
      </w:pPr>
      <w:r>
        <w:rPr>
          <w:rFonts w:hint="eastAsia" w:ascii="仿宋" w:hAnsi="仿宋" w:eastAsia="仿宋"/>
          <w:b/>
          <w:sz w:val="32"/>
          <w:szCs w:val="32"/>
        </w:rPr>
        <w:t>（三）国有资产占用使用情况</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截至202</w:t>
      </w:r>
      <w:r>
        <w:rPr>
          <w:rFonts w:hint="eastAsia" w:ascii="仿宋" w:hAnsi="仿宋" w:eastAsia="仿宋"/>
          <w:color w:val="000000" w:themeColor="text1"/>
          <w:sz w:val="32"/>
          <w:szCs w:val="32"/>
          <w:lang w:val="en-US" w:eastAsia="zh-CN"/>
        </w:rPr>
        <w:t>1</w:t>
      </w:r>
      <w:r>
        <w:rPr>
          <w:rFonts w:hint="eastAsia" w:ascii="仿宋" w:hAnsi="仿宋" w:eastAsia="仿宋"/>
          <w:color w:val="000000" w:themeColor="text1"/>
          <w:sz w:val="32"/>
          <w:szCs w:val="32"/>
        </w:rPr>
        <w:t>年底，共有车辆</w:t>
      </w:r>
      <w:r>
        <w:rPr>
          <w:rFonts w:hint="eastAsia" w:ascii="仿宋" w:hAnsi="仿宋" w:eastAsia="仿宋"/>
          <w:color w:val="000000" w:themeColor="text1"/>
          <w:sz w:val="32"/>
          <w:szCs w:val="32"/>
          <w:lang w:val="en-US" w:eastAsia="zh-CN"/>
        </w:rPr>
        <w:t>4</w:t>
      </w:r>
      <w:r>
        <w:rPr>
          <w:rFonts w:hint="eastAsia" w:ascii="仿宋" w:hAnsi="仿宋" w:eastAsia="仿宋"/>
          <w:color w:val="000000" w:themeColor="text1"/>
          <w:sz w:val="32"/>
          <w:szCs w:val="32"/>
        </w:rPr>
        <w:t>辆。</w:t>
      </w:r>
    </w:p>
    <w:p>
      <w:pPr>
        <w:ind w:firstLine="643" w:firstLineChars="200"/>
        <w:rPr>
          <w:rFonts w:ascii="仿宋" w:hAnsi="仿宋" w:eastAsia="仿宋"/>
          <w:b/>
          <w:sz w:val="32"/>
          <w:szCs w:val="32"/>
        </w:rPr>
      </w:pPr>
      <w:r>
        <w:rPr>
          <w:rFonts w:hint="eastAsia" w:ascii="仿宋" w:hAnsi="仿宋" w:eastAsia="仿宋"/>
          <w:b/>
          <w:sz w:val="32"/>
          <w:szCs w:val="32"/>
        </w:rPr>
        <w:t>（四）绩效目标设置情况</w:t>
      </w:r>
    </w:p>
    <w:p>
      <w:pPr>
        <w:ind w:firstLine="640" w:firstLineChars="200"/>
        <w:rPr>
          <w:rFonts w:hint="eastAsia" w:ascii="仿宋" w:hAnsi="仿宋" w:eastAsia="仿宋"/>
          <w:sz w:val="32"/>
          <w:szCs w:val="32"/>
        </w:rPr>
      </w:pPr>
      <w:r>
        <w:rPr>
          <w:rFonts w:hint="eastAsia" w:ascii="仿宋" w:hAnsi="仿宋" w:eastAsia="仿宋"/>
          <w:color w:val="000000" w:themeColor="text1"/>
          <w:kern w:val="0"/>
          <w:sz w:val="32"/>
          <w:szCs w:val="32"/>
          <w:shd w:val="clear" w:color="auto" w:fill="FFFFFF"/>
        </w:rPr>
        <w:t>按照“谁申请资金，谁设定目标”的原则填报了部门预算项目支出绩效目标，</w:t>
      </w:r>
      <w:r>
        <w:rPr>
          <w:rFonts w:hint="eastAsia" w:ascii="仿宋" w:hAnsi="仿宋" w:eastAsia="仿宋"/>
          <w:color w:val="000000" w:themeColor="text1"/>
          <w:sz w:val="32"/>
          <w:szCs w:val="32"/>
        </w:rPr>
        <w:t>从项目完成、项目效益、满意度等方面设置了绩效指标，综合反映项目预期完成的数量、成本、时效、质量，预期达到的社会效益、经济效益、生态效益、可持续影响以及服务对象满意度等情况。</w:t>
      </w:r>
      <w:r>
        <w:rPr>
          <w:rFonts w:hint="eastAsia" w:ascii="仿宋" w:hAnsi="仿宋" w:eastAsia="仿宋"/>
          <w:b/>
          <w:sz w:val="32"/>
          <w:szCs w:val="32"/>
        </w:rPr>
        <w:t xml:space="preserve">    </w:t>
      </w:r>
    </w:p>
    <w:p>
      <w:pPr>
        <w:rPr>
          <w:rFonts w:hint="eastAsia" w:ascii="黑体" w:hAnsi="黑体" w:eastAsia="黑体"/>
          <w:b/>
          <w:sz w:val="32"/>
          <w:szCs w:val="32"/>
        </w:rPr>
      </w:pPr>
    </w:p>
    <w:p>
      <w:pPr>
        <w:rPr>
          <w:rFonts w:hint="eastAsia" w:ascii="黑体" w:hAnsi="黑体" w:eastAsia="黑体"/>
          <w:b/>
          <w:sz w:val="32"/>
          <w:szCs w:val="32"/>
        </w:rPr>
      </w:pPr>
    </w:p>
    <w:p>
      <w:pPr>
        <w:rPr>
          <w:rFonts w:hint="eastAsia" w:ascii="黑体" w:hAnsi="黑体" w:eastAsia="黑体"/>
          <w:b/>
          <w:sz w:val="32"/>
          <w:szCs w:val="32"/>
        </w:rPr>
      </w:pPr>
    </w:p>
    <w:p>
      <w:pPr>
        <w:rPr>
          <w:rFonts w:hint="eastAsia" w:ascii="黑体" w:hAnsi="黑体" w:eastAsia="黑体"/>
          <w:b/>
          <w:sz w:val="32"/>
          <w:szCs w:val="32"/>
        </w:rPr>
      </w:pPr>
      <w:bookmarkStart w:id="3" w:name="_GoBack"/>
      <w:bookmarkEnd w:id="3"/>
    </w:p>
    <w:p>
      <w:pPr>
        <w:rPr>
          <w:rFonts w:ascii="黑体" w:hAnsi="黑体" w:eastAsia="黑体"/>
          <w:b/>
          <w:sz w:val="32"/>
          <w:szCs w:val="32"/>
        </w:rPr>
      </w:pPr>
      <w:r>
        <w:rPr>
          <w:rFonts w:hint="eastAsia" w:ascii="黑体" w:hAnsi="黑体" w:eastAsia="黑体"/>
          <w:b/>
          <w:sz w:val="32"/>
          <w:szCs w:val="32"/>
        </w:rPr>
        <w:t>十一、名词解释</w:t>
      </w:r>
    </w:p>
    <w:p>
      <w:pPr>
        <w:rPr>
          <w:rFonts w:ascii="仿宋_GB2312" w:eastAsia="仿宋_GB2312" w:hAnsiTheme="majorEastAsia"/>
          <w:sz w:val="32"/>
          <w:szCs w:val="32"/>
        </w:rPr>
      </w:pPr>
      <w:r>
        <w:rPr>
          <w:rFonts w:hint="eastAsia" w:ascii="仿宋_GB2312" w:eastAsia="仿宋_GB2312" w:hAnsiTheme="majorEastAsia"/>
          <w:sz w:val="32"/>
          <w:szCs w:val="32"/>
        </w:rPr>
        <w:t xml:space="preserve">    1.基本支出：指为保证机构正常运转，完成日常工作任务而发生的人员支出和公用支出。</w:t>
      </w:r>
    </w:p>
    <w:p>
      <w:pPr>
        <w:rPr>
          <w:rFonts w:ascii="仿宋_GB2312" w:eastAsia="仿宋_GB2312" w:hAnsiTheme="majorEastAsia"/>
          <w:sz w:val="32"/>
          <w:szCs w:val="32"/>
        </w:rPr>
      </w:pPr>
      <w:r>
        <w:rPr>
          <w:rFonts w:hint="eastAsia" w:ascii="仿宋_GB2312" w:eastAsia="仿宋_GB2312" w:hAnsiTheme="majorEastAsia"/>
          <w:sz w:val="32"/>
          <w:szCs w:val="32"/>
        </w:rPr>
        <w:t>　　2.项目支出：指在基本支出之外为完成特定行政任务和事业发展目标所发生的支出。</w:t>
      </w:r>
    </w:p>
    <w:p>
      <w:pPr>
        <w:rPr>
          <w:rFonts w:ascii="仿宋_GB2312" w:eastAsia="仿宋_GB2312" w:hAnsiTheme="majorEastAsia"/>
          <w:sz w:val="32"/>
          <w:szCs w:val="32"/>
        </w:rPr>
      </w:pPr>
      <w:r>
        <w:rPr>
          <w:rFonts w:hint="eastAsia" w:ascii="仿宋_GB2312" w:eastAsia="仿宋_GB2312" w:hAnsiTheme="majorEastAsia"/>
          <w:sz w:val="32"/>
          <w:szCs w:val="32"/>
        </w:rPr>
        <w:t>　　3.“三公”经费：是指部门用财政拨款安排的因公出国（境）费、公务用车购置及运行费和公务接待费。其中，因公出国（境）费反映单位公务出国（境）的费用、如：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rPr>
          <w:rFonts w:ascii="仿宋_GB2312" w:eastAsia="仿宋_GB2312" w:hAnsiTheme="majorEastAsia"/>
          <w:sz w:val="32"/>
          <w:szCs w:val="32"/>
        </w:rPr>
      </w:pPr>
      <w:r>
        <w:rPr>
          <w:rFonts w:hint="eastAsia" w:ascii="仿宋_GB2312" w:eastAsia="仿宋_GB2312" w:hAnsiTheme="majorEastAsia"/>
          <w:sz w:val="32"/>
          <w:szCs w:val="32"/>
        </w:rPr>
        <w:t>　　4.机关运行经费：为保障行政单位（包含参照公务员法管理的事业单位）运行用于购买货物和服务的各项资金。包括办公费、印刷费、水电费、邮电费、差旅费、会议费等费用开支。</w:t>
      </w:r>
    </w:p>
    <w:p>
      <w:pPr>
        <w:rPr>
          <w:rFonts w:ascii="仿宋_GB2312" w:eastAsia="仿宋_GB2312" w:hAnsiTheme="majorEastAsia"/>
          <w:sz w:val="32"/>
          <w:szCs w:val="32"/>
        </w:rPr>
      </w:pPr>
      <w:r>
        <w:rPr>
          <w:rFonts w:hint="eastAsia" w:ascii="仿宋_GB2312" w:eastAsia="仿宋_GB2312" w:hAnsiTheme="majorEastAsia"/>
          <w:sz w:val="32"/>
          <w:szCs w:val="32"/>
        </w:rPr>
        <w:t xml:space="preserve">    5.基本建设支出：是指财政部门根据国家批准的基本建设投资计划，从财政专户中核拨用于部门和单位基本建设的支出。</w:t>
      </w:r>
    </w:p>
    <w:p>
      <w:pPr>
        <w:rPr>
          <w:rFonts w:ascii="仿宋_GB2312" w:eastAsia="仿宋_GB2312" w:hAnsiTheme="majorEastAsia"/>
          <w:sz w:val="32"/>
          <w:szCs w:val="32"/>
        </w:rPr>
      </w:pPr>
      <w:r>
        <w:rPr>
          <w:rFonts w:hint="eastAsia" w:ascii="仿宋_GB2312" w:eastAsia="仿宋_GB2312" w:hAnsiTheme="majorEastAsia"/>
          <w:sz w:val="32"/>
          <w:szCs w:val="32"/>
        </w:rPr>
        <w:t xml:space="preserve">    6.一般公共预算收入：中央一般公共预算收入包括中央本级收入和地方向中央的上解收入。地方各级一般公共预算收入包括地方本级收入、上级政府对本级政府的税收返还和转移支付、下级政府的上解收入。</w:t>
      </w:r>
    </w:p>
    <w:p>
      <w:pPr>
        <w:rPr>
          <w:rFonts w:ascii="仿宋_GB2312" w:eastAsia="仿宋_GB2312" w:hAnsiTheme="majorEastAsia"/>
          <w:sz w:val="32"/>
          <w:szCs w:val="32"/>
        </w:rPr>
      </w:pPr>
      <w:r>
        <w:rPr>
          <w:rFonts w:hint="eastAsia" w:ascii="仿宋_GB2312" w:eastAsia="仿宋_GB2312" w:hAnsiTheme="majorEastAsia"/>
          <w:sz w:val="32"/>
          <w:szCs w:val="32"/>
        </w:rPr>
        <w:t xml:space="preserve">    7.一般公共预算支出：中央一般公共预算支出包括中央本级支出、中央对地方的税收返还和转移支付。地方各级一般公共预算支出包括地方本级支出、对上级政府的上解支出、对下级政府的税收返还和转移支付。</w:t>
      </w:r>
    </w:p>
    <w:p>
      <w:pPr>
        <w:rPr>
          <w:rFonts w:ascii="仿宋_GB2312" w:eastAsia="仿宋_GB2312" w:hAnsiTheme="majorEastAsia"/>
          <w:sz w:val="32"/>
          <w:szCs w:val="32"/>
        </w:rPr>
      </w:pPr>
      <w:r>
        <w:rPr>
          <w:rFonts w:hint="eastAsia" w:ascii="仿宋_GB2312" w:eastAsia="仿宋_GB2312" w:hAnsiTheme="majorEastAsia"/>
          <w:sz w:val="32"/>
          <w:szCs w:val="32"/>
        </w:rPr>
        <w:t xml:space="preserve">    8.上年结转：指以前年度尚未完成，结转到本年仍按原规定用途继续使用的资金。</w:t>
      </w:r>
    </w:p>
    <w:p>
      <w:pPr>
        <w:rPr>
          <w:rFonts w:ascii="仿宋_GB2312" w:eastAsia="仿宋_GB2312" w:hAnsiTheme="majorEastAsia"/>
          <w:sz w:val="32"/>
          <w:szCs w:val="32"/>
        </w:rPr>
      </w:pPr>
      <w:r>
        <w:rPr>
          <w:rFonts w:hint="eastAsia" w:ascii="仿宋_GB2312" w:eastAsia="仿宋_GB2312" w:hAnsiTheme="majorEastAsia"/>
          <w:sz w:val="32"/>
          <w:szCs w:val="32"/>
        </w:rPr>
        <w:t xml:space="preserve">    9.职业年金：部门实施养老保险制度由单位缴纳的职业年金的支出。</w:t>
      </w:r>
    </w:p>
    <w:p>
      <w:pPr>
        <w:rPr>
          <w:rFonts w:ascii="仿宋_GB2312" w:eastAsia="仿宋_GB2312" w:hAnsiTheme="majorEastAsia"/>
          <w:sz w:val="32"/>
          <w:szCs w:val="32"/>
        </w:rPr>
      </w:pPr>
      <w:r>
        <w:rPr>
          <w:rFonts w:hint="eastAsia" w:ascii="仿宋_GB2312" w:eastAsia="仿宋_GB2312" w:hAnsiTheme="majorEastAsia"/>
          <w:sz w:val="32"/>
          <w:szCs w:val="32"/>
        </w:rPr>
        <w:t>附件:</w:t>
      </w:r>
    </w:p>
    <w:p>
      <w:pPr>
        <w:rPr>
          <w:rFonts w:ascii="仿宋_GB2312" w:eastAsia="仿宋_GB2312" w:hAnsiTheme="majorEastAsia"/>
          <w:sz w:val="32"/>
          <w:szCs w:val="32"/>
        </w:rPr>
      </w:pPr>
      <w:r>
        <w:rPr>
          <w:rFonts w:hint="eastAsia" w:ascii="仿宋_GB2312" w:eastAsia="仿宋_GB2312" w:hAnsiTheme="majorEastAsia"/>
          <w:sz w:val="32"/>
          <w:szCs w:val="32"/>
        </w:rPr>
        <w:t>1.部门预算收支总表</w:t>
      </w:r>
    </w:p>
    <w:p>
      <w:pPr>
        <w:rPr>
          <w:rFonts w:ascii="仿宋_GB2312" w:eastAsia="仿宋_GB2312" w:hAnsiTheme="majorEastAsia"/>
          <w:sz w:val="32"/>
          <w:szCs w:val="32"/>
        </w:rPr>
      </w:pPr>
      <w:r>
        <w:rPr>
          <w:rFonts w:hint="eastAsia" w:ascii="仿宋_GB2312" w:eastAsia="仿宋_GB2312" w:hAnsiTheme="majorEastAsia"/>
          <w:sz w:val="32"/>
          <w:szCs w:val="32"/>
        </w:rPr>
        <w:t>1-1.部门预算收入总表</w:t>
      </w:r>
    </w:p>
    <w:p>
      <w:pPr>
        <w:rPr>
          <w:rFonts w:ascii="仿宋_GB2312" w:eastAsia="仿宋_GB2312" w:hAnsiTheme="majorEastAsia"/>
          <w:sz w:val="32"/>
          <w:szCs w:val="32"/>
        </w:rPr>
      </w:pPr>
      <w:r>
        <w:rPr>
          <w:rFonts w:hint="eastAsia" w:ascii="仿宋_GB2312" w:eastAsia="仿宋_GB2312" w:hAnsiTheme="majorEastAsia"/>
          <w:sz w:val="32"/>
          <w:szCs w:val="32"/>
        </w:rPr>
        <w:t>1-2.部门预算支出总表</w:t>
      </w:r>
    </w:p>
    <w:p>
      <w:pPr>
        <w:rPr>
          <w:rFonts w:ascii="仿宋_GB2312" w:eastAsia="仿宋_GB2312" w:hAnsiTheme="majorEastAsia"/>
          <w:sz w:val="32"/>
          <w:szCs w:val="32"/>
        </w:rPr>
      </w:pPr>
      <w:r>
        <w:rPr>
          <w:rFonts w:hint="eastAsia" w:ascii="仿宋_GB2312" w:eastAsia="仿宋_GB2312" w:hAnsiTheme="majorEastAsia"/>
          <w:sz w:val="32"/>
          <w:szCs w:val="32"/>
        </w:rPr>
        <w:t>2.财政拨款收支预算总表(政府经济分类科目)</w:t>
      </w:r>
    </w:p>
    <w:p>
      <w:pPr>
        <w:rPr>
          <w:rFonts w:ascii="仿宋_GB2312" w:eastAsia="仿宋_GB2312" w:hAnsiTheme="majorEastAsia"/>
          <w:sz w:val="32"/>
          <w:szCs w:val="32"/>
        </w:rPr>
      </w:pPr>
      <w:r>
        <w:rPr>
          <w:rFonts w:hint="eastAsia" w:ascii="仿宋_GB2312" w:eastAsia="仿宋_GB2312" w:hAnsiTheme="majorEastAsia"/>
          <w:sz w:val="32"/>
          <w:szCs w:val="32"/>
        </w:rPr>
        <w:t>3.一般公共预算支出预算表</w:t>
      </w:r>
    </w:p>
    <w:p>
      <w:pPr>
        <w:rPr>
          <w:rFonts w:ascii="仿宋_GB2312" w:eastAsia="仿宋_GB2312" w:hAnsiTheme="majorEastAsia"/>
          <w:sz w:val="32"/>
          <w:szCs w:val="32"/>
        </w:rPr>
      </w:pPr>
      <w:r>
        <w:rPr>
          <w:rFonts w:hint="eastAsia" w:ascii="仿宋_GB2312" w:eastAsia="仿宋_GB2312" w:hAnsiTheme="majorEastAsia"/>
          <w:sz w:val="32"/>
          <w:szCs w:val="32"/>
        </w:rPr>
        <w:t>3-1.一般公共预算基本支出预算表</w:t>
      </w:r>
    </w:p>
    <w:p>
      <w:pPr>
        <w:rPr>
          <w:rFonts w:ascii="仿宋_GB2312" w:eastAsia="仿宋_GB2312" w:hAnsiTheme="majorEastAsia"/>
          <w:sz w:val="32"/>
          <w:szCs w:val="32"/>
        </w:rPr>
      </w:pPr>
      <w:r>
        <w:rPr>
          <w:rFonts w:hint="eastAsia" w:ascii="仿宋_GB2312" w:eastAsia="仿宋_GB2312" w:hAnsiTheme="majorEastAsia"/>
          <w:sz w:val="32"/>
          <w:szCs w:val="32"/>
        </w:rPr>
        <w:t>3-2.一般公共预算项目支出预算表</w:t>
      </w:r>
    </w:p>
    <w:p>
      <w:pPr>
        <w:rPr>
          <w:rFonts w:ascii="仿宋_GB2312" w:eastAsia="仿宋_GB2312" w:hAnsiTheme="majorEastAsia"/>
          <w:sz w:val="32"/>
          <w:szCs w:val="32"/>
        </w:rPr>
      </w:pPr>
      <w:r>
        <w:rPr>
          <w:rFonts w:hint="eastAsia" w:ascii="仿宋_GB2312" w:eastAsia="仿宋_GB2312" w:hAnsiTheme="majorEastAsia"/>
          <w:sz w:val="32"/>
          <w:szCs w:val="32"/>
        </w:rPr>
        <w:t>3-3.一般公共预算“三公”经费支出预算表</w:t>
      </w:r>
    </w:p>
    <w:p>
      <w:pPr>
        <w:rPr>
          <w:rFonts w:ascii="仿宋_GB2312" w:eastAsia="仿宋_GB2312" w:hAnsiTheme="majorEastAsia"/>
          <w:sz w:val="32"/>
          <w:szCs w:val="32"/>
        </w:rPr>
      </w:pPr>
      <w:r>
        <w:rPr>
          <w:rFonts w:hint="eastAsia" w:ascii="仿宋_GB2312" w:eastAsia="仿宋_GB2312" w:hAnsiTheme="majorEastAsia"/>
          <w:sz w:val="32"/>
          <w:szCs w:val="32"/>
        </w:rPr>
        <w:t>4.政府性基金支出预算表</w:t>
      </w:r>
    </w:p>
    <w:p>
      <w:pPr>
        <w:rPr>
          <w:rFonts w:ascii="仿宋_GB2312" w:eastAsia="仿宋_GB2312" w:hAnsiTheme="majorEastAsia"/>
          <w:sz w:val="32"/>
          <w:szCs w:val="32"/>
        </w:rPr>
      </w:pPr>
      <w:r>
        <w:rPr>
          <w:rFonts w:hint="eastAsia" w:ascii="仿宋_GB2312" w:eastAsia="仿宋_GB2312" w:hAnsiTheme="majorEastAsia"/>
          <w:sz w:val="32"/>
          <w:szCs w:val="32"/>
        </w:rPr>
        <w:t>4-1.政府性基金“三公”经费支出预算表</w:t>
      </w:r>
    </w:p>
    <w:p>
      <w:pPr>
        <w:rPr>
          <w:rFonts w:ascii="仿宋_GB2312" w:eastAsia="仿宋_GB2312" w:hAnsiTheme="majorEastAsia"/>
          <w:sz w:val="32"/>
          <w:szCs w:val="32"/>
        </w:rPr>
      </w:pPr>
      <w:r>
        <w:rPr>
          <w:rFonts w:hint="eastAsia" w:ascii="仿宋_GB2312" w:eastAsia="仿宋_GB2312" w:hAnsiTheme="majorEastAsia"/>
          <w:sz w:val="32"/>
          <w:szCs w:val="32"/>
        </w:rPr>
        <w:t>5.国有资本经营预算支出预算表</w:t>
      </w:r>
    </w:p>
    <w:p>
      <w:pPr>
        <w:rPr>
          <w:rFonts w:hint="eastAsia" w:ascii="仿宋_GB2312" w:eastAsia="仿宋_GB2312" w:hAnsiTheme="majorEastAsia"/>
          <w:sz w:val="32"/>
          <w:szCs w:val="32"/>
        </w:rPr>
      </w:pPr>
      <w:r>
        <w:rPr>
          <w:rFonts w:hint="eastAsia" w:ascii="仿宋_GB2312" w:eastAsia="仿宋_GB2312" w:hAnsiTheme="majorEastAsia"/>
          <w:sz w:val="32"/>
          <w:szCs w:val="32"/>
        </w:rPr>
        <w:t>6.2022年州级部门预算项目绩效目标</w:t>
      </w:r>
    </w:p>
    <w:p>
      <w:pPr>
        <w:rPr>
          <w:rFonts w:hint="eastAsia" w:ascii="仿宋_GB2312" w:eastAsia="仿宋_GB2312" w:hAnsiTheme="majorEastAsia"/>
          <w:sz w:val="32"/>
          <w:szCs w:val="32"/>
          <w:lang w:eastAsia="zh-CN"/>
        </w:rPr>
      </w:pPr>
    </w:p>
    <w:p>
      <w:pPr>
        <w:rPr>
          <w:rFonts w:hint="eastAsia" w:ascii="仿宋_GB2312" w:eastAsia="仿宋_GB2312" w:hAnsiTheme="majorEastAsia"/>
          <w:sz w:val="32"/>
          <w:szCs w:val="32"/>
          <w:lang w:eastAsia="zh-CN"/>
        </w:rPr>
      </w:pPr>
    </w:p>
    <w:p>
      <w:pPr>
        <w:rPr>
          <w:rFonts w:hint="eastAsia" w:ascii="仿宋_GB2312" w:eastAsia="仿宋_GB2312" w:hAnsiTheme="majorEastAsia"/>
          <w:sz w:val="32"/>
          <w:szCs w:val="32"/>
          <w:lang w:eastAsia="zh-CN"/>
        </w:rPr>
      </w:pPr>
    </w:p>
    <w:p>
      <w:pPr>
        <w:rPr>
          <w:rFonts w:hint="eastAsia" w:ascii="仿宋_GB2312" w:eastAsia="仿宋_GB2312" w:hAnsiTheme="majorEastAsia"/>
          <w:sz w:val="32"/>
          <w:szCs w:val="32"/>
          <w:lang w:eastAsia="zh-CN"/>
        </w:rPr>
      </w:pPr>
    </w:p>
    <w:p>
      <w:pPr>
        <w:jc w:val="right"/>
        <w:rPr>
          <w:rFonts w:hint="eastAsia" w:ascii="仿宋_GB2312" w:eastAsia="仿宋_GB2312" w:hAnsiTheme="majorEastAsia"/>
          <w:sz w:val="32"/>
          <w:szCs w:val="32"/>
          <w:lang w:eastAsia="zh-CN"/>
        </w:rPr>
      </w:pPr>
      <w:r>
        <w:rPr>
          <w:rFonts w:hint="eastAsia" w:ascii="仿宋_GB2312" w:eastAsia="仿宋_GB2312" w:hAnsiTheme="majorEastAsia"/>
          <w:sz w:val="32"/>
          <w:szCs w:val="32"/>
          <w:lang w:eastAsia="zh-CN"/>
        </w:rPr>
        <w:t>炉霍县市场监督管理局</w:t>
      </w:r>
    </w:p>
    <w:p>
      <w:pPr>
        <w:jc w:val="center"/>
        <w:rPr>
          <w:rFonts w:hint="default" w:ascii="仿宋_GB2312" w:eastAsia="仿宋_GB2312" w:hAnsiTheme="majorEastAsia"/>
          <w:sz w:val="32"/>
          <w:szCs w:val="32"/>
          <w:lang w:val="en-US" w:eastAsia="zh-CN"/>
        </w:rPr>
      </w:pPr>
      <w:r>
        <w:rPr>
          <w:rFonts w:hint="eastAsia" w:ascii="仿宋_GB2312" w:eastAsia="仿宋_GB2312" w:hAnsiTheme="majorEastAsia"/>
          <w:sz w:val="32"/>
          <w:szCs w:val="32"/>
          <w:lang w:val="en-US" w:eastAsia="zh-CN"/>
        </w:rPr>
        <w:t xml:space="preserve">                                2022年4月1日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docVars>
    <w:docVar w:name="commondata" w:val="eyJoZGlkIjoiNmQ1MWNmZmUwOTVkYjBhZmEzYTU0NzE0MTA3ZmVhNTEifQ=="/>
  </w:docVars>
  <w:rsids>
    <w:rsidRoot w:val="0059521E"/>
    <w:rsid w:val="00015C1D"/>
    <w:rsid w:val="0004483A"/>
    <w:rsid w:val="00054AA1"/>
    <w:rsid w:val="00076D53"/>
    <w:rsid w:val="0008129D"/>
    <w:rsid w:val="0009605B"/>
    <w:rsid w:val="001008FA"/>
    <w:rsid w:val="00122F45"/>
    <w:rsid w:val="00141B7A"/>
    <w:rsid w:val="001748DA"/>
    <w:rsid w:val="001A59E2"/>
    <w:rsid w:val="001F5BF1"/>
    <w:rsid w:val="00292E85"/>
    <w:rsid w:val="002A19D8"/>
    <w:rsid w:val="002A4032"/>
    <w:rsid w:val="00307E65"/>
    <w:rsid w:val="003202B4"/>
    <w:rsid w:val="003921A1"/>
    <w:rsid w:val="003B0256"/>
    <w:rsid w:val="003D1744"/>
    <w:rsid w:val="003E355F"/>
    <w:rsid w:val="0045061D"/>
    <w:rsid w:val="00461236"/>
    <w:rsid w:val="005357D8"/>
    <w:rsid w:val="00565781"/>
    <w:rsid w:val="0059521E"/>
    <w:rsid w:val="005F343D"/>
    <w:rsid w:val="005F350D"/>
    <w:rsid w:val="00630C35"/>
    <w:rsid w:val="00632068"/>
    <w:rsid w:val="00672475"/>
    <w:rsid w:val="006B477D"/>
    <w:rsid w:val="007055B4"/>
    <w:rsid w:val="00735E3E"/>
    <w:rsid w:val="00752AC3"/>
    <w:rsid w:val="00756EED"/>
    <w:rsid w:val="007E7ECC"/>
    <w:rsid w:val="00873B59"/>
    <w:rsid w:val="00885060"/>
    <w:rsid w:val="00891D96"/>
    <w:rsid w:val="008A1734"/>
    <w:rsid w:val="008C754D"/>
    <w:rsid w:val="008F2C0E"/>
    <w:rsid w:val="00955CAA"/>
    <w:rsid w:val="009834B6"/>
    <w:rsid w:val="0099169F"/>
    <w:rsid w:val="009A0BCC"/>
    <w:rsid w:val="00A01E26"/>
    <w:rsid w:val="00A101E1"/>
    <w:rsid w:val="00A25F8A"/>
    <w:rsid w:val="00A80D7D"/>
    <w:rsid w:val="00A868D8"/>
    <w:rsid w:val="00A953D1"/>
    <w:rsid w:val="00AB051A"/>
    <w:rsid w:val="00AE5B3F"/>
    <w:rsid w:val="00AE753C"/>
    <w:rsid w:val="00B33A9D"/>
    <w:rsid w:val="00B34F17"/>
    <w:rsid w:val="00B72834"/>
    <w:rsid w:val="00B77D9A"/>
    <w:rsid w:val="00BC1C98"/>
    <w:rsid w:val="00BD741A"/>
    <w:rsid w:val="00BE1DE6"/>
    <w:rsid w:val="00C03AAA"/>
    <w:rsid w:val="00C054DE"/>
    <w:rsid w:val="00C41517"/>
    <w:rsid w:val="00C449EE"/>
    <w:rsid w:val="00CC62A9"/>
    <w:rsid w:val="00CE15A9"/>
    <w:rsid w:val="00D46095"/>
    <w:rsid w:val="00DB53B9"/>
    <w:rsid w:val="00DE4D56"/>
    <w:rsid w:val="00DF3FC9"/>
    <w:rsid w:val="00DF6F3F"/>
    <w:rsid w:val="00E00A73"/>
    <w:rsid w:val="00E010F2"/>
    <w:rsid w:val="00E342C6"/>
    <w:rsid w:val="00E43C8A"/>
    <w:rsid w:val="00FE2939"/>
    <w:rsid w:val="00FE56F0"/>
    <w:rsid w:val="044B31A7"/>
    <w:rsid w:val="058C3B9C"/>
    <w:rsid w:val="08E30FFD"/>
    <w:rsid w:val="138F6886"/>
    <w:rsid w:val="13DC7B90"/>
    <w:rsid w:val="14561D01"/>
    <w:rsid w:val="17F37885"/>
    <w:rsid w:val="18544759"/>
    <w:rsid w:val="1A3A0951"/>
    <w:rsid w:val="1D465B98"/>
    <w:rsid w:val="2743163B"/>
    <w:rsid w:val="32A51954"/>
    <w:rsid w:val="370E76D9"/>
    <w:rsid w:val="3AFB7AAE"/>
    <w:rsid w:val="3B4C5C32"/>
    <w:rsid w:val="415B6BC3"/>
    <w:rsid w:val="423E085B"/>
    <w:rsid w:val="4C7E4CAB"/>
    <w:rsid w:val="4DA41222"/>
    <w:rsid w:val="4FA81EEA"/>
    <w:rsid w:val="514B1457"/>
    <w:rsid w:val="53702B4D"/>
    <w:rsid w:val="556549E8"/>
    <w:rsid w:val="5D342CE5"/>
    <w:rsid w:val="60E06716"/>
    <w:rsid w:val="78957C78"/>
    <w:rsid w:val="7F3B4E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99"/>
    <w:pPr>
      <w:spacing w:beforeLines="30"/>
    </w:pPr>
    <w:rPr>
      <w:rFonts w:ascii="仿宋_GB2312" w:eastAsia="仿宋_GB2312"/>
      <w:kern w:val="0"/>
      <w:sz w:val="30"/>
    </w:rPr>
  </w:style>
  <w:style w:type="paragraph" w:styleId="3">
    <w:name w:val="Date"/>
    <w:basedOn w:val="1"/>
    <w:next w:val="1"/>
    <w:link w:val="10"/>
    <w:qFormat/>
    <w:uiPriority w:val="0"/>
    <w:pPr>
      <w:ind w:left="100" w:leftChars="25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0"/>
    <w:rPr>
      <w:kern w:val="2"/>
      <w:sz w:val="18"/>
      <w:szCs w:val="18"/>
    </w:rPr>
  </w:style>
  <w:style w:type="character" w:customStyle="1" w:styleId="10">
    <w:name w:val="日期 Char"/>
    <w:basedOn w:val="7"/>
    <w:link w:val="3"/>
    <w:qFormat/>
    <w:uiPriority w:val="0"/>
    <w:rPr>
      <w:kern w:val="2"/>
      <w:sz w:val="21"/>
      <w:szCs w:val="24"/>
    </w:rPr>
  </w:style>
  <w:style w:type="character" w:customStyle="1" w:styleId="11">
    <w:name w:val="正文文本 Char"/>
    <w:basedOn w:val="7"/>
    <w:link w:val="2"/>
    <w:qFormat/>
    <w:uiPriority w:val="99"/>
    <w:rPr>
      <w:rFonts w:ascii="仿宋_GB2312" w:eastAsia="仿宋_GB2312"/>
      <w:sz w:val="3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财政收入总计</a:t>
            </a:r>
            <a:r>
              <a:rPr lang="en-US" altLang="zh-CN"/>
              <a:t>368.67</a:t>
            </a:r>
            <a:r>
              <a:rPr altLang="en-US"/>
              <a:t>万元</a:t>
            </a:r>
            <a:endParaRPr altLang="en-US"/>
          </a:p>
        </c:rich>
      </c:tx>
      <c:layout/>
      <c:overlay val="0"/>
      <c:spPr>
        <a:noFill/>
        <a:ln>
          <a:noFill/>
        </a:ln>
        <a:effectLst/>
      </c:spPr>
    </c:title>
    <c:autoTitleDeleted val="0"/>
    <c:plotArea>
      <c:layout/>
      <c:pieChart>
        <c:varyColors val="1"/>
        <c:ser>
          <c:idx val="0"/>
          <c:order val="0"/>
          <c:tx>
            <c:strRef>
              <c:f>Sheet1!$B$1</c:f>
              <c:strCache>
                <c:ptCount val="1"/>
                <c:pt idx="0">
                  <c:v>万元</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elete val="1"/>
          </c:dLbls>
          <c:cat>
            <c:strRef>
              <c:f>Sheet1!$A$2:$A$4</c:f>
              <c:strCache>
                <c:ptCount val="3"/>
                <c:pt idx="0">
                  <c:v>一般公共预算收入</c:v>
                </c:pt>
                <c:pt idx="1">
                  <c:v>其他收入</c:v>
                </c:pt>
                <c:pt idx="2">
                  <c:v>上级下拨</c:v>
                </c:pt>
              </c:strCache>
            </c:strRef>
          </c:cat>
          <c:val>
            <c:numRef>
              <c:f>Sheet1!$B$2:$B$4</c:f>
              <c:numCache>
                <c:formatCode>General</c:formatCode>
                <c:ptCount val="3"/>
                <c:pt idx="0">
                  <c:v>368.67</c:v>
                </c:pt>
                <c:pt idx="1">
                  <c:v>0</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2021年收入数</c:v>
                </c:pt>
              </c:strCache>
            </c:strRef>
          </c:tx>
          <c:spPr>
            <a:solidFill>
              <a:schemeClr val="accent1"/>
            </a:solidFill>
            <a:ln>
              <a:noFill/>
            </a:ln>
            <a:effectLst/>
          </c:spPr>
          <c:invertIfNegative val="0"/>
          <c:dLbls>
            <c:delete val="1"/>
          </c:dLbls>
          <c:cat>
            <c:strRef>
              <c:f>Sheet1!$A$2:$A$4</c:f>
              <c:strCache>
                <c:ptCount val="3"/>
                <c:pt idx="0">
                  <c:v>2021年收入数</c:v>
                </c:pt>
                <c:pt idx="1">
                  <c:v>2022年收入数</c:v>
                </c:pt>
                <c:pt idx="2">
                  <c:v>2022年比2021年增加</c:v>
                </c:pt>
              </c:strCache>
            </c:strRef>
          </c:cat>
          <c:val>
            <c:numRef>
              <c:f>Sheet1!$B$2:$B$4</c:f>
              <c:numCache>
                <c:formatCode>General</c:formatCode>
                <c:ptCount val="3"/>
                <c:pt idx="0">
                  <c:v>389.67</c:v>
                </c:pt>
                <c:pt idx="1">
                  <c:v>0</c:v>
                </c:pt>
                <c:pt idx="2">
                  <c:v>0</c:v>
                </c:pt>
              </c:numCache>
            </c:numRef>
          </c:val>
        </c:ser>
        <c:ser>
          <c:idx val="1"/>
          <c:order val="1"/>
          <c:tx>
            <c:strRef>
              <c:f>Sheet1!$C$1</c:f>
              <c:strCache>
                <c:ptCount val="1"/>
                <c:pt idx="0">
                  <c:v>2022年收入数</c:v>
                </c:pt>
              </c:strCache>
            </c:strRef>
          </c:tx>
          <c:spPr>
            <a:solidFill>
              <a:schemeClr val="accent2"/>
            </a:solidFill>
            <a:ln>
              <a:noFill/>
            </a:ln>
            <a:effectLst/>
          </c:spPr>
          <c:invertIfNegative val="0"/>
          <c:dLbls>
            <c:delete val="1"/>
          </c:dLbls>
          <c:cat>
            <c:strRef>
              <c:f>Sheet1!$A$2:$A$4</c:f>
              <c:strCache>
                <c:ptCount val="3"/>
                <c:pt idx="0">
                  <c:v>2021年收入数</c:v>
                </c:pt>
                <c:pt idx="1">
                  <c:v>2022年收入数</c:v>
                </c:pt>
                <c:pt idx="2">
                  <c:v>2022年比2021年增加</c:v>
                </c:pt>
              </c:strCache>
            </c:strRef>
          </c:cat>
          <c:val>
            <c:numRef>
              <c:f>Sheet1!$C$2:$C$4</c:f>
              <c:numCache>
                <c:formatCode>General</c:formatCode>
                <c:ptCount val="3"/>
                <c:pt idx="0">
                  <c:v>0</c:v>
                </c:pt>
                <c:pt idx="1">
                  <c:v>368.67</c:v>
                </c:pt>
                <c:pt idx="2">
                  <c:v>0</c:v>
                </c:pt>
              </c:numCache>
            </c:numRef>
          </c:val>
        </c:ser>
        <c:ser>
          <c:idx val="2"/>
          <c:order val="2"/>
          <c:tx>
            <c:strRef>
              <c:f>Sheet1!$D$1</c:f>
              <c:strCache>
                <c:ptCount val="1"/>
                <c:pt idx="0">
                  <c:v>2022年比2021年增加</c:v>
                </c:pt>
              </c:strCache>
            </c:strRef>
          </c:tx>
          <c:spPr>
            <a:solidFill>
              <a:schemeClr val="accent3"/>
            </a:solidFill>
            <a:ln>
              <a:noFill/>
            </a:ln>
            <a:effectLst/>
          </c:spPr>
          <c:invertIfNegative val="0"/>
          <c:dLbls>
            <c:delete val="1"/>
          </c:dLbls>
          <c:cat>
            <c:strRef>
              <c:f>Sheet1!$A$2:$A$4</c:f>
              <c:strCache>
                <c:ptCount val="3"/>
                <c:pt idx="0">
                  <c:v>2021年收入数</c:v>
                </c:pt>
                <c:pt idx="1">
                  <c:v>2022年收入数</c:v>
                </c:pt>
                <c:pt idx="2">
                  <c:v>2022年比2021年增加</c:v>
                </c:pt>
              </c:strCache>
            </c:strRef>
          </c:cat>
          <c:val>
            <c:numRef>
              <c:f>Sheet1!$D$2:$D$4</c:f>
              <c:numCache>
                <c:formatCode>General</c:formatCode>
                <c:ptCount val="3"/>
                <c:pt idx="0">
                  <c:v>0</c:v>
                </c:pt>
                <c:pt idx="1">
                  <c:v>0</c:v>
                </c:pt>
                <c:pt idx="2">
                  <c:v>21</c:v>
                </c:pt>
              </c:numCache>
            </c:numRef>
          </c:val>
        </c:ser>
        <c:dLbls>
          <c:showLegendKey val="0"/>
          <c:showVal val="0"/>
          <c:showCatName val="0"/>
          <c:showSerName val="0"/>
          <c:showPercent val="0"/>
          <c:showBubbleSize val="0"/>
        </c:dLbls>
        <c:gapWidth val="246"/>
        <c:overlap val="-28"/>
        <c:axId val="22430104"/>
        <c:axId val="265501491"/>
      </c:barChart>
      <c:catAx>
        <c:axId val="224301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501491"/>
        <c:crosses val="autoZero"/>
        <c:auto val="1"/>
        <c:lblAlgn val="ctr"/>
        <c:lblOffset val="100"/>
        <c:noMultiLvlLbl val="0"/>
      </c:catAx>
      <c:valAx>
        <c:axId val="265501491"/>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430104"/>
        <c:crosses val="autoZero"/>
        <c:crossBetween val="between"/>
      </c:valAx>
      <c:spPr>
        <a:noFill/>
        <a:ln>
          <a:noFill/>
        </a:ln>
        <a:effectLst/>
      </c:spPr>
    </c:plotArea>
    <c:legend>
      <c:legendPos val="b"/>
      <c:layout>
        <c:manualLayout>
          <c:xMode val="edge"/>
          <c:yMode val="edge"/>
          <c:x val="0.0479584440686156"/>
          <c:y val="0.903314917127072"/>
          <c:w val="0.90166706934042"/>
          <c:h val="0.071185720356991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3029</Words>
  <Characters>3454</Characters>
  <Lines>27</Lines>
  <Paragraphs>7</Paragraphs>
  <TotalTime>6</TotalTime>
  <ScaleCrop>false</ScaleCrop>
  <LinksUpToDate>false</LinksUpToDate>
  <CharactersWithSpaces>3572</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2018-12-07T09:01:00Z</dcterms:created>
  <dc:creator>德西</dc:creator>
  <cp:lastModifiedBy>雪丽滋</cp:lastModifiedBy>
  <cp:lastPrinted>2021-04-08T02:48:00Z</cp:lastPrinted>
  <dcterms:modified xsi:type="dcterms:W3CDTF">2023-09-16T10:13:15Z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F13B0DF95BC84367B26565B0AB2C4D9B</vt:lpwstr>
  </property>
</Properties>
</file>