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炉霍县人民政府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</w: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hint="eastAsia" w:ascii="宋体" w:hAnsi="宋体" w:cs="宋体"/>
          <w:b/>
          <w:bCs/>
          <w:sz w:val="44"/>
          <w:szCs w:val="44"/>
        </w:rPr>
        <w:t>年财政总决算情况的报告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</w:p>
    <w:p>
      <w:pPr>
        <w:ind w:firstLine="643" w:firstLineChars="200"/>
        <w:rPr>
          <w:rFonts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</w:rPr>
        <w:t>主任、各位副主任、各位委员：</w:t>
      </w:r>
    </w:p>
    <w:p>
      <w:pPr>
        <w:ind w:firstLine="640" w:firstLineChars="200"/>
        <w:rPr>
          <w:rFonts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县十三届人民代表大会第二次会议审查批准了《炉霍县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年财政预算执行情况和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2018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年财政收支预算草案报告》现在，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年财政决算已编制完成，按照《中华人民共和国预算法》等法律规定和县人大常委会的安排，现就我县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年财政收支决算情况报告于后。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一、2017年财政总决算情况</w:t>
      </w:r>
    </w:p>
    <w:p>
      <w:pPr>
        <w:ind w:firstLine="640"/>
        <w:rPr>
          <w:rFonts w:ascii="仿宋_GB2312" w:hAnsi="仿宋" w:eastAsia="仿宋_GB2312" w:cs="仿宋_GB2312"/>
          <w:bCs/>
          <w:color w:val="auto"/>
          <w:sz w:val="32"/>
          <w:szCs w:val="32"/>
        </w:rPr>
      </w:pPr>
      <w:r>
        <w:rPr>
          <w:rFonts w:ascii="仿宋_GB2312" w:hAnsi="仿宋" w:eastAsia="仿宋_GB2312" w:cs="仿宋_GB2312"/>
          <w:bCs/>
          <w:color w:val="auto"/>
          <w:sz w:val="32"/>
          <w:szCs w:val="32"/>
        </w:rPr>
        <w:t>2017</w:t>
      </w:r>
      <w:r>
        <w:rPr>
          <w:rFonts w:hint="eastAsia" w:ascii="仿宋_GB2312" w:hAnsi="仿宋" w:eastAsia="仿宋_GB2312" w:cs="仿宋_GB2312"/>
          <w:bCs/>
          <w:color w:val="auto"/>
          <w:sz w:val="32"/>
          <w:szCs w:val="32"/>
        </w:rPr>
        <w:t>年，在县委的坚强领导下，深入学习贯彻习近平新时代中国特色社会主义思想，认真落实习近平总书记对四川工作重要指示精神</w:t>
      </w:r>
      <w:r>
        <w:rPr>
          <w:rFonts w:hint="eastAsia"/>
          <w:color w:val="auto"/>
        </w:rPr>
        <w:t>，</w:t>
      </w:r>
      <w:r>
        <w:rPr>
          <w:rFonts w:hint="eastAsia" w:ascii="仿宋_GB2312" w:hAnsi="仿宋" w:eastAsia="仿宋_GB2312" w:cs="仿宋_GB2312"/>
          <w:bCs/>
          <w:color w:val="auto"/>
          <w:sz w:val="32"/>
          <w:szCs w:val="32"/>
        </w:rPr>
        <w:t>牢牢把握稳中求进工作总基调，严格执行十三届人大一次会议审查批准的预算，认真落实县人大财政经济委员会的审查意见，统筹做好稳增长、促改革、调结构、惠民生、防风险各项工作，经济保持平稳发展，社会大局保持和谐稳定，财政运行总体良好。</w:t>
      </w:r>
    </w:p>
    <w:p>
      <w:pPr>
        <w:numPr>
          <w:ilvl w:val="0"/>
          <w:numId w:val="1"/>
        </w:numP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一般公共预算收支决算</w:t>
      </w:r>
    </w:p>
    <w:p>
      <w:pPr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ascii="仿宋_GB2312" w:hAnsi="仿宋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年一般公共财政预算收入完成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5207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万元，完成调整预算的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100.13%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，同口径增长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0.62%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；上级补助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123353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万元、上年结余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6177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万元，从国有资本经营预算收入调入公共预算收入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55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万元，收入总量为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134792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万元。一般公共财政支出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126659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万元，完成调整预算的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 xml:space="preserve"> 99.64%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；上解上级支出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1621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万元、安排预算稳定调节基金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万元，结转下年支出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6505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万元，支出总量为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134792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万元。</w:t>
      </w:r>
    </w:p>
    <w:p>
      <w:pPr>
        <w:pStyle w:val="4"/>
        <w:shd w:val="clear" w:color="auto" w:fill="FFFFFF"/>
        <w:spacing w:beforeAutospacing="0" w:afterAutospacing="0" w:line="508" w:lineRule="atLeast"/>
        <w:ind w:firstLine="480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</w:rPr>
        <w:t>收入决算的具体情况是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：</w:t>
      </w:r>
    </w:p>
    <w:p>
      <w:pPr>
        <w:pStyle w:val="4"/>
        <w:shd w:val="clear" w:color="auto" w:fill="FFFFFF"/>
        <w:spacing w:beforeAutospacing="0" w:afterAutospacing="0" w:line="508" w:lineRule="atLeast"/>
        <w:ind w:firstLine="480"/>
        <w:rPr>
          <w:rFonts w:ascii="仿宋_GB2312" w:hAnsi="仿宋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（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）税收收入完成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 xml:space="preserve">3323 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为调整预算的</w:t>
      </w:r>
      <w:r>
        <w:rPr>
          <w:rFonts w:ascii="仿宋_GB2312" w:hAnsi="仿宋" w:eastAsia="仿宋_GB2312" w:cs="Times New Roman"/>
          <w:color w:val="auto"/>
          <w:sz w:val="32"/>
          <w:szCs w:val="32"/>
        </w:rPr>
        <w:t xml:space="preserve"> 90.15%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；其中：增值税</w:t>
      </w:r>
      <w:r>
        <w:rPr>
          <w:rFonts w:ascii="仿宋_GB2312" w:hAnsi="仿宋" w:eastAsia="仿宋_GB2312" w:cs="Times New Roman"/>
          <w:color w:val="auto"/>
          <w:sz w:val="32"/>
          <w:szCs w:val="32"/>
        </w:rPr>
        <w:t>1489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万元、营业税</w:t>
      </w:r>
      <w:r>
        <w:rPr>
          <w:rFonts w:ascii="仿宋_GB2312" w:hAnsi="仿宋" w:eastAsia="仿宋_GB2312" w:cs="Times New Roman"/>
          <w:color w:val="auto"/>
          <w:sz w:val="32"/>
          <w:szCs w:val="32"/>
        </w:rPr>
        <w:t>157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万元、企业所得税</w:t>
      </w:r>
      <w:r>
        <w:rPr>
          <w:rFonts w:ascii="仿宋_GB2312" w:hAnsi="仿宋" w:eastAsia="仿宋_GB2312" w:cs="Times New Roman"/>
          <w:color w:val="auto"/>
          <w:sz w:val="32"/>
          <w:szCs w:val="32"/>
        </w:rPr>
        <w:t>98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万元、个人所得税</w:t>
      </w:r>
      <w:r>
        <w:rPr>
          <w:rFonts w:ascii="仿宋_GB2312" w:hAnsi="仿宋" w:eastAsia="仿宋_GB2312" w:cs="Times New Roman"/>
          <w:color w:val="auto"/>
          <w:sz w:val="32"/>
          <w:szCs w:val="32"/>
        </w:rPr>
        <w:t>240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万元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、城市维护建设税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147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万元、城镇土地使用税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万元、耕地占用税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680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万元、契税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39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万元、车船税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266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万元、资源税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25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万元、房产税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113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万元、印花税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49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万元。</w:t>
      </w:r>
    </w:p>
    <w:p>
      <w:pPr>
        <w:pStyle w:val="4"/>
        <w:shd w:val="clear" w:color="auto" w:fill="FFFFFF"/>
        <w:spacing w:beforeAutospacing="0" w:afterAutospacing="0" w:line="508" w:lineRule="atLeast"/>
        <w:ind w:firstLine="480"/>
        <w:rPr>
          <w:rFonts w:ascii="仿宋_GB2312" w:hAnsi="仿宋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（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）非税收入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1884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万元，为调整预算的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124.44%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，其中：专项收入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719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万元、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行政事业性收费收入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 xml:space="preserve"> 248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万元、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罚没收入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228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万元、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国有资源（资产）有偿使用收入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 xml:space="preserve">636 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万元、政府住房基金收入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52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万元，其他收入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万元。</w:t>
      </w:r>
    </w:p>
    <w:p>
      <w:pPr>
        <w:ind w:firstLine="64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</w:rPr>
        <w:t>支出决算具体情况是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社会保障和就业支出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10170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>99.38%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；交通运输支出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20417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>94.68%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；教育支出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14488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>100%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；一般公共服务支出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20840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>99.64%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；公共安全支出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5907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>100%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；医疗卫生与计划生育支出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10421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>97.38%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；文化体育与传媒支出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1583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>100%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；科学技术支出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216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>98.18%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；住房保障支出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2040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 xml:space="preserve">100%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；国防支出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31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>100%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；节能环保支出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6257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>99.68%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；城乡社区事务支出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4197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>100%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；农林水支出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28420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>88.24%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；资源勘探信息支出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380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>100%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；商业服务业</w:t>
      </w:r>
      <w:r>
        <w:rPr>
          <w:rFonts w:ascii="仿宋_GB2312" w:hAnsi="仿宋" w:eastAsia="仿宋_GB2312" w:cs="仿宋"/>
          <w:color w:val="auto"/>
          <w:sz w:val="32"/>
          <w:szCs w:val="32"/>
        </w:rPr>
        <w:t>176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>100%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；金融支出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23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>100%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；国土海洋气象等支出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782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>78.51%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；其他支出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135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万元，国债还本付息支出</w:t>
      </w:r>
      <w:r>
        <w:rPr>
          <w:rFonts w:ascii="仿宋_GB2312" w:hAnsi="仿宋" w:eastAsia="仿宋_GB2312" w:cs="仿宋"/>
          <w:color w:val="auto"/>
          <w:sz w:val="32"/>
          <w:szCs w:val="32"/>
        </w:rPr>
        <w:t>128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万元，完成预算的</w:t>
      </w:r>
      <w:r>
        <w:rPr>
          <w:rFonts w:ascii="仿宋_GB2312" w:hAnsi="仿宋" w:eastAsia="仿宋_GB2312" w:cs="仿宋"/>
          <w:color w:val="auto"/>
          <w:sz w:val="32"/>
          <w:szCs w:val="32"/>
        </w:rPr>
        <w:t>100%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。</w:t>
      </w:r>
    </w:p>
    <w:p>
      <w:pPr>
        <w:ind w:firstLine="645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（二）政府性基金收支决算</w:t>
      </w:r>
    </w:p>
    <w:p>
      <w:pPr>
        <w:ind w:firstLine="645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政府性基金收入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2035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万元，完成年初预算的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865.96%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；加上上级补助收入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449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万元、上年结余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48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,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债务转贷收入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1573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万元、收入总量为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4105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万元。政府性基金支出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2351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万元，收入总量减去支出总量后，基金结转结下年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1754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ind w:firstLine="645"/>
        <w:rPr>
          <w:rFonts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支出决算主要情况：国家电影事业发展专项资金及对应专项债务收入安排的支出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50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万元，完成调整预算的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100%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；大中型水库移民后期扶持基金支出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万元，完成调整预算的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100%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国有土地使用权出让相关支出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1933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万元，完成调整预算的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53.58%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彩票公益金相关支出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365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,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完成调整预算的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82.21%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。</w:t>
      </w:r>
    </w:p>
    <w:p>
      <w:pPr>
        <w:ind w:firstLine="645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（三）国有资本经营收支决算</w:t>
      </w:r>
    </w:p>
    <w:p>
      <w:pPr>
        <w:ind w:firstLine="640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全县国有资本经营收入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273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万元，国有资本经营预算支出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218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万元，调入公共预算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55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（四）社会保险基金收支决算</w:t>
      </w:r>
    </w:p>
    <w:p>
      <w:pPr>
        <w:ind w:firstLine="640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全县社会保险基金收入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740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万元，社会保险基金支出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477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万元，结转结余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263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(五）部门决算</w:t>
      </w:r>
    </w:p>
    <w:p>
      <w:pPr>
        <w:ind w:firstLine="640" w:firstLineChars="200"/>
        <w:rPr>
          <w:rFonts w:ascii="仿宋_GB2312" w:hAnsi="仿宋" w:eastAsia="仿宋_GB2312" w:cs="仿宋_GB2312"/>
          <w:b/>
          <w:bCs/>
          <w:color w:val="auto"/>
          <w:sz w:val="32"/>
          <w:szCs w:val="32"/>
        </w:rPr>
      </w:pPr>
      <w:r>
        <w:rPr>
          <w:rFonts w:ascii="仿宋_GB2312" w:hAnsi="仿宋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年全县共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69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个决算单位，其中：县级单位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49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个，乡镇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16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个、工委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个。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年全县部门决算中总收入为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133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，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420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万元，其中年初结转和结余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21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，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614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万元、一般公共预算财政拨款收入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122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，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954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万元、事业收入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6.39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万元、其他收入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8109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万元。部门决算总支出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128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，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156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万元，其中一般公共预算财政拨款支出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125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，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886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万元、政府基金预算财政支出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2269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万元。年末结转结余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29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，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879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万元。</w:t>
      </w:r>
    </w:p>
    <w:p>
      <w:pPr>
        <w:spacing w:line="360" w:lineRule="auto"/>
        <w:ind w:firstLine="643" w:firstLineChars="200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三、2017年财政工作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ascii="仿宋_GB2312" w:hAnsi="仿宋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，面对财政收入增长滞后和财政支出刚性增长的双重压力，在县委的坚强领导下，在县人大、县政协监督指导下，全县财政工作坚持“保工资、保运转、保民生、促发展”的工作目标，积极发挥财政职能，不断加强收入征管，努力保障重点支出，持续推进财税改革，为全县经济社会发展作出了积极的贡献。</w:t>
      </w:r>
    </w:p>
    <w:p>
      <w:pPr>
        <w:spacing w:line="360" w:lineRule="auto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（一）强化措施，加强征管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面对经济下行，政策性减收、企业减负，财政收入增长乏力等诸多因素，狠抓财政收入不放松。一方面加强与征收部门和项目实施单位的沟通衔接，分析税收形势、税收政策，确保税收及时入库；另一方面强化对重点行业、重点企业、重大项目纳税情况的监控，加大协税、护税力度，强化非税收入管理，确保应收尽收。</w:t>
      </w:r>
    </w:p>
    <w:p>
      <w:pPr>
        <w:spacing w:line="360" w:lineRule="auto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（二）支出结构更优化，民生发展取得新进步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ascii="仿宋_GB2312" w:hAnsi="仿宋" w:eastAsia="仿宋_GB2312" w:cs="仿宋_GB2312"/>
          <w:color w:val="auto"/>
          <w:sz w:val="32"/>
          <w:szCs w:val="32"/>
        </w:rPr>
        <w:t xml:space="preserve"> 2017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年全县民生支出实现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38680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万元，占地方一般预算支出的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30.54%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，支出结构更加优化、公共财政职能进一步体现。一是支持教育事业。教育支出实现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5794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万元，其中安排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2523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万元用于义务教育免学杂费、营养计划改善、民族地区学生取暖、资助家庭经济困难学生。二是支持卫计事业。医疗卫生支出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3823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万元，其中安排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1172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万元用于基本药物补助、村卫生室运转、城乡医疗救助、基本公共卫生服务、重大公共卫生专项、计划生育服务等。三是支持社保和就业。累计安排资金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6667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万元用于养老、医疗、失业、工伤等。安排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4048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万元用于农村低保、城镇低保、社会救助、社会抚养等。安排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209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万元用于促进城乡劳动者就业创业、帮扶下岗失业人员再就业和促进高校毕业生就业。四是支持改善人居环境。投入资金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1383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万元，用于环境综合整治，城乡垃圾收集房转运和廉租房、保障性安居工程等。五是支持生态建设。安排资金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12571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万元用于草原生态保护奖补、天然林保护及退耕还林、生态功能项目建设等。六、支持文化建设。安排资金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333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万元用于图书馆、文化馆、博物馆三馆免费开放、农民工体育健身工程、免费放映、广播村村响等。</w:t>
      </w:r>
    </w:p>
    <w:p>
      <w:pPr>
        <w:spacing w:line="360" w:lineRule="auto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（三）财税改革持续深化</w:t>
      </w:r>
    </w:p>
    <w:p>
      <w:pPr>
        <w:spacing w:line="360" w:lineRule="auto"/>
        <w:ind w:firstLine="640" w:firstLineChars="200"/>
        <w:rPr>
          <w:rFonts w:ascii="仿宋_GB2312" w:hAnsi="仿宋" w:eastAsia="仿宋_GB2312" w:cs="楷体_GB2312"/>
          <w:color w:val="auto"/>
          <w:sz w:val="32"/>
          <w:szCs w:val="32"/>
        </w:rPr>
      </w:pPr>
      <w:r>
        <w:rPr>
          <w:rFonts w:hint="eastAsia" w:ascii="仿宋_GB2312" w:hAnsi="仿宋" w:eastAsia="仿宋_GB2312" w:cs="楷体_GB2312"/>
          <w:color w:val="auto"/>
          <w:sz w:val="32"/>
          <w:szCs w:val="32"/>
        </w:rPr>
        <w:t>立足财政职能，围绕</w:t>
      </w:r>
      <w:r>
        <w:rPr>
          <w:rFonts w:hint="eastAsia" w:ascii="仿宋_GB2312" w:hAnsi="仿宋" w:eastAsia="仿宋_GB2312" w:cs="楷体_GB2312"/>
          <w:color w:val="auto"/>
          <w:sz w:val="32"/>
          <w:szCs w:val="32"/>
          <w:lang w:eastAsia="zh-CN"/>
        </w:rPr>
        <w:t>供给侧结构性改革</w:t>
      </w:r>
      <w:r>
        <w:rPr>
          <w:rFonts w:hint="eastAsia" w:ascii="仿宋_GB2312" w:hAnsi="仿宋" w:eastAsia="仿宋_GB2312" w:cs="楷体_GB2312"/>
          <w:color w:val="auto"/>
          <w:sz w:val="32"/>
          <w:szCs w:val="32"/>
        </w:rPr>
        <w:t>，创新财政投入方式，支持产业发展，积极推进地方现代财政制度。</w:t>
      </w:r>
    </w:p>
    <w:p>
      <w:pPr>
        <w:spacing w:line="360" w:lineRule="auto"/>
        <w:ind w:firstLine="643" w:firstLineChars="200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ascii="仿宋_GB2312" w:hAnsi="仿宋" w:eastAsia="仿宋_GB2312" w:cs="楷体_GB2312"/>
          <w:b/>
          <w:bCs/>
          <w:color w:val="auto"/>
          <w:sz w:val="32"/>
          <w:szCs w:val="32"/>
        </w:rPr>
        <w:t>1</w:t>
      </w:r>
      <w:r>
        <w:rPr>
          <w:rFonts w:hint="eastAsia" w:ascii="仿宋_GB2312" w:hAnsi="仿宋" w:eastAsia="仿宋_GB2312" w:cs="楷体_GB2312"/>
          <w:b/>
          <w:bCs/>
          <w:color w:val="auto"/>
          <w:sz w:val="32"/>
          <w:szCs w:val="32"/>
        </w:rPr>
        <w:t>、深化预算管理改革。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深化推进财政预算管理改革，加快构建全面规范、公开透明的预算管理制度。一是在部门预算编制方面。认真落实新《预算法》，稳步推进全口径预算管理，将所有收入纳入部门预算编制，通过规范收支行为、健全审批流程、明确管理权责，构建完整统一、规范透明的全口径预算管理机制。</w:t>
      </w: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</w:rPr>
        <w:t>二是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完善政府预算体系，进一步强化财政管理水平。加大一般公共预算、政府性基金预算、国有资本经营预算的统筹力度。三是深化预（决）算信息公开。“阳光是最好的防腐剂”，通过政府门户网站对财政预决算、部门预决算以及“三公”经费实现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非涉密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全公开，增强了财政资金使用的透明度。</w:t>
      </w:r>
      <w:r>
        <w:rPr>
          <w:rFonts w:hint="eastAsia" w:ascii="仿宋_GB2312" w:hAnsi="仿宋" w:eastAsia="仿宋_GB2312" w:cs="仿宋_GB2312"/>
          <w:bCs/>
          <w:color w:val="auto"/>
          <w:sz w:val="32"/>
          <w:szCs w:val="32"/>
        </w:rPr>
        <w:t>四是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开展财政存量结余结转资金清理工作。按照中央、省、州财政部门要求完成了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年度财政存量资金的清理，共清理出财政存量资金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15037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万元，加大了盘活存量资金力度，发挥了财政资金使用效益。</w:t>
      </w:r>
      <w:r>
        <w:rPr>
          <w:rFonts w:hint="eastAsia" w:ascii="仿宋_GB2312" w:hAnsi="仿宋" w:eastAsia="仿宋_GB2312" w:cs="仿宋_GB2312"/>
          <w:bCs/>
          <w:color w:val="auto"/>
          <w:sz w:val="32"/>
          <w:szCs w:val="32"/>
        </w:rPr>
        <w:t>五是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规范政府债务管理，有效防范政府债务风险。清理整改政府融资担保行为，严格按规定方式举借债务，当年新增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债券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资金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1573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万元。六是压缩一般性支出。按照财政部和国务院“各级政府要坚持过紧日子”的有关部署，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年一般性支出在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年决算基础上压缩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5%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，压缩支出主要用于保民生和保人员工资。</w:t>
      </w:r>
    </w:p>
    <w:p>
      <w:pPr>
        <w:spacing w:line="360" w:lineRule="auto"/>
        <w:ind w:firstLine="643" w:firstLineChars="200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ascii="仿宋_GB2312" w:hAnsi="仿宋" w:eastAsia="仿宋_GB2312" w:cs="仿宋_GB2312"/>
          <w:b/>
          <w:bCs/>
          <w:color w:val="auto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</w:rPr>
        <w:t>、</w:t>
      </w:r>
      <w:r>
        <w:rPr>
          <w:rFonts w:hint="eastAsia" w:ascii="仿宋_GB2312" w:hAnsi="仿宋" w:eastAsia="仿宋_GB2312" w:cs="楷体_GB2312"/>
          <w:b/>
          <w:bCs/>
          <w:color w:val="auto"/>
          <w:sz w:val="32"/>
          <w:szCs w:val="32"/>
        </w:rPr>
        <w:t>深化国库管理改革。</w:t>
      </w: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</w:rPr>
        <w:t>一是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国库集中支付制度改革覆盖所有财政性资金，县、乡两级全部实施国库集中支付制度改革，做到纵向到底、横向到边。</w:t>
      </w: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</w:rPr>
        <w:t>二是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进一步规范财政专户和预算单位银行账户管理。今年，共清理出允许保留的财政账户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个、不允许保留账户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个，并将不允许保留账户全部撤销。对单位、部门新开设的账户进行严格的审批、备案管理，对无政策规定不允许开设的账户，坚决不予开立。</w:t>
      </w: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</w:rPr>
        <w:t>三是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不断完善预算执行动态监控运行机制。按照建立现代国库制度的有关要求，履行预算执行动态监控职责，切实建立完善覆盖财政资金支付全过程的动态监控机制，强化预防、纠偏、威慑、反映功能，保障预算执行严格规范。今年，共发现疑点支付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426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笔，涉及金额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2146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万元。</w:t>
      </w:r>
    </w:p>
    <w:p>
      <w:pPr>
        <w:spacing w:line="360" w:lineRule="auto"/>
        <w:ind w:firstLine="643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（四）强化监督</w:t>
      </w:r>
    </w:p>
    <w:p>
      <w:pPr>
        <w:snapToGrid w:val="0"/>
        <w:spacing w:line="360" w:lineRule="auto"/>
        <w:ind w:firstLine="643" w:firstLineChars="200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color w:val="auto"/>
          <w:sz w:val="32"/>
          <w:szCs w:val="32"/>
        </w:rPr>
        <w:t>一是加强财政监督检查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。通过开展会计信息质量检查、严肃财经纪律检查，查找资金管理的薄弱环节；通过开展财政扶贫资金专项检查、四项扶贫基金检查，监督扶贫资金的管理和使用效果；通过开展“三公”经费、滥发钱物、违规发放津补贴等检查，监督厉行节约执行情况。</w:t>
      </w: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</w:rPr>
        <w:t>二是推进财政评审和政府采购。</w:t>
      </w:r>
      <w:r>
        <w:rPr>
          <w:rFonts w:hint="eastAsia" w:ascii="仿宋_GB2312" w:hAnsi="仿宋" w:eastAsia="仿宋_GB2312" w:cs="仿宋_GB2312"/>
          <w:bCs/>
          <w:color w:val="auto"/>
          <w:sz w:val="32"/>
          <w:szCs w:val="32"/>
        </w:rPr>
        <w:t>全年共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完成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86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个项目财政评审，评审金额为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37017.11942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万元，审减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2815.145073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万元，审减率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7.6%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。当年批复政府采购项目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62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个，采购资金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4057.31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万元，采购合同备案金额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 xml:space="preserve"> 4057.31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万元。财政监管事前、事后参与力度不断加强。</w:t>
      </w: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</w:rPr>
        <w:t>三是深化预算绩效管理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。牢固树立“用钱必问绩、花钱必问效”的理念，今年对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2016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年县级财政安排的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21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个项目，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2230.6248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万元资金进行了绩效评价，对财政资金使用效益进行有效跟踪。四是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加大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国有资产监管力度。深入推进国资监管，监管职能得到优化和调整，监管效能得以提高，资产登记、报废、处置程序不断完善。开展了全县行政事业单位业务人员政府资产报告编制业务培训会。</w:t>
      </w:r>
    </w:p>
    <w:p>
      <w:pPr>
        <w:spacing w:line="360" w:lineRule="auto"/>
        <w:ind w:firstLine="643" w:firstLineChars="200"/>
        <w:rPr>
          <w:rFonts w:ascii="仿宋_GB2312" w:hAnsi="仿宋" w:eastAsia="仿宋_GB2312" w:cs="楷体_GB2312"/>
          <w:color w:val="auto"/>
          <w:sz w:val="32"/>
          <w:szCs w:val="32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）财政金融助推脱贫攻坚</w:t>
      </w:r>
      <w:bookmarkEnd w:id="0"/>
    </w:p>
    <w:p>
      <w:pPr>
        <w:spacing w:line="360" w:lineRule="auto"/>
        <w:rPr>
          <w:rFonts w:ascii="仿宋_GB2312" w:eastAsia="仿宋_GB2312"/>
          <w:color w:val="auto"/>
        </w:rPr>
      </w:pPr>
      <w:r>
        <w:rPr>
          <w:rFonts w:ascii="仿宋_GB2312" w:hAnsi="仿宋" w:eastAsia="仿宋_GB2312" w:cs="仿宋_GB2312"/>
          <w:color w:val="auto"/>
          <w:sz w:val="32"/>
          <w:szCs w:val="32"/>
        </w:rPr>
        <w:t xml:space="preserve">     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一是创新财政支持脱贫攻坚的模式，统筹整合涉农资金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28999.4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万元，用于农业农村基础设施、产业发展等；安排小额信贷风险基金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1000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万元，用于贫困村贫困户小额信贷款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风险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担保，当年共发放小额信用贷款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1606.4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万元；安排资金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800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万元用于补充教育和卫生扶贫基金，有效地解决了群众上学难、看病难的问题。二是筹集资金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44353.49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万元（含县级财政专项扶贫资金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400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万元），用于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22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个专项扶贫方案确定项目支出，比上年增长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24%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，充分体现了财政资金在全县脱贫奔康、“两个率先”攻坚战中的支撑作用。</w:t>
      </w:r>
      <w:r>
        <w:rPr>
          <w:rFonts w:hint="eastAsia" w:ascii="仿宋_GB2312" w:eastAsia="仿宋_GB2312"/>
          <w:color w:val="auto"/>
        </w:rPr>
        <w:t>　</w:t>
      </w:r>
      <w:r>
        <w:rPr>
          <w:rFonts w:ascii="仿宋_GB2312" w:eastAsia="仿宋_GB2312"/>
          <w:color w:val="auto"/>
        </w:rPr>
        <w:t xml:space="preserve"> </w:t>
      </w:r>
    </w:p>
    <w:p>
      <w:pPr>
        <w:spacing w:line="360" w:lineRule="auto"/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hAnsi="仿宋" w:eastAsia="仿宋_GB2312" w:cs="仿宋_GB2312"/>
          <w:color w:val="auto"/>
          <w:sz w:val="32"/>
          <w:szCs w:val="32"/>
        </w:rPr>
        <w:t>2017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，全县财政运行总体平稳，预算执行效果较好，但同时还存在财政收支平衡压力不断加大、收支结构有待优化、资金统筹安排使用机制有待完善、绩效管理和信息公开力度有待加大、财政干部量少质弱等需要解决的问题，审计也指出了存在的不足。我们对此高度重视，特别是对审计查出问题严肃认真进行整改，深入研究和采纳审计提出的建议，深化改革，完善机制，努力提升财政预算管理水平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left="414" w:leftChars="197"/>
        <w:rPr>
          <w:rFonts w:ascii="仿宋_GB2312" w:hAnsi="宋体" w:eastAsia="仿宋_GB2312" w:cs="Times New Roman"/>
          <w:color w:val="auto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175B3C"/>
    <w:multiLevelType w:val="multilevel"/>
    <w:tmpl w:val="74175B3C"/>
    <w:lvl w:ilvl="0" w:tentative="0">
      <w:start w:val="1"/>
      <w:numFmt w:val="japaneseCounting"/>
      <w:lvlText w:val="（%1）"/>
      <w:lvlJc w:val="left"/>
      <w:pPr>
        <w:tabs>
          <w:tab w:val="left" w:pos="1720"/>
        </w:tabs>
        <w:ind w:left="1720" w:hanging="108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czYmJiYzZlZTU4NTdmMDE0Yjg5ZWM5ODIxZjA4MDMifQ=="/>
  </w:docVars>
  <w:rsids>
    <w:rsidRoot w:val="48402C51"/>
    <w:rsid w:val="00057519"/>
    <w:rsid w:val="00142512"/>
    <w:rsid w:val="001537AC"/>
    <w:rsid w:val="001E589B"/>
    <w:rsid w:val="00201247"/>
    <w:rsid w:val="00267BB5"/>
    <w:rsid w:val="00280572"/>
    <w:rsid w:val="0032471C"/>
    <w:rsid w:val="003252BF"/>
    <w:rsid w:val="003A2B0B"/>
    <w:rsid w:val="003C1FAD"/>
    <w:rsid w:val="003F0778"/>
    <w:rsid w:val="00431FBE"/>
    <w:rsid w:val="00434922"/>
    <w:rsid w:val="00437ACF"/>
    <w:rsid w:val="004957F0"/>
    <w:rsid w:val="004E4756"/>
    <w:rsid w:val="005202D3"/>
    <w:rsid w:val="0056724B"/>
    <w:rsid w:val="005A6160"/>
    <w:rsid w:val="005B1270"/>
    <w:rsid w:val="005B62B2"/>
    <w:rsid w:val="005D065C"/>
    <w:rsid w:val="005D1CD7"/>
    <w:rsid w:val="006C3AEC"/>
    <w:rsid w:val="006C5B69"/>
    <w:rsid w:val="006E22FF"/>
    <w:rsid w:val="006E2700"/>
    <w:rsid w:val="00732160"/>
    <w:rsid w:val="00745AF0"/>
    <w:rsid w:val="007C3342"/>
    <w:rsid w:val="0080649C"/>
    <w:rsid w:val="00821730"/>
    <w:rsid w:val="008A1D24"/>
    <w:rsid w:val="008A5191"/>
    <w:rsid w:val="008A5673"/>
    <w:rsid w:val="008B299F"/>
    <w:rsid w:val="008B5104"/>
    <w:rsid w:val="009203CC"/>
    <w:rsid w:val="0092400C"/>
    <w:rsid w:val="00981ED5"/>
    <w:rsid w:val="009825A9"/>
    <w:rsid w:val="009D1DE2"/>
    <w:rsid w:val="00A374F8"/>
    <w:rsid w:val="00AE0222"/>
    <w:rsid w:val="00AE5A60"/>
    <w:rsid w:val="00B45BF6"/>
    <w:rsid w:val="00B6086D"/>
    <w:rsid w:val="00C214F2"/>
    <w:rsid w:val="00C45844"/>
    <w:rsid w:val="00CB1489"/>
    <w:rsid w:val="00CC41B0"/>
    <w:rsid w:val="00CC7BA8"/>
    <w:rsid w:val="00D75210"/>
    <w:rsid w:val="00D83E97"/>
    <w:rsid w:val="00D869A9"/>
    <w:rsid w:val="00DE0A4E"/>
    <w:rsid w:val="00E73586"/>
    <w:rsid w:val="00E8779E"/>
    <w:rsid w:val="00EB1BB0"/>
    <w:rsid w:val="00EE251B"/>
    <w:rsid w:val="00EF39E2"/>
    <w:rsid w:val="00F15F7B"/>
    <w:rsid w:val="00F32565"/>
    <w:rsid w:val="00F41733"/>
    <w:rsid w:val="00F62E1C"/>
    <w:rsid w:val="00FB0294"/>
    <w:rsid w:val="00FC3F44"/>
    <w:rsid w:val="00FD21A8"/>
    <w:rsid w:val="0CAE579C"/>
    <w:rsid w:val="0E2F0986"/>
    <w:rsid w:val="14D12AD9"/>
    <w:rsid w:val="190945C4"/>
    <w:rsid w:val="2EA24FD4"/>
    <w:rsid w:val="35CA73B3"/>
    <w:rsid w:val="3ACE3144"/>
    <w:rsid w:val="48402C51"/>
    <w:rsid w:val="493F20C4"/>
    <w:rsid w:val="538936E6"/>
    <w:rsid w:val="569D39CB"/>
    <w:rsid w:val="58830789"/>
    <w:rsid w:val="5AA736B0"/>
    <w:rsid w:val="6F9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7">
    <w:name w:val="Footer Char"/>
    <w:basedOn w:val="6"/>
    <w:link w:val="2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Header Char"/>
    <w:basedOn w:val="6"/>
    <w:link w:val="3"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9</Pages>
  <Words>698</Words>
  <Characters>3980</Characters>
  <Lines>0</Lines>
  <Paragraphs>0</Paragraphs>
  <TotalTime>244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2016-08-24T01:56:00Z</dcterms:created>
  <dc:creator>Administrator</dc:creator>
  <cp:lastModifiedBy>人勤春来早.</cp:lastModifiedBy>
  <dcterms:modified xsi:type="dcterms:W3CDTF">2023-09-17T07:35:20Z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59630D4E1C3A4118B36A4FCA1A70111B_12</vt:lpwstr>
  </property>
</Properties>
</file>