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852D6">
      <w:pPr>
        <w:jc w:val="center"/>
        <w:rPr>
          <w:rFonts w:ascii="黑体" w:hAnsi="Times New Roman" w:eastAsia="黑体" w:cs="黑体"/>
          <w:color w:val="000000"/>
        </w:rPr>
      </w:pPr>
      <w:bookmarkStart w:id="0" w:name="YS040100"/>
    </w:p>
    <w:p w14:paraId="38BE68CB">
      <w:pPr>
        <w:jc w:val="center"/>
        <w:rPr>
          <w:rFonts w:ascii="黑体" w:hAnsi="Times New Roman" w:eastAsia="黑体" w:cs="黑体"/>
          <w:color w:val="000000"/>
        </w:rPr>
      </w:pPr>
    </w:p>
    <w:p w14:paraId="60216090">
      <w:pPr>
        <w:jc w:val="center"/>
        <w:rPr>
          <w:rFonts w:ascii="黑体" w:hAnsi="Times New Roman" w:eastAsia="黑体" w:cs="黑体"/>
          <w:color w:val="000000"/>
        </w:rPr>
      </w:pPr>
    </w:p>
    <w:bookmarkEnd w:id="0"/>
    <w:p w14:paraId="0A7B56F5">
      <w:pPr>
        <w:jc w:val="center"/>
        <w:rPr>
          <w:rFonts w:hint="default" w:ascii="华文中宋" w:hAnsi="华文中宋" w:eastAsia="华文中宋" w:cs="黑体"/>
          <w:color w:val="000000"/>
          <w:sz w:val="36"/>
          <w:szCs w:val="32"/>
          <w:lang w:val="en-US" w:eastAsia="zh-CN"/>
        </w:rPr>
      </w:pPr>
      <w:r>
        <w:rPr>
          <w:rFonts w:hint="eastAsia" w:ascii="华文中宋" w:hAnsi="华文中宋" w:eastAsia="华文中宋" w:cs="黑体"/>
          <w:color w:val="000000"/>
          <w:sz w:val="36"/>
          <w:szCs w:val="32"/>
          <w:lang w:val="en-US" w:eastAsia="zh-CN"/>
        </w:rPr>
        <w:t>石渠县温波镇人民政府</w:t>
      </w:r>
    </w:p>
    <w:p w14:paraId="035B9908">
      <w:pPr>
        <w:jc w:val="center"/>
        <w:rPr>
          <w:rFonts w:ascii="华文中宋" w:hAnsi="华文中宋" w:eastAsia="华文中宋" w:cs="黑体"/>
          <w:color w:val="000000"/>
          <w:sz w:val="36"/>
          <w:szCs w:val="32"/>
        </w:rPr>
      </w:pPr>
      <w:r>
        <w:rPr>
          <w:rFonts w:hint="eastAsia" w:ascii="华文中宋" w:hAnsi="华文中宋" w:eastAsia="华文中宋" w:cs="黑体"/>
          <w:color w:val="000000"/>
          <w:sz w:val="36"/>
          <w:szCs w:val="32"/>
          <w:lang w:val="en-US" w:eastAsia="zh-CN"/>
        </w:rPr>
        <w:t>2023</w:t>
      </w:r>
      <w:bookmarkStart w:id="7" w:name="_GoBack"/>
      <w:bookmarkEnd w:id="7"/>
      <w:r>
        <w:rPr>
          <w:rFonts w:hint="eastAsia" w:ascii="华文中宋" w:hAnsi="华文中宋" w:eastAsia="华文中宋" w:cs="黑体"/>
          <w:color w:val="000000"/>
          <w:sz w:val="36"/>
          <w:szCs w:val="32"/>
        </w:rPr>
        <w:t>年度部门决算报表说明</w:t>
      </w:r>
    </w:p>
    <w:p w14:paraId="64E2DDFD">
      <w:pPr>
        <w:widowControl/>
        <w:spacing w:line="211" w:lineRule="atLeast"/>
        <w:jc w:val="center"/>
        <w:rPr>
          <w:rFonts w:ascii="华文中宋" w:hAnsi="华文中宋" w:eastAsia="华文中宋" w:cs="宋体"/>
          <w:color w:val="000000"/>
          <w:kern w:val="0"/>
          <w:sz w:val="36"/>
          <w:szCs w:val="32"/>
        </w:rPr>
      </w:pPr>
    </w:p>
    <w:p w14:paraId="3A52E837">
      <w:pPr>
        <w:jc w:val="center"/>
        <w:rPr>
          <w:rFonts w:ascii="仿宋_GB2312" w:hAnsi="华文中宋" w:eastAsia="仿宋_GB2312" w:cs="黑体"/>
          <w:color w:val="000000"/>
          <w:sz w:val="32"/>
          <w:szCs w:val="32"/>
        </w:rPr>
      </w:pPr>
    </w:p>
    <w:p w14:paraId="67F13E95">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一、决算信息来源说明</w:t>
      </w:r>
    </w:p>
    <w:p w14:paraId="18C8C20E">
      <w:pPr>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本套决算依据本单位登记完整、核对无误的账簿记录和其他有关会计核算资料编制，账证相符、账实相符、账表相符、表表相符，真实、准确、完整地反映了本单位预算执行结果和财务状况。</w:t>
      </w:r>
    </w:p>
    <w:p w14:paraId="2362CC7D">
      <w:pPr>
        <w:ind w:firstLine="640" w:firstLineChars="200"/>
        <w:rPr>
          <w:rFonts w:ascii="仿宋_GB2312" w:hAnsi="仿宋" w:eastAsia="仿宋_GB2312" w:cs="黑体"/>
          <w:color w:val="000000"/>
          <w:sz w:val="32"/>
          <w:szCs w:val="32"/>
        </w:rPr>
      </w:pPr>
      <w:r>
        <w:rPr>
          <w:rFonts w:hint="eastAsia" w:ascii="仿宋_GB2312" w:hAnsi="仿宋" w:eastAsia="仿宋_GB2312"/>
          <w:sz w:val="32"/>
          <w:szCs w:val="32"/>
        </w:rPr>
        <w:t>（一）本套决算主表数据主要依据本单位会计账簿总账及明细账数据填列，预算数据依据本单位预、决算批复文件及预算调整文件填列。</w:t>
      </w:r>
    </w:p>
    <w:p w14:paraId="34509584">
      <w:pPr>
        <w:ind w:firstLine="640" w:firstLineChars="200"/>
        <w:rPr>
          <w:rFonts w:ascii="仿宋_GB2312" w:hAnsi="仿宋" w:eastAsia="仿宋_GB2312"/>
          <w:sz w:val="32"/>
          <w:szCs w:val="32"/>
        </w:rPr>
      </w:pPr>
      <w:r>
        <w:rPr>
          <w:rFonts w:hint="eastAsia" w:ascii="仿宋_GB2312" w:hAnsi="仿宋" w:eastAsia="仿宋_GB2312"/>
          <w:sz w:val="32"/>
          <w:szCs w:val="32"/>
        </w:rPr>
        <w:t>（二）本套决算附表数据主要依据本单位会计账簿、资产、人事台账及相关资料填列。</w:t>
      </w:r>
    </w:p>
    <w:p w14:paraId="11F4620E">
      <w:pPr>
        <w:ind w:firstLine="640" w:firstLineChars="200"/>
        <w:rPr>
          <w:rFonts w:ascii="黑体" w:hAnsi="黑体" w:eastAsia="黑体" w:cs="黑体"/>
          <w:sz w:val="32"/>
          <w:szCs w:val="32"/>
        </w:rPr>
      </w:pPr>
      <w:r>
        <w:rPr>
          <w:rFonts w:hint="eastAsia" w:ascii="黑体" w:hAnsi="黑体" w:eastAsia="黑体" w:cs="黑体"/>
          <w:sz w:val="32"/>
          <w:szCs w:val="32"/>
        </w:rPr>
        <w:t>二、决算编制基本情况</w:t>
      </w:r>
    </w:p>
    <w:p w14:paraId="33B17ECE">
      <w:pPr>
        <w:ind w:firstLine="567"/>
        <w:rPr>
          <w:rFonts w:ascii="仿宋_GB2312" w:hAnsi="仿宋" w:eastAsia="仿宋_GB2312" w:cs="仿宋"/>
          <w:bCs/>
          <w:sz w:val="32"/>
          <w:szCs w:val="32"/>
        </w:rPr>
      </w:pPr>
      <w:r>
        <w:rPr>
          <w:rFonts w:hint="eastAsia" w:ascii="仿宋_GB2312" w:hAnsi="仿宋" w:eastAsia="仿宋_GB2312" w:cs="仿宋"/>
          <w:bCs/>
          <w:sz w:val="32"/>
          <w:szCs w:val="32"/>
        </w:rPr>
        <w:t>本单位为</w:t>
      </w:r>
      <w:r>
        <w:rPr>
          <w:rFonts w:hint="eastAsia" w:ascii="仿宋_GB2312" w:hAnsi="仿宋" w:eastAsia="仿宋_GB2312" w:cs="仿宋"/>
          <w:bCs/>
          <w:sz w:val="32"/>
          <w:szCs w:val="32"/>
          <w:u w:val="single"/>
        </w:rPr>
        <w:t xml:space="preserve"> </w:t>
      </w:r>
      <w:r>
        <w:rPr>
          <w:rFonts w:hint="eastAsia" w:ascii="Times New Roman" w:hAnsi="Times New Roman" w:eastAsia="仿宋_GB2312" w:cs="Times New Roman"/>
          <w:b w:val="0"/>
          <w:bCs w:val="0"/>
          <w:color w:val="auto"/>
          <w:spacing w:val="0"/>
          <w:kern w:val="2"/>
          <w:sz w:val="32"/>
          <w:szCs w:val="32"/>
          <w:u w:val="single"/>
          <w:lang w:val="en-US" w:eastAsia="zh-CN" w:bidi="ar-SA"/>
        </w:rPr>
        <w:t>石渠县温波镇人民政府</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rPr>
        <w:t>（填列一级预算单位名称）所属</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u w:val="single"/>
          <w:lang w:val="en-US" w:eastAsia="zh-CN"/>
        </w:rPr>
        <w:t>一</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rPr>
        <w:t>级（</w:t>
      </w:r>
      <w:r>
        <w:rPr>
          <w:rFonts w:hint="eastAsia" w:ascii="仿宋_GB2312" w:hAnsi="仿宋" w:eastAsia="仿宋_GB2312" w:cs="仿宋"/>
          <w:bCs/>
          <w:spacing w:val="14"/>
          <w:sz w:val="32"/>
          <w:szCs w:val="32"/>
        </w:rPr>
        <w:t>按封面“单位预算级次”填列）预算单位，单位性质</w:t>
      </w:r>
      <w:r>
        <w:rPr>
          <w:rFonts w:hint="eastAsia" w:ascii="仿宋_GB2312" w:hAnsi="仿宋" w:eastAsia="仿宋_GB2312" w:cs="仿宋"/>
          <w:bCs/>
          <w:sz w:val="32"/>
          <w:szCs w:val="32"/>
        </w:rPr>
        <w:t>为</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u w:val="single"/>
          <w:lang w:val="en-US" w:eastAsia="zh-CN"/>
        </w:rPr>
        <w:t>行政</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rPr>
        <w:t>单位（按封面“单位基本性质”填列），决算编报类型为</w:t>
      </w:r>
      <w:r>
        <w:rPr>
          <w:rFonts w:hint="eastAsia" w:ascii="仿宋_GB2312" w:hAnsi="仿宋" w:eastAsia="仿宋_GB2312" w:cs="仿宋"/>
          <w:bCs/>
          <w:sz w:val="32"/>
          <w:szCs w:val="32"/>
          <w:lang w:val="en-US" w:eastAsia="zh-CN"/>
        </w:rPr>
        <w:t>经费差额表</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u w:val="single"/>
          <w:lang w:val="en-US" w:eastAsia="zh-CN"/>
        </w:rPr>
        <w:t>单户表</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rPr>
        <w:t>（按封面“报表类型”填列），按照</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u w:val="single"/>
          <w:lang w:val="en-US" w:eastAsia="zh-CN"/>
        </w:rPr>
        <w:t>政府</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rPr>
        <w:t>会计制度填报决算数据（按封面“单位执行会计制度”填列）。</w:t>
      </w:r>
    </w:p>
    <w:p w14:paraId="696D0E73">
      <w:pPr>
        <w:ind w:firstLine="567"/>
        <w:rPr>
          <w:rFonts w:ascii="仿宋_GB2312" w:hAnsi="仿宋" w:eastAsia="仿宋_GB2312" w:cs="仿宋"/>
          <w:bCs/>
          <w:sz w:val="32"/>
          <w:szCs w:val="32"/>
        </w:rPr>
      </w:pPr>
      <w:r>
        <w:rPr>
          <w:rFonts w:hint="eastAsia" w:ascii="仿宋_GB2312" w:hAnsi="仿宋" w:eastAsia="仿宋_GB2312" w:cs="仿宋"/>
          <w:bCs/>
          <w:sz w:val="32"/>
          <w:szCs w:val="32"/>
        </w:rPr>
        <w:t>纳入本套决算编制范围的独立核算单位共</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u w:val="single"/>
          <w:lang w:val="en-US" w:eastAsia="zh-CN"/>
        </w:rPr>
        <w:t>1</w:t>
      </w:r>
      <w:r>
        <w:rPr>
          <w:rFonts w:hint="eastAsia" w:ascii="仿宋_GB2312" w:hAnsi="仿宋" w:eastAsia="仿宋_GB2312" w:cs="仿宋"/>
          <w:bCs/>
          <w:sz w:val="32"/>
          <w:szCs w:val="32"/>
        </w:rPr>
        <w:t>个，比上年增减</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u w:val="single"/>
          <w:lang w:val="en-US" w:eastAsia="zh-CN"/>
        </w:rPr>
        <w:t>0</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rPr>
        <w:t>个，分别是</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rPr>
        <w:t>（如有，可附表反映本套决算包含编制单位清单，包括单位名称和性质）。</w:t>
      </w:r>
    </w:p>
    <w:p w14:paraId="1389BF14">
      <w:pPr>
        <w:ind w:firstLine="707" w:firstLineChars="221"/>
        <w:rPr>
          <w:rFonts w:ascii="黑体" w:hAnsi="黑体" w:eastAsia="黑体" w:cs="Times New Roman"/>
          <w:color w:val="000000"/>
          <w:sz w:val="32"/>
          <w:szCs w:val="32"/>
        </w:rPr>
      </w:pPr>
      <w:r>
        <w:rPr>
          <w:rFonts w:hint="eastAsia" w:ascii="黑体" w:hAnsi="黑体" w:eastAsia="黑体" w:cs="黑体"/>
          <w:color w:val="000000"/>
          <w:sz w:val="32"/>
          <w:szCs w:val="32"/>
        </w:rPr>
        <w:t>三、基础数据核对情况</w:t>
      </w:r>
    </w:p>
    <w:p w14:paraId="4CAEFA49">
      <w:pPr>
        <w:ind w:firstLine="709"/>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（一）财政资金对账情况。</w:t>
      </w:r>
    </w:p>
    <w:p w14:paraId="49F624D0">
      <w:pPr>
        <w:ind w:firstLine="709"/>
        <w:rPr>
          <w:rFonts w:ascii="仿宋_GB2312" w:hAnsi="仿宋" w:eastAsia="仿宋_GB2312" w:cs="Times New Roman"/>
          <w:b/>
          <w:color w:val="000000"/>
          <w:sz w:val="32"/>
          <w:szCs w:val="32"/>
        </w:rPr>
      </w:pPr>
      <w:r>
        <w:rPr>
          <w:rFonts w:hint="eastAsia" w:ascii="仿宋_GB2312" w:hAnsi="仿宋" w:eastAsia="仿宋_GB2312" w:cs="仿宋"/>
          <w:b/>
          <w:color w:val="000000"/>
          <w:sz w:val="32"/>
          <w:szCs w:val="32"/>
        </w:rPr>
        <w:t>1．财政拨款核对情况。</w:t>
      </w:r>
    </w:p>
    <w:p w14:paraId="76F74EAC">
      <w:pPr>
        <w:ind w:firstLine="709"/>
        <w:rPr>
          <w:rFonts w:ascii="仿宋_GB2312" w:hAnsi="仿宋" w:eastAsia="仿宋_GB2312" w:cs="Times New Roman"/>
          <w:color w:val="000000"/>
          <w:sz w:val="32"/>
          <w:szCs w:val="32"/>
        </w:rPr>
      </w:pPr>
      <w:r>
        <w:rPr>
          <w:rFonts w:hint="eastAsia" w:ascii="仿宋_GB2312" w:hAnsi="仿宋" w:eastAsia="仿宋_GB2312" w:cs="仿宋"/>
          <w:color w:val="000000"/>
          <w:sz w:val="32"/>
          <w:szCs w:val="32"/>
        </w:rPr>
        <w:t>（1）单位本年度实际收到的</w:t>
      </w:r>
      <w:r>
        <w:rPr>
          <w:rFonts w:hint="eastAsia" w:ascii="仿宋_GB2312" w:hAnsi="仿宋" w:eastAsia="仿宋_GB2312" w:cs="仿宋"/>
          <w:bCs/>
          <w:color w:val="000000"/>
          <w:sz w:val="32"/>
          <w:szCs w:val="32"/>
        </w:rPr>
        <w:t>一般</w:t>
      </w:r>
      <w:r>
        <w:rPr>
          <w:rFonts w:hint="eastAsia" w:ascii="仿宋_GB2312" w:hAnsi="仿宋" w:eastAsia="仿宋_GB2312" w:cs="仿宋"/>
          <w:color w:val="000000"/>
          <w:sz w:val="32"/>
          <w:szCs w:val="32"/>
        </w:rPr>
        <w:t>公共预算财政拨款收入</w:t>
      </w:r>
      <w:r>
        <w:rPr>
          <w:rFonts w:hint="eastAsia" w:ascii="Times New Roman" w:hAnsi="Times New Roman" w:eastAsia="仿宋_GB2312" w:cs="Times New Roman"/>
          <w:b w:val="0"/>
          <w:bCs w:val="0"/>
          <w:color w:val="auto"/>
          <w:spacing w:val="0"/>
          <w:kern w:val="2"/>
          <w:sz w:val="32"/>
          <w:szCs w:val="32"/>
          <w:u w:val="single"/>
          <w:lang w:val="en-US" w:eastAsia="zh-CN" w:bidi="ar-SA"/>
        </w:rPr>
        <w:t>881.00</w:t>
      </w:r>
      <w:r>
        <w:rPr>
          <w:rFonts w:hint="eastAsia" w:ascii="仿宋_GB2312" w:hAnsi="仿宋" w:eastAsia="仿宋_GB2312" w:cs="仿宋"/>
          <w:color w:val="000000"/>
          <w:sz w:val="32"/>
          <w:szCs w:val="32"/>
        </w:rPr>
        <w:t>万元，财政部门拨款对账单</w:t>
      </w:r>
      <w:r>
        <w:rPr>
          <w:rFonts w:hint="eastAsia" w:ascii="Times New Roman" w:hAnsi="Times New Roman" w:eastAsia="仿宋_GB2312" w:cs="Times New Roman"/>
          <w:b w:val="0"/>
          <w:bCs w:val="0"/>
          <w:color w:val="auto"/>
          <w:spacing w:val="0"/>
          <w:kern w:val="2"/>
          <w:sz w:val="32"/>
          <w:szCs w:val="32"/>
          <w:u w:val="single"/>
          <w:lang w:val="en-US" w:eastAsia="zh-CN" w:bidi="ar-SA"/>
        </w:rPr>
        <w:t>881.00</w:t>
      </w:r>
      <w:r>
        <w:rPr>
          <w:rFonts w:hint="eastAsia" w:ascii="仿宋_GB2312" w:hAnsi="仿宋" w:eastAsia="仿宋_GB2312" w:cs="仿宋"/>
          <w:color w:val="000000"/>
          <w:sz w:val="32"/>
          <w:szCs w:val="32"/>
        </w:rPr>
        <w:t>万元，差额</w:t>
      </w:r>
      <w:r>
        <w:rPr>
          <w:rFonts w:hint="eastAsia" w:ascii="仿宋_GB2312" w:hAnsi="仿宋" w:eastAsia="仿宋_GB2312" w:cs="仿宋"/>
          <w:color w:val="000000"/>
          <w:sz w:val="32"/>
          <w:szCs w:val="32"/>
          <w:u w:val="single"/>
          <w:lang w:val="en-US" w:eastAsia="zh-CN"/>
        </w:rPr>
        <w:t>0.00</w:t>
      </w:r>
      <w:r>
        <w:rPr>
          <w:rFonts w:hint="eastAsia" w:ascii="仿宋_GB2312" w:hAnsi="仿宋" w:eastAsia="仿宋_GB2312" w:cs="仿宋"/>
          <w:color w:val="000000"/>
          <w:sz w:val="32"/>
          <w:szCs w:val="32"/>
          <w:u w:val="none"/>
        </w:rPr>
        <w:t>万</w:t>
      </w:r>
      <w:r>
        <w:rPr>
          <w:rFonts w:hint="eastAsia" w:ascii="仿宋_GB2312" w:hAnsi="仿宋" w:eastAsia="仿宋_GB2312" w:cs="仿宋"/>
          <w:color w:val="000000"/>
          <w:sz w:val="32"/>
          <w:szCs w:val="32"/>
        </w:rPr>
        <w:t>元。对差额原因进行说明。</w:t>
      </w:r>
    </w:p>
    <w:p w14:paraId="40962907">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（2）单位本年度政府性基金预算财政拨款收入</w:t>
      </w:r>
      <w:r>
        <w:rPr>
          <w:rFonts w:hint="eastAsia" w:ascii="仿宋_GB2312" w:hAnsi="仿宋" w:eastAsia="仿宋_GB2312" w:cs="仿宋"/>
          <w:color w:val="000000"/>
          <w:sz w:val="32"/>
          <w:szCs w:val="32"/>
          <w:u w:val="single"/>
          <w:lang w:val="en-US" w:eastAsia="zh-CN"/>
        </w:rPr>
        <w:t>0.00</w:t>
      </w:r>
      <w:r>
        <w:rPr>
          <w:rFonts w:hint="eastAsia" w:ascii="仿宋_GB2312" w:hAnsi="仿宋" w:eastAsia="仿宋_GB2312" w:cs="Times New Roman"/>
          <w:color w:val="000000"/>
          <w:sz w:val="32"/>
          <w:szCs w:val="32"/>
          <w:u w:val="single"/>
        </w:rPr>
        <w:t xml:space="preserve">  </w:t>
      </w:r>
      <w:r>
        <w:rPr>
          <w:rFonts w:hint="eastAsia" w:ascii="仿宋_GB2312" w:hAnsi="仿宋" w:eastAsia="仿宋_GB2312" w:cs="仿宋"/>
          <w:color w:val="000000"/>
          <w:sz w:val="32"/>
          <w:szCs w:val="32"/>
        </w:rPr>
        <w:t>万元，财政部门拨款对账单</w:t>
      </w:r>
      <w:r>
        <w:rPr>
          <w:rFonts w:hint="eastAsia" w:ascii="仿宋_GB2312" w:hAnsi="仿宋" w:eastAsia="仿宋_GB2312" w:cs="仿宋"/>
          <w:color w:val="000000"/>
          <w:sz w:val="32"/>
          <w:szCs w:val="32"/>
          <w:u w:val="single"/>
          <w:lang w:val="en-US" w:eastAsia="zh-CN"/>
        </w:rPr>
        <w:t>0.00</w:t>
      </w:r>
      <w:r>
        <w:rPr>
          <w:rFonts w:hint="eastAsia" w:ascii="仿宋_GB2312" w:hAnsi="仿宋" w:eastAsia="仿宋_GB2312" w:cs="仿宋"/>
          <w:color w:val="000000"/>
          <w:sz w:val="32"/>
          <w:szCs w:val="32"/>
        </w:rPr>
        <w:t>万元，差额</w:t>
      </w:r>
      <w:r>
        <w:rPr>
          <w:rFonts w:hint="eastAsia" w:ascii="仿宋_GB2312" w:eastAsia="仿宋_GB2312" w:cs="Times New Roman"/>
          <w:color w:val="000000"/>
          <w:sz w:val="32"/>
          <w:szCs w:val="32"/>
          <w:u w:val="single"/>
        </w:rPr>
        <w:t> </w:t>
      </w:r>
      <w:r>
        <w:rPr>
          <w:rFonts w:hint="eastAsia" w:ascii="仿宋_GB2312" w:hAnsi="仿宋" w:eastAsia="仿宋_GB2312" w:cs="仿宋"/>
          <w:color w:val="000000"/>
          <w:sz w:val="32"/>
          <w:szCs w:val="32"/>
          <w:u w:val="single"/>
          <w:lang w:val="en-US" w:eastAsia="zh-CN"/>
        </w:rPr>
        <w:t>0.00</w:t>
      </w:r>
      <w:r>
        <w:rPr>
          <w:rFonts w:hint="eastAsia" w:ascii="仿宋_GB2312" w:hAnsi="仿宋" w:eastAsia="仿宋_GB2312" w:cs="仿宋"/>
          <w:color w:val="000000"/>
          <w:sz w:val="32"/>
          <w:szCs w:val="32"/>
        </w:rPr>
        <w:t>万元。对差额原因进行说明。</w:t>
      </w:r>
    </w:p>
    <w:p w14:paraId="1A09C7DB">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（3）单位本年度国有资本经营预算财政拨款收入</w:t>
      </w:r>
      <w:r>
        <w:rPr>
          <w:rFonts w:hint="eastAsia" w:ascii="仿宋_GB2312" w:hAnsi="仿宋" w:eastAsia="仿宋_GB2312" w:cs="仿宋"/>
          <w:color w:val="000000"/>
          <w:sz w:val="32"/>
          <w:szCs w:val="32"/>
          <w:lang w:val="en-US" w:eastAsia="zh-CN"/>
        </w:rPr>
        <w:t>0.00</w:t>
      </w:r>
      <w:r>
        <w:rPr>
          <w:rFonts w:hint="eastAsia" w:ascii="仿宋_GB2312" w:hAnsi="仿宋" w:eastAsia="仿宋_GB2312" w:cs="Times New Roman"/>
          <w:color w:val="000000"/>
          <w:sz w:val="32"/>
          <w:szCs w:val="32"/>
          <w:u w:val="single"/>
        </w:rPr>
        <w:t xml:space="preserve">  </w:t>
      </w:r>
      <w:r>
        <w:rPr>
          <w:rFonts w:hint="eastAsia" w:ascii="仿宋_GB2312" w:hAnsi="仿宋" w:eastAsia="仿宋_GB2312" w:cs="仿宋"/>
          <w:color w:val="000000"/>
          <w:sz w:val="32"/>
          <w:szCs w:val="32"/>
        </w:rPr>
        <w:t>万元，财政部门拨款对账单</w:t>
      </w:r>
      <w:r>
        <w:rPr>
          <w:rFonts w:hint="eastAsia" w:ascii="仿宋_GB2312" w:hAnsi="仿宋" w:eastAsia="仿宋_GB2312" w:cs="仿宋"/>
          <w:color w:val="000000"/>
          <w:sz w:val="32"/>
          <w:szCs w:val="32"/>
          <w:u w:val="single"/>
          <w:lang w:val="en-US" w:eastAsia="zh-CN"/>
        </w:rPr>
        <w:t>0.00</w:t>
      </w:r>
      <w:r>
        <w:rPr>
          <w:rFonts w:hint="eastAsia" w:ascii="仿宋_GB2312" w:hAnsi="仿宋" w:eastAsia="仿宋_GB2312" w:cs="仿宋"/>
          <w:color w:val="000000"/>
          <w:sz w:val="32"/>
          <w:szCs w:val="32"/>
        </w:rPr>
        <w:t>万元，差额</w:t>
      </w:r>
      <w:r>
        <w:rPr>
          <w:rFonts w:hint="eastAsia" w:ascii="仿宋_GB2312" w:hAnsi="仿宋" w:eastAsia="仿宋_GB2312" w:cs="仿宋"/>
          <w:color w:val="000000"/>
          <w:sz w:val="32"/>
          <w:szCs w:val="32"/>
          <w:u w:val="single"/>
          <w:lang w:val="en-US" w:eastAsia="zh-CN"/>
        </w:rPr>
        <w:t>0.00</w:t>
      </w:r>
      <w:r>
        <w:rPr>
          <w:rFonts w:hint="eastAsia" w:ascii="仿宋_GB2312" w:hAnsi="仿宋" w:eastAsia="仿宋_GB2312" w:cs="仿宋"/>
          <w:color w:val="000000"/>
          <w:sz w:val="32"/>
          <w:szCs w:val="32"/>
        </w:rPr>
        <w:t>万元。对差额原因进行说明。</w:t>
      </w:r>
    </w:p>
    <w:p w14:paraId="6E4BD484">
      <w:pPr>
        <w:ind w:firstLine="709"/>
        <w:rPr>
          <w:rFonts w:hint="eastAsia" w:ascii="仿宋_GB2312" w:hAnsi="仿宋" w:eastAsia="仿宋_GB2312" w:cs="仿宋"/>
          <w:b/>
          <w:color w:val="000000"/>
          <w:sz w:val="32"/>
          <w:szCs w:val="32"/>
        </w:rPr>
      </w:pPr>
      <w:r>
        <w:rPr>
          <w:rFonts w:hint="eastAsia" w:ascii="仿宋_GB2312" w:hAnsi="仿宋" w:eastAsia="仿宋_GB2312" w:cs="仿宋"/>
          <w:b/>
          <w:color w:val="000000"/>
          <w:sz w:val="32"/>
          <w:szCs w:val="32"/>
        </w:rPr>
        <w:t>2．其他需要说明的情况。</w:t>
      </w:r>
    </w:p>
    <w:p w14:paraId="7877831A">
      <w:pPr>
        <w:ind w:firstLine="709"/>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无</w:t>
      </w:r>
    </w:p>
    <w:p w14:paraId="3FE99C7A">
      <w:pPr>
        <w:ind w:firstLine="709"/>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（二）与上年指标核对情况。</w:t>
      </w:r>
    </w:p>
    <w:p w14:paraId="1708FC2A">
      <w:pPr>
        <w:spacing w:line="600" w:lineRule="exact"/>
        <w:ind w:firstLine="640" w:firstLineChars="200"/>
        <w:rPr>
          <w:rFonts w:hint="eastAsia" w:ascii="仿宋_GB2312" w:eastAsia="仿宋_GB2312"/>
          <w:color w:val="000000"/>
          <w:sz w:val="32"/>
          <w:szCs w:val="32"/>
          <w:lang w:val="en-US" w:eastAsia="zh-CN"/>
        </w:rPr>
      </w:pPr>
      <w:r>
        <w:rPr>
          <w:rFonts w:hint="eastAsia" w:ascii="仿宋_GB2312" w:hAnsi="仿宋" w:eastAsia="仿宋_GB2312" w:cs="仿宋"/>
          <w:color w:val="000000"/>
          <w:sz w:val="32"/>
          <w:szCs w:val="32"/>
        </w:rPr>
        <w:t>1</w:t>
      </w:r>
      <w:bookmarkStart w:id="1" w:name="_Toc15396603"/>
      <w:bookmarkStart w:id="2" w:name="_Toc15377205"/>
      <w:r>
        <w:rPr>
          <w:rFonts w:hint="eastAsia" w:ascii="仿宋_GB2312" w:hAnsi="仿宋" w:eastAsia="仿宋_GB2312" w:cs="仿宋"/>
          <w:color w:val="000000"/>
          <w:sz w:val="32"/>
          <w:szCs w:val="32"/>
          <w:lang w:eastAsia="zh-CN"/>
        </w:rPr>
        <w:t>.</w:t>
      </w:r>
      <w:bookmarkEnd w:id="1"/>
      <w:bookmarkEnd w:id="2"/>
      <w:r>
        <w:rPr>
          <w:rFonts w:hint="eastAsia" w:ascii="仿宋_GB2312" w:hAnsi="仿宋" w:eastAsia="仿宋_GB2312" w:cs="仿宋"/>
          <w:color w:val="000000"/>
          <w:sz w:val="32"/>
          <w:szCs w:val="32"/>
        </w:rPr>
        <w:t>全口径、</w:t>
      </w:r>
      <w:r>
        <w:rPr>
          <w:rFonts w:hint="eastAsia" w:ascii="仿宋_GB2312" w:hAnsi="仿宋" w:eastAsia="仿宋_GB2312" w:cs="仿宋"/>
          <w:bCs/>
          <w:color w:val="000000"/>
          <w:sz w:val="32"/>
          <w:szCs w:val="32"/>
        </w:rPr>
        <w:t>一般</w:t>
      </w:r>
      <w:r>
        <w:rPr>
          <w:rFonts w:hint="eastAsia" w:ascii="仿宋_GB2312" w:hAnsi="仿宋" w:eastAsia="仿宋_GB2312" w:cs="仿宋"/>
          <w:color w:val="000000"/>
          <w:sz w:val="32"/>
          <w:szCs w:val="32"/>
        </w:rPr>
        <w:t>公共预算财政拨款和政府性基金预算财政拨款的结转和结余资金本年年初数与上年年末数一致</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本年度年初与上年度末无</w:t>
      </w:r>
      <w:r>
        <w:rPr>
          <w:rFonts w:hint="eastAsia" w:ascii="仿宋_GB2312" w:hAnsi="仿宋" w:eastAsia="仿宋_GB2312" w:cs="仿宋"/>
          <w:sz w:val="32"/>
          <w:szCs w:val="32"/>
        </w:rPr>
        <w:t>会计</w:t>
      </w:r>
      <w:r>
        <w:rPr>
          <w:rFonts w:hint="eastAsia" w:ascii="仿宋_GB2312" w:hAnsi="仿宋" w:eastAsia="仿宋_GB2312" w:cs="仿宋"/>
          <w:bCs/>
          <w:sz w:val="32"/>
          <w:szCs w:val="32"/>
        </w:rPr>
        <w:t>差错更正、收回以前年度支出</w:t>
      </w:r>
      <w:r>
        <w:rPr>
          <w:rFonts w:hint="eastAsia" w:ascii="仿宋_GB2312" w:hAnsi="仿宋" w:eastAsia="仿宋_GB2312" w:cs="仿宋"/>
          <w:sz w:val="32"/>
          <w:szCs w:val="32"/>
        </w:rPr>
        <w:t>、归集调入、归集调出、归集上缴和缴回资金及单位内部调剂等情况</w:t>
      </w:r>
      <w:r>
        <w:rPr>
          <w:rFonts w:hint="eastAsia" w:ascii="仿宋_GB2312" w:hAnsi="仿宋" w:eastAsia="仿宋_GB2312" w:cs="仿宋"/>
          <w:sz w:val="32"/>
          <w:szCs w:val="32"/>
          <w:lang w:eastAsia="zh-CN"/>
        </w:rPr>
        <w:t>。</w:t>
      </w:r>
    </w:p>
    <w:p w14:paraId="454F1B4C">
      <w:pPr>
        <w:spacing w:line="600" w:lineRule="exact"/>
        <w:ind w:firstLine="640" w:firstLineChars="200"/>
        <w:outlineLvl w:val="1"/>
        <w:rPr>
          <w:rFonts w:ascii="仿宋" w:hAnsi="仿宋" w:eastAsia="仿宋"/>
          <w:color w:val="000000"/>
          <w:sz w:val="32"/>
          <w:szCs w:val="32"/>
        </w:rPr>
      </w:pPr>
      <w:bookmarkStart w:id="3" w:name="_Toc15396606"/>
      <w:bookmarkStart w:id="4" w:name="_Toc15377208"/>
      <w:r>
        <w:rPr>
          <w:rFonts w:hint="eastAsia" w:ascii="仿宋_GB2312" w:hAnsi="仿宋" w:eastAsia="仿宋_GB2312" w:cs="仿宋"/>
          <w:sz w:val="32"/>
          <w:szCs w:val="32"/>
          <w:lang w:val="en-US" w:eastAsia="zh-CN"/>
        </w:rPr>
        <w:t>2.</w:t>
      </w:r>
      <w:bookmarkEnd w:id="3"/>
      <w:bookmarkEnd w:id="4"/>
      <w:r>
        <w:rPr>
          <w:rFonts w:hint="eastAsia" w:ascii="仿宋_GB2312" w:hAnsi="仿宋" w:eastAsia="仿宋_GB2312" w:cs="仿宋"/>
          <w:sz w:val="32"/>
          <w:szCs w:val="32"/>
          <w:lang w:val="en-US" w:eastAsia="zh-CN"/>
        </w:rPr>
        <w:t>2023年我单位</w:t>
      </w:r>
      <w:r>
        <w:rPr>
          <w:rFonts w:hint="eastAsia" w:ascii="仿宋_GB2312" w:hAnsi="仿宋" w:eastAsia="仿宋_GB2312" w:cs="仿宋"/>
          <w:sz w:val="32"/>
          <w:szCs w:val="32"/>
        </w:rPr>
        <w:t>机</w:t>
      </w:r>
      <w:r>
        <w:rPr>
          <w:rFonts w:hint="eastAsia" w:ascii="仿宋_GB2312" w:hAnsi="仿宋" w:eastAsia="仿宋_GB2312" w:cs="仿宋"/>
          <w:color w:val="000000"/>
          <w:sz w:val="32"/>
          <w:szCs w:val="32"/>
        </w:rPr>
        <w:t>构人员指标上下年</w:t>
      </w:r>
      <w:r>
        <w:rPr>
          <w:rFonts w:hint="eastAsia" w:ascii="仿宋_GB2312" w:hAnsi="仿宋" w:eastAsia="仿宋_GB2312" w:cs="仿宋"/>
          <w:color w:val="000000"/>
          <w:sz w:val="32"/>
          <w:szCs w:val="32"/>
          <w:lang w:val="en-US" w:eastAsia="zh-CN"/>
        </w:rPr>
        <w:t>有</w:t>
      </w:r>
      <w:r>
        <w:rPr>
          <w:rFonts w:hint="eastAsia" w:ascii="仿宋_GB2312" w:hAnsi="仿宋" w:eastAsia="仿宋_GB2312" w:cs="仿宋"/>
          <w:color w:val="000000"/>
          <w:sz w:val="32"/>
          <w:szCs w:val="32"/>
        </w:rPr>
        <w:t>变动</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其中行政人员增加1人，变动原因是我单位在2021年编制决算时，人员正常调动</w:t>
      </w:r>
      <w:r>
        <w:rPr>
          <w:rFonts w:hint="eastAsia" w:ascii="仿宋" w:hAnsi="仿宋" w:eastAsia="仿宋"/>
          <w:color w:val="000000"/>
          <w:sz w:val="32"/>
          <w:szCs w:val="32"/>
        </w:rPr>
        <w:t>。</w:t>
      </w:r>
    </w:p>
    <w:p w14:paraId="5609E0A2">
      <w:pPr>
        <w:spacing w:line="600" w:lineRule="exact"/>
        <w:ind w:firstLine="640" w:firstLineChars="200"/>
        <w:rPr>
          <w:rFonts w:hint="eastAsia" w:ascii="仿宋" w:hAnsi="仿宋" w:eastAsia="仿宋_GB2312"/>
          <w:color w:val="000000"/>
          <w:sz w:val="32"/>
          <w:szCs w:val="32"/>
          <w:lang w:eastAsia="zh-CN"/>
        </w:rPr>
      </w:pPr>
      <w:r>
        <w:rPr>
          <w:rFonts w:hint="eastAsia" w:ascii="仿宋_GB2312" w:hAnsi="仿宋" w:eastAsia="仿宋_GB2312" w:cs="仿宋"/>
          <w:color w:val="000000"/>
          <w:sz w:val="32"/>
          <w:szCs w:val="32"/>
          <w:lang w:val="en-US" w:eastAsia="zh-CN"/>
        </w:rPr>
        <w:t>3.</w:t>
      </w:r>
      <w:r>
        <w:rPr>
          <w:rFonts w:hint="eastAsia" w:ascii="仿宋_GB2312" w:hAnsi="仿宋" w:eastAsia="仿宋_GB2312" w:cs="仿宋"/>
          <w:color w:val="000000"/>
          <w:sz w:val="32"/>
          <w:szCs w:val="32"/>
        </w:rPr>
        <w:t>资产</w:t>
      </w:r>
      <w:r>
        <w:rPr>
          <w:rFonts w:ascii="仿宋_GB2312" w:hAnsi="仿宋" w:eastAsia="仿宋_GB2312" w:cs="仿宋"/>
          <w:color w:val="000000"/>
          <w:sz w:val="32"/>
          <w:szCs w:val="32"/>
        </w:rPr>
        <w:t>信息中房屋、</w:t>
      </w:r>
      <w:r>
        <w:rPr>
          <w:rFonts w:hint="eastAsia" w:ascii="仿宋_GB2312" w:hAnsi="仿宋" w:eastAsia="仿宋_GB2312" w:cs="仿宋"/>
          <w:color w:val="000000"/>
          <w:sz w:val="32"/>
          <w:szCs w:val="32"/>
        </w:rPr>
        <w:t>车辆</w:t>
      </w:r>
      <w:r>
        <w:rPr>
          <w:rFonts w:ascii="仿宋_GB2312" w:hAnsi="仿宋" w:eastAsia="仿宋_GB2312" w:cs="仿宋"/>
          <w:color w:val="000000"/>
          <w:sz w:val="32"/>
          <w:szCs w:val="32"/>
        </w:rPr>
        <w:t>本年年初数与上年年</w:t>
      </w:r>
      <w:r>
        <w:rPr>
          <w:rFonts w:hint="eastAsia" w:ascii="仿宋_GB2312" w:hAnsi="仿宋" w:eastAsia="仿宋_GB2312" w:cs="仿宋"/>
          <w:color w:val="000000"/>
          <w:sz w:val="32"/>
          <w:szCs w:val="32"/>
        </w:rPr>
        <w:t>末</w:t>
      </w:r>
      <w:r>
        <w:rPr>
          <w:rFonts w:ascii="仿宋_GB2312" w:hAnsi="仿宋" w:eastAsia="仿宋_GB2312" w:cs="仿宋"/>
          <w:color w:val="000000"/>
          <w:sz w:val="32"/>
          <w:szCs w:val="32"/>
        </w:rPr>
        <w:t>数一致</w:t>
      </w:r>
      <w:r>
        <w:rPr>
          <w:rFonts w:hint="eastAsia" w:ascii="仿宋_GB2312" w:hAnsi="仿宋" w:eastAsia="仿宋_GB2312" w:cs="仿宋"/>
          <w:color w:val="000000"/>
          <w:sz w:val="32"/>
          <w:szCs w:val="32"/>
          <w:lang w:eastAsia="zh-CN"/>
        </w:rPr>
        <w:t>。</w:t>
      </w:r>
    </w:p>
    <w:p w14:paraId="714285F5">
      <w:pPr>
        <w:ind w:firstLine="640" w:firstLineChars="200"/>
        <w:rPr>
          <w:rFonts w:ascii="黑体" w:hAnsi="黑体" w:eastAsia="黑体" w:cs="黑体"/>
          <w:color w:val="000000"/>
          <w:sz w:val="32"/>
          <w:szCs w:val="32"/>
        </w:rPr>
      </w:pPr>
      <w:bookmarkStart w:id="5" w:name="_Toc15377209"/>
      <w:bookmarkStart w:id="6" w:name="_Toc15396607"/>
      <w:r>
        <w:rPr>
          <w:rFonts w:hint="eastAsia" w:ascii="仿宋_GB2312" w:eastAsia="仿宋_GB2312" w:cs="Times New Roman"/>
          <w:color w:val="000000"/>
          <w:sz w:val="32"/>
          <w:szCs w:val="32"/>
        </w:rPr>
        <w:t> </w:t>
      </w:r>
      <w:r>
        <w:rPr>
          <w:rFonts w:hint="eastAsia" w:ascii="黑体" w:hAnsi="黑体" w:eastAsia="黑体" w:cs="黑体"/>
          <w:color w:val="000000"/>
          <w:sz w:val="32"/>
          <w:szCs w:val="32"/>
        </w:rPr>
        <w:t>四、报表审核情况</w:t>
      </w:r>
    </w:p>
    <w:p w14:paraId="6C1390CC">
      <w:pPr>
        <w:ind w:firstLine="709"/>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1．审核公式。</w:t>
      </w:r>
    </w:p>
    <w:p w14:paraId="1EB2C5EB">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审核公式共提示×××条。其中：</w:t>
      </w:r>
    </w:p>
    <w:p w14:paraId="2C0FF304">
      <w:pPr>
        <w:ind w:firstLine="709"/>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（1）表间公式共×××条。</w:t>
      </w:r>
      <w:r>
        <w:rPr>
          <w:rFonts w:hint="eastAsia" w:ascii="仿宋_GB2312" w:hAnsi="仿宋" w:eastAsia="仿宋_GB2312" w:cs="仿宋"/>
          <w:b/>
          <w:bCs/>
          <w:color w:val="000000"/>
          <w:sz w:val="32"/>
          <w:szCs w:val="32"/>
        </w:rPr>
        <w:tab/>
      </w:r>
      <w:r>
        <w:rPr>
          <w:rFonts w:hint="eastAsia" w:ascii="仿宋_GB2312" w:hAnsi="仿宋" w:eastAsia="仿宋_GB2312" w:cs="仿宋"/>
          <w:b/>
          <w:bCs/>
          <w:color w:val="000000"/>
          <w:sz w:val="32"/>
          <w:szCs w:val="32"/>
        </w:rPr>
        <w:t>　</w:t>
      </w:r>
      <w:r>
        <w:rPr>
          <w:rFonts w:hint="eastAsia" w:ascii="仿宋_GB2312" w:hAnsi="仿宋" w:eastAsia="仿宋_GB2312" w:cs="仿宋"/>
          <w:b/>
          <w:bCs/>
          <w:color w:val="000000"/>
          <w:sz w:val="32"/>
          <w:szCs w:val="32"/>
        </w:rPr>
        <w:tab/>
      </w:r>
      <w:r>
        <w:rPr>
          <w:rFonts w:hint="eastAsia" w:ascii="仿宋_GB2312" w:hAnsi="仿宋" w:eastAsia="仿宋_GB2312" w:cs="仿宋"/>
          <w:b/>
          <w:bCs/>
          <w:color w:val="000000"/>
          <w:sz w:val="32"/>
          <w:szCs w:val="32"/>
        </w:rPr>
        <w:t>　</w:t>
      </w:r>
    </w:p>
    <w:p w14:paraId="05CC94DF">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A0-×××公式，提示内容××××，保留原因是××××。</w:t>
      </w:r>
    </w:p>
    <w:p w14:paraId="40023755">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……以下逐条列举。　</w:t>
      </w:r>
      <w:r>
        <w:rPr>
          <w:rFonts w:hint="eastAsia" w:ascii="仿宋_GB2312" w:hAnsi="仿宋" w:eastAsia="仿宋_GB2312" w:cs="仿宋"/>
          <w:color w:val="000000"/>
          <w:sz w:val="32"/>
          <w:szCs w:val="32"/>
        </w:rPr>
        <w:tab/>
      </w:r>
      <w:r>
        <w:rPr>
          <w:rFonts w:hint="eastAsia" w:ascii="仿宋_GB2312" w:hAnsi="仿宋" w:eastAsia="仿宋_GB2312" w:cs="仿宋"/>
          <w:color w:val="000000"/>
          <w:sz w:val="32"/>
          <w:szCs w:val="32"/>
        </w:rPr>
        <w:t>　</w:t>
      </w:r>
    </w:p>
    <w:p w14:paraId="441924DD">
      <w:pPr>
        <w:ind w:firstLine="709"/>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（2）表内公式共×××条。</w:t>
      </w:r>
      <w:r>
        <w:rPr>
          <w:rFonts w:hint="eastAsia" w:ascii="仿宋_GB2312" w:hAnsi="仿宋" w:eastAsia="仿宋_GB2312" w:cs="仿宋"/>
          <w:b/>
          <w:bCs/>
          <w:color w:val="000000"/>
          <w:sz w:val="32"/>
          <w:szCs w:val="32"/>
        </w:rPr>
        <w:tab/>
      </w:r>
      <w:r>
        <w:rPr>
          <w:rFonts w:hint="eastAsia" w:ascii="仿宋_GB2312" w:hAnsi="仿宋" w:eastAsia="仿宋_GB2312" w:cs="仿宋"/>
          <w:b/>
          <w:bCs/>
          <w:color w:val="000000"/>
          <w:sz w:val="32"/>
          <w:szCs w:val="32"/>
        </w:rPr>
        <w:tab/>
      </w:r>
      <w:r>
        <w:rPr>
          <w:rFonts w:hint="eastAsia" w:ascii="仿宋_GB2312" w:hAnsi="仿宋" w:eastAsia="仿宋_GB2312" w:cs="仿宋"/>
          <w:b/>
          <w:bCs/>
          <w:color w:val="000000"/>
          <w:sz w:val="32"/>
          <w:szCs w:val="32"/>
        </w:rPr>
        <w:t>　</w:t>
      </w:r>
    </w:p>
    <w:p w14:paraId="2C4A4725">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A×××公式，提示内容××××，保留原因是××××。</w:t>
      </w:r>
    </w:p>
    <w:p w14:paraId="712C9F4B">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……以下逐条列举。　</w:t>
      </w:r>
      <w:r>
        <w:rPr>
          <w:rFonts w:hint="eastAsia" w:ascii="仿宋_GB2312" w:hAnsi="仿宋" w:eastAsia="仿宋_GB2312" w:cs="仿宋"/>
          <w:color w:val="000000"/>
          <w:sz w:val="32"/>
          <w:szCs w:val="32"/>
        </w:rPr>
        <w:tab/>
      </w:r>
      <w:r>
        <w:rPr>
          <w:rFonts w:hint="eastAsia" w:ascii="仿宋_GB2312" w:hAnsi="仿宋" w:eastAsia="仿宋_GB2312" w:cs="仿宋"/>
          <w:color w:val="000000"/>
          <w:sz w:val="32"/>
          <w:szCs w:val="32"/>
        </w:rPr>
        <w:t>　</w:t>
      </w:r>
    </w:p>
    <w:p w14:paraId="440A7FEF">
      <w:pPr>
        <w:ind w:firstLine="709"/>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2．审核模板。</w:t>
      </w:r>
    </w:p>
    <w:p w14:paraId="426F45AA">
      <w:pPr>
        <w:ind w:firstLine="709"/>
        <w:rPr>
          <w:rFonts w:ascii="仿宋_GB2312" w:hAnsi="仿宋" w:eastAsia="仿宋_GB2312" w:cs="仿宋"/>
          <w:sz w:val="32"/>
          <w:szCs w:val="32"/>
        </w:rPr>
      </w:pPr>
      <w:r>
        <w:rPr>
          <w:rFonts w:hint="eastAsia" w:ascii="仿宋_GB2312" w:hAnsi="仿宋" w:eastAsia="仿宋_GB2312" w:cs="仿宋"/>
          <w:color w:val="000000"/>
          <w:sz w:val="32"/>
          <w:szCs w:val="32"/>
        </w:rPr>
        <w:t>A-×××，提示内容×</w:t>
      </w:r>
      <w:r>
        <w:rPr>
          <w:rFonts w:hint="eastAsia" w:ascii="仿宋_GB2312" w:hAnsi="仿宋" w:eastAsia="仿宋_GB2312" w:cs="仿宋"/>
          <w:sz w:val="32"/>
          <w:szCs w:val="32"/>
        </w:rPr>
        <w:t>×××，主要情况是××××。</w:t>
      </w:r>
    </w:p>
    <w:p w14:paraId="5BC498D9">
      <w:pPr>
        <w:ind w:firstLine="709"/>
        <w:rPr>
          <w:rFonts w:ascii="仿宋_GB2312" w:hAnsi="仿宋" w:eastAsia="仿宋_GB2312" w:cs="仿宋"/>
          <w:sz w:val="32"/>
          <w:szCs w:val="32"/>
        </w:rPr>
      </w:pPr>
      <w:r>
        <w:rPr>
          <w:rFonts w:hint="eastAsia" w:ascii="仿宋_GB2312" w:hAnsi="仿宋" w:eastAsia="仿宋_GB2312" w:cs="仿宋"/>
          <w:sz w:val="32"/>
          <w:szCs w:val="32"/>
        </w:rPr>
        <w:t>……以下逐模板列举。</w:t>
      </w:r>
    </w:p>
    <w:p w14:paraId="6C482B23">
      <w:pPr>
        <w:ind w:firstLine="709"/>
        <w:rPr>
          <w:rFonts w:hint="eastAsia" w:ascii="黑体" w:hAnsi="黑体" w:eastAsia="黑体"/>
          <w:color w:val="000000"/>
          <w:sz w:val="32"/>
          <w:szCs w:val="32"/>
        </w:rPr>
      </w:pPr>
      <w:r>
        <w:rPr>
          <w:rFonts w:hint="eastAsia" w:ascii="仿宋_GB2312" w:hAnsi="仿宋" w:eastAsia="仿宋_GB2312" w:cs="仿宋"/>
          <w:sz w:val="32"/>
          <w:szCs w:val="32"/>
        </w:rPr>
        <w:t>单位需按审核模板逐一进行说明。</w:t>
      </w:r>
    </w:p>
    <w:p w14:paraId="6BE66CA3">
      <w:pPr>
        <w:ind w:firstLine="709"/>
        <w:rPr>
          <w:rFonts w:ascii="黑体" w:hAnsi="黑体" w:eastAsia="黑体" w:cs="Times New Roman"/>
          <w:sz w:val="32"/>
          <w:szCs w:val="32"/>
        </w:rPr>
      </w:pPr>
      <w:r>
        <w:rPr>
          <w:rFonts w:hint="eastAsia" w:ascii="黑体" w:hAnsi="黑体" w:eastAsia="黑体" w:cs="黑体"/>
          <w:sz w:val="32"/>
          <w:szCs w:val="32"/>
        </w:rPr>
        <w:t>五、决算数据其他需要说明的情况</w:t>
      </w:r>
    </w:p>
    <w:p w14:paraId="76777977">
      <w:pPr>
        <w:ind w:firstLine="709"/>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在</w:t>
      </w:r>
      <w:r>
        <w:rPr>
          <w:rFonts w:hint="eastAsia" w:ascii="仿宋_GB2312" w:hAnsi="仿宋" w:eastAsia="仿宋_GB2312" w:cs="仿宋"/>
          <w:sz w:val="32"/>
          <w:szCs w:val="32"/>
        </w:rPr>
        <w:t>“收入决算表”中</w:t>
      </w:r>
      <w:r>
        <w:rPr>
          <w:rFonts w:hint="eastAsia" w:ascii="仿宋_GB2312" w:hAnsi="仿宋" w:eastAsia="仿宋_GB2312" w:cs="仿宋"/>
          <w:sz w:val="32"/>
          <w:szCs w:val="32"/>
          <w:lang w:eastAsia="zh-CN"/>
        </w:rPr>
        <w:t>，</w:t>
      </w:r>
      <w:r>
        <w:rPr>
          <w:rFonts w:hint="eastAsia" w:ascii="仿宋_GB2312" w:hAnsi="仿宋" w:eastAsia="仿宋_GB2312" w:cs="仿宋"/>
          <w:spacing w:val="6"/>
          <w:sz w:val="32"/>
          <w:szCs w:val="32"/>
        </w:rPr>
        <w:t>其他收入</w:t>
      </w:r>
      <w:r>
        <w:rPr>
          <w:rFonts w:hint="eastAsia" w:ascii="仿宋_GB2312" w:hAnsi="仿宋" w:eastAsia="仿宋_GB2312" w:cs="仿宋"/>
          <w:spacing w:val="6"/>
          <w:sz w:val="32"/>
          <w:szCs w:val="32"/>
          <w:lang w:val="en-US" w:eastAsia="zh-CN"/>
        </w:rPr>
        <w:t>为0.00元</w:t>
      </w:r>
      <w:r>
        <w:rPr>
          <w:rFonts w:hint="eastAsia" w:ascii="仿宋_GB2312" w:hAnsi="仿宋" w:eastAsia="仿宋_GB2312" w:cs="仿宋"/>
          <w:spacing w:val="6"/>
          <w:sz w:val="32"/>
          <w:szCs w:val="32"/>
        </w:rPr>
        <w:t>，</w:t>
      </w:r>
      <w:r>
        <w:rPr>
          <w:rFonts w:hint="eastAsia" w:ascii="仿宋_GB2312" w:hAnsi="仿宋" w:eastAsia="仿宋_GB2312" w:cs="仿宋"/>
          <w:sz w:val="32"/>
          <w:szCs w:val="32"/>
          <w:lang w:val="en-US" w:eastAsia="zh-CN"/>
        </w:rPr>
        <w:t>无</w:t>
      </w:r>
      <w:r>
        <w:rPr>
          <w:rFonts w:hint="eastAsia" w:ascii="仿宋_GB2312" w:hAnsi="仿宋" w:eastAsia="仿宋_GB2312" w:cs="仿宋"/>
          <w:sz w:val="32"/>
          <w:szCs w:val="32"/>
        </w:rPr>
        <w:t>从同级财政以外的同级政府部门取得的横向转拨财政款、</w:t>
      </w:r>
      <w:r>
        <w:rPr>
          <w:rFonts w:hint="eastAsia" w:ascii="仿宋_GB2312" w:hAnsi="仿宋" w:eastAsia="仿宋_GB2312" w:cs="仿宋"/>
          <w:sz w:val="32"/>
          <w:szCs w:val="32"/>
          <w:lang w:val="en-US" w:eastAsia="zh-CN"/>
        </w:rPr>
        <w:t>无</w:t>
      </w:r>
      <w:r>
        <w:rPr>
          <w:rFonts w:hint="eastAsia" w:ascii="仿宋_GB2312" w:hAnsi="仿宋" w:eastAsia="仿宋_GB2312" w:cs="仿宋"/>
          <w:sz w:val="32"/>
          <w:szCs w:val="32"/>
        </w:rPr>
        <w:t>从上级或下级政府（包括政府财政和政府部门）取得的各类财政款，</w:t>
      </w:r>
      <w:r>
        <w:rPr>
          <w:rFonts w:hint="eastAsia" w:ascii="仿宋_GB2312" w:hAnsi="仿宋" w:eastAsia="仿宋_GB2312" w:cs="仿宋"/>
          <w:sz w:val="32"/>
          <w:szCs w:val="32"/>
          <w:lang w:val="en-US" w:eastAsia="zh-CN"/>
        </w:rPr>
        <w:t>无</w:t>
      </w:r>
      <w:r>
        <w:rPr>
          <w:rFonts w:hint="eastAsia" w:ascii="仿宋_GB2312" w:hAnsi="仿宋" w:eastAsia="仿宋_GB2312" w:cs="仿宋"/>
          <w:sz w:val="32"/>
          <w:szCs w:val="32"/>
        </w:rPr>
        <w:t>投</w:t>
      </w:r>
      <w:r>
        <w:rPr>
          <w:rFonts w:hint="eastAsia" w:ascii="仿宋_GB2312" w:hAnsi="仿宋" w:eastAsia="仿宋_GB2312" w:cs="仿宋"/>
          <w:sz w:val="32"/>
          <w:szCs w:val="32"/>
          <w:highlight w:val="none"/>
        </w:rPr>
        <w:t>资收益、捐赠收入、事业单位固定资产出租收入等情况</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lang w:val="en-US" w:eastAsia="zh-CN"/>
        </w:rPr>
        <w:t>因银行存款余额随时在变动，利息收入无法预测，故未</w:t>
      </w:r>
      <w:r>
        <w:rPr>
          <w:rFonts w:hint="eastAsia" w:ascii="仿宋_GB2312" w:hAnsi="仿宋" w:eastAsia="仿宋_GB2312" w:cs="仿宋"/>
          <w:sz w:val="32"/>
          <w:szCs w:val="32"/>
        </w:rPr>
        <w:t>纳入单位预算管理的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附表</w:t>
      </w:r>
      <w:r>
        <w:rPr>
          <w:rFonts w:hint="eastAsia" w:ascii="仿宋_GB2312" w:hAnsi="仿宋" w:eastAsia="仿宋_GB2312" w:cs="仿宋"/>
          <w:bCs/>
          <w:sz w:val="32"/>
          <w:szCs w:val="32"/>
          <w:highlight w:val="none"/>
        </w:rPr>
        <w:t>3</w:t>
      </w:r>
      <w:r>
        <w:rPr>
          <w:rFonts w:hint="eastAsia" w:ascii="仿宋_GB2312" w:hAnsi="仿宋" w:eastAsia="仿宋_GB2312" w:cs="仿宋"/>
          <w:sz w:val="32"/>
          <w:szCs w:val="32"/>
          <w:highlight w:val="none"/>
        </w:rPr>
        <w:t>）。</w:t>
      </w:r>
    </w:p>
    <w:p w14:paraId="1E1D690A">
      <w:pPr>
        <w:ind w:firstLine="709"/>
        <w:rPr>
          <w:rFonts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无</w:t>
      </w:r>
      <w:r>
        <w:rPr>
          <w:rFonts w:hint="eastAsia" w:ascii="仿宋_GB2312" w:hAnsi="仿宋" w:eastAsia="仿宋_GB2312" w:cs="仿宋"/>
          <w:sz w:val="32"/>
          <w:szCs w:val="32"/>
        </w:rPr>
        <w:t>年末结转结余扣除经营亏损后为负数</w:t>
      </w:r>
      <w:r>
        <w:rPr>
          <w:rFonts w:hint="eastAsia" w:ascii="仿宋_GB2312" w:hAnsi="仿宋" w:eastAsia="仿宋_GB2312" w:cs="仿宋"/>
          <w:sz w:val="32"/>
          <w:szCs w:val="32"/>
          <w:lang w:val="en-US" w:eastAsia="zh-CN"/>
        </w:rPr>
        <w:t>的情况</w:t>
      </w:r>
      <w:r>
        <w:rPr>
          <w:rFonts w:hint="eastAsia" w:ascii="仿宋_GB2312" w:hAnsi="仿宋" w:eastAsia="仿宋_GB2312" w:cs="仿宋"/>
          <w:color w:val="000000"/>
          <w:sz w:val="32"/>
          <w:szCs w:val="32"/>
        </w:rPr>
        <w:t>。</w:t>
      </w:r>
    </w:p>
    <w:p w14:paraId="3889F089">
      <w:pPr>
        <w:ind w:firstLine="709"/>
        <w:rPr>
          <w:rFonts w:ascii="仿宋_GB2312" w:hAnsi="仿宋" w:eastAsia="仿宋_GB2312" w:cs="Times New Roman"/>
          <w:color w:val="000000"/>
          <w:sz w:val="32"/>
          <w:szCs w:val="32"/>
        </w:rPr>
      </w:pPr>
      <w:r>
        <w:rPr>
          <w:rFonts w:hint="eastAsia" w:ascii="仿宋_GB2312" w:hAnsi="仿宋" w:eastAsia="仿宋_GB2312" w:cs="仿宋"/>
          <w:color w:val="000000"/>
          <w:sz w:val="32"/>
          <w:szCs w:val="32"/>
        </w:rPr>
        <w:t>3．“项目支出决算明细表”中</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未</w:t>
      </w:r>
      <w:r>
        <w:rPr>
          <w:rFonts w:hint="eastAsia" w:ascii="仿宋_GB2312" w:hAnsi="仿宋" w:eastAsia="仿宋_GB2312" w:cs="仿宋"/>
          <w:color w:val="000000"/>
          <w:sz w:val="32"/>
          <w:szCs w:val="32"/>
        </w:rPr>
        <w:t>列支“工资福利支出”和“对个人和家庭的补助”。</w:t>
      </w:r>
    </w:p>
    <w:p w14:paraId="12139BDF">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4.“三公”经费统计数</w:t>
      </w:r>
      <w:r>
        <w:rPr>
          <w:rFonts w:ascii="仿宋_GB2312" w:hAnsi="仿宋" w:eastAsia="仿宋_GB2312" w:cs="仿宋"/>
          <w:color w:val="000000"/>
          <w:sz w:val="32"/>
          <w:szCs w:val="32"/>
        </w:rPr>
        <w:t>的特殊情况</w:t>
      </w:r>
      <w:r>
        <w:rPr>
          <w:rFonts w:hint="eastAsia" w:ascii="仿宋_GB2312" w:hAnsi="仿宋" w:eastAsia="仿宋_GB2312" w:cs="仿宋"/>
          <w:color w:val="000000"/>
          <w:sz w:val="32"/>
          <w:szCs w:val="32"/>
        </w:rPr>
        <w:t>说明</w:t>
      </w:r>
      <w:r>
        <w:rPr>
          <w:rFonts w:ascii="仿宋_GB2312" w:hAnsi="仿宋" w:eastAsia="仿宋_GB2312" w:cs="仿宋"/>
          <w:color w:val="000000"/>
          <w:sz w:val="32"/>
          <w:szCs w:val="32"/>
        </w:rPr>
        <w:t>。</w:t>
      </w:r>
    </w:p>
    <w:p w14:paraId="2DC27219">
      <w:pPr>
        <w:spacing w:line="600" w:lineRule="exact"/>
        <w:ind w:firstLine="640"/>
        <w:rPr>
          <w:rFonts w:ascii="仿宋_GB2312" w:hAnsi="仿宋" w:eastAsia="仿宋_GB2312" w:cs="仿宋"/>
          <w:color w:val="000000"/>
          <w:sz w:val="32"/>
          <w:szCs w:val="32"/>
        </w:rPr>
      </w:pPr>
      <w:r>
        <w:rPr>
          <w:rFonts w:hint="eastAsia" w:ascii="仿宋" w:hAnsi="仿宋" w:eastAsia="仿宋"/>
          <w:color w:val="000000"/>
          <w:sz w:val="32"/>
          <w:szCs w:val="32"/>
          <w:lang w:val="en-US" w:eastAsia="zh-CN"/>
        </w:rPr>
        <w:t>2023</w:t>
      </w:r>
      <w:r>
        <w:rPr>
          <w:rFonts w:hint="eastAsia" w:ascii="仿宋" w:hAnsi="仿宋" w:eastAsia="仿宋"/>
          <w:color w:val="000000"/>
          <w:sz w:val="32"/>
          <w:szCs w:val="32"/>
        </w:rPr>
        <w:t>年“三公”经费</w:t>
      </w:r>
      <w:r>
        <w:rPr>
          <w:rFonts w:hint="eastAsia" w:ascii="仿宋" w:hAnsi="仿宋" w:eastAsia="仿宋"/>
          <w:color w:val="000000"/>
          <w:sz w:val="32"/>
          <w:szCs w:val="32"/>
          <w:lang w:val="en-US" w:eastAsia="zh-CN"/>
        </w:rPr>
        <w:t>中，公务用车运行维护费</w:t>
      </w:r>
      <w:r>
        <w:rPr>
          <w:rFonts w:hint="eastAsia" w:ascii="仿宋" w:hAnsi="仿宋" w:eastAsia="仿宋"/>
          <w:color w:val="000000"/>
          <w:sz w:val="32"/>
          <w:szCs w:val="32"/>
        </w:rPr>
        <w:t>财政拨款</w:t>
      </w:r>
      <w:r>
        <w:rPr>
          <w:rFonts w:hint="eastAsia" w:ascii="仿宋" w:hAnsi="仿宋" w:eastAsia="仿宋"/>
          <w:color w:val="000000"/>
          <w:sz w:val="32"/>
          <w:szCs w:val="32"/>
          <w:lang w:val="en-US" w:eastAsia="zh-CN"/>
        </w:rPr>
        <w:t>收</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3.00</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与2022年持平；公务接待费2023年收支决算数为0.48万元，2022年为0.42万元，同比增加0.06万元，增加比例为0.13%，增加的原因：我单位在2023年发生的接待次数增多，人数增加，故公务接待费增加。</w:t>
      </w:r>
    </w:p>
    <w:p w14:paraId="51508D4B">
      <w:pPr>
        <w:ind w:firstLine="709"/>
        <w:rPr>
          <w:rFonts w:ascii="仿宋_GB2312" w:hAnsi="仿宋" w:eastAsia="仿宋_GB2312" w:cs="仿宋"/>
          <w:bCs/>
          <w:sz w:val="32"/>
          <w:szCs w:val="32"/>
        </w:rPr>
      </w:pPr>
      <w:r>
        <w:rPr>
          <w:rFonts w:hint="eastAsia" w:ascii="仿宋_GB2312" w:hAnsi="仿宋" w:eastAsia="仿宋_GB2312" w:cs="仿宋"/>
          <w:bCs/>
          <w:color w:val="000000"/>
          <w:sz w:val="32"/>
          <w:szCs w:val="32"/>
        </w:rPr>
        <w:t>5.</w:t>
      </w:r>
      <w:r>
        <w:rPr>
          <w:rFonts w:hint="eastAsia" w:ascii="仿宋_GB2312" w:hAnsi="仿宋" w:eastAsia="仿宋_GB2312" w:cs="仿宋"/>
          <w:bCs/>
          <w:color w:val="000000"/>
          <w:sz w:val="32"/>
          <w:szCs w:val="32"/>
          <w:lang w:val="en-US" w:eastAsia="zh-CN"/>
        </w:rPr>
        <w:t>2023年，我单位</w:t>
      </w:r>
      <w:r>
        <w:rPr>
          <w:rFonts w:hint="eastAsia" w:ascii="仿宋_GB2312" w:hAnsi="仿宋" w:eastAsia="仿宋_GB2312" w:cs="仿宋"/>
          <w:bCs/>
          <w:color w:val="000000"/>
          <w:sz w:val="32"/>
          <w:szCs w:val="32"/>
        </w:rPr>
        <w:t>行</w:t>
      </w:r>
      <w:r>
        <w:rPr>
          <w:rFonts w:hint="eastAsia" w:ascii="仿宋_GB2312" w:hAnsi="仿宋" w:eastAsia="仿宋_GB2312" w:cs="仿宋"/>
          <w:bCs/>
          <w:sz w:val="32"/>
          <w:szCs w:val="32"/>
        </w:rPr>
        <w:t>政单位机关运行经费支出</w:t>
      </w:r>
      <w:r>
        <w:rPr>
          <w:rFonts w:hint="eastAsia" w:ascii="仿宋_GB2312" w:hAnsi="仿宋" w:eastAsia="仿宋_GB2312" w:cs="仿宋"/>
          <w:bCs/>
          <w:sz w:val="32"/>
          <w:szCs w:val="32"/>
          <w:lang w:val="en-US" w:eastAsia="zh-CN"/>
        </w:rPr>
        <w:t>金额为29.2万元，2022年支出金额为24.03万元，同比增加5.17万元，增加比例为21.5%</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变动的主要原因系我单位在本年度项目增加，项目金额增加，故该指标增加</w:t>
      </w:r>
      <w:r>
        <w:rPr>
          <w:rFonts w:hint="eastAsia" w:ascii="仿宋_GB2312" w:hAnsi="仿宋" w:eastAsia="仿宋_GB2312" w:cs="仿宋"/>
          <w:bCs/>
          <w:sz w:val="32"/>
          <w:szCs w:val="32"/>
        </w:rPr>
        <w:t>。</w:t>
      </w:r>
    </w:p>
    <w:p w14:paraId="6FC4640B">
      <w:pPr>
        <w:ind w:firstLine="709"/>
        <w:rPr>
          <w:rFonts w:hint="eastAsia" w:ascii="仿宋_GB2312" w:hAnsi="仿宋" w:eastAsia="仿宋_GB2312" w:cs="仿宋"/>
          <w:color w:val="000000"/>
          <w:sz w:val="32"/>
          <w:szCs w:val="32"/>
        </w:rPr>
      </w:pPr>
      <w:r>
        <w:rPr>
          <w:rFonts w:hint="eastAsia" w:ascii="仿宋_GB2312" w:hAnsi="仿宋" w:eastAsia="仿宋_GB2312" w:cs="仿宋"/>
          <w:bCs/>
          <w:sz w:val="32"/>
          <w:szCs w:val="32"/>
          <w:lang w:val="en-US" w:eastAsia="zh-CN"/>
        </w:rPr>
        <w:t>6</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在2023年</w:t>
      </w:r>
      <w:r>
        <w:rPr>
          <w:rFonts w:hint="eastAsia" w:ascii="仿宋_GB2312" w:hAnsi="仿宋" w:eastAsia="仿宋_GB2312" w:cs="仿宋"/>
          <w:bCs/>
          <w:sz w:val="32"/>
          <w:szCs w:val="32"/>
        </w:rPr>
        <w:t>“收入支出决算总表”中</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rPr>
        <w:t>全年</w:t>
      </w:r>
      <w:r>
        <w:rPr>
          <w:rFonts w:hint="eastAsia" w:ascii="仿宋_GB2312" w:hAnsi="仿宋" w:eastAsia="仿宋_GB2312" w:cs="仿宋"/>
          <w:bCs/>
          <w:color w:val="000000"/>
          <w:sz w:val="32"/>
          <w:szCs w:val="32"/>
        </w:rPr>
        <w:t>预算数大于年初预算数，</w:t>
      </w:r>
      <w:r>
        <w:rPr>
          <w:rFonts w:hint="eastAsia" w:ascii="仿宋_GB2312" w:hAnsi="仿宋" w:eastAsia="仿宋_GB2312" w:cs="仿宋"/>
          <w:color w:val="000000"/>
          <w:sz w:val="32"/>
          <w:szCs w:val="32"/>
          <w:lang w:val="en-US" w:eastAsia="zh-CN"/>
        </w:rPr>
        <w:t>其中，基本支出经费全年数较年初数增加142.12万元，项目经费全年数较年初数增加42.54万元，主要原因是我单位在年中申报项目，年中项目增加较多，工作量相应增大，故全年预算</w:t>
      </w:r>
      <w:r>
        <w:rPr>
          <w:rFonts w:hint="eastAsia" w:ascii="仿宋_GB2312" w:hAnsi="仿宋" w:eastAsia="仿宋_GB2312" w:cs="仿宋"/>
          <w:bCs/>
          <w:color w:val="000000"/>
          <w:sz w:val="32"/>
          <w:szCs w:val="32"/>
        </w:rPr>
        <w:t>数大于年初预算数</w:t>
      </w:r>
      <w:r>
        <w:rPr>
          <w:rFonts w:hint="eastAsia" w:ascii="仿宋_GB2312" w:hAnsi="仿宋" w:eastAsia="仿宋_GB2312" w:cs="仿宋"/>
          <w:color w:val="000000"/>
          <w:sz w:val="32"/>
          <w:szCs w:val="32"/>
        </w:rPr>
        <w:t>。</w:t>
      </w:r>
    </w:p>
    <w:p w14:paraId="31FA67CD">
      <w:pPr>
        <w:ind w:firstLine="709"/>
        <w:rPr>
          <w:rFonts w:ascii="仿宋_GB2312" w:hAnsi="仿宋" w:eastAsia="仿宋_GB2312" w:cs="仿宋"/>
          <w:bCs/>
          <w:sz w:val="32"/>
          <w:szCs w:val="32"/>
        </w:rPr>
      </w:pPr>
      <w:r>
        <w:rPr>
          <w:rFonts w:hint="default" w:ascii="仿宋_GB2312" w:hAnsi="仿宋" w:eastAsia="仿宋_GB2312" w:cs="仿宋"/>
          <w:bCs/>
          <w:sz w:val="32"/>
          <w:szCs w:val="32"/>
          <w:lang w:val="en"/>
        </w:rPr>
        <w:t>8</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无</w:t>
      </w:r>
      <w:r>
        <w:rPr>
          <w:rFonts w:hint="eastAsia" w:ascii="仿宋_GB2312" w:hAnsi="仿宋" w:eastAsia="仿宋_GB2312" w:cs="仿宋"/>
          <w:bCs/>
          <w:sz w:val="32"/>
          <w:szCs w:val="32"/>
        </w:rPr>
        <w:t>中央单位财政拨款结转和结余情况（附表4）。</w:t>
      </w:r>
    </w:p>
    <w:p w14:paraId="61CC2D72">
      <w:pPr>
        <w:ind w:firstLine="709"/>
        <w:rPr>
          <w:rFonts w:ascii="仿宋_GB2312" w:hAnsi="仿宋" w:eastAsia="仿宋_GB2312" w:cs="仿宋"/>
          <w:strike w:val="0"/>
          <w:dstrike/>
          <w:sz w:val="32"/>
          <w:szCs w:val="32"/>
        </w:rPr>
      </w:pPr>
      <w:r>
        <w:rPr>
          <w:rFonts w:hint="default" w:ascii="仿宋_GB2312" w:hAnsi="仿宋" w:eastAsia="仿宋_GB2312" w:cs="仿宋"/>
          <w:bCs/>
          <w:sz w:val="32"/>
          <w:szCs w:val="32"/>
          <w:lang w:val="en"/>
        </w:rPr>
        <w:t>9</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无</w:t>
      </w:r>
      <w:r>
        <w:rPr>
          <w:rFonts w:ascii="仿宋_GB2312" w:hAnsi="仿宋" w:eastAsia="仿宋_GB2312" w:cs="仿宋"/>
          <w:sz w:val="32"/>
          <w:szCs w:val="32"/>
        </w:rPr>
        <w:t>其他需要说明的问题。</w:t>
      </w:r>
    </w:p>
    <w:p w14:paraId="30EE6879">
      <w:pPr>
        <w:spacing w:line="600" w:lineRule="exact"/>
        <w:ind w:firstLine="640" w:firstLineChars="200"/>
        <w:outlineLvl w:val="1"/>
        <w:rPr>
          <w:rFonts w:hint="eastAsia" w:ascii="黑体" w:hAnsi="黑体" w:eastAsia="黑体"/>
          <w:color w:val="000000"/>
          <w:sz w:val="32"/>
          <w:szCs w:val="32"/>
        </w:rPr>
      </w:pPr>
    </w:p>
    <w:bookmarkEnd w:id="5"/>
    <w:bookmarkEnd w:id="6"/>
    <w:p w14:paraId="789A814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9101">
    <w:pPr>
      <w:pStyle w:val="4"/>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p>
  <w:p w14:paraId="1EB38DB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OWNjZDFiNzViMmI0OWI2ZTFkZWUxZWQyNmRiZjAifQ=="/>
  </w:docVars>
  <w:rsids>
    <w:rsidRoot w:val="003877C3"/>
    <w:rsid w:val="000A1A07"/>
    <w:rsid w:val="00193A54"/>
    <w:rsid w:val="001A527B"/>
    <w:rsid w:val="001E73A1"/>
    <w:rsid w:val="0029469C"/>
    <w:rsid w:val="002C0140"/>
    <w:rsid w:val="002C28E9"/>
    <w:rsid w:val="002C6963"/>
    <w:rsid w:val="002E4CEA"/>
    <w:rsid w:val="003877C3"/>
    <w:rsid w:val="003D6500"/>
    <w:rsid w:val="004151B4"/>
    <w:rsid w:val="0043291B"/>
    <w:rsid w:val="00460985"/>
    <w:rsid w:val="00522486"/>
    <w:rsid w:val="005502D5"/>
    <w:rsid w:val="00576055"/>
    <w:rsid w:val="00601750"/>
    <w:rsid w:val="006210EA"/>
    <w:rsid w:val="006231DE"/>
    <w:rsid w:val="0068308D"/>
    <w:rsid w:val="00690124"/>
    <w:rsid w:val="006B17A2"/>
    <w:rsid w:val="007329D4"/>
    <w:rsid w:val="00760F51"/>
    <w:rsid w:val="007C00B5"/>
    <w:rsid w:val="00822C60"/>
    <w:rsid w:val="0084124D"/>
    <w:rsid w:val="008B4CF8"/>
    <w:rsid w:val="008B5A4F"/>
    <w:rsid w:val="008D1A61"/>
    <w:rsid w:val="008E5B2B"/>
    <w:rsid w:val="009804BF"/>
    <w:rsid w:val="009A6117"/>
    <w:rsid w:val="009E77A1"/>
    <w:rsid w:val="00AE3866"/>
    <w:rsid w:val="00AF40A1"/>
    <w:rsid w:val="00B668FF"/>
    <w:rsid w:val="00B964AC"/>
    <w:rsid w:val="00BB0B4D"/>
    <w:rsid w:val="00BD6CD3"/>
    <w:rsid w:val="00C178BE"/>
    <w:rsid w:val="00C2126D"/>
    <w:rsid w:val="00D6432C"/>
    <w:rsid w:val="00D701CF"/>
    <w:rsid w:val="00DA1F66"/>
    <w:rsid w:val="00DA4E30"/>
    <w:rsid w:val="00E1090A"/>
    <w:rsid w:val="00E158EF"/>
    <w:rsid w:val="00E220D8"/>
    <w:rsid w:val="00E329F1"/>
    <w:rsid w:val="00EB18AC"/>
    <w:rsid w:val="00EE0CEF"/>
    <w:rsid w:val="00F462AF"/>
    <w:rsid w:val="00FA44FE"/>
    <w:rsid w:val="00FC360F"/>
    <w:rsid w:val="00FE6666"/>
    <w:rsid w:val="00FE784B"/>
    <w:rsid w:val="01976D4C"/>
    <w:rsid w:val="07345A00"/>
    <w:rsid w:val="09D77E2C"/>
    <w:rsid w:val="0E5F15F8"/>
    <w:rsid w:val="0E8D72FF"/>
    <w:rsid w:val="11D51D34"/>
    <w:rsid w:val="12863EF6"/>
    <w:rsid w:val="13525498"/>
    <w:rsid w:val="17784E74"/>
    <w:rsid w:val="1A757130"/>
    <w:rsid w:val="20AC12FB"/>
    <w:rsid w:val="224C2753"/>
    <w:rsid w:val="22657E82"/>
    <w:rsid w:val="24790FA9"/>
    <w:rsid w:val="26263902"/>
    <w:rsid w:val="27152366"/>
    <w:rsid w:val="29D74701"/>
    <w:rsid w:val="2C4227BF"/>
    <w:rsid w:val="30A047F9"/>
    <w:rsid w:val="336D42FA"/>
    <w:rsid w:val="34CB73F8"/>
    <w:rsid w:val="34D963E2"/>
    <w:rsid w:val="35BD5D3A"/>
    <w:rsid w:val="36264FB8"/>
    <w:rsid w:val="38007442"/>
    <w:rsid w:val="3AAE3851"/>
    <w:rsid w:val="3BF22F21"/>
    <w:rsid w:val="3C764C9A"/>
    <w:rsid w:val="419D2C1A"/>
    <w:rsid w:val="42A33A00"/>
    <w:rsid w:val="45844C17"/>
    <w:rsid w:val="476318E9"/>
    <w:rsid w:val="49201FD2"/>
    <w:rsid w:val="4BA312B6"/>
    <w:rsid w:val="4EE429A3"/>
    <w:rsid w:val="500D534A"/>
    <w:rsid w:val="581316EA"/>
    <w:rsid w:val="59A02E3A"/>
    <w:rsid w:val="5D521C1E"/>
    <w:rsid w:val="5FE378E6"/>
    <w:rsid w:val="637B6C0A"/>
    <w:rsid w:val="6E760CA1"/>
    <w:rsid w:val="765724D8"/>
    <w:rsid w:val="790F65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qFormat/>
    <w:uiPriority w:val="0"/>
    <w:rPr>
      <w:rFonts w:cs="Times New Roman"/>
      <w:sz w:val="18"/>
      <w:szCs w:val="18"/>
    </w:rPr>
  </w:style>
  <w:style w:type="paragraph" w:styleId="4">
    <w:name w:val="footer"/>
    <w:basedOn w:val="1"/>
    <w:link w:val="13"/>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99"/>
    <w:rPr>
      <w:b/>
    </w:rPr>
  </w:style>
  <w:style w:type="character" w:styleId="10">
    <w:name w:val="FollowedHyperlink"/>
    <w:autoRedefine/>
    <w:semiHidden/>
    <w:qFormat/>
    <w:uiPriority w:val="99"/>
    <w:rPr>
      <w:color w:val="800080"/>
      <w:u w:val="single"/>
    </w:rPr>
  </w:style>
  <w:style w:type="character" w:styleId="11">
    <w:name w:val="Hyperlink"/>
    <w:autoRedefine/>
    <w:semiHidden/>
    <w:qFormat/>
    <w:uiPriority w:val="99"/>
    <w:rPr>
      <w:color w:val="0000FF"/>
      <w:u w:val="single"/>
    </w:rPr>
  </w:style>
  <w:style w:type="character" w:customStyle="1" w:styleId="12">
    <w:name w:val="页脚 Char"/>
    <w:basedOn w:val="8"/>
    <w:semiHidden/>
    <w:qFormat/>
    <w:uiPriority w:val="99"/>
    <w:rPr>
      <w:rFonts w:ascii="Calibri" w:hAnsi="Calibri" w:eastAsia="宋体" w:cs="Calibri"/>
      <w:sz w:val="18"/>
      <w:szCs w:val="18"/>
    </w:rPr>
  </w:style>
  <w:style w:type="character" w:customStyle="1" w:styleId="13">
    <w:name w:val="页脚 Char1"/>
    <w:link w:val="4"/>
    <w:qFormat/>
    <w:locked/>
    <w:uiPriority w:val="99"/>
    <w:rPr>
      <w:rFonts w:ascii="Times New Roman" w:hAnsi="Times New Roman" w:eastAsia="宋体" w:cs="Times New Roman"/>
      <w:kern w:val="0"/>
      <w:sz w:val="18"/>
      <w:szCs w:val="18"/>
    </w:rPr>
  </w:style>
  <w:style w:type="character" w:customStyle="1" w:styleId="14">
    <w:name w:val="页眉 Char"/>
    <w:basedOn w:val="8"/>
    <w:autoRedefine/>
    <w:semiHidden/>
    <w:qFormat/>
    <w:uiPriority w:val="99"/>
    <w:rPr>
      <w:rFonts w:ascii="Calibri" w:hAnsi="Calibri" w:eastAsia="宋体" w:cs="Calibri"/>
      <w:sz w:val="18"/>
      <w:szCs w:val="18"/>
    </w:rPr>
  </w:style>
  <w:style w:type="character" w:customStyle="1" w:styleId="15">
    <w:name w:val="页眉 Char1"/>
    <w:link w:val="5"/>
    <w:autoRedefine/>
    <w:qFormat/>
    <w:locked/>
    <w:uiPriority w:val="99"/>
    <w:rPr>
      <w:rFonts w:ascii="Times New Roman" w:hAnsi="Times New Roman" w:eastAsia="宋体" w:cs="Times New Roman"/>
      <w:kern w:val="0"/>
      <w:sz w:val="18"/>
      <w:szCs w:val="18"/>
    </w:rPr>
  </w:style>
  <w:style w:type="character" w:customStyle="1" w:styleId="16">
    <w:name w:val="apple-converted-space"/>
    <w:basedOn w:val="8"/>
    <w:autoRedefine/>
    <w:qFormat/>
    <w:uiPriority w:val="99"/>
  </w:style>
  <w:style w:type="character" w:customStyle="1" w:styleId="17">
    <w:name w:val="批注框文本 Char"/>
    <w:basedOn w:val="8"/>
    <w:autoRedefine/>
    <w:semiHidden/>
    <w:qFormat/>
    <w:uiPriority w:val="99"/>
    <w:rPr>
      <w:rFonts w:ascii="Calibri" w:hAnsi="Calibri" w:eastAsia="宋体" w:cs="Calibri"/>
      <w:sz w:val="18"/>
      <w:szCs w:val="18"/>
    </w:rPr>
  </w:style>
  <w:style w:type="character" w:customStyle="1" w:styleId="18">
    <w:name w:val="批注框文本 Char1"/>
    <w:link w:val="3"/>
    <w:autoRedefine/>
    <w:qFormat/>
    <w:uiPriority w:val="0"/>
    <w:rPr>
      <w:rFonts w:ascii="Calibri" w:hAnsi="Calibri" w:eastAsia="宋体" w:cs="Times New Roman"/>
      <w:sz w:val="18"/>
      <w:szCs w:val="18"/>
    </w:rPr>
  </w:style>
  <w:style w:type="paragraph" w:styleId="19">
    <w:name w:val="List Paragraph"/>
    <w:basedOn w:val="1"/>
    <w:autoRedefine/>
    <w:qFormat/>
    <w:uiPriority w:val="34"/>
    <w:pPr>
      <w:ind w:firstLine="420" w:firstLineChars="200"/>
    </w:pPr>
  </w:style>
  <w:style w:type="character" w:customStyle="1" w:styleId="20">
    <w:name w:val="标题 2 字符"/>
    <w:basedOn w:val="8"/>
    <w:link w:val="2"/>
    <w:autoRedefine/>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5</Pages>
  <Words>1603</Words>
  <Characters>1723</Characters>
  <Lines>12</Lines>
  <Paragraphs>3</Paragraphs>
  <TotalTime>15</TotalTime>
  <ScaleCrop>false</ScaleCrop>
  <LinksUpToDate>false</LinksUpToDate>
  <CharactersWithSpaces>1773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2018-09-18T01:13:00Z</dcterms:created>
  <dc:creator>闻吉</dc:creator>
  <cp:lastModifiedBy>The angel</cp:lastModifiedBy>
  <dcterms:modified xsi:type="dcterms:W3CDTF">2024-10-24T08:48:18Z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CBF6CB81AD5C4578A08CCCECEF8198FC_13</vt:lpwstr>
  </property>
</Properties>
</file>