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eastAsia="方正小标宋简体" w:cs="Times New Roman"/>
          <w:sz w:val="36"/>
          <w:szCs w:val="36"/>
        </w:rPr>
      </w:pPr>
    </w:p>
    <w:p>
      <w:pPr>
        <w:tabs>
          <w:tab w:val="left" w:pos="6660"/>
        </w:tabs>
        <w:spacing w:line="576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spacing w:val="20"/>
          <w:kern w:val="0"/>
          <w:sz w:val="44"/>
          <w:szCs w:val="44"/>
        </w:rPr>
        <w:t>泸定县</w:t>
      </w:r>
      <w:r>
        <w:rPr>
          <w:rFonts w:ascii="宋体" w:hAnsi="宋体" w:cs="宋体"/>
          <w:b/>
          <w:bCs/>
          <w:kern w:val="0"/>
          <w:sz w:val="44"/>
          <w:szCs w:val="44"/>
        </w:rPr>
        <w:t>202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4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年</w:t>
      </w:r>
      <w:r>
        <w:rPr>
          <w:rFonts w:hint="eastAsia" w:ascii="宋体" w:hAnsi="宋体" w:cs="宋体"/>
          <w:b/>
          <w:bCs/>
          <w:spacing w:val="20"/>
          <w:kern w:val="0"/>
          <w:sz w:val="44"/>
          <w:szCs w:val="44"/>
        </w:rPr>
        <w:t>政府预算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税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收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返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还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收入</w:t>
      </w:r>
    </w:p>
    <w:p>
      <w:pPr>
        <w:tabs>
          <w:tab w:val="left" w:pos="6660"/>
        </w:tabs>
        <w:spacing w:line="576" w:lineRule="exact"/>
        <w:jc w:val="center"/>
        <w:rPr>
          <w:rFonts w:ascii="宋体" w:cs="Times New Roman"/>
          <w:b/>
          <w:bCs/>
          <w:spacing w:val="2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和转移支付收入公开情况说明</w:t>
      </w:r>
    </w:p>
    <w:p>
      <w:pPr>
        <w:spacing w:line="620" w:lineRule="exact"/>
        <w:ind w:firstLine="960" w:firstLineChars="300"/>
        <w:rPr>
          <w:rFonts w:ascii="楷体_GB2312" w:hAnsi="楷体" w:eastAsia="楷体_GB2312" w:cs="Times New Roman"/>
          <w:kern w:val="0"/>
          <w:sz w:val="32"/>
          <w:szCs w:val="32"/>
        </w:rPr>
      </w:pPr>
    </w:p>
    <w:p>
      <w:pPr>
        <w:spacing w:line="620" w:lineRule="exact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为落实《中华人民共和国预算法》要求，深入推进政府预算信息公开，现就政府预算</w:t>
      </w:r>
      <w:r>
        <w:rPr>
          <w:rFonts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年公开情况说明如下：</w:t>
      </w:r>
    </w:p>
    <w:p>
      <w:pPr>
        <w:adjustRightInd w:val="0"/>
        <w:snapToGrid w:val="0"/>
        <w:spacing w:line="576" w:lineRule="exact"/>
        <w:ind w:firstLine="800" w:firstLineChars="25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ascii="黑体" w:hAnsi="黑体" w:eastAsia="黑体" w:cs="黑体"/>
          <w:sz w:val="32"/>
          <w:szCs w:val="32"/>
        </w:rPr>
        <w:t>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年上级返还性收入预算情况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年上级提前告知返还性收入预算为</w:t>
      </w:r>
      <w:r>
        <w:rPr>
          <w:rFonts w:ascii="仿宋" w:hAnsi="仿宋" w:eastAsia="仿宋" w:cs="仿宋_GB2312"/>
          <w:sz w:val="32"/>
          <w:szCs w:val="32"/>
        </w:rPr>
        <w:t>2,198</w:t>
      </w:r>
      <w:r>
        <w:rPr>
          <w:rFonts w:hint="eastAsia" w:ascii="仿宋" w:hAnsi="仿宋" w:eastAsia="仿宋" w:cs="仿宋_GB2312"/>
          <w:sz w:val="32"/>
          <w:szCs w:val="32"/>
        </w:rPr>
        <w:t>万元，其中：增值税消费税税收返还收入</w:t>
      </w:r>
      <w:r>
        <w:rPr>
          <w:rFonts w:ascii="仿宋" w:hAnsi="仿宋" w:eastAsia="仿宋" w:cs="仿宋_GB2312"/>
          <w:sz w:val="32"/>
          <w:szCs w:val="32"/>
        </w:rPr>
        <w:t>1,087</w:t>
      </w:r>
      <w:r>
        <w:rPr>
          <w:rFonts w:hint="eastAsia" w:ascii="仿宋" w:hAnsi="仿宋" w:eastAsia="仿宋" w:cs="仿宋_GB2312"/>
          <w:sz w:val="32"/>
          <w:szCs w:val="32"/>
        </w:rPr>
        <w:t>万元，增值税五五分享税收返还收入</w:t>
      </w:r>
      <w:r>
        <w:rPr>
          <w:rFonts w:ascii="仿宋" w:hAnsi="仿宋" w:eastAsia="仿宋" w:cs="仿宋_GB2312"/>
          <w:sz w:val="32"/>
          <w:szCs w:val="32"/>
        </w:rPr>
        <w:t>966</w:t>
      </w:r>
      <w:r>
        <w:rPr>
          <w:rFonts w:hint="eastAsia" w:ascii="仿宋" w:hAnsi="仿宋" w:eastAsia="仿宋" w:cs="仿宋_GB2312"/>
          <w:sz w:val="32"/>
          <w:szCs w:val="32"/>
        </w:rPr>
        <w:t>万元，所得税基数返还收入</w:t>
      </w:r>
      <w:r>
        <w:rPr>
          <w:rFonts w:ascii="仿宋" w:hAnsi="仿宋" w:eastAsia="仿宋" w:cs="仿宋_GB2312"/>
          <w:sz w:val="32"/>
          <w:szCs w:val="32"/>
        </w:rPr>
        <w:t>-23</w:t>
      </w:r>
      <w:r>
        <w:rPr>
          <w:rFonts w:hint="eastAsia" w:ascii="仿宋" w:hAnsi="仿宋" w:eastAsia="仿宋" w:cs="仿宋_GB2312"/>
          <w:sz w:val="32"/>
          <w:szCs w:val="32"/>
        </w:rPr>
        <w:t>万元，成品油税费改革税收返还收入</w:t>
      </w:r>
      <w:r>
        <w:rPr>
          <w:rFonts w:ascii="仿宋" w:hAnsi="仿宋" w:eastAsia="仿宋" w:cs="仿宋_GB2312"/>
          <w:sz w:val="32"/>
          <w:szCs w:val="32"/>
        </w:rPr>
        <w:t>168</w:t>
      </w:r>
      <w:r>
        <w:rPr>
          <w:rFonts w:hint="eastAsia" w:ascii="仿宋" w:hAnsi="仿宋" w:eastAsia="仿宋" w:cs="仿宋_GB2312"/>
          <w:sz w:val="32"/>
          <w:szCs w:val="32"/>
        </w:rPr>
        <w:t>万元。</w:t>
      </w:r>
    </w:p>
    <w:p>
      <w:pPr>
        <w:adjustRightInd w:val="0"/>
        <w:snapToGrid w:val="0"/>
        <w:spacing w:line="576" w:lineRule="exact"/>
        <w:ind w:firstLine="800" w:firstLineChars="25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二、一般性转移支付补助收入情况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年上级提前告知一般性转移支付补助收入预算为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64</w:t>
      </w:r>
      <w:r>
        <w:rPr>
          <w:rFonts w:hint="eastAsia" w:ascii="仿宋" w:hAnsi="仿宋" w:eastAsia="仿宋" w:cs="仿宋_GB2312"/>
          <w:sz w:val="32"/>
          <w:szCs w:val="32"/>
        </w:rPr>
        <w:t>,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099</w:t>
      </w:r>
      <w:r>
        <w:rPr>
          <w:rFonts w:hint="eastAsia" w:ascii="仿宋" w:hAnsi="仿宋" w:eastAsia="仿宋" w:cs="仿宋_GB2312"/>
          <w:sz w:val="32"/>
          <w:szCs w:val="32"/>
        </w:rPr>
        <w:t>万元，其中：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、体制补助收入1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,123</w:t>
      </w:r>
      <w:r>
        <w:rPr>
          <w:rFonts w:hint="eastAsia" w:ascii="仿宋" w:hAnsi="仿宋" w:eastAsia="仿宋" w:cs="仿宋_GB2312"/>
          <w:sz w:val="32"/>
          <w:szCs w:val="32"/>
        </w:rPr>
        <w:t>万元；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、均衡性转移支付收入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_GB2312"/>
          <w:sz w:val="32"/>
          <w:szCs w:val="32"/>
        </w:rPr>
        <w:t>,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298</w:t>
      </w:r>
      <w:r>
        <w:rPr>
          <w:rFonts w:hint="eastAsia" w:ascii="仿宋" w:hAnsi="仿宋" w:eastAsia="仿宋" w:cs="仿宋_GB2312"/>
          <w:sz w:val="32"/>
          <w:szCs w:val="32"/>
        </w:rPr>
        <w:t>万元；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、民族地区转移支付收入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sz w:val="32"/>
          <w:szCs w:val="32"/>
        </w:rPr>
        <w:t>,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392</w:t>
      </w:r>
      <w:r>
        <w:rPr>
          <w:rFonts w:hint="eastAsia" w:ascii="仿宋" w:hAnsi="仿宋" w:eastAsia="仿宋" w:cs="仿宋_GB2312"/>
          <w:sz w:val="32"/>
          <w:szCs w:val="32"/>
        </w:rPr>
        <w:t>万元；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、县级基本财力保障机制奖补资金收入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,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929</w:t>
      </w:r>
      <w:r>
        <w:rPr>
          <w:rFonts w:hint="eastAsia" w:ascii="仿宋" w:hAnsi="仿宋" w:eastAsia="仿宋" w:cs="仿宋_GB2312"/>
          <w:sz w:val="32"/>
          <w:szCs w:val="32"/>
        </w:rPr>
        <w:t>万元；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5</w:t>
      </w:r>
      <w:r>
        <w:rPr>
          <w:rFonts w:hint="eastAsia" w:ascii="仿宋" w:hAnsi="仿宋" w:eastAsia="仿宋" w:cs="仿宋_GB2312"/>
          <w:sz w:val="32"/>
          <w:szCs w:val="32"/>
        </w:rPr>
        <w:t>、结算补助收入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ascii="仿宋" w:hAnsi="仿宋" w:eastAsia="仿宋" w:cs="仿宋_GB2312"/>
          <w:sz w:val="32"/>
          <w:szCs w:val="32"/>
        </w:rPr>
        <w:t>,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731</w:t>
      </w:r>
      <w:r>
        <w:rPr>
          <w:rFonts w:hint="eastAsia" w:ascii="仿宋" w:hAnsi="仿宋" w:eastAsia="仿宋" w:cs="仿宋_GB2312"/>
          <w:sz w:val="32"/>
          <w:szCs w:val="32"/>
        </w:rPr>
        <w:t>万元；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6</w:t>
      </w:r>
      <w:r>
        <w:rPr>
          <w:rFonts w:hint="eastAsia" w:ascii="仿宋" w:hAnsi="仿宋" w:eastAsia="仿宋" w:cs="仿宋_GB2312"/>
          <w:sz w:val="32"/>
          <w:szCs w:val="32"/>
        </w:rPr>
        <w:t>、企事业单位划转补助收入</w:t>
      </w:r>
      <w:r>
        <w:rPr>
          <w:rFonts w:ascii="仿宋" w:hAnsi="仿宋" w:eastAsia="仿宋" w:cs="仿宋_GB2312"/>
          <w:sz w:val="32"/>
          <w:szCs w:val="32"/>
        </w:rPr>
        <w:t>-398</w:t>
      </w:r>
      <w:r>
        <w:rPr>
          <w:rFonts w:hint="eastAsia" w:ascii="仿宋" w:hAnsi="仿宋" w:eastAsia="仿宋" w:cs="仿宋_GB2312"/>
          <w:sz w:val="32"/>
          <w:szCs w:val="32"/>
        </w:rPr>
        <w:t>万元；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7、固定数额补助收入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</w:t>
      </w:r>
      <w:r>
        <w:rPr>
          <w:rFonts w:ascii="仿宋" w:hAnsi="仿宋" w:eastAsia="仿宋" w:cs="仿宋_GB2312"/>
          <w:sz w:val="32"/>
          <w:szCs w:val="32"/>
        </w:rPr>
        <w:t>,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971</w:t>
      </w:r>
      <w:r>
        <w:rPr>
          <w:rFonts w:hint="eastAsia" w:ascii="仿宋" w:hAnsi="仿宋" w:eastAsia="仿宋" w:cs="仿宋_GB2312"/>
          <w:sz w:val="32"/>
          <w:szCs w:val="32"/>
        </w:rPr>
        <w:t>万元；</w:t>
      </w:r>
    </w:p>
    <w:p>
      <w:pPr>
        <w:adjustRightInd w:val="0"/>
        <w:snapToGrid w:val="0"/>
        <w:spacing w:line="576" w:lineRule="exact"/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8、其他一般性转移支付收入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531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万元</w:t>
      </w:r>
      <w:r>
        <w:rPr>
          <w:rFonts w:hint="eastAsia" w:ascii="仿宋" w:hAnsi="仿宋" w:eastAsia="仿宋" w:cs="仿宋_GB2312"/>
          <w:color w:val="auto"/>
          <w:sz w:val="32"/>
          <w:szCs w:val="32"/>
          <w:lang w:eastAsia="zh-CN"/>
        </w:rPr>
        <w:t>；</w:t>
      </w:r>
    </w:p>
    <w:p>
      <w:pPr>
        <w:adjustRightInd w:val="0"/>
        <w:snapToGrid w:val="0"/>
        <w:spacing w:line="576" w:lineRule="exact"/>
        <w:ind w:firstLine="640" w:firstLineChars="200"/>
        <w:rPr>
          <w:rFonts w:hint="default" w:ascii="仿宋" w:hAnsi="仿宋" w:eastAsia="仿宋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9、重点生态功能区转移支付收入7,274万元；</w:t>
      </w:r>
    </w:p>
    <w:p>
      <w:pPr>
        <w:adjustRightInd w:val="0"/>
        <w:snapToGrid w:val="0"/>
        <w:spacing w:line="576" w:lineRule="exact"/>
        <w:ind w:firstLine="640" w:firstLineChars="200"/>
        <w:rPr>
          <w:rFonts w:hint="default" w:ascii="仿宋" w:hAnsi="仿宋" w:eastAsia="仿宋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10、革命老区转移支付收入1,248万元。</w:t>
      </w:r>
    </w:p>
    <w:p>
      <w:pPr>
        <w:adjustRightInd w:val="0"/>
        <w:snapToGrid w:val="0"/>
        <w:spacing w:line="576" w:lineRule="exact"/>
        <w:ind w:firstLine="480" w:firstLineChars="15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三、税返收入和转移支付补助收入安排支出情况</w:t>
      </w:r>
    </w:p>
    <w:p>
      <w:pPr>
        <w:adjustRightInd w:val="0"/>
        <w:snapToGrid w:val="0"/>
        <w:spacing w:line="576" w:lineRule="exact"/>
        <w:ind w:firstLine="640" w:firstLineChars="200"/>
        <w:rPr>
          <w:rFonts w:hint="default" w:ascii="仿宋" w:hAnsi="仿宋" w:eastAsia="仿宋" w:cs="Times New Roman"/>
          <w:sz w:val="32"/>
          <w:szCs w:val="32"/>
          <w:lang w:val="en-US"/>
        </w:rPr>
      </w:pPr>
      <w:r>
        <w:rPr>
          <w:rFonts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年税返收入和转移支付补助收入安排用于全县保工资、保运转、保民生、重点建设项目方面支出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其中：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重点生态功能区转移支付收入安排用于生态环境保护及教育、卫生等民生方面，革命老区转移支付收入安排用于革命老区专门事务和民生事务。</w:t>
      </w:r>
      <w:bookmarkStart w:id="0" w:name="_GoBack"/>
      <w:bookmarkEnd w:id="0"/>
    </w:p>
    <w:p>
      <w:pPr>
        <w:spacing w:line="54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p>
      <w:pPr>
        <w:spacing w:line="540" w:lineRule="exact"/>
        <w:jc w:val="center"/>
        <w:rPr>
          <w:rFonts w:ascii="仿宋" w:hAnsi="仿宋" w:eastAsia="仿宋" w:cs="Times New Roman"/>
          <w:sz w:val="36"/>
          <w:szCs w:val="36"/>
        </w:rPr>
      </w:pPr>
    </w:p>
    <w:p>
      <w:pPr>
        <w:spacing w:line="540" w:lineRule="exact"/>
        <w:jc w:val="center"/>
        <w:rPr>
          <w:rFonts w:ascii="方正小标宋简体" w:eastAsia="方正小标宋简体" w:cs="Times New Roman"/>
          <w:sz w:val="36"/>
          <w:szCs w:val="36"/>
        </w:rPr>
      </w:pPr>
    </w:p>
    <w:p>
      <w:pPr>
        <w:spacing w:line="540" w:lineRule="exact"/>
        <w:jc w:val="center"/>
        <w:rPr>
          <w:rFonts w:ascii="方正小标宋简体" w:eastAsia="方正小标宋简体" w:cs="Times New Roman"/>
          <w:sz w:val="36"/>
          <w:szCs w:val="36"/>
        </w:rPr>
      </w:pPr>
    </w:p>
    <w:p>
      <w:pPr>
        <w:spacing w:line="540" w:lineRule="exact"/>
        <w:rPr>
          <w:rFonts w:cs="Times New Roma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widowControl/>
      <w:ind w:left="4478"/>
      <w:jc w:val="both"/>
      <w:rPr>
        <w:rStyle w:val="9"/>
        <w:lang w:val="zh-CN"/>
      </w:rPr>
    </w:pPr>
    <w:r>
      <w:rPr>
        <w:rStyle w:val="9"/>
        <w:lang w:val="zh-CN"/>
      </w:rPr>
      <w:fldChar w:fldCharType="begin"/>
    </w:r>
    <w:r>
      <w:rPr>
        <w:rStyle w:val="9"/>
        <w:lang w:val="zh-CN"/>
      </w:rPr>
      <w:instrText xml:space="preserve">PAGE</w:instrText>
    </w:r>
    <w:r>
      <w:rPr>
        <w:rStyle w:val="9"/>
        <w:lang w:val="zh-CN"/>
      </w:rPr>
      <w:fldChar w:fldCharType="separate"/>
    </w:r>
    <w:r>
      <w:rPr>
        <w:rStyle w:val="9"/>
        <w:lang w:val="zh-CN"/>
      </w:rPr>
      <w:t>1</w:t>
    </w:r>
    <w:r>
      <w:rPr>
        <w:rStyle w:val="9"/>
        <w:lang w:val="zh-CN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autoSpaceDE w:val="0"/>
      <w:autoSpaceDN w:val="0"/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381F"/>
    <w:rsid w:val="00021EDC"/>
    <w:rsid w:val="00070E42"/>
    <w:rsid w:val="00070FBE"/>
    <w:rsid w:val="00094706"/>
    <w:rsid w:val="00096196"/>
    <w:rsid w:val="000B71DB"/>
    <w:rsid w:val="000D1C95"/>
    <w:rsid w:val="000D7721"/>
    <w:rsid w:val="000F45AE"/>
    <w:rsid w:val="00104A99"/>
    <w:rsid w:val="00121434"/>
    <w:rsid w:val="001555A4"/>
    <w:rsid w:val="00162EF3"/>
    <w:rsid w:val="001734DA"/>
    <w:rsid w:val="001C543C"/>
    <w:rsid w:val="001D0F4E"/>
    <w:rsid w:val="001D132D"/>
    <w:rsid w:val="002028A7"/>
    <w:rsid w:val="00223F35"/>
    <w:rsid w:val="00227A16"/>
    <w:rsid w:val="002352A5"/>
    <w:rsid w:val="00236863"/>
    <w:rsid w:val="00291120"/>
    <w:rsid w:val="002F1359"/>
    <w:rsid w:val="003076F3"/>
    <w:rsid w:val="00307912"/>
    <w:rsid w:val="00323F13"/>
    <w:rsid w:val="00327C78"/>
    <w:rsid w:val="003400CC"/>
    <w:rsid w:val="00354334"/>
    <w:rsid w:val="00365233"/>
    <w:rsid w:val="003D262E"/>
    <w:rsid w:val="003D6802"/>
    <w:rsid w:val="003F3312"/>
    <w:rsid w:val="004133E6"/>
    <w:rsid w:val="004526CD"/>
    <w:rsid w:val="0046423B"/>
    <w:rsid w:val="004A3976"/>
    <w:rsid w:val="004C30F1"/>
    <w:rsid w:val="00531210"/>
    <w:rsid w:val="00544FE4"/>
    <w:rsid w:val="00553199"/>
    <w:rsid w:val="00554A4A"/>
    <w:rsid w:val="005969E1"/>
    <w:rsid w:val="005F27A2"/>
    <w:rsid w:val="005F51F1"/>
    <w:rsid w:val="006460D6"/>
    <w:rsid w:val="006A06E3"/>
    <w:rsid w:val="006C55B1"/>
    <w:rsid w:val="006E3740"/>
    <w:rsid w:val="00701F2D"/>
    <w:rsid w:val="007147FB"/>
    <w:rsid w:val="007564A0"/>
    <w:rsid w:val="00767C8E"/>
    <w:rsid w:val="0078524D"/>
    <w:rsid w:val="007950A6"/>
    <w:rsid w:val="007B082A"/>
    <w:rsid w:val="007E4FEC"/>
    <w:rsid w:val="008429BE"/>
    <w:rsid w:val="00872067"/>
    <w:rsid w:val="00873757"/>
    <w:rsid w:val="008D2D02"/>
    <w:rsid w:val="008D3FE5"/>
    <w:rsid w:val="008F75F1"/>
    <w:rsid w:val="00917183"/>
    <w:rsid w:val="00924759"/>
    <w:rsid w:val="00940273"/>
    <w:rsid w:val="00955356"/>
    <w:rsid w:val="009D15A8"/>
    <w:rsid w:val="009D26EA"/>
    <w:rsid w:val="00A36C63"/>
    <w:rsid w:val="00A41503"/>
    <w:rsid w:val="00A439B9"/>
    <w:rsid w:val="00A73124"/>
    <w:rsid w:val="00AA7AFF"/>
    <w:rsid w:val="00AC1FF3"/>
    <w:rsid w:val="00B4202F"/>
    <w:rsid w:val="00B7346A"/>
    <w:rsid w:val="00BE5195"/>
    <w:rsid w:val="00BF5581"/>
    <w:rsid w:val="00C40BB5"/>
    <w:rsid w:val="00C81DFD"/>
    <w:rsid w:val="00C9381F"/>
    <w:rsid w:val="00CF68D0"/>
    <w:rsid w:val="00D5402B"/>
    <w:rsid w:val="00D7196F"/>
    <w:rsid w:val="00D75719"/>
    <w:rsid w:val="00D77513"/>
    <w:rsid w:val="00D8008B"/>
    <w:rsid w:val="00D82ADF"/>
    <w:rsid w:val="00E03CF3"/>
    <w:rsid w:val="00E83F22"/>
    <w:rsid w:val="00EA7DE7"/>
    <w:rsid w:val="00EB7CEE"/>
    <w:rsid w:val="00F04BA4"/>
    <w:rsid w:val="00F32236"/>
    <w:rsid w:val="00F35AB3"/>
    <w:rsid w:val="00F4069E"/>
    <w:rsid w:val="00F545E3"/>
    <w:rsid w:val="00F87BDD"/>
    <w:rsid w:val="00FC4838"/>
    <w:rsid w:val="00FD5517"/>
    <w:rsid w:val="00FE40CA"/>
    <w:rsid w:val="062A2410"/>
    <w:rsid w:val="190E09AE"/>
    <w:rsid w:val="1E181659"/>
    <w:rsid w:val="432570C5"/>
    <w:rsid w:val="512D7436"/>
    <w:rsid w:val="5F8123AE"/>
    <w:rsid w:val="63EE6415"/>
    <w:rsid w:val="7D8B2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locked/>
    <w:uiPriority w:val="99"/>
    <w:rPr>
      <w:sz w:val="18"/>
      <w:szCs w:val="18"/>
    </w:rPr>
  </w:style>
  <w:style w:type="paragraph" w:customStyle="1" w:styleId="8">
    <w:name w:val="Style3"/>
    <w:basedOn w:val="1"/>
    <w:uiPriority w:val="99"/>
    <w:pPr>
      <w:adjustRightInd w:val="0"/>
      <w:jc w:val="left"/>
    </w:pPr>
    <w:rPr>
      <w:rFonts w:ascii="黑体" w:eastAsia="黑体" w:cs="黑体"/>
      <w:kern w:val="0"/>
      <w:sz w:val="24"/>
      <w:szCs w:val="24"/>
    </w:rPr>
  </w:style>
  <w:style w:type="character" w:customStyle="1" w:styleId="9">
    <w:name w:val="Font Style66"/>
    <w:basedOn w:val="5"/>
    <w:uiPriority w:val="99"/>
    <w:rPr>
      <w:rFonts w:ascii="Times New Roman" w:hAnsi="Times New Roman" w:cs="Times New 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74</Words>
  <Characters>426</Characters>
  <Lines>3</Lines>
  <Paragraphs>1</Paragraphs>
  <TotalTime>9</TotalTime>
  <ScaleCrop>false</ScaleCrop>
  <LinksUpToDate>false</LinksUpToDate>
  <CharactersWithSpaces>499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2020-01-09T01:56:00Z</dcterms:created>
  <dc:creator>罗天</dc:creator>
  <cp:lastModifiedBy>Administrator</cp:lastModifiedBy>
  <cp:lastPrinted>2019-01-15T12:47:00Z</cp:lastPrinted>
  <dcterms:modified xsi:type="dcterms:W3CDTF">2024-01-12T06:34:17Z</dcterms:modified>
  <dc:title>泸定县2019年政府预算税返收入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