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bCs/>
          <w:sz w:val="44"/>
          <w:szCs w:val="44"/>
        </w:rPr>
        <w:t>202</w:t>
      </w:r>
      <w:r>
        <w:rPr>
          <w:rFonts w:hint="eastAsia" w:cs="宋体" w:asciiTheme="majorEastAsia" w:hAnsiTheme="majorEastAsia" w:eastAsiaTheme="majorEastAsia"/>
          <w:b/>
          <w:bCs/>
          <w:sz w:val="44"/>
          <w:szCs w:val="44"/>
          <w:lang w:val="en-US" w:eastAsia="zh-CN"/>
        </w:rPr>
        <w:t>4</w:t>
      </w:r>
      <w:r>
        <w:rPr>
          <w:rFonts w:hint="eastAsia" w:cs="宋体" w:asciiTheme="majorEastAsia" w:hAnsiTheme="majorEastAsia" w:eastAsiaTheme="majorEastAsia"/>
          <w:b/>
          <w:bCs/>
          <w:sz w:val="44"/>
          <w:szCs w:val="44"/>
        </w:rPr>
        <w:t>年泸定县县级国有资本经营</w:t>
      </w:r>
    </w:p>
    <w:p>
      <w:pPr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b/>
          <w:bCs/>
          <w:sz w:val="44"/>
          <w:szCs w:val="44"/>
        </w:rPr>
        <w:t>预算和社保基金预算的说明</w:t>
      </w:r>
    </w:p>
    <w:p>
      <w:pPr>
        <w:rPr>
          <w:rFonts w:ascii="仿宋_GB2312" w:eastAsia="仿宋_GB2312" w:cs="Times New Roman"/>
          <w:sz w:val="32"/>
          <w:szCs w:val="32"/>
        </w:rPr>
      </w:pPr>
    </w:p>
    <w:p>
      <w:pPr>
        <w:ind w:firstLine="640" w:firstLineChars="200"/>
        <w:rPr>
          <w:rStyle w:val="8"/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一、</w:t>
      </w:r>
      <w:r>
        <w:rPr>
          <w:rStyle w:val="8"/>
          <w:rFonts w:ascii="仿宋" w:hAnsi="仿宋" w:eastAsia="仿宋"/>
          <w:color w:val="000000" w:themeColor="text1"/>
          <w:sz w:val="32"/>
          <w:szCs w:val="32"/>
        </w:rPr>
        <w:t>根据国有资本经营预算相关规定和编制要求，国有资本经营预算资金主要来源于企业税后利润，202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4</w:t>
      </w:r>
      <w:r>
        <w:rPr>
          <w:rStyle w:val="8"/>
          <w:rFonts w:ascii="仿宋" w:hAnsi="仿宋" w:eastAsia="仿宋"/>
          <w:color w:val="000000" w:themeColor="text1"/>
          <w:sz w:val="32"/>
          <w:szCs w:val="32"/>
        </w:rPr>
        <w:t>年国有资本经营预算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</w:rPr>
        <w:t>收入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600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</w:rPr>
        <w:t>万元，</w:t>
      </w:r>
      <w:r>
        <w:rPr>
          <w:rStyle w:val="8"/>
          <w:rFonts w:ascii="仿宋" w:hAnsi="仿宋" w:eastAsia="仿宋"/>
          <w:color w:val="000000" w:themeColor="text1"/>
          <w:sz w:val="32"/>
          <w:szCs w:val="32"/>
        </w:rPr>
        <w:t>国有资本经营预算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</w:rPr>
        <w:t>支出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600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</w:rPr>
        <w:t>万元，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600万元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eastAsia="zh-CN"/>
        </w:rPr>
        <w:t>支出情况具体为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420万元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</w:rPr>
        <w:t>用于注入国有企业资本金</w:t>
      </w:r>
      <w:bookmarkStart w:id="0" w:name="_GoBack"/>
      <w:bookmarkEnd w:id="0"/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eastAsia="zh-CN"/>
        </w:rPr>
        <w:t>，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180万元国有资本经营预算调出资金</w:t>
      </w:r>
      <w:r>
        <w:rPr>
          <w:rStyle w:val="8"/>
          <w:rFonts w:ascii="仿宋" w:hAnsi="仿宋" w:eastAsia="仿宋"/>
          <w:color w:val="000000" w:themeColor="text1"/>
          <w:sz w:val="32"/>
          <w:szCs w:val="32"/>
        </w:rPr>
        <w:t>。</w:t>
      </w:r>
    </w:p>
    <w:p>
      <w:pPr>
        <w:adjustRightInd w:val="0"/>
        <w:spacing w:line="560" w:lineRule="exact"/>
        <w:ind w:firstLine="640" w:firstLineChars="200"/>
        <w:rPr>
          <w:rStyle w:val="8"/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ab/>
      </w:r>
      <w:r>
        <w:rPr>
          <w:rFonts w:hint="eastAsia" w:ascii="仿宋" w:hAnsi="仿宋" w:eastAsia="仿宋" w:cs="仿宋_GB2312"/>
          <w:sz w:val="32"/>
          <w:szCs w:val="32"/>
        </w:rPr>
        <w:t>二、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按照《四川省人力资源和社会保障厅 四川省财政厅关于进一步完善城乡居民基本养老保险制度的通知》（川人社发[2022]20号）要求，2023年启动实施城乡居民基本养老保险统收统支市级统筹制度，</w:t>
      </w:r>
      <w:r>
        <w:rPr>
          <w:rFonts w:hint="eastAsia" w:ascii="仿宋" w:hAnsi="仿宋" w:eastAsia="仿宋" w:cs="仿宋_GB2312"/>
          <w:sz w:val="32"/>
          <w:szCs w:val="32"/>
        </w:rPr>
        <w:t>社会保险基金预算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由州级相关部门编制</w:t>
      </w:r>
      <w:r>
        <w:rPr>
          <w:rStyle w:val="8"/>
          <w:rFonts w:ascii="仿宋" w:hAnsi="仿宋" w:eastAsia="仿宋"/>
          <w:color w:val="000000" w:themeColor="text1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825"/>
        </w:tabs>
        <w:rPr>
          <w:rFonts w:ascii="仿宋_GB2312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2F97"/>
    <w:rsid w:val="000125A6"/>
    <w:rsid w:val="0009669D"/>
    <w:rsid w:val="000B14F6"/>
    <w:rsid w:val="000B5C20"/>
    <w:rsid w:val="00164B0D"/>
    <w:rsid w:val="0017304A"/>
    <w:rsid w:val="00192524"/>
    <w:rsid w:val="001A1A98"/>
    <w:rsid w:val="001A649F"/>
    <w:rsid w:val="001B1466"/>
    <w:rsid w:val="00276FE1"/>
    <w:rsid w:val="003177F2"/>
    <w:rsid w:val="00367D24"/>
    <w:rsid w:val="003B2F97"/>
    <w:rsid w:val="00443A95"/>
    <w:rsid w:val="004B080D"/>
    <w:rsid w:val="004B1E46"/>
    <w:rsid w:val="004B4E67"/>
    <w:rsid w:val="00545F26"/>
    <w:rsid w:val="00551A7A"/>
    <w:rsid w:val="00556B46"/>
    <w:rsid w:val="00756E5A"/>
    <w:rsid w:val="007D17BB"/>
    <w:rsid w:val="008220DE"/>
    <w:rsid w:val="00880898"/>
    <w:rsid w:val="008B796D"/>
    <w:rsid w:val="008F3A35"/>
    <w:rsid w:val="00901DFE"/>
    <w:rsid w:val="00923D8C"/>
    <w:rsid w:val="00984AF5"/>
    <w:rsid w:val="00A71FA5"/>
    <w:rsid w:val="00A777DD"/>
    <w:rsid w:val="00AE1C9C"/>
    <w:rsid w:val="00B05F7D"/>
    <w:rsid w:val="00B4044F"/>
    <w:rsid w:val="00BA02E7"/>
    <w:rsid w:val="00BE234C"/>
    <w:rsid w:val="00BE6947"/>
    <w:rsid w:val="00CC3C25"/>
    <w:rsid w:val="00CE25BC"/>
    <w:rsid w:val="00D31ED6"/>
    <w:rsid w:val="00D83E64"/>
    <w:rsid w:val="00DA34BC"/>
    <w:rsid w:val="00E03DA2"/>
    <w:rsid w:val="00F46F4B"/>
    <w:rsid w:val="00FA0A3F"/>
    <w:rsid w:val="00FD025B"/>
    <w:rsid w:val="00FD7F08"/>
    <w:rsid w:val="00FE24CA"/>
    <w:rsid w:val="09333505"/>
    <w:rsid w:val="0A093870"/>
    <w:rsid w:val="350C476B"/>
    <w:rsid w:val="5EBA1B7B"/>
    <w:rsid w:val="74F7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35</Words>
  <Characters>200</Characters>
  <Lines>1</Lines>
  <Paragraphs>1</Paragraphs>
  <TotalTime>66</TotalTime>
  <ScaleCrop>false</ScaleCrop>
  <LinksUpToDate>false</LinksUpToDate>
  <CharactersWithSpaces>234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2020-01-09T01:57:00Z</dcterms:created>
  <dc:creator>Killer</dc:creator>
  <cp:lastModifiedBy>Administrator</cp:lastModifiedBy>
  <dcterms:modified xsi:type="dcterms:W3CDTF">2024-02-28T02:26:40Z</dcterms:modified>
  <dc:title>2019年泸定县县级级国有资本经营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7296E146F353425B9DB1F37E6F733E23</vt:lpwstr>
  </property>
</Properties>
</file>