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ind w:firstLine="312" w:firstLineChars="100"/>
        <w:rPr>
          <w:rFonts w:ascii="仿宋_GB2312"/>
          <w:szCs w:val="32"/>
        </w:rPr>
      </w:pPr>
      <w:r>
        <w:rPr>
          <w:rFonts w:hint="eastAsia" w:ascii="仿宋_GB2312" w:hAnsi="仿宋_GB2312" w:cs="仿宋_GB2312"/>
          <w:szCs w:val="32"/>
          <w:lang w:val="en-US" w:eastAsia="zh-CN"/>
        </w:rPr>
        <w:t>新环审批</w:t>
      </w:r>
      <w:r>
        <w:rPr>
          <w:rFonts w:hint="eastAsia"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w:t>
      </w:r>
      <w:r>
        <w:rPr>
          <w:rFonts w:hint="eastAsia" w:ascii="仿宋_GB2312" w:hAnsi="仿宋_GB2312" w:cs="仿宋_GB2312"/>
          <w:szCs w:val="32"/>
          <w:lang w:val="en-US" w:eastAsia="zh-CN"/>
        </w:rPr>
        <w:t>1</w:t>
      </w:r>
      <w:r>
        <w:rPr>
          <w:rFonts w:hint="eastAsia" w:ascii="仿宋_GB2312" w:hAnsi="仿宋_GB2312" w:cs="仿宋_GB2312"/>
          <w:szCs w:val="32"/>
        </w:rPr>
        <w:t xml:space="preserve">号           </w:t>
      </w:r>
      <w:r>
        <w:rPr>
          <w:rFonts w:hint="eastAsia" w:ascii="仿宋_GB2312" w:hAnsi="仿宋_GB2312" w:cs="仿宋_GB2312"/>
          <w:szCs w:val="32"/>
          <w:lang w:val="en-US" w:eastAsia="zh-CN"/>
        </w:rPr>
        <w:t xml:space="preserve">      </w:t>
      </w:r>
      <w:r>
        <w:rPr>
          <w:rFonts w:hint="eastAsia" w:ascii="仿宋_GB2312" w:hAnsi="仿宋_GB2312" w:cs="仿宋_GB2312"/>
          <w:szCs w:val="32"/>
        </w:rPr>
        <w:t xml:space="preserve">   签发人：</w:t>
      </w:r>
      <w:r>
        <w:rPr>
          <w:rFonts w:hint="eastAsia" w:ascii="楷体" w:hAnsi="楷体" w:eastAsia="楷体" w:cs="楷体"/>
          <w:szCs w:val="32"/>
        </w:rPr>
        <w:t>韩福生</w:t>
      </w:r>
      <w:bookmarkStart w:id="0" w:name="_GoBack"/>
      <w:bookmarkEnd w:id="0"/>
    </w:p>
    <w:p>
      <w:pPr>
        <w:rPr>
          <w:rFonts w:ascii="仿宋_GB231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甘孜州新龙生态环境局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关于新龙县城市生活污水处理厂扩容及原设施设备改造项目</w:t>
      </w:r>
      <w:r>
        <w:rPr>
          <w:rFonts w:hint="eastAsia" w:ascii="方正小标宋简体" w:eastAsia="方正小标宋简体"/>
          <w:sz w:val="44"/>
          <w:szCs w:val="44"/>
          <w:lang w:val="en-US" w:eastAsia="zh-CN"/>
        </w:rPr>
        <w:t>环境影响报告表的批复</w:t>
      </w:r>
    </w:p>
    <w:p>
      <w:pPr>
        <w:spacing w:after="0"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项目编码：2311-5133209-04-01-588421</w:t>
      </w:r>
      <w:r>
        <w:rPr>
          <w:rFonts w:hint="eastAsia" w:ascii="仿宋_GB2312" w:hAnsi="仿宋_GB2312" w:eastAsia="仿宋_GB2312" w:cs="仿宋_GB2312"/>
          <w:sz w:val="32"/>
          <w:szCs w:val="32"/>
          <w:lang w:eastAsia="zh-CN"/>
        </w:rPr>
        <w:t>）</w:t>
      </w:r>
    </w:p>
    <w:p>
      <w:pPr>
        <w:rPr>
          <w:rFonts w:ascii="仿宋_GB2312"/>
          <w:szCs w:val="32"/>
        </w:rPr>
      </w:pPr>
    </w:p>
    <w:p>
      <w:pPr>
        <w:keepNext w:val="0"/>
        <w:keepLines w:val="0"/>
        <w:pageBreakBefore w:val="0"/>
        <w:widowControl w:val="0"/>
        <w:tabs>
          <w:tab w:val="left" w:pos="1261"/>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新龙县住房和城乡建设局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你单位报送的《新龙县城市生活污水处理厂扩容及原设施设备改造项目环境影响报告表》</w:t>
      </w:r>
      <w:r>
        <w:rPr>
          <w:rFonts w:hint="eastAsia" w:ascii="仿宋_GB2312" w:hAnsi="Calibri" w:eastAsia="仿宋_GB2312" w:cs="Times New Roman"/>
          <w:color w:val="auto"/>
          <w:sz w:val="32"/>
          <w:szCs w:val="32"/>
        </w:rPr>
        <w:t>（以下简称“报告表</w:t>
      </w:r>
      <w:r>
        <w:rPr>
          <w:rFonts w:hint="eastAsia"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专家组审查意见已收悉，经研究现批复如下</w:t>
      </w:r>
      <w:r>
        <w:rPr>
          <w:rFonts w:hint="eastAsia" w:ascii="仿宋_GB2312" w:hAnsi="Calibri"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bidi w:val="0"/>
        <w:spacing w:line="576" w:lineRule="exact"/>
        <w:ind w:firstLine="612" w:firstLineChars="196"/>
        <w:textAlignment w:val="auto"/>
        <w:rPr>
          <w:rFonts w:hint="eastAsia" w:ascii="黑体" w:hAnsi="Calibri" w:eastAsia="黑体" w:cs="黑体"/>
          <w:b w:val="0"/>
          <w:bCs w:val="0"/>
          <w:color w:val="000000"/>
          <w:sz w:val="32"/>
          <w:szCs w:val="32"/>
        </w:rPr>
      </w:pPr>
      <w:r>
        <w:rPr>
          <w:rFonts w:hint="eastAsia" w:ascii="黑体" w:hAnsi="Calibri" w:eastAsia="黑体" w:cs="黑体"/>
          <w:b w:val="0"/>
          <w:bCs w:val="0"/>
          <w:color w:val="000000"/>
          <w:sz w:val="32"/>
          <w:szCs w:val="32"/>
        </w:rPr>
        <w:t>一、项目基本概况</w:t>
      </w:r>
    </w:p>
    <w:p>
      <w:pPr>
        <w:keepNext w:val="0"/>
        <w:keepLines w:val="0"/>
        <w:pageBreakBefore w:val="0"/>
        <w:widowControl w:val="0"/>
        <w:kinsoku/>
        <w:wordWrap/>
        <w:overflowPunct/>
        <w:topLinePunct w:val="0"/>
        <w:autoSpaceDE/>
        <w:autoSpaceDN w:val="0"/>
        <w:bidi w:val="0"/>
        <w:adjustRightInd w:val="0"/>
        <w:snapToGrid w:val="0"/>
        <w:spacing w:line="576" w:lineRule="exact"/>
        <w:ind w:firstLine="624" w:firstLineChars="200"/>
        <w:jc w:val="both"/>
        <w:textAlignment w:val="auto"/>
        <w:rPr>
          <w:rFonts w:hint="default" w:ascii="仿宋_GB2312" w:hAnsi="Calibri" w:eastAsia="仿宋_GB2312" w:cs="Times New Roman"/>
          <w:color w:val="000000"/>
          <w:kern w:val="0"/>
          <w:sz w:val="32"/>
          <w:szCs w:val="32"/>
          <w:lang w:val="en-US" w:eastAsia="zh-CN" w:bidi="ar-SA"/>
        </w:rPr>
      </w:pPr>
      <w:r>
        <w:rPr>
          <w:rFonts w:hint="eastAsia" w:ascii="仿宋_GB2312" w:hAnsi="Calibri" w:eastAsia="仿宋_GB2312" w:cs="Times New Roman"/>
          <w:color w:val="000000"/>
          <w:kern w:val="0"/>
          <w:sz w:val="32"/>
          <w:szCs w:val="32"/>
          <w:lang w:val="en-US" w:eastAsia="zh-CN" w:bidi="ar-SA"/>
        </w:rPr>
        <w:t>项目建设地位于四川省甘孜藏族自治州新龙县如龙镇（原县城污水厂内），建设性质为</w:t>
      </w:r>
      <w:r>
        <w:rPr>
          <w:rFonts w:hint="eastAsia" w:ascii="仿宋_GB2312" w:hAnsi="Calibri" w:eastAsia="仿宋_GB2312" w:cs="Times New Roman"/>
          <w:color w:val="000000"/>
          <w:kern w:val="0"/>
          <w:sz w:val="32"/>
          <w:szCs w:val="32"/>
          <w:lang w:val="en-US" w:eastAsia="zh-CN" w:bidi="ar-SA"/>
          <w14:textFill>
            <w14:solidFill>
              <w14:srgbClr w14:val="000000">
                <w14:lumMod w14:val="95000"/>
                <w14:lumOff w14:val="5000"/>
              </w14:srgbClr>
            </w14:solidFill>
          </w14:textFill>
        </w:rPr>
        <w:t>改扩建</w:t>
      </w:r>
      <w:r>
        <w:rPr>
          <w:rFonts w:hint="eastAsia" w:ascii="仿宋_GB2312" w:hAnsi="Calibri" w:eastAsia="仿宋_GB2312" w:cs="Times New Roman"/>
          <w:color w:val="000000"/>
          <w:kern w:val="0"/>
          <w:sz w:val="32"/>
          <w:szCs w:val="32"/>
          <w:lang w:val="en-US" w:eastAsia="zh-CN" w:bidi="ar-SA"/>
        </w:rPr>
        <w:t>，建设内容为：改扩建后县城污水处理厂总规模将达到3000t/d，其中，对现有已建1500t/d处理规模的工程进行提标改造；本次新增污水处理规模为1500t/d，同时对县城污水处理厂设施设备进行改造，新建污水生物处理间1000m</w:t>
      </w:r>
      <w:r>
        <w:rPr>
          <w:rFonts w:hint="eastAsia" w:ascii="仿宋_GB2312" w:hAnsi="Calibri" w:eastAsia="仿宋_GB2312" w:cs="Times New Roman"/>
          <w:color w:val="000000"/>
          <w:kern w:val="0"/>
          <w:sz w:val="32"/>
          <w:szCs w:val="32"/>
          <w:vertAlign w:val="superscript"/>
          <w:lang w:val="en-US" w:eastAsia="zh-CN" w:bidi="ar-SA"/>
        </w:rPr>
        <w:t>2</w:t>
      </w:r>
      <w:r>
        <w:rPr>
          <w:rFonts w:hint="eastAsia" w:ascii="仿宋_GB2312" w:hAnsi="Calibri" w:eastAsia="仿宋_GB2312" w:cs="Times New Roman"/>
          <w:color w:val="000000"/>
          <w:kern w:val="0"/>
          <w:sz w:val="32"/>
          <w:szCs w:val="32"/>
          <w:lang w:val="en-US" w:eastAsia="zh-CN" w:bidi="ar-SA"/>
        </w:rPr>
        <w:t>，配套管网及设施设备，现有工程出水水质标准由《城镇污水处理厂污染物排放标准(GB18918—2002)》一级B标提升至《城镇污水处理厂污染物排放标准(GB18918—2002)》一级A标，本次扩建部分污水处理厂出水水质执行《城镇污水处理厂污染物排放标准(GB18918—2002)》一级A标。项目总投资2900万元，环保投资155万元，占总投资比例的5.34%。</w:t>
      </w:r>
    </w:p>
    <w:p>
      <w:pPr>
        <w:keepNext w:val="0"/>
        <w:keepLines w:val="0"/>
        <w:pageBreakBefore w:val="0"/>
        <w:widowControl w:val="0"/>
        <w:kinsoku/>
        <w:wordWrap/>
        <w:overflowPunct/>
        <w:topLinePunct w:val="0"/>
        <w:autoSpaceDE/>
        <w:bidi w:val="0"/>
        <w:adjustRightInd w:val="0"/>
        <w:snapToGrid w:val="0"/>
        <w:spacing w:line="576" w:lineRule="exact"/>
        <w:ind w:firstLine="624" w:firstLineChars="200"/>
        <w:textAlignment w:val="auto"/>
        <w:rPr>
          <w:rFonts w:hint="eastAsia" w:ascii="黑体" w:hAnsi="Calibri" w:eastAsia="黑体" w:cs="黑体"/>
          <w:b w:val="0"/>
          <w:bCs w:val="0"/>
          <w:color w:val="000000"/>
          <w:sz w:val="32"/>
          <w:szCs w:val="32"/>
        </w:rPr>
      </w:pPr>
      <w:r>
        <w:rPr>
          <w:rFonts w:hint="eastAsia" w:ascii="黑体" w:hAnsi="Calibri" w:eastAsia="黑体" w:cs="黑体"/>
          <w:b w:val="0"/>
          <w:bCs w:val="0"/>
          <w:color w:val="000000"/>
          <w:sz w:val="32"/>
          <w:szCs w:val="32"/>
        </w:rPr>
        <w:t>二、产业政策和规划符合性</w:t>
      </w:r>
    </w:p>
    <w:p>
      <w:pPr>
        <w:keepNext w:val="0"/>
        <w:keepLines w:val="0"/>
        <w:pageBreakBefore w:val="0"/>
        <w:widowControl w:val="0"/>
        <w:kinsoku/>
        <w:wordWrap/>
        <w:overflowPunct/>
        <w:topLinePunct w:val="0"/>
        <w:autoSpaceDE/>
        <w:bidi w:val="0"/>
        <w:spacing w:line="576" w:lineRule="exact"/>
        <w:ind w:firstLine="624" w:firstLineChars="200"/>
        <w:textAlignment w:val="auto"/>
        <w:rPr>
          <w:rFonts w:hint="eastAsia" w:ascii="仿宋_GB2312" w:hAnsi="Calibri" w:eastAsia="仿宋_GB2312" w:cs="Times New Roman"/>
          <w:bCs/>
          <w:color w:val="000000"/>
          <w:sz w:val="32"/>
          <w:szCs w:val="32"/>
          <w:lang w:val="en-US" w:eastAsia="zh-CN"/>
        </w:rPr>
      </w:pPr>
      <w:r>
        <w:rPr>
          <w:rFonts w:hint="eastAsia" w:ascii="仿宋_GB2312" w:hAnsi="Calibri" w:eastAsia="仿宋_GB2312" w:cs="Times New Roman"/>
          <w:bCs/>
          <w:color w:val="000000"/>
          <w:sz w:val="32"/>
          <w:szCs w:val="32"/>
        </w:rPr>
        <w:t>（一）</w:t>
      </w:r>
      <w:r>
        <w:rPr>
          <w:rFonts w:hint="eastAsia" w:ascii="仿宋_GB2312" w:hAnsi="Calibri" w:eastAsia="仿宋_GB2312" w:cs="Times New Roman"/>
          <w:bCs/>
          <w:color w:val="000000"/>
          <w:sz w:val="32"/>
          <w:szCs w:val="32"/>
          <w:lang w:val="en-US" w:eastAsia="zh-CN"/>
        </w:rPr>
        <w:t>根据国家发展和改革委员会《产业结构调整指导目录（</w:t>
      </w:r>
      <w:r>
        <w:rPr>
          <w:rFonts w:hint="eastAsia" w:ascii="仿宋_GB2312" w:hAnsi="Calibri" w:cs="Times New Roman"/>
          <w:bCs/>
          <w:color w:val="000000"/>
          <w:sz w:val="32"/>
          <w:szCs w:val="32"/>
          <w:lang w:val="en-US" w:eastAsia="zh-CN"/>
        </w:rPr>
        <w:t>2024</w:t>
      </w:r>
      <w:r>
        <w:rPr>
          <w:rFonts w:hint="eastAsia" w:ascii="仿宋_GB2312" w:hAnsi="Calibri" w:eastAsia="仿宋_GB2312" w:cs="Times New Roman"/>
          <w:bCs/>
          <w:color w:val="000000"/>
          <w:sz w:val="32"/>
          <w:szCs w:val="32"/>
          <w:lang w:val="en-US" w:eastAsia="zh-CN"/>
        </w:rPr>
        <w:t>年本）》中相关规定，本项目属于鼓励类项目，并经甘孜州</w:t>
      </w:r>
      <w:r>
        <w:rPr>
          <w:rFonts w:hint="eastAsia" w:ascii="仿宋_GB2312" w:hAnsi="Calibri" w:cs="Times New Roman"/>
          <w:bCs/>
          <w:color w:val="000000"/>
          <w:sz w:val="32"/>
          <w:szCs w:val="32"/>
          <w:lang w:val="en-US" w:eastAsia="zh-CN"/>
        </w:rPr>
        <w:t>新龙县</w:t>
      </w:r>
      <w:r>
        <w:rPr>
          <w:rFonts w:hint="eastAsia" w:ascii="仿宋_GB2312" w:hAnsi="Calibri" w:eastAsia="仿宋_GB2312" w:cs="Times New Roman"/>
          <w:bCs/>
          <w:color w:val="000000"/>
          <w:sz w:val="32"/>
          <w:szCs w:val="32"/>
          <w:lang w:val="en-US" w:eastAsia="zh-CN"/>
        </w:rPr>
        <w:t>发展和改革</w:t>
      </w:r>
      <w:r>
        <w:rPr>
          <w:rFonts w:hint="eastAsia" w:ascii="仿宋_GB2312" w:hAnsi="Calibri" w:cs="Times New Roman"/>
          <w:bCs/>
          <w:color w:val="000000"/>
          <w:sz w:val="32"/>
          <w:szCs w:val="32"/>
          <w:lang w:val="en-US" w:eastAsia="zh-CN"/>
        </w:rPr>
        <w:t>局</w:t>
      </w:r>
      <w:r>
        <w:rPr>
          <w:rFonts w:hint="eastAsia" w:ascii="仿宋_GB2312" w:hAnsi="Calibri" w:eastAsia="仿宋_GB2312" w:cs="Times New Roman"/>
          <w:bCs/>
          <w:color w:val="000000"/>
          <w:sz w:val="32"/>
          <w:szCs w:val="32"/>
          <w:lang w:val="en-US" w:eastAsia="zh-CN"/>
        </w:rPr>
        <w:t>备案（项目编码：2311-5133209-04-01-588421），项目建设符合国家现行产业政策。</w:t>
      </w:r>
    </w:p>
    <w:p>
      <w:pPr>
        <w:keepNext w:val="0"/>
        <w:keepLines w:val="0"/>
        <w:pageBreakBefore w:val="0"/>
        <w:widowControl w:val="0"/>
        <w:kinsoku/>
        <w:wordWrap/>
        <w:overflowPunct/>
        <w:topLinePunct w:val="0"/>
        <w:autoSpaceDE/>
        <w:bidi w:val="0"/>
        <w:spacing w:line="576" w:lineRule="exact"/>
        <w:ind w:left="0" w:leftChars="0" w:firstLine="624" w:firstLineChars="200"/>
        <w:jc w:val="both"/>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（二）2024年1月12日，</w:t>
      </w:r>
      <w:r>
        <w:rPr>
          <w:rFonts w:hint="eastAsia" w:ascii="仿宋_GB2312" w:hAnsi="Calibri" w:eastAsia="仿宋_GB2312" w:cs="Times New Roman"/>
          <w:bCs/>
          <w:color w:val="000000"/>
          <w:kern w:val="2"/>
          <w:sz w:val="32"/>
          <w:szCs w:val="32"/>
          <w:lang w:val="en-US" w:eastAsia="zh-CN" w:bidi="ar-SA"/>
        </w:rPr>
        <w:t>甘孜州新龙县发展和改革局出具《关于新龙县城市生活污水处理厂扩容及原设施设备改造项目可行性研究报告的批复》</w:t>
      </w:r>
      <w:r>
        <w:rPr>
          <w:rFonts w:hint="eastAsia" w:ascii="仿宋_GB2312" w:hAnsi="Calibri" w:eastAsia="仿宋_GB2312" w:cs="Times New Roman"/>
          <w:color w:val="auto"/>
          <w:kern w:val="2"/>
          <w:sz w:val="32"/>
          <w:szCs w:val="32"/>
          <w:lang w:val="en-US" w:eastAsia="zh-CN" w:bidi="ar-SA"/>
        </w:rPr>
        <w:t>（新发改投</w:t>
      </w:r>
      <w:r>
        <w:rPr>
          <w:rFonts w:hint="eastAsia" w:ascii="仿宋_GB2312" w:hAnsi="Calibri" w:eastAsia="仿宋_GB2312" w:cs="Times New Roman"/>
          <w:bCs/>
          <w:color w:val="000000"/>
          <w:kern w:val="2"/>
          <w:sz w:val="32"/>
          <w:szCs w:val="32"/>
          <w:lang w:val="en-US" w:eastAsia="zh-CN" w:bidi="ar-SA"/>
        </w:rPr>
        <w:t>〔2024〕15号</w:t>
      </w:r>
      <w:r>
        <w:rPr>
          <w:rFonts w:hint="eastAsia" w:ascii="仿宋_GB2312" w:hAnsi="Calibri"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bidi w:val="0"/>
        <w:spacing w:line="576" w:lineRule="exact"/>
        <w:ind w:left="0" w:leftChars="0" w:firstLine="624" w:firstLineChars="200"/>
        <w:jc w:val="both"/>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（三）2023年12月29日，取得新龙县自然资源局出具的建设项目用地预审与选址复函（新自然资函〔2023〕236号），不涉及新增建设用地。</w:t>
      </w:r>
    </w:p>
    <w:p>
      <w:pPr>
        <w:keepNext w:val="0"/>
        <w:keepLines w:val="0"/>
        <w:pageBreakBefore w:val="0"/>
        <w:widowControl w:val="0"/>
        <w:kinsoku/>
        <w:wordWrap/>
        <w:overflowPunct/>
        <w:topLinePunct w:val="0"/>
        <w:autoSpaceDE/>
        <w:bidi w:val="0"/>
        <w:spacing w:line="576" w:lineRule="exact"/>
        <w:ind w:left="0" w:leftChars="0" w:firstLine="624" w:firstLineChars="200"/>
        <w:jc w:val="both"/>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（四）2013年8月30日，甘孜州环境保护局出具《关于甘孜州新龙县城市生活污水处理工程环境影响报告表的批复》（甘环发</w:t>
      </w:r>
      <w:r>
        <w:rPr>
          <w:rFonts w:hint="eastAsia" w:ascii="仿宋_GB2312" w:hAnsi="Calibri" w:eastAsia="仿宋_GB2312" w:cs="Times New Roman"/>
          <w:bCs/>
          <w:color w:val="000000"/>
          <w:kern w:val="2"/>
          <w:sz w:val="32"/>
          <w:szCs w:val="32"/>
          <w:lang w:val="en-US" w:eastAsia="zh-CN" w:bidi="ar-SA"/>
        </w:rPr>
        <w:t>〔2013〕274号</w:t>
      </w:r>
      <w:r>
        <w:rPr>
          <w:rFonts w:hint="eastAsia" w:ascii="仿宋_GB2312" w:hAnsi="Calibri" w:eastAsia="仿宋_GB2312" w:cs="Times New Roman"/>
          <w:color w:val="auto"/>
          <w:kern w:val="2"/>
          <w:sz w:val="32"/>
          <w:szCs w:val="32"/>
          <w:lang w:val="en-US" w:eastAsia="zh-CN" w:bidi="ar-SA"/>
        </w:rPr>
        <w:t>）文件，原则同意新龙县城市生活污水处理厂按照“报告表”所列的建设项目性质、规模、内容、环境保护对策措施及本批复要求进行项目建设。</w:t>
      </w:r>
    </w:p>
    <w:p>
      <w:pPr>
        <w:keepNext w:val="0"/>
        <w:keepLines w:val="0"/>
        <w:pageBreakBefore w:val="0"/>
        <w:widowControl w:val="0"/>
        <w:kinsoku/>
        <w:wordWrap/>
        <w:overflowPunct/>
        <w:topLinePunct w:val="0"/>
        <w:autoSpaceDE/>
        <w:bidi w:val="0"/>
        <w:spacing w:line="576" w:lineRule="exact"/>
        <w:ind w:left="0" w:leftChars="0" w:firstLine="624" w:firstLineChars="200"/>
        <w:jc w:val="both"/>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综上，该</w:t>
      </w:r>
      <w:r>
        <w:rPr>
          <w:rFonts w:hint="eastAsia" w:ascii="仿宋_GB2312" w:hAnsi="Calibri" w:eastAsia="仿宋_GB2312" w:cs="Times New Roman"/>
          <w:color w:val="000000"/>
          <w:kern w:val="2"/>
          <w:sz w:val="32"/>
          <w:szCs w:val="32"/>
          <w:shd w:val="clear" w:color="auto" w:fill="FFFFFF"/>
          <w:lang w:val="en-US" w:eastAsia="zh-CN" w:bidi="ar-SA"/>
        </w:rPr>
        <w:t>项目严格按照报告表中所列建设项目的性质、规模、地点、建设内容和拟采取的环境保护措施建设和运行，对环境的不利影响能够得到缓解和控制。你单位应全面落实报告表提出的各项环境保护对策措施和本批复要求。</w:t>
      </w:r>
    </w:p>
    <w:p>
      <w:pPr>
        <w:keepNext w:val="0"/>
        <w:keepLines w:val="0"/>
        <w:pageBreakBefore w:val="0"/>
        <w:widowControl w:val="0"/>
        <w:kinsoku/>
        <w:wordWrap/>
        <w:overflowPunct/>
        <w:topLinePunct w:val="0"/>
        <w:autoSpaceDE/>
        <w:bidi w:val="0"/>
        <w:spacing w:line="576" w:lineRule="exact"/>
        <w:ind w:left="0" w:leftChars="0" w:firstLine="624" w:firstLineChars="200"/>
        <w:jc w:val="both"/>
        <w:textAlignment w:val="auto"/>
        <w:rPr>
          <w:rFonts w:hint="eastAsia" w:ascii="黑体" w:hAnsi="Times New Roman" w:eastAsia="黑体" w:cs="黑体"/>
          <w:b w:val="0"/>
          <w:bCs w:val="0"/>
          <w:color w:val="000000"/>
          <w:kern w:val="2"/>
          <w:sz w:val="32"/>
          <w:szCs w:val="32"/>
          <w:lang w:val="en-US" w:eastAsia="zh-CN" w:bidi="ar-SA"/>
        </w:rPr>
      </w:pPr>
      <w:r>
        <w:rPr>
          <w:rFonts w:hint="eastAsia" w:ascii="黑体" w:hAnsi="Times New Roman" w:eastAsia="黑体" w:cs="黑体"/>
          <w:b w:val="0"/>
          <w:bCs w:val="0"/>
          <w:color w:val="000000"/>
          <w:kern w:val="2"/>
          <w:sz w:val="32"/>
          <w:szCs w:val="32"/>
          <w:lang w:val="en-US" w:eastAsia="zh-CN" w:bidi="ar-SA"/>
        </w:rPr>
        <w:t xml:space="preserve">三、该项目建设期和运行期应重点做好以下工作 </w:t>
      </w:r>
    </w:p>
    <w:p>
      <w:pPr>
        <w:keepNext w:val="0"/>
        <w:keepLines w:val="0"/>
        <w:pageBreakBefore w:val="0"/>
        <w:widowControl w:val="0"/>
        <w:kinsoku/>
        <w:wordWrap/>
        <w:overflowPunct/>
        <w:topLinePunct w:val="0"/>
        <w:autoSpaceDE/>
        <w:bidi w:val="0"/>
        <w:spacing w:line="540" w:lineRule="exact"/>
        <w:ind w:firstLine="624" w:firstLineChars="200"/>
        <w:textAlignment w:val="auto"/>
        <w:outlineLvl w:val="9"/>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楷体_GB2312" w:hAnsi="楷体_GB2312" w:eastAsia="楷体_GB2312" w:cs="楷体_GB2312"/>
          <w:sz w:val="32"/>
          <w:szCs w:val="32"/>
          <w:lang w:val="en-US" w:eastAsia="zh-CN"/>
        </w:rPr>
        <w:t>（一）</w:t>
      </w:r>
      <w:r>
        <w:rPr>
          <w:rFonts w:hint="eastAsia" w:ascii="仿宋_GB2312" w:hAnsi="Times New Roman" w:eastAsia="仿宋_GB2312" w:cs="Times New Roman"/>
          <w:color w:val="000000"/>
          <w:kern w:val="2"/>
          <w:sz w:val="32"/>
          <w:szCs w:val="32"/>
          <w:shd w:val="clear" w:color="auto" w:fill="FFFFFF"/>
          <w:lang w:val="en-US" w:eastAsia="zh-CN" w:bidi="ar-SA"/>
        </w:rPr>
        <w:t>在项目工程设计、建设和环境管理中，逐项落实报告表提出的各项污染防治措施和“以新带老”措施，落实内部环境管理机构、人员等工作，确保各类污染物稳定达标排放。</w:t>
      </w:r>
    </w:p>
    <w:p>
      <w:pPr>
        <w:keepNext w:val="0"/>
        <w:keepLines w:val="0"/>
        <w:pageBreakBefore w:val="0"/>
        <w:widowControl w:val="0"/>
        <w:kinsoku/>
        <w:wordWrap/>
        <w:overflowPunct/>
        <w:topLinePunct w:val="0"/>
        <w:autoSpaceDE/>
        <w:bidi w:val="0"/>
        <w:spacing w:line="540" w:lineRule="exact"/>
        <w:ind w:left="0" w:leftChars="0" w:firstLine="624" w:firstLineChars="200"/>
        <w:jc w:val="both"/>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楷体_GB2312" w:hAnsi="楷体_GB2312" w:eastAsia="楷体_GB2312" w:cs="楷体_GB2312"/>
          <w:kern w:val="2"/>
          <w:sz w:val="32"/>
          <w:szCs w:val="32"/>
          <w:lang w:val="en-US" w:eastAsia="zh-CN" w:bidi="ar-SA"/>
        </w:rPr>
        <w:t>（二）严格落实废水污染防治措施。</w:t>
      </w:r>
      <w:r>
        <w:rPr>
          <w:rFonts w:hint="eastAsia" w:ascii="仿宋_GB2312" w:hAnsi="Times New Roman" w:eastAsia="仿宋_GB2312" w:cs="Times New Roman"/>
          <w:color w:val="000000"/>
          <w:kern w:val="2"/>
          <w:sz w:val="32"/>
          <w:szCs w:val="32"/>
          <w:shd w:val="clear" w:color="auto" w:fill="FFFFFF"/>
          <w:lang w:val="en-US" w:eastAsia="zh-CN" w:bidi="ar-SA"/>
        </w:rPr>
        <w:t>加强施工、运营期环保管理，落实岗位责任制，严格监控进、出水水质及水量等指标的变化情况，适时调整、优化工艺运行参数，确保出水达到城镇污水处理厂水污染物浓度排放限值。</w:t>
      </w:r>
    </w:p>
    <w:p>
      <w:pPr>
        <w:keepNext w:val="0"/>
        <w:keepLines w:val="0"/>
        <w:pageBreakBefore w:val="0"/>
        <w:widowControl w:val="0"/>
        <w:kinsoku/>
        <w:wordWrap/>
        <w:overflowPunct/>
        <w:topLinePunct w:val="0"/>
        <w:autoSpaceDE/>
        <w:bidi w:val="0"/>
        <w:spacing w:line="540" w:lineRule="exact"/>
        <w:ind w:left="0" w:leftChars="0" w:firstLine="624" w:firstLineChars="200"/>
        <w:jc w:val="both"/>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楷体_GB2312" w:hAnsi="楷体_GB2312" w:eastAsia="楷体_GB2312" w:cs="楷体_GB2312"/>
          <w:kern w:val="2"/>
          <w:sz w:val="32"/>
          <w:szCs w:val="32"/>
          <w:lang w:val="en-US" w:eastAsia="zh-CN" w:bidi="ar-SA"/>
        </w:rPr>
        <w:t>（三）严格落实废气污染防治措施。</w:t>
      </w:r>
      <w:r>
        <w:rPr>
          <w:rFonts w:hint="eastAsia" w:ascii="仿宋_GB2312" w:hAnsi="Times New Roman" w:eastAsia="仿宋_GB2312" w:cs="Times New Roman"/>
          <w:color w:val="000000"/>
          <w:kern w:val="2"/>
          <w:sz w:val="32"/>
          <w:szCs w:val="32"/>
          <w:shd w:val="clear" w:color="auto" w:fill="FFFFFF"/>
          <w:lang w:val="en-US" w:eastAsia="zh-CN" w:bidi="ar-SA"/>
        </w:rPr>
        <w:t>对格栅沉渣调节池、生化池、储泥池、污泥脱水间等产臭单元采取密闭、加盖措施减少臭气扩散，各单元产生的恶臭气体经收集后由除臭系统处理后排放。同时，结合周边敏感点位置优化总平面布局，加强厂区绿化。</w:t>
      </w:r>
    </w:p>
    <w:p>
      <w:pPr>
        <w:keepNext w:val="0"/>
        <w:keepLines w:val="0"/>
        <w:pageBreakBefore w:val="0"/>
        <w:widowControl w:val="0"/>
        <w:kinsoku/>
        <w:wordWrap/>
        <w:overflowPunct/>
        <w:topLinePunct w:val="0"/>
        <w:autoSpaceDE/>
        <w:bidi w:val="0"/>
        <w:spacing w:line="540" w:lineRule="exact"/>
        <w:ind w:left="0" w:leftChars="0" w:firstLine="624" w:firstLineChars="200"/>
        <w:jc w:val="both"/>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楷体_GB2312" w:hAnsi="楷体_GB2312" w:eastAsia="楷体_GB2312" w:cs="楷体_GB2312"/>
          <w:kern w:val="2"/>
          <w:sz w:val="32"/>
          <w:szCs w:val="32"/>
          <w:lang w:val="en-US" w:eastAsia="zh-CN" w:bidi="ar-SA"/>
        </w:rPr>
        <w:t>（四）</w:t>
      </w:r>
      <w:r>
        <w:rPr>
          <w:rFonts w:hint="eastAsia" w:ascii="仿宋_GB2312" w:hAnsi="Times New Roman" w:eastAsia="仿宋_GB2312" w:cs="Times New Roman"/>
          <w:color w:val="000000"/>
          <w:kern w:val="2"/>
          <w:sz w:val="32"/>
          <w:szCs w:val="32"/>
          <w:shd w:val="clear" w:color="auto" w:fill="FFFFFF"/>
          <w:lang w:val="en-US" w:eastAsia="zh-CN" w:bidi="ar-SA"/>
        </w:rPr>
        <w:t>严格按照报告表要求，优化布局，强化声环境保护措施，选用低噪声设备，采取隔声、减震、消声等降噪措施，确保厂界噪声达标。</w:t>
      </w:r>
    </w:p>
    <w:p>
      <w:pPr>
        <w:keepNext w:val="0"/>
        <w:keepLines w:val="0"/>
        <w:pageBreakBefore w:val="0"/>
        <w:widowControl w:val="0"/>
        <w:kinsoku/>
        <w:wordWrap/>
        <w:overflowPunct/>
        <w:topLinePunct w:val="0"/>
        <w:autoSpaceDE/>
        <w:bidi w:val="0"/>
        <w:spacing w:line="540" w:lineRule="exact"/>
        <w:ind w:left="0" w:leftChars="0" w:firstLine="624" w:firstLineChars="200"/>
        <w:jc w:val="both"/>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五）严格落实地下水和土壤污染防治措施。按照“源头控制、分区防治、污染监控、应急响应”原则，做好“雨污分流、分区防渗”，危废暂存间、污水处理构筑物、污泥脱水间、污泥暂存间、柴油发电机房及污水管道、事故应急池等采取重点防渗处理，其他区域按照报告表要求落实一般防渗措施或简单防渗措施。强化防渗层的维护、检测，及时发现并有效防止土壤和地下水污染。</w:t>
      </w:r>
    </w:p>
    <w:p>
      <w:pPr>
        <w:keepNext w:val="0"/>
        <w:keepLines w:val="0"/>
        <w:pageBreakBefore w:val="0"/>
        <w:widowControl w:val="0"/>
        <w:kinsoku/>
        <w:wordWrap/>
        <w:overflowPunct/>
        <w:topLinePunct w:val="0"/>
        <w:autoSpaceDE/>
        <w:bidi w:val="0"/>
        <w:spacing w:line="540" w:lineRule="exact"/>
        <w:ind w:left="0" w:leftChars="0" w:firstLine="624" w:firstLineChars="200"/>
        <w:jc w:val="both"/>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（六）规范入河排污口建设，按要求安装污水进、出口自动在线监测装置，并按照自行监测有关规定认真开展自行监测工作。</w:t>
      </w:r>
    </w:p>
    <w:p>
      <w:pPr>
        <w:keepNext w:val="0"/>
        <w:keepLines w:val="0"/>
        <w:pageBreakBefore w:val="0"/>
        <w:widowControl w:val="0"/>
        <w:kinsoku/>
        <w:wordWrap/>
        <w:overflowPunct/>
        <w:topLinePunct w:val="0"/>
        <w:autoSpaceDE/>
        <w:bidi w:val="0"/>
        <w:spacing w:line="540" w:lineRule="exact"/>
        <w:ind w:left="0" w:leftChars="0" w:firstLine="624"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w:t>
      </w:r>
      <w:r>
        <w:rPr>
          <w:rFonts w:hint="eastAsia" w:ascii="仿宋_GB2312" w:hAnsi="Times New Roman" w:eastAsia="仿宋_GB2312" w:cs="Times New Roman"/>
          <w:kern w:val="2"/>
          <w:sz w:val="32"/>
          <w:szCs w:val="32"/>
          <w:lang w:val="en-US" w:eastAsia="zh-CN" w:bidi="ar-SA"/>
        </w:rPr>
        <w:t>严格落实各项环境风险防范措施。结合项目特点，制定切实有效的突发环境事件应急预案并完成备案，同时加强应急演练，防范因安全事故引发环境污染事故。加强设施的日常运行及维护管理，保证其稳定运行，由于事故等原因造成运行处理不达标时，应立即采取应急措施并报告属地生态环境保护主管部门。</w:t>
      </w:r>
    </w:p>
    <w:p>
      <w:pPr>
        <w:keepNext w:val="0"/>
        <w:keepLines w:val="0"/>
        <w:pageBreakBefore w:val="0"/>
        <w:widowControl w:val="0"/>
        <w:kinsoku/>
        <w:wordWrap/>
        <w:overflowPunct/>
        <w:topLinePunct w:val="0"/>
        <w:autoSpaceDE/>
        <w:bidi w:val="0"/>
        <w:spacing w:line="576"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应依法完备其他相关行政许可手续</w:t>
      </w:r>
    </w:p>
    <w:p>
      <w:pPr>
        <w:keepNext w:val="0"/>
        <w:keepLines w:val="0"/>
        <w:pageBreakBefore w:val="0"/>
        <w:widowControl w:val="0"/>
        <w:kinsoku/>
        <w:wordWrap/>
        <w:overflowPunct/>
        <w:topLinePunct w:val="0"/>
        <w:autoSpaceDE/>
        <w:bidi w:val="0"/>
        <w:spacing w:line="576"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建设项目必须严格执行配套建设的环境保护设施与主体工程同时设计、同时施工、同时投产使用的环境保护“三同时”制度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bidi w:val="0"/>
        <w:spacing w:line="576"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是建设项目竣工环境保护验收的责任主体，应当按照规定的程序和标准，组织对配套建设的环境保护设施进行验收，编制验收报告，公开相关信息，接受社会监督。项目建成投运前，应及时申请排污许可证。项目竣工后，建设单位是建设项目竣工环境保护验收的责任主体，应当按照规定的程序和标准，组织对配套建设的环境保护设施进行验收，编制验收报告，公开相关信息，接受社会监督。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spacing w:line="576" w:lineRule="exact"/>
        <w:ind w:firstLine="624" w:firstLineChars="200"/>
        <w:textAlignment w:val="auto"/>
        <w:rPr>
          <w:rFonts w:hint="eastAsia" w:ascii="仿宋_GB2312" w:hAnsi="Calibri" w:eastAsia="仿宋_GB2312" w:cs="仿宋_GB2312"/>
          <w:kern w:val="0"/>
          <w:sz w:val="32"/>
          <w:szCs w:val="32"/>
          <w:lang w:val="en-US" w:eastAsia="zh-CN"/>
        </w:rPr>
      </w:pPr>
      <w:r>
        <w:rPr>
          <w:rFonts w:hint="eastAsia" w:ascii="黑体" w:hAnsi="Calibri" w:eastAsia="黑体" w:cs="黑体"/>
          <w:color w:val="000000"/>
          <w:kern w:val="0"/>
          <w:sz w:val="32"/>
          <w:szCs w:val="32"/>
          <w:lang w:eastAsia="zh-CN"/>
        </w:rPr>
        <w:t>六、</w:t>
      </w:r>
      <w:r>
        <w:rPr>
          <w:rFonts w:ascii="黑体" w:hAnsi="Calibri" w:eastAsia="黑体" w:cs="黑体"/>
          <w:color w:val="000000"/>
          <w:kern w:val="0"/>
          <w:sz w:val="32"/>
          <w:szCs w:val="32"/>
          <w:lang w:eastAsia="zh-CN"/>
        </w:rPr>
        <w:t>甘孜州</w:t>
      </w:r>
      <w:r>
        <w:rPr>
          <w:rFonts w:hint="eastAsia" w:ascii="黑体" w:hAnsi="Calibri" w:eastAsia="黑体" w:cs="黑体"/>
          <w:color w:val="000000"/>
          <w:kern w:val="0"/>
          <w:sz w:val="32"/>
          <w:szCs w:val="32"/>
          <w:lang w:val="en-US" w:eastAsia="zh-CN"/>
        </w:rPr>
        <w:t>新龙</w:t>
      </w:r>
      <w:r>
        <w:rPr>
          <w:rFonts w:ascii="黑体" w:hAnsi="Calibri" w:eastAsia="黑体" w:cs="黑体"/>
          <w:color w:val="000000"/>
          <w:kern w:val="0"/>
          <w:sz w:val="32"/>
          <w:szCs w:val="32"/>
          <w:lang w:eastAsia="zh-CN"/>
        </w:rPr>
        <w:t>生态环境保护综合行政执法</w:t>
      </w:r>
      <w:r>
        <w:rPr>
          <w:rFonts w:hint="eastAsia" w:ascii="黑体" w:hAnsi="Calibri" w:eastAsia="黑体" w:cs="黑体"/>
          <w:color w:val="000000"/>
          <w:kern w:val="0"/>
          <w:sz w:val="32"/>
          <w:szCs w:val="32"/>
          <w:lang w:eastAsia="zh-CN"/>
        </w:rPr>
        <w:t>大队</w:t>
      </w:r>
      <w:r>
        <w:rPr>
          <w:rFonts w:hint="eastAsia" w:ascii="黑体" w:hAnsi="Calibri" w:eastAsia="黑体" w:cs="黑体"/>
          <w:color w:val="000000"/>
          <w:kern w:val="0"/>
          <w:sz w:val="32"/>
          <w:szCs w:val="32"/>
        </w:rPr>
        <w:t>负责开展该项目的建设期“三同时”监督检查和运行后日常环保监督管理工作</w:t>
      </w:r>
    </w:p>
    <w:p>
      <w:pPr>
        <w:jc w:val="both"/>
        <w:rPr>
          <w:rFonts w:ascii="仿宋_GB2312"/>
          <w:szCs w:val="32"/>
        </w:rPr>
      </w:pPr>
    </w:p>
    <w:p>
      <w:pPr>
        <w:jc w:val="both"/>
        <w:rPr>
          <w:rFonts w:ascii="仿宋_GB2312"/>
          <w:szCs w:val="32"/>
        </w:rPr>
      </w:pPr>
    </w:p>
    <w:p>
      <w:pPr>
        <w:jc w:val="right"/>
        <w:rPr>
          <w:rFonts w:hint="eastAsia" w:ascii="仿宋_GB2312"/>
          <w:szCs w:val="32"/>
        </w:rPr>
      </w:pPr>
    </w:p>
    <w:p>
      <w:pPr>
        <w:jc w:val="center"/>
        <w:rPr>
          <w:rFonts w:ascii="仿宋_GB2312"/>
          <w:szCs w:val="32"/>
        </w:rPr>
      </w:pPr>
      <w:r>
        <w:rPr>
          <w:rFonts w:hint="default" w:ascii="仿宋_GB2312"/>
          <w:szCs w:val="32"/>
          <w:lang w:val="en"/>
        </w:rPr>
        <w:t xml:space="preserve">                           </w:t>
      </w:r>
      <w:r>
        <w:rPr>
          <w:rFonts w:hint="eastAsia" w:ascii="仿宋_GB2312"/>
          <w:szCs w:val="32"/>
        </w:rPr>
        <w:t xml:space="preserve">甘孜州新龙生态环境局      </w:t>
      </w:r>
    </w:p>
    <w:p>
      <w:pPr>
        <w:jc w:val="center"/>
        <w:rPr>
          <w:rFonts w:ascii="仿宋_GB2312"/>
          <w:szCs w:val="32"/>
        </w:rPr>
      </w:pPr>
      <w:r>
        <w:rPr>
          <w:rFonts w:hint="default" w:ascii="仿宋_GB2312"/>
          <w:szCs w:val="32"/>
          <w:lang w:val="en"/>
        </w:rPr>
        <w:t xml:space="preserve">                           </w:t>
      </w:r>
      <w:r>
        <w:rPr>
          <w:rFonts w:hint="eastAsia" w:ascii="仿宋_GB2312"/>
          <w:szCs w:val="32"/>
        </w:rPr>
        <w:t>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30</w:t>
      </w:r>
      <w:r>
        <w:rPr>
          <w:rFonts w:hint="eastAsia" w:ascii="仿宋_GB2312"/>
          <w:szCs w:val="32"/>
        </w:rPr>
        <w:t>日</w:t>
      </w:r>
    </w:p>
    <w:p>
      <w:pPr>
        <w:rPr>
          <w:rFonts w:hint="eastAsia" w:ascii="方正黑体简体" w:hAnsi="方正黑体简体" w:eastAsia="方正黑体简体" w:cs="方正黑体简体"/>
          <w:sz w:val="28"/>
          <w:szCs w:val="28"/>
          <w:lang w:val="en-US" w:eastAsia="zh-CN"/>
        </w:rPr>
      </w:pPr>
    </w:p>
    <w:p>
      <w:pPr>
        <w:rPr>
          <w:rFonts w:hint="eastAsia" w:ascii="方正黑体简体" w:hAnsi="方正黑体简体" w:eastAsia="方正黑体简体" w:cs="方正黑体简体"/>
          <w:sz w:val="28"/>
          <w:szCs w:val="28"/>
          <w:lang w:val="en-US" w:eastAsia="zh-CN"/>
        </w:rPr>
      </w:pPr>
    </w:p>
    <w:p>
      <w:pPr>
        <w:rPr>
          <w:rFonts w:hint="eastAsia" w:ascii="方正黑体简体" w:hAnsi="方正黑体简体" w:eastAsia="方正黑体简体" w:cs="方正黑体简体"/>
          <w:sz w:val="28"/>
          <w:szCs w:val="28"/>
          <w:lang w:val="en-US" w:eastAsia="zh-CN"/>
        </w:rPr>
      </w:pPr>
    </w:p>
    <w:p>
      <w:pPr>
        <w:rPr>
          <w:rFonts w:hint="eastAsia" w:ascii="方正黑体简体" w:hAnsi="方正黑体简体" w:eastAsia="方正黑体简体" w:cs="方正黑体简体"/>
          <w:sz w:val="28"/>
          <w:szCs w:val="28"/>
          <w:lang w:val="en-US" w:eastAsia="zh-CN"/>
        </w:rPr>
      </w:pPr>
    </w:p>
    <w:p>
      <w:pPr>
        <w:rPr>
          <w:rFonts w:hint="eastAsia" w:ascii="方正黑体简体" w:hAnsi="方正黑体简体" w:eastAsia="方正黑体简体" w:cs="方正黑体简体"/>
          <w:sz w:val="28"/>
          <w:szCs w:val="28"/>
          <w:lang w:val="en-US" w:eastAsia="zh-CN"/>
        </w:rPr>
      </w:pPr>
    </w:p>
    <w:p>
      <w:pPr>
        <w:rPr>
          <w:rFonts w:hint="eastAsia" w:ascii="方正黑体简体" w:hAnsi="方正黑体简体" w:eastAsia="方正黑体简体" w:cs="方正黑体简体"/>
          <w:sz w:val="28"/>
          <w:szCs w:val="28"/>
          <w:lang w:val="en-US" w:eastAsia="zh-CN"/>
        </w:rPr>
      </w:pPr>
    </w:p>
    <w:p>
      <w:pPr>
        <w:pBdr>
          <w:bottom w:val="single" w:color="auto" w:sz="4" w:space="0"/>
        </w:pBdr>
        <w:rPr>
          <w:rFonts w:hint="eastAsia" w:ascii="方正小标宋简体" w:hAnsi="方正小标宋简体" w:eastAsia="方正小标宋简体" w:cs="方正小标宋简体"/>
          <w:sz w:val="28"/>
          <w:szCs w:val="28"/>
          <w:lang w:val="en-US" w:eastAsia="zh-CN"/>
        </w:rPr>
      </w:pPr>
      <w:r>
        <w:rPr>
          <w:rFonts w:hint="eastAsia" w:ascii="方正黑体简体" w:hAnsi="方正黑体简体" w:eastAsia="方正黑体简体" w:cs="方正黑体简体"/>
          <w:sz w:val="28"/>
          <w:szCs w:val="28"/>
          <w:lang w:val="en-US" w:eastAsia="zh-CN"/>
        </w:rPr>
        <w:t>信息公开选项</w:t>
      </w:r>
      <w:r>
        <w:rPr>
          <w:rFonts w:hint="eastAsia" w:ascii="仿宋_GB2312"/>
          <w:szCs w:val="32"/>
          <w:lang w:val="en-US" w:eastAsia="zh-CN"/>
        </w:rPr>
        <w:t>：</w:t>
      </w:r>
      <w:r>
        <w:rPr>
          <w:rFonts w:hint="eastAsia" w:ascii="方正小标宋简体" w:hAnsi="方正小标宋简体" w:eastAsia="方正小标宋简体" w:cs="方正小标宋简体"/>
          <w:sz w:val="28"/>
          <w:szCs w:val="28"/>
          <w:lang w:val="en-US" w:eastAsia="zh-CN"/>
        </w:rPr>
        <w:t>主动公开</w:t>
      </w:r>
    </w:p>
    <w:p>
      <w:pPr>
        <w:ind w:left="1088" w:hanging="1088" w:hangingChars="400"/>
        <w:rPr>
          <w:rFonts w:hint="default"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抄送：甘孜州</w:t>
      </w:r>
      <w:r>
        <w:rPr>
          <w:rFonts w:hint="eastAsia" w:ascii="仿宋_GB2312" w:hAnsi="仿宋_GB2312" w:cs="仿宋_GB2312"/>
          <w:sz w:val="28"/>
          <w:szCs w:val="28"/>
          <w:lang w:val="en-US" w:eastAsia="zh-CN"/>
        </w:rPr>
        <w:t>新龙</w:t>
      </w:r>
      <w:r>
        <w:rPr>
          <w:rFonts w:hint="eastAsia" w:ascii="仿宋_GB2312" w:hAnsi="仿宋_GB2312" w:eastAsia="仿宋_GB2312" w:cs="仿宋_GB2312"/>
          <w:sz w:val="28"/>
          <w:szCs w:val="28"/>
          <w:lang w:val="en-US" w:eastAsia="zh-CN"/>
        </w:rPr>
        <w:t>生态环境保护综合执法支队，四川</w:t>
      </w:r>
      <w:r>
        <w:rPr>
          <w:rFonts w:hint="eastAsia" w:ascii="仿宋_GB2312" w:hAnsi="仿宋_GB2312" w:cs="仿宋_GB2312"/>
          <w:sz w:val="28"/>
          <w:szCs w:val="28"/>
          <w:lang w:val="en-US" w:eastAsia="zh-CN"/>
        </w:rPr>
        <w:t>昇晟环保科技有限公司</w:t>
      </w:r>
      <w:r>
        <w:rPr>
          <w:rFonts w:hint="eastAsia" w:ascii="仿宋_GB2312" w:hAnsi="仿宋_GB2312" w:eastAsia="仿宋_GB2312" w:cs="仿宋_GB2312"/>
          <w:sz w:val="28"/>
          <w:szCs w:val="28"/>
          <w:lang w:val="en-US" w:eastAsia="zh-CN"/>
        </w:rPr>
        <w:t>。</w:t>
      </w:r>
    </w:p>
    <w:p>
      <w:pPr>
        <w:pBdr>
          <w:top w:val="single" w:color="auto" w:sz="4" w:space="0"/>
          <w:bottom w:val="single" w:color="auto" w:sz="4" w:space="0"/>
        </w:pBdr>
        <w:ind w:firstLine="272" w:firstLineChars="100"/>
        <w:rPr>
          <w:rFonts w:hint="eastAsia" w:ascii="仿宋_GB2312"/>
          <w:sz w:val="28"/>
          <w:szCs w:val="28"/>
          <w:lang w:val="en-US" w:eastAsia="zh-CN"/>
        </w:rPr>
      </w:pPr>
      <w:r>
        <w:rPr>
          <w:rFonts w:hint="eastAsia" w:ascii="仿宋_GB2312"/>
          <w:sz w:val="28"/>
          <w:szCs w:val="28"/>
        </w:rPr>
        <w:t>甘孜州新龙生态环境局</w:t>
      </w:r>
      <w:r>
        <w:rPr>
          <w:rFonts w:hint="eastAsia" w:ascii="仿宋_GB2312"/>
          <w:sz w:val="28"/>
          <w:szCs w:val="28"/>
          <w:lang w:eastAsia="zh-CN"/>
        </w:rPr>
        <w:t>办公室</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202</w:t>
      </w:r>
      <w:r>
        <w:rPr>
          <w:rFonts w:hint="eastAsia" w:ascii="仿宋_GB2312"/>
          <w:sz w:val="28"/>
          <w:szCs w:val="28"/>
          <w:lang w:val="en-US" w:eastAsia="zh-CN"/>
        </w:rPr>
        <w:t>4</w:t>
      </w:r>
      <w:r>
        <w:rPr>
          <w:rFonts w:hint="eastAsia" w:ascii="仿宋_GB2312"/>
          <w:sz w:val="28"/>
          <w:szCs w:val="28"/>
        </w:rPr>
        <w:t>年</w:t>
      </w:r>
      <w:r>
        <w:rPr>
          <w:rFonts w:hint="eastAsia" w:ascii="仿宋_GB2312"/>
          <w:sz w:val="28"/>
          <w:szCs w:val="28"/>
          <w:lang w:val="en-US" w:eastAsia="zh-CN"/>
        </w:rPr>
        <w:t>5</w:t>
      </w:r>
      <w:r>
        <w:rPr>
          <w:rFonts w:hint="eastAsia" w:ascii="仿宋_GB2312"/>
          <w:sz w:val="28"/>
          <w:szCs w:val="28"/>
        </w:rPr>
        <w:t>月</w:t>
      </w:r>
      <w:r>
        <w:rPr>
          <w:rFonts w:hint="eastAsia" w:ascii="仿宋_GB2312"/>
          <w:sz w:val="28"/>
          <w:szCs w:val="28"/>
          <w:lang w:val="en-US" w:eastAsia="zh-CN"/>
        </w:rPr>
        <w:t>30</w:t>
      </w:r>
      <w:r>
        <w:rPr>
          <w:rFonts w:hint="eastAsia" w:ascii="仿宋_GB2312"/>
          <w:sz w:val="28"/>
          <w:szCs w:val="28"/>
        </w:rPr>
        <w:t xml:space="preserve">日印 </w:t>
      </w:r>
    </w:p>
    <w:sectPr>
      <w:footerReference r:id="rId3" w:type="default"/>
      <w:footerReference r:id="rId4" w:type="even"/>
      <w:pgSz w:w="11906" w:h="16838"/>
      <w:pgMar w:top="2098" w:right="1531" w:bottom="1871" w:left="1531" w:header="851" w:footer="1588"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4BBB23-763F-4FC4-AAE4-0A352E51D7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E794B7-FDD2-49B6-97C0-1C9B5B93B025}"/>
  </w:font>
  <w:font w:name="仿宋_GB2312">
    <w:panose1 w:val="02010609030101010101"/>
    <w:charset w:val="86"/>
    <w:family w:val="modern"/>
    <w:pitch w:val="default"/>
    <w:sig w:usb0="00000001" w:usb1="080E0000" w:usb2="00000000" w:usb3="00000000" w:csb0="00040000" w:csb1="00000000"/>
    <w:embedRegular r:id="rId3" w:fontKey="{330F2436-37AE-4FCE-B0BE-4475B3823F41}"/>
  </w:font>
  <w:font w:name="楷体">
    <w:panose1 w:val="02010609060101010101"/>
    <w:charset w:val="86"/>
    <w:family w:val="auto"/>
    <w:pitch w:val="default"/>
    <w:sig w:usb0="800002BF" w:usb1="38CF7CFA" w:usb2="00000016" w:usb3="00000000" w:csb0="00040001" w:csb1="00000000"/>
    <w:embedRegular r:id="rId4" w:fontKey="{90DE069F-2A4C-4470-9901-3DE004ECA271}"/>
  </w:font>
  <w:font w:name="方正小标宋简体">
    <w:panose1 w:val="02000000000000000000"/>
    <w:charset w:val="86"/>
    <w:family w:val="script"/>
    <w:pitch w:val="default"/>
    <w:sig w:usb0="00000001" w:usb1="08000000" w:usb2="00000000" w:usb3="00000000" w:csb0="00040000" w:csb1="00000000"/>
    <w:embedRegular r:id="rId5" w:fontKey="{DB1ED0FC-DCAC-4195-B29B-D9D23B9E156F}"/>
  </w:font>
  <w:font w:name="楷体_GB2312">
    <w:panose1 w:val="02010609030101010101"/>
    <w:charset w:val="86"/>
    <w:family w:val="auto"/>
    <w:pitch w:val="default"/>
    <w:sig w:usb0="00000001" w:usb1="080E0000" w:usb2="00000000" w:usb3="00000000" w:csb0="00040000" w:csb1="00000000"/>
    <w:embedRegular r:id="rId6" w:fontKey="{14B45583-9ACF-4EE1-B55A-A9F9E3E4CC8C}"/>
  </w:font>
  <w:font w:name="方正黑体简体">
    <w:panose1 w:val="02000000000000000000"/>
    <w:charset w:val="86"/>
    <w:family w:val="auto"/>
    <w:pitch w:val="default"/>
    <w:sig w:usb0="A00002BF" w:usb1="184F6CFA" w:usb2="00000012" w:usb3="00000000" w:csb0="00040001" w:csb1="00000000"/>
    <w:embedRegular r:id="rId7" w:fontKey="{41C50991-298E-46E7-B1B0-B8B4D3581A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56"/>
  <w:drawingGridVerticalSpacing w:val="28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ZThlMWRjODFjMjBjNDQwMmU5MzQ3MzU4MDQyOWEifQ=="/>
  </w:docVars>
  <w:rsids>
    <w:rsidRoot w:val="54115960"/>
    <w:rsid w:val="002926F1"/>
    <w:rsid w:val="002A6B7A"/>
    <w:rsid w:val="00315271"/>
    <w:rsid w:val="004F6281"/>
    <w:rsid w:val="00577F3C"/>
    <w:rsid w:val="006E2E37"/>
    <w:rsid w:val="00776AB1"/>
    <w:rsid w:val="00820CB8"/>
    <w:rsid w:val="00A67C46"/>
    <w:rsid w:val="00A77A59"/>
    <w:rsid w:val="00AC2F22"/>
    <w:rsid w:val="00C55896"/>
    <w:rsid w:val="00F55AC8"/>
    <w:rsid w:val="00FB40D5"/>
    <w:rsid w:val="03B96850"/>
    <w:rsid w:val="1A2226ED"/>
    <w:rsid w:val="1FDF1E3B"/>
    <w:rsid w:val="21EE58DC"/>
    <w:rsid w:val="2231706C"/>
    <w:rsid w:val="248B64CA"/>
    <w:rsid w:val="306D18F5"/>
    <w:rsid w:val="363E1436"/>
    <w:rsid w:val="398654C4"/>
    <w:rsid w:val="437A6EC5"/>
    <w:rsid w:val="43C66CEE"/>
    <w:rsid w:val="44B7653C"/>
    <w:rsid w:val="4A613F7F"/>
    <w:rsid w:val="4FF63205"/>
    <w:rsid w:val="54115960"/>
    <w:rsid w:val="58EB61C1"/>
    <w:rsid w:val="598F4DFC"/>
    <w:rsid w:val="59C165C3"/>
    <w:rsid w:val="5C513177"/>
    <w:rsid w:val="5D1C2D62"/>
    <w:rsid w:val="5E3B5E73"/>
    <w:rsid w:val="68FC3EFE"/>
    <w:rsid w:val="6ABB6288"/>
    <w:rsid w:val="6CCC1DDA"/>
    <w:rsid w:val="6DE42570"/>
    <w:rsid w:val="73B14EC7"/>
    <w:rsid w:val="760A5D80"/>
    <w:rsid w:val="794870CC"/>
    <w:rsid w:val="7B626FA5"/>
    <w:rsid w:val="7B8001A7"/>
    <w:rsid w:val="7BC53AC6"/>
    <w:rsid w:val="7D6F0365"/>
    <w:rsid w:val="7F9A74E7"/>
    <w:rsid w:val="AC3F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99"/>
    <w:rPr>
      <w:kern w:val="2"/>
      <w:sz w:val="18"/>
      <w:szCs w:val="18"/>
    </w:rPr>
  </w:style>
  <w:style w:type="character" w:customStyle="1" w:styleId="10">
    <w:name w:val="日期 字符"/>
    <w:basedOn w:val="7"/>
    <w:link w:val="2"/>
    <w:autoRedefine/>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2132</Words>
  <Characters>2286</Characters>
  <Lines>2</Lines>
  <Paragraphs>1</Paragraphs>
  <TotalTime>108</TotalTime>
  <ScaleCrop>false</ScaleCrop>
  <LinksUpToDate>false</LinksUpToDate>
  <CharactersWithSpaces>2386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2023-02-20T06:27:00Z</dcterms:created>
  <dc:creator>剪影</dc:creator>
  <cp:lastModifiedBy>緣~份的忝空</cp:lastModifiedBy>
  <cp:lastPrinted>2024-05-30T05:13:15Z</cp:lastPrinted>
  <dcterms:modified xsi:type="dcterms:W3CDTF">2024-05-30T05:15:19Z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E54A9F85C78E44F096A90E34468559E0_13</vt:lpwstr>
  </property>
</Properties>
</file>