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2EBDD">
      <w:pPr>
        <w:spacing w:line="600" w:lineRule="exact"/>
        <w:jc w:val="center"/>
        <w:outlineLvl w:val="9"/>
        <w:rPr>
          <w:rFonts w:ascii="方正小标宋简体" w:hAnsi="宋体" w:eastAsia="方正小标宋简体"/>
          <w:sz w:val="72"/>
          <w:szCs w:val="72"/>
        </w:rPr>
      </w:pPr>
      <w:bookmarkStart w:id="0" w:name="_Toc15396597"/>
      <w:bookmarkStart w:id="1" w:name="_Toc15378441"/>
      <w:bookmarkStart w:id="2" w:name="_Toc15377425"/>
      <w:bookmarkStart w:id="3" w:name="_Toc15396475"/>
      <w:bookmarkStart w:id="4" w:name="_Toc15377193"/>
      <w:bookmarkStart w:id="5" w:name="_Toc15306267"/>
    </w:p>
    <w:p w14:paraId="5A06C493">
      <w:pPr>
        <w:spacing w:line="600" w:lineRule="exact"/>
        <w:jc w:val="center"/>
        <w:outlineLvl w:val="9"/>
        <w:rPr>
          <w:rFonts w:ascii="方正小标宋简体" w:hAnsi="宋体" w:eastAsia="方正小标宋简体"/>
          <w:sz w:val="72"/>
          <w:szCs w:val="72"/>
        </w:rPr>
      </w:pPr>
    </w:p>
    <w:p w14:paraId="06F4C69F">
      <w:pPr>
        <w:spacing w:line="600" w:lineRule="exact"/>
        <w:jc w:val="center"/>
        <w:outlineLvl w:val="9"/>
        <w:rPr>
          <w:rFonts w:ascii="方正小标宋简体" w:hAnsi="宋体" w:eastAsia="方正小标宋简体"/>
          <w:sz w:val="72"/>
          <w:szCs w:val="72"/>
        </w:rPr>
      </w:pPr>
    </w:p>
    <w:p w14:paraId="159424F5">
      <w:pPr>
        <w:bidi w:val="0"/>
        <w:jc w:val="center"/>
        <w:rPr>
          <w:sz w:val="72"/>
          <w:szCs w:val="72"/>
        </w:rPr>
      </w:pPr>
    </w:p>
    <w:p w14:paraId="61399AC1">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6" w:name="_Toc16240"/>
      <w:bookmarkStart w:id="7" w:name="_Toc31213"/>
      <w:bookmarkStart w:id="8" w:name="_Toc10430"/>
      <w:bookmarkStart w:id="9" w:name="_Toc1597"/>
      <w:bookmarkStart w:id="10" w:name="_Toc16679"/>
      <w:bookmarkStart w:id="11" w:name="_Toc29570"/>
      <w:bookmarkStart w:id="12" w:name="_Toc20297"/>
      <w:bookmarkStart w:id="13" w:name="_Toc26347"/>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3</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bookmarkEnd w:id="6"/>
      <w:bookmarkEnd w:id="7"/>
      <w:bookmarkEnd w:id="8"/>
      <w:bookmarkEnd w:id="9"/>
      <w:bookmarkEnd w:id="10"/>
      <w:bookmarkEnd w:id="11"/>
      <w:bookmarkEnd w:id="12"/>
      <w:bookmarkEnd w:id="13"/>
    </w:p>
    <w:p w14:paraId="14211FA1">
      <w:pPr>
        <w:pStyle w:val="3"/>
        <w:rPr>
          <w:rFonts w:hint="eastAsia"/>
        </w:rPr>
      </w:pPr>
      <w:bookmarkStart w:id="198" w:name="_GoBack"/>
      <w:bookmarkEnd w:id="198"/>
    </w:p>
    <w:bookmarkEnd w:id="5"/>
    <w:p w14:paraId="245B0D45">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14" w:name="_Toc15377426"/>
      <w:bookmarkStart w:id="15" w:name="_Toc15378442"/>
      <w:bookmarkStart w:id="16" w:name="_Toc15377194"/>
      <w:bookmarkStart w:id="17" w:name="_Toc28240"/>
      <w:bookmarkStart w:id="18" w:name="_Toc216"/>
      <w:bookmarkStart w:id="19" w:name="_Toc11734"/>
      <w:bookmarkStart w:id="20" w:name="_Toc7393"/>
      <w:bookmarkStart w:id="21" w:name="_Toc19841"/>
      <w:bookmarkStart w:id="22" w:name="_Toc15396476"/>
      <w:bookmarkStart w:id="23" w:name="_Toc16374"/>
      <w:bookmarkStart w:id="24" w:name="_Toc26160"/>
      <w:bookmarkStart w:id="25" w:name="_Toc6307"/>
      <w:bookmarkStart w:id="26" w:name="_Toc15396598"/>
      <w:bookmarkStart w:id="27" w:name="_Toc15306268"/>
      <w:r>
        <w:rPr>
          <w:rFonts w:hint="eastAsia" w:ascii="方正小标宋简体" w:hAnsi="方正小标宋简体" w:eastAsia="方正小标宋简体" w:cs="方正小标宋简体"/>
          <w:sz w:val="72"/>
          <w:szCs w:val="72"/>
          <w:lang w:val="en-US" w:eastAsia="zh-CN"/>
        </w:rPr>
        <w:t>甘孜藏族自治州司法局</w:t>
      </w:r>
      <w:r>
        <w:rPr>
          <w:rFonts w:hint="eastAsia" w:ascii="方正小标宋简体" w:hAnsi="方正小标宋简体" w:eastAsia="方正小标宋简体" w:cs="方正小标宋简体"/>
          <w:sz w:val="72"/>
          <w:szCs w:val="72"/>
        </w:rPr>
        <w:t>部门决算</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68595E0">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w:t>
      </w:r>
      <w:r>
        <w:rPr>
          <w:rFonts w:hint="eastAsia" w:ascii="黑体" w:hAnsi="黑体" w:eastAsia="黑体"/>
          <w:sz w:val="48"/>
          <w:szCs w:val="48"/>
          <w:lang w:val="en-US" w:eastAsia="zh-CN"/>
        </w:rPr>
        <w:t xml:space="preserve"> </w:t>
      </w:r>
      <w:r>
        <w:rPr>
          <w:rFonts w:hint="eastAsia" w:ascii="黑体" w:hAnsi="黑体" w:eastAsia="黑体"/>
          <w:sz w:val="48"/>
          <w:szCs w:val="48"/>
        </w:rPr>
        <w:t>录</w:t>
      </w:r>
    </w:p>
    <w:p w14:paraId="54565087">
      <w:pPr>
        <w:widowControl/>
        <w:jc w:val="center"/>
        <w:rPr>
          <w:rFonts w:ascii="黑体" w:hAnsi="黑体" w:eastAsia="黑体" w:cstheme="minorBidi"/>
          <w:sz w:val="28"/>
          <w:szCs w:val="28"/>
        </w:rPr>
      </w:pPr>
    </w:p>
    <w:p w14:paraId="52B0B101">
      <w:pPr>
        <w:pStyle w:val="15"/>
      </w:pPr>
      <w:r>
        <w:rPr>
          <w:rFonts w:hint="eastAsia"/>
        </w:rPr>
        <w:t>公开时间：202</w:t>
      </w:r>
      <w:r>
        <w:rPr>
          <w:rFonts w:hint="eastAsia"/>
          <w:lang w:val="en-US" w:eastAsia="zh-CN"/>
        </w:rPr>
        <w:t>4</w:t>
      </w:r>
      <w:r>
        <w:rPr>
          <w:rFonts w:hint="eastAsia"/>
        </w:rPr>
        <w:t>年</w:t>
      </w:r>
      <w:r>
        <w:rPr>
          <w:rFonts w:hint="eastAsia"/>
          <w:lang w:val="en-US" w:eastAsia="zh-CN"/>
        </w:rPr>
        <w:t>9</w:t>
      </w:r>
      <w:r>
        <w:rPr>
          <w:rFonts w:hint="eastAsia"/>
        </w:rPr>
        <w:t>月</w:t>
      </w:r>
      <w:r>
        <w:rPr>
          <w:rFonts w:hint="eastAsia"/>
          <w:lang w:val="en-US" w:eastAsia="zh-CN"/>
        </w:rPr>
        <w:t>10</w:t>
      </w:r>
      <w:r>
        <w:rPr>
          <w:rFonts w:hint="eastAsia"/>
        </w:rPr>
        <w:t>日</w:t>
      </w:r>
    </w:p>
    <w:sdt>
      <w:sdtPr>
        <w:rPr>
          <w:rFonts w:ascii="宋体" w:hAnsi="宋体" w:eastAsia="宋体" w:cs="Times New Roman"/>
          <w:kern w:val="2"/>
          <w:sz w:val="21"/>
          <w:szCs w:val="24"/>
          <w:lang w:val="en-US" w:eastAsia="zh-CN" w:bidi="ar-SA"/>
        </w:rPr>
        <w:id w:val="147452085"/>
        <w15:color w:val="DBDBDB"/>
        <w:docPartObj>
          <w:docPartGallery w:val="Table of Contents"/>
          <w:docPartUnique/>
        </w:docPartObj>
      </w:sdtPr>
      <w:sdtEndPr>
        <w:rPr>
          <w:rFonts w:hint="eastAsia" w:ascii="仿宋_GB2312" w:hAnsi="Times New Roman" w:eastAsia="仿宋_GB2312" w:cs="Times New Roman"/>
          <w:b/>
          <w:kern w:val="0"/>
          <w:sz w:val="40"/>
          <w:szCs w:val="36"/>
          <w:lang w:val="en-US" w:eastAsia="zh-CN" w:bidi="ar-SA"/>
        </w:rPr>
      </w:sdtEndPr>
      <w:sdtContent>
        <w:p w14:paraId="66CBF87F">
          <w:pPr>
            <w:spacing w:before="0" w:beforeLines="0" w:after="0" w:afterLines="0" w:line="240" w:lineRule="auto"/>
            <w:ind w:left="0" w:leftChars="0" w:right="0" w:rightChars="0" w:firstLine="0" w:firstLineChars="0"/>
            <w:jc w:val="center"/>
          </w:pPr>
        </w:p>
        <w:p w14:paraId="1F2E41FF">
          <w:pPr>
            <w:pStyle w:val="36"/>
            <w:keepNext w:val="0"/>
            <w:keepLines w:val="0"/>
            <w:pageBreakBefore w:val="0"/>
            <w:tabs>
              <w:tab w:val="right" w:leader="hyphen" w:pos="8306"/>
            </w:tabs>
            <w:kinsoku/>
            <w:wordWrap/>
            <w:overflowPunct/>
            <w:topLinePunct w:val="0"/>
            <w:autoSpaceDE/>
            <w:autoSpaceDN/>
            <w:bidi w:val="0"/>
            <w:adjustRightInd/>
            <w:snapToGrid/>
            <w:spacing w:line="360" w:lineRule="auto"/>
            <w:textAlignment w:val="auto"/>
            <w:rPr>
              <w:b/>
              <w:sz w:val="24"/>
              <w:szCs w:val="24"/>
            </w:rPr>
          </w:pPr>
          <w:r>
            <w:rPr>
              <w:rFonts w:hint="eastAsia" w:ascii="仿宋_GB2312" w:hAnsi="Times New Roman" w:eastAsia="仿宋_GB2312" w:cs="Times New Roman"/>
              <w:b/>
              <w:kern w:val="0"/>
              <w:sz w:val="40"/>
              <w:szCs w:val="36"/>
              <w:lang w:val="en-US" w:eastAsia="zh-CN" w:bidi="ar-SA"/>
            </w:rPr>
            <w:fldChar w:fldCharType="begin"/>
          </w:r>
          <w:r>
            <w:rPr>
              <w:rFonts w:hint="eastAsia" w:ascii="仿宋_GB2312" w:hAnsi="Times New Roman" w:eastAsia="仿宋_GB2312" w:cs="Times New Roman"/>
              <w:b/>
              <w:kern w:val="0"/>
              <w:sz w:val="40"/>
              <w:szCs w:val="36"/>
              <w:lang w:val="en-US" w:eastAsia="zh-CN" w:bidi="ar-SA"/>
            </w:rPr>
            <w:instrText xml:space="preserve">TOC \o "1-2" \h \u </w:instrText>
          </w:r>
          <w:r>
            <w:rPr>
              <w:rFonts w:hint="eastAsia" w:ascii="仿宋_GB2312" w:hAnsi="Times New Roman" w:eastAsia="仿宋_GB2312" w:cs="Times New Roman"/>
              <w:b/>
              <w:kern w:val="0"/>
              <w:sz w:val="40"/>
              <w:szCs w:val="36"/>
              <w:lang w:val="en-US" w:eastAsia="zh-CN" w:bidi="ar-SA"/>
            </w:rPr>
            <w:fldChar w:fldCharType="separate"/>
          </w:r>
        </w:p>
        <w:p w14:paraId="108183F9">
          <w:pPr>
            <w:pStyle w:val="36"/>
            <w:keepNext w:val="0"/>
            <w:keepLines w:val="0"/>
            <w:pageBreakBefore w:val="0"/>
            <w:tabs>
              <w:tab w:val="right" w:leader="hyphen" w:pos="8306"/>
            </w:tabs>
            <w:kinsoku/>
            <w:wordWrap/>
            <w:overflowPunct/>
            <w:topLinePunct w:val="0"/>
            <w:autoSpaceDE/>
            <w:autoSpaceDN/>
            <w:bidi w:val="0"/>
            <w:adjustRightInd/>
            <w:snapToGrid/>
            <w:spacing w:line="360" w:lineRule="auto"/>
            <w:textAlignment w:val="auto"/>
            <w:rPr>
              <w:b/>
              <w:sz w:val="24"/>
              <w:szCs w:val="24"/>
            </w:rPr>
          </w:pPr>
          <w:r>
            <w:rPr>
              <w:rFonts w:hint="eastAsia" w:ascii="仿宋_GB2312" w:hAnsi="Times New Roman" w:eastAsia="仿宋_GB2312" w:cs="Times New Roman"/>
              <w:b/>
              <w:kern w:val="0"/>
              <w:sz w:val="24"/>
              <w:szCs w:val="36"/>
              <w:lang w:val="en-US" w:eastAsia="zh-CN" w:bidi="ar-SA"/>
            </w:rPr>
            <w:fldChar w:fldCharType="begin"/>
          </w:r>
          <w:r>
            <w:rPr>
              <w:rFonts w:hint="eastAsia" w:ascii="仿宋_GB2312" w:hAnsi="Times New Roman" w:eastAsia="仿宋_GB2312" w:cs="Times New Roman"/>
              <w:b/>
              <w:kern w:val="0"/>
              <w:sz w:val="24"/>
              <w:szCs w:val="36"/>
              <w:lang w:val="en-US" w:eastAsia="zh-CN" w:bidi="ar-SA"/>
            </w:rPr>
            <w:instrText xml:space="preserve"> HYPERLINK \l _Toc12580 </w:instrText>
          </w:r>
          <w:r>
            <w:rPr>
              <w:rFonts w:hint="eastAsia" w:ascii="仿宋_GB2312" w:hAnsi="Times New Roman" w:eastAsia="仿宋_GB2312" w:cs="Times New Roman"/>
              <w:b/>
              <w:kern w:val="0"/>
              <w:sz w:val="24"/>
              <w:szCs w:val="36"/>
              <w:lang w:val="en-US" w:eastAsia="zh-CN" w:bidi="ar-SA"/>
            </w:rPr>
            <w:fldChar w:fldCharType="separate"/>
          </w:r>
          <w:r>
            <w:rPr>
              <w:rFonts w:hint="eastAsia" w:ascii="黑体" w:hAnsi="黑体" w:eastAsia="黑体" w:cs="黑体"/>
              <w:b/>
              <w:sz w:val="24"/>
              <w:szCs w:val="24"/>
            </w:rPr>
            <w:t>第一部分 部门概况</w:t>
          </w:r>
          <w:r>
            <w:rPr>
              <w:b/>
              <w:sz w:val="24"/>
              <w:szCs w:val="24"/>
            </w:rPr>
            <w:tab/>
          </w:r>
          <w:r>
            <w:rPr>
              <w:b/>
              <w:sz w:val="24"/>
              <w:szCs w:val="24"/>
            </w:rPr>
            <w:fldChar w:fldCharType="begin"/>
          </w:r>
          <w:r>
            <w:rPr>
              <w:b/>
              <w:sz w:val="24"/>
              <w:szCs w:val="24"/>
            </w:rPr>
            <w:instrText xml:space="preserve"> PAGEREF _Toc12580 \h </w:instrText>
          </w:r>
          <w:r>
            <w:rPr>
              <w:b/>
              <w:sz w:val="24"/>
              <w:szCs w:val="24"/>
            </w:rPr>
            <w:fldChar w:fldCharType="separate"/>
          </w:r>
          <w:r>
            <w:rPr>
              <w:b/>
              <w:sz w:val="24"/>
              <w:szCs w:val="24"/>
            </w:rPr>
            <w:t>1</w:t>
          </w:r>
          <w:r>
            <w:rPr>
              <w:b/>
              <w:sz w:val="24"/>
              <w:szCs w:val="24"/>
            </w:rPr>
            <w:fldChar w:fldCharType="end"/>
          </w:r>
          <w:r>
            <w:rPr>
              <w:rFonts w:hint="eastAsia" w:ascii="仿宋_GB2312" w:hAnsi="Times New Roman" w:eastAsia="仿宋_GB2312" w:cs="Times New Roman"/>
              <w:b/>
              <w:kern w:val="0"/>
              <w:sz w:val="24"/>
              <w:szCs w:val="36"/>
              <w:lang w:val="en-US" w:eastAsia="zh-CN" w:bidi="ar-SA"/>
            </w:rPr>
            <w:fldChar w:fldCharType="end"/>
          </w:r>
        </w:p>
        <w:p w14:paraId="0FD2E138">
          <w:pPr>
            <w:pStyle w:val="37"/>
            <w:keepNext w:val="0"/>
            <w:keepLines w:val="0"/>
            <w:pageBreakBefore w:val="0"/>
            <w:tabs>
              <w:tab w:val="right" w:leader="hyphen" w:pos="8306"/>
            </w:tabs>
            <w:kinsoku/>
            <w:wordWrap/>
            <w:overflowPunct/>
            <w:topLinePunct w:val="0"/>
            <w:autoSpaceDE/>
            <w:autoSpaceDN/>
            <w:bidi w:val="0"/>
            <w:adjustRightInd/>
            <w:snapToGrid/>
            <w:spacing w:line="360" w:lineRule="auto"/>
            <w:textAlignment w:val="auto"/>
            <w:rPr>
              <w:sz w:val="24"/>
              <w:szCs w:val="24"/>
            </w:rPr>
          </w:pPr>
          <w:r>
            <w:rPr>
              <w:rFonts w:hint="eastAsia" w:ascii="仿宋_GB2312" w:hAnsi="Times New Roman" w:eastAsia="仿宋_GB2312" w:cs="Times New Roman"/>
              <w:kern w:val="0"/>
              <w:sz w:val="24"/>
              <w:szCs w:val="36"/>
              <w:lang w:val="en-US" w:eastAsia="zh-CN" w:bidi="ar-SA"/>
            </w:rPr>
            <w:fldChar w:fldCharType="begin"/>
          </w:r>
          <w:r>
            <w:rPr>
              <w:rFonts w:hint="eastAsia" w:ascii="仿宋_GB2312" w:hAnsi="Times New Roman" w:eastAsia="仿宋_GB2312" w:cs="Times New Roman"/>
              <w:kern w:val="0"/>
              <w:sz w:val="24"/>
              <w:szCs w:val="36"/>
              <w:lang w:val="en-US" w:eastAsia="zh-CN" w:bidi="ar-SA"/>
            </w:rPr>
            <w:instrText xml:space="preserve"> HYPERLINK \l _Toc6330 </w:instrText>
          </w:r>
          <w:r>
            <w:rPr>
              <w:rFonts w:hint="eastAsia" w:ascii="仿宋_GB2312" w:hAnsi="Times New Roman" w:eastAsia="仿宋_GB2312" w:cs="Times New Roman"/>
              <w:kern w:val="0"/>
              <w:sz w:val="24"/>
              <w:szCs w:val="36"/>
              <w:lang w:val="en-US" w:eastAsia="zh-CN" w:bidi="ar-SA"/>
            </w:rPr>
            <w:fldChar w:fldCharType="separate"/>
          </w:r>
          <w:r>
            <w:rPr>
              <w:rFonts w:hint="eastAsia" w:ascii="黑体" w:hAnsi="黑体" w:eastAsia="黑体" w:cs="黑体"/>
              <w:sz w:val="24"/>
              <w:szCs w:val="24"/>
            </w:rPr>
            <w:t>一、</w:t>
          </w:r>
          <w:r>
            <w:rPr>
              <w:rFonts w:hint="eastAsia" w:ascii="黑体" w:hAnsi="黑体" w:eastAsia="黑体" w:cs="黑体"/>
              <w:sz w:val="24"/>
              <w:szCs w:val="24"/>
              <w:lang w:val="en-US" w:eastAsia="zh-CN"/>
            </w:rPr>
            <w:t>部门职责</w:t>
          </w:r>
          <w:r>
            <w:rPr>
              <w:sz w:val="24"/>
              <w:szCs w:val="24"/>
            </w:rPr>
            <w:tab/>
          </w:r>
          <w:r>
            <w:rPr>
              <w:sz w:val="24"/>
              <w:szCs w:val="24"/>
            </w:rPr>
            <w:fldChar w:fldCharType="begin"/>
          </w:r>
          <w:r>
            <w:rPr>
              <w:sz w:val="24"/>
              <w:szCs w:val="24"/>
            </w:rPr>
            <w:instrText xml:space="preserve"> PAGEREF _Toc6330 \h </w:instrText>
          </w:r>
          <w:r>
            <w:rPr>
              <w:sz w:val="24"/>
              <w:szCs w:val="24"/>
            </w:rPr>
            <w:fldChar w:fldCharType="separate"/>
          </w:r>
          <w:r>
            <w:rPr>
              <w:sz w:val="24"/>
              <w:szCs w:val="24"/>
            </w:rPr>
            <w:t>1</w:t>
          </w:r>
          <w:r>
            <w:rPr>
              <w:sz w:val="24"/>
              <w:szCs w:val="24"/>
            </w:rPr>
            <w:fldChar w:fldCharType="end"/>
          </w:r>
          <w:r>
            <w:rPr>
              <w:rFonts w:hint="eastAsia" w:ascii="仿宋_GB2312" w:hAnsi="Times New Roman" w:eastAsia="仿宋_GB2312" w:cs="Times New Roman"/>
              <w:kern w:val="0"/>
              <w:sz w:val="24"/>
              <w:szCs w:val="36"/>
              <w:lang w:val="en-US" w:eastAsia="zh-CN" w:bidi="ar-SA"/>
            </w:rPr>
            <w:fldChar w:fldCharType="end"/>
          </w:r>
        </w:p>
        <w:p w14:paraId="18567FB9">
          <w:pPr>
            <w:pStyle w:val="37"/>
            <w:keepNext w:val="0"/>
            <w:keepLines w:val="0"/>
            <w:pageBreakBefore w:val="0"/>
            <w:tabs>
              <w:tab w:val="right" w:leader="hyphen" w:pos="8306"/>
            </w:tabs>
            <w:kinsoku/>
            <w:wordWrap/>
            <w:overflowPunct/>
            <w:topLinePunct w:val="0"/>
            <w:autoSpaceDE/>
            <w:autoSpaceDN/>
            <w:bidi w:val="0"/>
            <w:adjustRightInd/>
            <w:snapToGrid/>
            <w:spacing w:line="360" w:lineRule="auto"/>
            <w:textAlignment w:val="auto"/>
            <w:rPr>
              <w:sz w:val="24"/>
              <w:szCs w:val="24"/>
            </w:rPr>
          </w:pPr>
          <w:r>
            <w:rPr>
              <w:rFonts w:hint="eastAsia" w:ascii="仿宋_GB2312" w:hAnsi="Times New Roman" w:eastAsia="仿宋_GB2312" w:cs="Times New Roman"/>
              <w:kern w:val="0"/>
              <w:sz w:val="24"/>
              <w:szCs w:val="36"/>
              <w:lang w:val="en-US" w:eastAsia="zh-CN" w:bidi="ar-SA"/>
            </w:rPr>
            <w:fldChar w:fldCharType="begin"/>
          </w:r>
          <w:r>
            <w:rPr>
              <w:rFonts w:hint="eastAsia" w:ascii="仿宋_GB2312" w:hAnsi="Times New Roman" w:eastAsia="仿宋_GB2312" w:cs="Times New Roman"/>
              <w:kern w:val="0"/>
              <w:sz w:val="24"/>
              <w:szCs w:val="36"/>
              <w:lang w:val="en-US" w:eastAsia="zh-CN" w:bidi="ar-SA"/>
            </w:rPr>
            <w:instrText xml:space="preserve"> HYPERLINK \l _Toc13942 </w:instrText>
          </w:r>
          <w:r>
            <w:rPr>
              <w:rFonts w:hint="eastAsia" w:ascii="仿宋_GB2312" w:hAnsi="Times New Roman" w:eastAsia="仿宋_GB2312" w:cs="Times New Roman"/>
              <w:kern w:val="0"/>
              <w:sz w:val="24"/>
              <w:szCs w:val="36"/>
              <w:lang w:val="en-US" w:eastAsia="zh-CN" w:bidi="ar-SA"/>
            </w:rPr>
            <w:fldChar w:fldCharType="separate"/>
          </w:r>
          <w:r>
            <w:rPr>
              <w:rFonts w:hint="eastAsia" w:ascii="黑体" w:hAnsi="黑体" w:eastAsia="黑体" w:cs="黑体"/>
              <w:sz w:val="24"/>
              <w:szCs w:val="24"/>
            </w:rPr>
            <w:t>二、 机构设置</w:t>
          </w:r>
          <w:r>
            <w:rPr>
              <w:sz w:val="24"/>
              <w:szCs w:val="24"/>
            </w:rPr>
            <w:tab/>
          </w:r>
          <w:r>
            <w:rPr>
              <w:sz w:val="24"/>
              <w:szCs w:val="24"/>
            </w:rPr>
            <w:fldChar w:fldCharType="begin"/>
          </w:r>
          <w:r>
            <w:rPr>
              <w:sz w:val="24"/>
              <w:szCs w:val="24"/>
            </w:rPr>
            <w:instrText xml:space="preserve"> PAGEREF _Toc13942 \h </w:instrText>
          </w:r>
          <w:r>
            <w:rPr>
              <w:sz w:val="24"/>
              <w:szCs w:val="24"/>
            </w:rPr>
            <w:fldChar w:fldCharType="separate"/>
          </w:r>
          <w:r>
            <w:rPr>
              <w:sz w:val="24"/>
              <w:szCs w:val="24"/>
            </w:rPr>
            <w:t>3</w:t>
          </w:r>
          <w:r>
            <w:rPr>
              <w:sz w:val="24"/>
              <w:szCs w:val="24"/>
            </w:rPr>
            <w:fldChar w:fldCharType="end"/>
          </w:r>
          <w:r>
            <w:rPr>
              <w:rFonts w:hint="eastAsia" w:ascii="仿宋_GB2312" w:hAnsi="Times New Roman" w:eastAsia="仿宋_GB2312" w:cs="Times New Roman"/>
              <w:kern w:val="0"/>
              <w:sz w:val="24"/>
              <w:szCs w:val="36"/>
              <w:lang w:val="en-US" w:eastAsia="zh-CN" w:bidi="ar-SA"/>
            </w:rPr>
            <w:fldChar w:fldCharType="end"/>
          </w:r>
        </w:p>
        <w:p w14:paraId="50F76AE2">
          <w:pPr>
            <w:pStyle w:val="36"/>
            <w:keepNext w:val="0"/>
            <w:keepLines w:val="0"/>
            <w:pageBreakBefore w:val="0"/>
            <w:tabs>
              <w:tab w:val="right" w:leader="hyphen" w:pos="8306"/>
            </w:tabs>
            <w:kinsoku/>
            <w:wordWrap/>
            <w:overflowPunct/>
            <w:topLinePunct w:val="0"/>
            <w:autoSpaceDE/>
            <w:autoSpaceDN/>
            <w:bidi w:val="0"/>
            <w:adjustRightInd/>
            <w:snapToGrid/>
            <w:spacing w:line="360" w:lineRule="auto"/>
            <w:textAlignment w:val="auto"/>
            <w:rPr>
              <w:b/>
              <w:sz w:val="24"/>
              <w:szCs w:val="24"/>
            </w:rPr>
          </w:pPr>
          <w:r>
            <w:rPr>
              <w:rFonts w:hint="eastAsia" w:ascii="仿宋_GB2312" w:hAnsi="Times New Roman" w:eastAsia="仿宋_GB2312" w:cs="Times New Roman"/>
              <w:b/>
              <w:kern w:val="0"/>
              <w:sz w:val="24"/>
              <w:szCs w:val="36"/>
              <w:lang w:val="en-US" w:eastAsia="zh-CN" w:bidi="ar-SA"/>
            </w:rPr>
            <w:fldChar w:fldCharType="begin"/>
          </w:r>
          <w:r>
            <w:rPr>
              <w:rFonts w:hint="eastAsia" w:ascii="仿宋_GB2312" w:hAnsi="Times New Roman" w:eastAsia="仿宋_GB2312" w:cs="Times New Roman"/>
              <w:b/>
              <w:kern w:val="0"/>
              <w:sz w:val="24"/>
              <w:szCs w:val="36"/>
              <w:lang w:val="en-US" w:eastAsia="zh-CN" w:bidi="ar-SA"/>
            </w:rPr>
            <w:instrText xml:space="preserve"> HYPERLINK \l _Toc29117 </w:instrText>
          </w:r>
          <w:r>
            <w:rPr>
              <w:rFonts w:hint="eastAsia" w:ascii="仿宋_GB2312" w:hAnsi="Times New Roman" w:eastAsia="仿宋_GB2312" w:cs="Times New Roman"/>
              <w:b/>
              <w:kern w:val="0"/>
              <w:sz w:val="24"/>
              <w:szCs w:val="36"/>
              <w:lang w:val="en-US" w:eastAsia="zh-CN" w:bidi="ar-SA"/>
            </w:rPr>
            <w:fldChar w:fldCharType="separate"/>
          </w:r>
          <w:r>
            <w:rPr>
              <w:rFonts w:hint="eastAsia" w:ascii="黑体" w:hAnsi="黑体" w:eastAsia="黑体" w:cs="黑体"/>
              <w:b/>
              <w:sz w:val="24"/>
              <w:szCs w:val="24"/>
            </w:rPr>
            <w:t>第二部分 202</w:t>
          </w:r>
          <w:r>
            <w:rPr>
              <w:rFonts w:hint="eastAsia" w:ascii="黑体" w:hAnsi="黑体" w:eastAsia="黑体" w:cs="黑体"/>
              <w:b/>
              <w:sz w:val="24"/>
              <w:szCs w:val="24"/>
              <w:lang w:val="en-US" w:eastAsia="zh-CN"/>
            </w:rPr>
            <w:t>3</w:t>
          </w:r>
          <w:r>
            <w:rPr>
              <w:rFonts w:hint="eastAsia" w:ascii="黑体" w:hAnsi="黑体" w:eastAsia="黑体" w:cs="黑体"/>
              <w:b/>
              <w:sz w:val="24"/>
              <w:szCs w:val="24"/>
            </w:rPr>
            <w:t>年度部门决算情况说明</w:t>
          </w:r>
          <w:r>
            <w:rPr>
              <w:b/>
              <w:sz w:val="24"/>
              <w:szCs w:val="24"/>
            </w:rPr>
            <w:tab/>
          </w:r>
          <w:r>
            <w:rPr>
              <w:b/>
              <w:sz w:val="24"/>
              <w:szCs w:val="24"/>
            </w:rPr>
            <w:fldChar w:fldCharType="begin"/>
          </w:r>
          <w:r>
            <w:rPr>
              <w:b/>
              <w:sz w:val="24"/>
              <w:szCs w:val="24"/>
            </w:rPr>
            <w:instrText xml:space="preserve"> PAGEREF _Toc29117 \h </w:instrText>
          </w:r>
          <w:r>
            <w:rPr>
              <w:b/>
              <w:sz w:val="24"/>
              <w:szCs w:val="24"/>
            </w:rPr>
            <w:fldChar w:fldCharType="separate"/>
          </w:r>
          <w:r>
            <w:rPr>
              <w:b/>
              <w:sz w:val="24"/>
              <w:szCs w:val="24"/>
            </w:rPr>
            <w:t>4</w:t>
          </w:r>
          <w:r>
            <w:rPr>
              <w:b/>
              <w:sz w:val="24"/>
              <w:szCs w:val="24"/>
            </w:rPr>
            <w:fldChar w:fldCharType="end"/>
          </w:r>
          <w:r>
            <w:rPr>
              <w:rFonts w:hint="eastAsia" w:ascii="仿宋_GB2312" w:hAnsi="Times New Roman" w:eastAsia="仿宋_GB2312" w:cs="Times New Roman"/>
              <w:b/>
              <w:kern w:val="0"/>
              <w:sz w:val="24"/>
              <w:szCs w:val="36"/>
              <w:lang w:val="en-US" w:eastAsia="zh-CN" w:bidi="ar-SA"/>
            </w:rPr>
            <w:fldChar w:fldCharType="end"/>
          </w:r>
        </w:p>
        <w:p w14:paraId="190624A4">
          <w:pPr>
            <w:pStyle w:val="37"/>
            <w:keepNext w:val="0"/>
            <w:keepLines w:val="0"/>
            <w:pageBreakBefore w:val="0"/>
            <w:tabs>
              <w:tab w:val="right" w:leader="hyphen" w:pos="8306"/>
            </w:tabs>
            <w:kinsoku/>
            <w:wordWrap/>
            <w:overflowPunct/>
            <w:topLinePunct w:val="0"/>
            <w:autoSpaceDE/>
            <w:autoSpaceDN/>
            <w:bidi w:val="0"/>
            <w:adjustRightInd/>
            <w:snapToGrid/>
            <w:spacing w:line="360" w:lineRule="auto"/>
            <w:textAlignment w:val="auto"/>
            <w:rPr>
              <w:sz w:val="24"/>
              <w:szCs w:val="24"/>
            </w:rPr>
          </w:pPr>
          <w:r>
            <w:rPr>
              <w:rFonts w:hint="eastAsia" w:ascii="仿宋_GB2312" w:hAnsi="Times New Roman" w:eastAsia="仿宋_GB2312" w:cs="Times New Roman"/>
              <w:kern w:val="0"/>
              <w:sz w:val="24"/>
              <w:szCs w:val="36"/>
              <w:lang w:val="en-US" w:eastAsia="zh-CN" w:bidi="ar-SA"/>
            </w:rPr>
            <w:fldChar w:fldCharType="begin"/>
          </w:r>
          <w:r>
            <w:rPr>
              <w:rFonts w:hint="eastAsia" w:ascii="仿宋_GB2312" w:hAnsi="Times New Roman" w:eastAsia="仿宋_GB2312" w:cs="Times New Roman"/>
              <w:kern w:val="0"/>
              <w:sz w:val="24"/>
              <w:szCs w:val="36"/>
              <w:lang w:val="en-US" w:eastAsia="zh-CN" w:bidi="ar-SA"/>
            </w:rPr>
            <w:instrText xml:space="preserve"> HYPERLINK \l _Toc3233 </w:instrText>
          </w:r>
          <w:r>
            <w:rPr>
              <w:rFonts w:hint="eastAsia" w:ascii="仿宋_GB2312" w:hAnsi="Times New Roman" w:eastAsia="仿宋_GB2312" w:cs="Times New Roman"/>
              <w:kern w:val="0"/>
              <w:sz w:val="24"/>
              <w:szCs w:val="36"/>
              <w:lang w:val="en-US" w:eastAsia="zh-CN" w:bidi="ar-SA"/>
            </w:rPr>
            <w:fldChar w:fldCharType="separate"/>
          </w:r>
          <w:r>
            <w:rPr>
              <w:rFonts w:hint="default" w:ascii="黑体" w:hAnsi="黑体" w:eastAsia="黑体" w:cs="黑体"/>
              <w:sz w:val="24"/>
              <w:szCs w:val="24"/>
            </w:rPr>
            <w:t xml:space="preserve">一、 </w:t>
          </w:r>
          <w:r>
            <w:rPr>
              <w:rFonts w:hint="eastAsia" w:ascii="黑体" w:hAnsi="黑体" w:eastAsia="黑体" w:cs="黑体"/>
              <w:sz w:val="24"/>
              <w:szCs w:val="24"/>
            </w:rPr>
            <w:t>收入支出决算总体情况说明</w:t>
          </w:r>
          <w:r>
            <w:rPr>
              <w:sz w:val="24"/>
              <w:szCs w:val="24"/>
            </w:rPr>
            <w:tab/>
          </w:r>
          <w:r>
            <w:rPr>
              <w:sz w:val="24"/>
              <w:szCs w:val="24"/>
            </w:rPr>
            <w:fldChar w:fldCharType="begin"/>
          </w:r>
          <w:r>
            <w:rPr>
              <w:sz w:val="24"/>
              <w:szCs w:val="24"/>
            </w:rPr>
            <w:instrText xml:space="preserve"> PAGEREF _Toc3233 \h </w:instrText>
          </w:r>
          <w:r>
            <w:rPr>
              <w:sz w:val="24"/>
              <w:szCs w:val="24"/>
            </w:rPr>
            <w:fldChar w:fldCharType="separate"/>
          </w:r>
          <w:r>
            <w:rPr>
              <w:sz w:val="24"/>
              <w:szCs w:val="24"/>
            </w:rPr>
            <w:t>4</w:t>
          </w:r>
          <w:r>
            <w:rPr>
              <w:sz w:val="24"/>
              <w:szCs w:val="24"/>
            </w:rPr>
            <w:fldChar w:fldCharType="end"/>
          </w:r>
          <w:r>
            <w:rPr>
              <w:rFonts w:hint="eastAsia" w:ascii="仿宋_GB2312" w:hAnsi="Times New Roman" w:eastAsia="仿宋_GB2312" w:cs="Times New Roman"/>
              <w:kern w:val="0"/>
              <w:sz w:val="24"/>
              <w:szCs w:val="36"/>
              <w:lang w:val="en-US" w:eastAsia="zh-CN" w:bidi="ar-SA"/>
            </w:rPr>
            <w:fldChar w:fldCharType="end"/>
          </w:r>
        </w:p>
        <w:p w14:paraId="05D62FE3">
          <w:pPr>
            <w:pStyle w:val="37"/>
            <w:keepNext w:val="0"/>
            <w:keepLines w:val="0"/>
            <w:pageBreakBefore w:val="0"/>
            <w:tabs>
              <w:tab w:val="right" w:leader="hyphen" w:pos="8306"/>
            </w:tabs>
            <w:kinsoku/>
            <w:wordWrap/>
            <w:overflowPunct/>
            <w:topLinePunct w:val="0"/>
            <w:autoSpaceDE/>
            <w:autoSpaceDN/>
            <w:bidi w:val="0"/>
            <w:adjustRightInd/>
            <w:snapToGrid/>
            <w:spacing w:line="360" w:lineRule="auto"/>
            <w:textAlignment w:val="auto"/>
            <w:rPr>
              <w:sz w:val="24"/>
              <w:szCs w:val="24"/>
            </w:rPr>
          </w:pPr>
          <w:r>
            <w:rPr>
              <w:rFonts w:hint="eastAsia" w:ascii="仿宋_GB2312" w:hAnsi="Times New Roman" w:eastAsia="仿宋_GB2312" w:cs="Times New Roman"/>
              <w:kern w:val="0"/>
              <w:sz w:val="24"/>
              <w:szCs w:val="36"/>
              <w:lang w:val="en-US" w:eastAsia="zh-CN" w:bidi="ar-SA"/>
            </w:rPr>
            <w:fldChar w:fldCharType="begin"/>
          </w:r>
          <w:r>
            <w:rPr>
              <w:rFonts w:hint="eastAsia" w:ascii="仿宋_GB2312" w:hAnsi="Times New Roman" w:eastAsia="仿宋_GB2312" w:cs="Times New Roman"/>
              <w:kern w:val="0"/>
              <w:sz w:val="24"/>
              <w:szCs w:val="36"/>
              <w:lang w:val="en-US" w:eastAsia="zh-CN" w:bidi="ar-SA"/>
            </w:rPr>
            <w:instrText xml:space="preserve"> HYPERLINK \l _Toc30521 </w:instrText>
          </w:r>
          <w:r>
            <w:rPr>
              <w:rFonts w:hint="eastAsia" w:ascii="仿宋_GB2312" w:hAnsi="Times New Roman" w:eastAsia="仿宋_GB2312" w:cs="Times New Roman"/>
              <w:kern w:val="0"/>
              <w:sz w:val="24"/>
              <w:szCs w:val="36"/>
              <w:lang w:val="en-US" w:eastAsia="zh-CN" w:bidi="ar-SA"/>
            </w:rPr>
            <w:fldChar w:fldCharType="separate"/>
          </w:r>
          <w:r>
            <w:rPr>
              <w:rFonts w:hint="default" w:ascii="黑体" w:hAnsi="黑体" w:eastAsia="黑体" w:cs="黑体"/>
              <w:sz w:val="24"/>
              <w:szCs w:val="24"/>
            </w:rPr>
            <w:t xml:space="preserve">二、 </w:t>
          </w:r>
          <w:r>
            <w:rPr>
              <w:rFonts w:hint="eastAsia" w:ascii="黑体" w:hAnsi="黑体" w:eastAsia="黑体" w:cs="黑体"/>
              <w:sz w:val="24"/>
              <w:szCs w:val="24"/>
            </w:rPr>
            <w:t>收入决算情况说明</w:t>
          </w:r>
          <w:r>
            <w:rPr>
              <w:sz w:val="24"/>
              <w:szCs w:val="24"/>
            </w:rPr>
            <w:tab/>
          </w:r>
          <w:r>
            <w:rPr>
              <w:sz w:val="24"/>
              <w:szCs w:val="24"/>
            </w:rPr>
            <w:fldChar w:fldCharType="begin"/>
          </w:r>
          <w:r>
            <w:rPr>
              <w:sz w:val="24"/>
              <w:szCs w:val="24"/>
            </w:rPr>
            <w:instrText xml:space="preserve"> PAGEREF _Toc30521 \h </w:instrText>
          </w:r>
          <w:r>
            <w:rPr>
              <w:sz w:val="24"/>
              <w:szCs w:val="24"/>
            </w:rPr>
            <w:fldChar w:fldCharType="separate"/>
          </w:r>
          <w:r>
            <w:rPr>
              <w:sz w:val="24"/>
              <w:szCs w:val="24"/>
            </w:rPr>
            <w:t>4</w:t>
          </w:r>
          <w:r>
            <w:rPr>
              <w:sz w:val="24"/>
              <w:szCs w:val="24"/>
            </w:rPr>
            <w:fldChar w:fldCharType="end"/>
          </w:r>
          <w:r>
            <w:rPr>
              <w:rFonts w:hint="eastAsia" w:ascii="仿宋_GB2312" w:hAnsi="Times New Roman" w:eastAsia="仿宋_GB2312" w:cs="Times New Roman"/>
              <w:kern w:val="0"/>
              <w:sz w:val="24"/>
              <w:szCs w:val="36"/>
              <w:lang w:val="en-US" w:eastAsia="zh-CN" w:bidi="ar-SA"/>
            </w:rPr>
            <w:fldChar w:fldCharType="end"/>
          </w:r>
        </w:p>
        <w:p w14:paraId="7F2B5C7E">
          <w:pPr>
            <w:pStyle w:val="37"/>
            <w:keepNext w:val="0"/>
            <w:keepLines w:val="0"/>
            <w:pageBreakBefore w:val="0"/>
            <w:tabs>
              <w:tab w:val="right" w:leader="hyphen" w:pos="8306"/>
            </w:tabs>
            <w:kinsoku/>
            <w:wordWrap/>
            <w:overflowPunct/>
            <w:topLinePunct w:val="0"/>
            <w:autoSpaceDE/>
            <w:autoSpaceDN/>
            <w:bidi w:val="0"/>
            <w:adjustRightInd/>
            <w:snapToGrid/>
            <w:spacing w:line="360" w:lineRule="auto"/>
            <w:textAlignment w:val="auto"/>
            <w:rPr>
              <w:sz w:val="24"/>
              <w:szCs w:val="24"/>
            </w:rPr>
          </w:pPr>
          <w:r>
            <w:rPr>
              <w:rFonts w:hint="eastAsia" w:ascii="仿宋_GB2312" w:hAnsi="Times New Roman" w:eastAsia="仿宋_GB2312" w:cs="Times New Roman"/>
              <w:kern w:val="0"/>
              <w:sz w:val="24"/>
              <w:szCs w:val="36"/>
              <w:lang w:val="en-US" w:eastAsia="zh-CN" w:bidi="ar-SA"/>
            </w:rPr>
            <w:fldChar w:fldCharType="begin"/>
          </w:r>
          <w:r>
            <w:rPr>
              <w:rFonts w:hint="eastAsia" w:ascii="仿宋_GB2312" w:hAnsi="Times New Roman" w:eastAsia="仿宋_GB2312" w:cs="Times New Roman"/>
              <w:kern w:val="0"/>
              <w:sz w:val="24"/>
              <w:szCs w:val="36"/>
              <w:lang w:val="en-US" w:eastAsia="zh-CN" w:bidi="ar-SA"/>
            </w:rPr>
            <w:instrText xml:space="preserve"> HYPERLINK \l _Toc24920 </w:instrText>
          </w:r>
          <w:r>
            <w:rPr>
              <w:rFonts w:hint="eastAsia" w:ascii="仿宋_GB2312" w:hAnsi="Times New Roman" w:eastAsia="仿宋_GB2312" w:cs="Times New Roman"/>
              <w:kern w:val="0"/>
              <w:sz w:val="24"/>
              <w:szCs w:val="36"/>
              <w:lang w:val="en-US" w:eastAsia="zh-CN" w:bidi="ar-SA"/>
            </w:rPr>
            <w:fldChar w:fldCharType="separate"/>
          </w:r>
          <w:r>
            <w:rPr>
              <w:rFonts w:hint="default" w:ascii="黑体" w:hAnsi="黑体" w:eastAsia="黑体" w:cs="黑体"/>
              <w:sz w:val="24"/>
              <w:szCs w:val="24"/>
            </w:rPr>
            <w:t xml:space="preserve">三、 </w:t>
          </w:r>
          <w:r>
            <w:rPr>
              <w:rFonts w:hint="eastAsia" w:ascii="黑体" w:hAnsi="黑体" w:eastAsia="黑体" w:cs="黑体"/>
              <w:sz w:val="24"/>
              <w:szCs w:val="24"/>
            </w:rPr>
            <w:t>支出决算情况说明</w:t>
          </w:r>
          <w:r>
            <w:rPr>
              <w:sz w:val="24"/>
              <w:szCs w:val="24"/>
            </w:rPr>
            <w:tab/>
          </w:r>
          <w:r>
            <w:rPr>
              <w:sz w:val="24"/>
              <w:szCs w:val="24"/>
            </w:rPr>
            <w:fldChar w:fldCharType="begin"/>
          </w:r>
          <w:r>
            <w:rPr>
              <w:sz w:val="24"/>
              <w:szCs w:val="24"/>
            </w:rPr>
            <w:instrText xml:space="preserve"> PAGEREF _Toc24920 \h </w:instrText>
          </w:r>
          <w:r>
            <w:rPr>
              <w:sz w:val="24"/>
              <w:szCs w:val="24"/>
            </w:rPr>
            <w:fldChar w:fldCharType="separate"/>
          </w:r>
          <w:r>
            <w:rPr>
              <w:sz w:val="24"/>
              <w:szCs w:val="24"/>
            </w:rPr>
            <w:t>5</w:t>
          </w:r>
          <w:r>
            <w:rPr>
              <w:sz w:val="24"/>
              <w:szCs w:val="24"/>
            </w:rPr>
            <w:fldChar w:fldCharType="end"/>
          </w:r>
          <w:r>
            <w:rPr>
              <w:rFonts w:hint="eastAsia" w:ascii="仿宋_GB2312" w:hAnsi="Times New Roman" w:eastAsia="仿宋_GB2312" w:cs="Times New Roman"/>
              <w:kern w:val="0"/>
              <w:sz w:val="24"/>
              <w:szCs w:val="36"/>
              <w:lang w:val="en-US" w:eastAsia="zh-CN" w:bidi="ar-SA"/>
            </w:rPr>
            <w:fldChar w:fldCharType="end"/>
          </w:r>
        </w:p>
        <w:p w14:paraId="02624777">
          <w:pPr>
            <w:pStyle w:val="37"/>
            <w:keepNext w:val="0"/>
            <w:keepLines w:val="0"/>
            <w:pageBreakBefore w:val="0"/>
            <w:tabs>
              <w:tab w:val="right" w:leader="hyphen" w:pos="8306"/>
            </w:tabs>
            <w:kinsoku/>
            <w:wordWrap/>
            <w:overflowPunct/>
            <w:topLinePunct w:val="0"/>
            <w:autoSpaceDE/>
            <w:autoSpaceDN/>
            <w:bidi w:val="0"/>
            <w:adjustRightInd/>
            <w:snapToGrid/>
            <w:spacing w:line="360" w:lineRule="auto"/>
            <w:textAlignment w:val="auto"/>
            <w:rPr>
              <w:sz w:val="24"/>
              <w:szCs w:val="24"/>
            </w:rPr>
          </w:pPr>
          <w:r>
            <w:rPr>
              <w:rFonts w:hint="eastAsia" w:ascii="仿宋_GB2312" w:hAnsi="Times New Roman" w:eastAsia="仿宋_GB2312" w:cs="Times New Roman"/>
              <w:kern w:val="0"/>
              <w:sz w:val="24"/>
              <w:szCs w:val="36"/>
              <w:lang w:val="en-US" w:eastAsia="zh-CN" w:bidi="ar-SA"/>
            </w:rPr>
            <w:fldChar w:fldCharType="begin"/>
          </w:r>
          <w:r>
            <w:rPr>
              <w:rFonts w:hint="eastAsia" w:ascii="仿宋_GB2312" w:hAnsi="Times New Roman" w:eastAsia="仿宋_GB2312" w:cs="Times New Roman"/>
              <w:kern w:val="0"/>
              <w:sz w:val="24"/>
              <w:szCs w:val="36"/>
              <w:lang w:val="en-US" w:eastAsia="zh-CN" w:bidi="ar-SA"/>
            </w:rPr>
            <w:instrText xml:space="preserve"> HYPERLINK \l _Toc21048 </w:instrText>
          </w:r>
          <w:r>
            <w:rPr>
              <w:rFonts w:hint="eastAsia" w:ascii="仿宋_GB2312" w:hAnsi="Times New Roman" w:eastAsia="仿宋_GB2312" w:cs="Times New Roman"/>
              <w:kern w:val="0"/>
              <w:sz w:val="24"/>
              <w:szCs w:val="36"/>
              <w:lang w:val="en-US" w:eastAsia="zh-CN" w:bidi="ar-SA"/>
            </w:rPr>
            <w:fldChar w:fldCharType="separate"/>
          </w:r>
          <w:r>
            <w:rPr>
              <w:rFonts w:hint="eastAsia" w:ascii="黑体" w:hAnsi="黑体" w:eastAsia="黑体" w:cs="黑体"/>
              <w:sz w:val="24"/>
              <w:szCs w:val="24"/>
            </w:rPr>
            <w:t>四、财政拨款收入支出决算总体情况说明</w:t>
          </w:r>
          <w:r>
            <w:rPr>
              <w:sz w:val="24"/>
              <w:szCs w:val="24"/>
            </w:rPr>
            <w:tab/>
          </w:r>
          <w:r>
            <w:rPr>
              <w:sz w:val="24"/>
              <w:szCs w:val="24"/>
            </w:rPr>
            <w:fldChar w:fldCharType="begin"/>
          </w:r>
          <w:r>
            <w:rPr>
              <w:sz w:val="24"/>
              <w:szCs w:val="24"/>
            </w:rPr>
            <w:instrText xml:space="preserve"> PAGEREF _Toc21048 \h </w:instrText>
          </w:r>
          <w:r>
            <w:rPr>
              <w:sz w:val="24"/>
              <w:szCs w:val="24"/>
            </w:rPr>
            <w:fldChar w:fldCharType="separate"/>
          </w:r>
          <w:r>
            <w:rPr>
              <w:sz w:val="24"/>
              <w:szCs w:val="24"/>
            </w:rPr>
            <w:t>6</w:t>
          </w:r>
          <w:r>
            <w:rPr>
              <w:sz w:val="24"/>
              <w:szCs w:val="24"/>
            </w:rPr>
            <w:fldChar w:fldCharType="end"/>
          </w:r>
          <w:r>
            <w:rPr>
              <w:rFonts w:hint="eastAsia" w:ascii="仿宋_GB2312" w:hAnsi="Times New Roman" w:eastAsia="仿宋_GB2312" w:cs="Times New Roman"/>
              <w:kern w:val="0"/>
              <w:sz w:val="24"/>
              <w:szCs w:val="36"/>
              <w:lang w:val="en-US" w:eastAsia="zh-CN" w:bidi="ar-SA"/>
            </w:rPr>
            <w:fldChar w:fldCharType="end"/>
          </w:r>
        </w:p>
        <w:p w14:paraId="1082482B">
          <w:pPr>
            <w:pStyle w:val="37"/>
            <w:keepNext w:val="0"/>
            <w:keepLines w:val="0"/>
            <w:pageBreakBefore w:val="0"/>
            <w:tabs>
              <w:tab w:val="right" w:leader="hyphen" w:pos="8306"/>
            </w:tabs>
            <w:kinsoku/>
            <w:wordWrap/>
            <w:overflowPunct/>
            <w:topLinePunct w:val="0"/>
            <w:autoSpaceDE/>
            <w:autoSpaceDN/>
            <w:bidi w:val="0"/>
            <w:adjustRightInd/>
            <w:snapToGrid/>
            <w:spacing w:line="360" w:lineRule="auto"/>
            <w:textAlignment w:val="auto"/>
            <w:rPr>
              <w:sz w:val="24"/>
              <w:szCs w:val="24"/>
            </w:rPr>
          </w:pPr>
          <w:r>
            <w:rPr>
              <w:rFonts w:hint="eastAsia" w:ascii="仿宋_GB2312" w:hAnsi="Times New Roman" w:eastAsia="仿宋_GB2312" w:cs="Times New Roman"/>
              <w:kern w:val="0"/>
              <w:sz w:val="24"/>
              <w:szCs w:val="36"/>
              <w:lang w:val="en-US" w:eastAsia="zh-CN" w:bidi="ar-SA"/>
            </w:rPr>
            <w:fldChar w:fldCharType="begin"/>
          </w:r>
          <w:r>
            <w:rPr>
              <w:rFonts w:hint="eastAsia" w:ascii="仿宋_GB2312" w:hAnsi="Times New Roman" w:eastAsia="仿宋_GB2312" w:cs="Times New Roman"/>
              <w:kern w:val="0"/>
              <w:sz w:val="24"/>
              <w:szCs w:val="36"/>
              <w:lang w:val="en-US" w:eastAsia="zh-CN" w:bidi="ar-SA"/>
            </w:rPr>
            <w:instrText xml:space="preserve"> HYPERLINK \l _Toc11025 </w:instrText>
          </w:r>
          <w:r>
            <w:rPr>
              <w:rFonts w:hint="eastAsia" w:ascii="仿宋_GB2312" w:hAnsi="Times New Roman" w:eastAsia="仿宋_GB2312" w:cs="Times New Roman"/>
              <w:kern w:val="0"/>
              <w:sz w:val="24"/>
              <w:szCs w:val="36"/>
              <w:lang w:val="en-US" w:eastAsia="zh-CN" w:bidi="ar-SA"/>
            </w:rPr>
            <w:fldChar w:fldCharType="separate"/>
          </w:r>
          <w:r>
            <w:rPr>
              <w:rFonts w:hint="eastAsia" w:ascii="黑体" w:hAnsi="黑体" w:eastAsia="黑体" w:cs="黑体"/>
              <w:sz w:val="24"/>
              <w:szCs w:val="24"/>
            </w:rPr>
            <w:t>五、一般公共预算财政拨款支出决算情况说明</w:t>
          </w:r>
          <w:r>
            <w:rPr>
              <w:sz w:val="24"/>
              <w:szCs w:val="24"/>
            </w:rPr>
            <w:tab/>
          </w:r>
          <w:r>
            <w:rPr>
              <w:sz w:val="24"/>
              <w:szCs w:val="24"/>
            </w:rPr>
            <w:fldChar w:fldCharType="begin"/>
          </w:r>
          <w:r>
            <w:rPr>
              <w:sz w:val="24"/>
              <w:szCs w:val="24"/>
            </w:rPr>
            <w:instrText xml:space="preserve"> PAGEREF _Toc11025 \h </w:instrText>
          </w:r>
          <w:r>
            <w:rPr>
              <w:sz w:val="24"/>
              <w:szCs w:val="24"/>
            </w:rPr>
            <w:fldChar w:fldCharType="separate"/>
          </w:r>
          <w:r>
            <w:rPr>
              <w:sz w:val="24"/>
              <w:szCs w:val="24"/>
            </w:rPr>
            <w:t>7</w:t>
          </w:r>
          <w:r>
            <w:rPr>
              <w:sz w:val="24"/>
              <w:szCs w:val="24"/>
            </w:rPr>
            <w:fldChar w:fldCharType="end"/>
          </w:r>
          <w:r>
            <w:rPr>
              <w:rFonts w:hint="eastAsia" w:ascii="仿宋_GB2312" w:hAnsi="Times New Roman" w:eastAsia="仿宋_GB2312" w:cs="Times New Roman"/>
              <w:kern w:val="0"/>
              <w:sz w:val="24"/>
              <w:szCs w:val="36"/>
              <w:lang w:val="en-US" w:eastAsia="zh-CN" w:bidi="ar-SA"/>
            </w:rPr>
            <w:fldChar w:fldCharType="end"/>
          </w:r>
        </w:p>
        <w:p w14:paraId="0A8BC824">
          <w:pPr>
            <w:pStyle w:val="37"/>
            <w:keepNext w:val="0"/>
            <w:keepLines w:val="0"/>
            <w:pageBreakBefore w:val="0"/>
            <w:tabs>
              <w:tab w:val="right" w:leader="hyphen" w:pos="8306"/>
            </w:tabs>
            <w:kinsoku/>
            <w:wordWrap/>
            <w:overflowPunct/>
            <w:topLinePunct w:val="0"/>
            <w:autoSpaceDE/>
            <w:autoSpaceDN/>
            <w:bidi w:val="0"/>
            <w:adjustRightInd/>
            <w:snapToGrid/>
            <w:spacing w:line="360" w:lineRule="auto"/>
            <w:textAlignment w:val="auto"/>
            <w:rPr>
              <w:sz w:val="24"/>
              <w:szCs w:val="24"/>
            </w:rPr>
          </w:pPr>
          <w:r>
            <w:rPr>
              <w:rFonts w:hint="eastAsia" w:ascii="仿宋_GB2312" w:hAnsi="Times New Roman" w:eastAsia="仿宋_GB2312" w:cs="Times New Roman"/>
              <w:kern w:val="0"/>
              <w:sz w:val="24"/>
              <w:szCs w:val="36"/>
              <w:lang w:val="en-US" w:eastAsia="zh-CN" w:bidi="ar-SA"/>
            </w:rPr>
            <w:fldChar w:fldCharType="begin"/>
          </w:r>
          <w:r>
            <w:rPr>
              <w:rFonts w:hint="eastAsia" w:ascii="仿宋_GB2312" w:hAnsi="Times New Roman" w:eastAsia="仿宋_GB2312" w:cs="Times New Roman"/>
              <w:kern w:val="0"/>
              <w:sz w:val="24"/>
              <w:szCs w:val="36"/>
              <w:lang w:val="en-US" w:eastAsia="zh-CN" w:bidi="ar-SA"/>
            </w:rPr>
            <w:instrText xml:space="preserve"> HYPERLINK \l _Toc12935 </w:instrText>
          </w:r>
          <w:r>
            <w:rPr>
              <w:rFonts w:hint="eastAsia" w:ascii="仿宋_GB2312" w:hAnsi="Times New Roman" w:eastAsia="仿宋_GB2312" w:cs="Times New Roman"/>
              <w:kern w:val="0"/>
              <w:sz w:val="24"/>
              <w:szCs w:val="36"/>
              <w:lang w:val="en-US" w:eastAsia="zh-CN" w:bidi="ar-SA"/>
            </w:rPr>
            <w:fldChar w:fldCharType="separate"/>
          </w:r>
          <w:r>
            <w:rPr>
              <w:rFonts w:hint="eastAsia" w:ascii="黑体" w:hAnsi="黑体" w:eastAsia="黑体" w:cs="黑体"/>
              <w:sz w:val="24"/>
              <w:szCs w:val="24"/>
            </w:rPr>
            <w:t>六、一般公共预算财政拨款基本支出决算情况说明</w:t>
          </w:r>
          <w:r>
            <w:rPr>
              <w:sz w:val="24"/>
              <w:szCs w:val="24"/>
            </w:rPr>
            <w:tab/>
          </w:r>
          <w:r>
            <w:rPr>
              <w:sz w:val="24"/>
              <w:szCs w:val="24"/>
            </w:rPr>
            <w:fldChar w:fldCharType="begin"/>
          </w:r>
          <w:r>
            <w:rPr>
              <w:sz w:val="24"/>
              <w:szCs w:val="24"/>
            </w:rPr>
            <w:instrText xml:space="preserve"> PAGEREF _Toc12935 \h </w:instrText>
          </w:r>
          <w:r>
            <w:rPr>
              <w:sz w:val="24"/>
              <w:szCs w:val="24"/>
            </w:rPr>
            <w:fldChar w:fldCharType="separate"/>
          </w:r>
          <w:r>
            <w:rPr>
              <w:sz w:val="24"/>
              <w:szCs w:val="24"/>
            </w:rPr>
            <w:t>11</w:t>
          </w:r>
          <w:r>
            <w:rPr>
              <w:sz w:val="24"/>
              <w:szCs w:val="24"/>
            </w:rPr>
            <w:fldChar w:fldCharType="end"/>
          </w:r>
          <w:r>
            <w:rPr>
              <w:rFonts w:hint="eastAsia" w:ascii="仿宋_GB2312" w:hAnsi="Times New Roman" w:eastAsia="仿宋_GB2312" w:cs="Times New Roman"/>
              <w:kern w:val="0"/>
              <w:sz w:val="24"/>
              <w:szCs w:val="36"/>
              <w:lang w:val="en-US" w:eastAsia="zh-CN" w:bidi="ar-SA"/>
            </w:rPr>
            <w:fldChar w:fldCharType="end"/>
          </w:r>
        </w:p>
        <w:p w14:paraId="1EB3DEC3">
          <w:pPr>
            <w:pStyle w:val="37"/>
            <w:keepNext w:val="0"/>
            <w:keepLines w:val="0"/>
            <w:pageBreakBefore w:val="0"/>
            <w:tabs>
              <w:tab w:val="right" w:leader="hyphen" w:pos="8306"/>
            </w:tabs>
            <w:kinsoku/>
            <w:wordWrap/>
            <w:overflowPunct/>
            <w:topLinePunct w:val="0"/>
            <w:autoSpaceDE/>
            <w:autoSpaceDN/>
            <w:bidi w:val="0"/>
            <w:adjustRightInd/>
            <w:snapToGrid/>
            <w:spacing w:line="360" w:lineRule="auto"/>
            <w:textAlignment w:val="auto"/>
            <w:rPr>
              <w:sz w:val="24"/>
              <w:szCs w:val="24"/>
            </w:rPr>
          </w:pPr>
          <w:r>
            <w:rPr>
              <w:rFonts w:hint="eastAsia" w:ascii="仿宋_GB2312" w:hAnsi="Times New Roman" w:eastAsia="仿宋_GB2312" w:cs="Times New Roman"/>
              <w:kern w:val="0"/>
              <w:sz w:val="24"/>
              <w:szCs w:val="36"/>
              <w:lang w:val="en-US" w:eastAsia="zh-CN" w:bidi="ar-SA"/>
            </w:rPr>
            <w:fldChar w:fldCharType="begin"/>
          </w:r>
          <w:r>
            <w:rPr>
              <w:rFonts w:hint="eastAsia" w:ascii="仿宋_GB2312" w:hAnsi="Times New Roman" w:eastAsia="仿宋_GB2312" w:cs="Times New Roman"/>
              <w:kern w:val="0"/>
              <w:sz w:val="24"/>
              <w:szCs w:val="36"/>
              <w:lang w:val="en-US" w:eastAsia="zh-CN" w:bidi="ar-SA"/>
            </w:rPr>
            <w:instrText xml:space="preserve"> HYPERLINK \l _Toc26833 </w:instrText>
          </w:r>
          <w:r>
            <w:rPr>
              <w:rFonts w:hint="eastAsia" w:ascii="仿宋_GB2312" w:hAnsi="Times New Roman" w:eastAsia="仿宋_GB2312" w:cs="Times New Roman"/>
              <w:kern w:val="0"/>
              <w:sz w:val="24"/>
              <w:szCs w:val="36"/>
              <w:lang w:val="en-US" w:eastAsia="zh-CN" w:bidi="ar-SA"/>
            </w:rPr>
            <w:fldChar w:fldCharType="separate"/>
          </w:r>
          <w:r>
            <w:rPr>
              <w:rFonts w:hint="eastAsia" w:ascii="黑体" w:hAnsi="黑体" w:eastAsia="黑体" w:cs="黑体"/>
              <w:sz w:val="24"/>
              <w:szCs w:val="24"/>
            </w:rPr>
            <w:t>七、“三公”经费财政拨款支出决算情况说明</w:t>
          </w:r>
          <w:r>
            <w:rPr>
              <w:sz w:val="24"/>
              <w:szCs w:val="24"/>
            </w:rPr>
            <w:tab/>
          </w:r>
          <w:r>
            <w:rPr>
              <w:sz w:val="24"/>
              <w:szCs w:val="24"/>
            </w:rPr>
            <w:fldChar w:fldCharType="begin"/>
          </w:r>
          <w:r>
            <w:rPr>
              <w:sz w:val="24"/>
              <w:szCs w:val="24"/>
            </w:rPr>
            <w:instrText xml:space="preserve"> PAGEREF _Toc26833 \h </w:instrText>
          </w:r>
          <w:r>
            <w:rPr>
              <w:sz w:val="24"/>
              <w:szCs w:val="24"/>
            </w:rPr>
            <w:fldChar w:fldCharType="separate"/>
          </w:r>
          <w:r>
            <w:rPr>
              <w:sz w:val="24"/>
              <w:szCs w:val="24"/>
            </w:rPr>
            <w:t>12</w:t>
          </w:r>
          <w:r>
            <w:rPr>
              <w:sz w:val="24"/>
              <w:szCs w:val="24"/>
            </w:rPr>
            <w:fldChar w:fldCharType="end"/>
          </w:r>
          <w:r>
            <w:rPr>
              <w:rFonts w:hint="eastAsia" w:ascii="仿宋_GB2312" w:hAnsi="Times New Roman" w:eastAsia="仿宋_GB2312" w:cs="Times New Roman"/>
              <w:kern w:val="0"/>
              <w:sz w:val="24"/>
              <w:szCs w:val="36"/>
              <w:lang w:val="en-US" w:eastAsia="zh-CN" w:bidi="ar-SA"/>
            </w:rPr>
            <w:fldChar w:fldCharType="end"/>
          </w:r>
        </w:p>
        <w:p w14:paraId="7E62A633">
          <w:pPr>
            <w:pStyle w:val="37"/>
            <w:keepNext w:val="0"/>
            <w:keepLines w:val="0"/>
            <w:pageBreakBefore w:val="0"/>
            <w:tabs>
              <w:tab w:val="right" w:leader="hyphen" w:pos="8306"/>
            </w:tabs>
            <w:kinsoku/>
            <w:wordWrap/>
            <w:overflowPunct/>
            <w:topLinePunct w:val="0"/>
            <w:autoSpaceDE/>
            <w:autoSpaceDN/>
            <w:bidi w:val="0"/>
            <w:adjustRightInd/>
            <w:snapToGrid/>
            <w:spacing w:line="360" w:lineRule="auto"/>
            <w:textAlignment w:val="auto"/>
            <w:rPr>
              <w:sz w:val="24"/>
              <w:szCs w:val="24"/>
            </w:rPr>
          </w:pPr>
          <w:r>
            <w:rPr>
              <w:rFonts w:hint="eastAsia" w:ascii="仿宋_GB2312" w:hAnsi="Times New Roman" w:eastAsia="仿宋_GB2312" w:cs="Times New Roman"/>
              <w:kern w:val="0"/>
              <w:sz w:val="24"/>
              <w:szCs w:val="36"/>
              <w:lang w:val="en-US" w:eastAsia="zh-CN" w:bidi="ar-SA"/>
            </w:rPr>
            <w:fldChar w:fldCharType="begin"/>
          </w:r>
          <w:r>
            <w:rPr>
              <w:rFonts w:hint="eastAsia" w:ascii="仿宋_GB2312" w:hAnsi="Times New Roman" w:eastAsia="仿宋_GB2312" w:cs="Times New Roman"/>
              <w:kern w:val="0"/>
              <w:sz w:val="24"/>
              <w:szCs w:val="36"/>
              <w:lang w:val="en-US" w:eastAsia="zh-CN" w:bidi="ar-SA"/>
            </w:rPr>
            <w:instrText xml:space="preserve"> HYPERLINK \l _Toc6108 </w:instrText>
          </w:r>
          <w:r>
            <w:rPr>
              <w:rFonts w:hint="eastAsia" w:ascii="仿宋_GB2312" w:hAnsi="Times New Roman" w:eastAsia="仿宋_GB2312" w:cs="Times New Roman"/>
              <w:kern w:val="0"/>
              <w:sz w:val="24"/>
              <w:szCs w:val="36"/>
              <w:lang w:val="en-US" w:eastAsia="zh-CN" w:bidi="ar-SA"/>
            </w:rPr>
            <w:fldChar w:fldCharType="separate"/>
          </w:r>
          <w:r>
            <w:rPr>
              <w:rFonts w:hint="eastAsia" w:ascii="黑体" w:hAnsi="黑体" w:eastAsia="黑体" w:cs="黑体"/>
              <w:sz w:val="24"/>
              <w:szCs w:val="24"/>
            </w:rPr>
            <w:t>八、政府性基金预算支出决算情况说明</w:t>
          </w:r>
          <w:r>
            <w:rPr>
              <w:sz w:val="24"/>
              <w:szCs w:val="24"/>
            </w:rPr>
            <w:tab/>
          </w:r>
          <w:r>
            <w:rPr>
              <w:sz w:val="24"/>
              <w:szCs w:val="24"/>
            </w:rPr>
            <w:fldChar w:fldCharType="begin"/>
          </w:r>
          <w:r>
            <w:rPr>
              <w:sz w:val="24"/>
              <w:szCs w:val="24"/>
            </w:rPr>
            <w:instrText xml:space="preserve"> PAGEREF _Toc6108 \h </w:instrText>
          </w:r>
          <w:r>
            <w:rPr>
              <w:sz w:val="24"/>
              <w:szCs w:val="24"/>
            </w:rPr>
            <w:fldChar w:fldCharType="separate"/>
          </w:r>
          <w:r>
            <w:rPr>
              <w:sz w:val="24"/>
              <w:szCs w:val="24"/>
            </w:rPr>
            <w:t>14</w:t>
          </w:r>
          <w:r>
            <w:rPr>
              <w:sz w:val="24"/>
              <w:szCs w:val="24"/>
            </w:rPr>
            <w:fldChar w:fldCharType="end"/>
          </w:r>
          <w:r>
            <w:rPr>
              <w:rFonts w:hint="eastAsia" w:ascii="仿宋_GB2312" w:hAnsi="Times New Roman" w:eastAsia="仿宋_GB2312" w:cs="Times New Roman"/>
              <w:kern w:val="0"/>
              <w:sz w:val="24"/>
              <w:szCs w:val="36"/>
              <w:lang w:val="en-US" w:eastAsia="zh-CN" w:bidi="ar-SA"/>
            </w:rPr>
            <w:fldChar w:fldCharType="end"/>
          </w:r>
        </w:p>
        <w:p w14:paraId="3ECCA575">
          <w:pPr>
            <w:pStyle w:val="37"/>
            <w:keepNext w:val="0"/>
            <w:keepLines w:val="0"/>
            <w:pageBreakBefore w:val="0"/>
            <w:tabs>
              <w:tab w:val="right" w:leader="hyphen" w:pos="8306"/>
            </w:tabs>
            <w:kinsoku/>
            <w:wordWrap/>
            <w:overflowPunct/>
            <w:topLinePunct w:val="0"/>
            <w:autoSpaceDE/>
            <w:autoSpaceDN/>
            <w:bidi w:val="0"/>
            <w:adjustRightInd/>
            <w:snapToGrid/>
            <w:spacing w:line="360" w:lineRule="auto"/>
            <w:textAlignment w:val="auto"/>
            <w:rPr>
              <w:sz w:val="24"/>
              <w:szCs w:val="24"/>
            </w:rPr>
          </w:pPr>
          <w:r>
            <w:rPr>
              <w:rFonts w:hint="eastAsia" w:ascii="仿宋_GB2312" w:hAnsi="Times New Roman" w:eastAsia="仿宋_GB2312" w:cs="Times New Roman"/>
              <w:kern w:val="0"/>
              <w:sz w:val="24"/>
              <w:szCs w:val="36"/>
              <w:lang w:val="en-US" w:eastAsia="zh-CN" w:bidi="ar-SA"/>
            </w:rPr>
            <w:fldChar w:fldCharType="begin"/>
          </w:r>
          <w:r>
            <w:rPr>
              <w:rFonts w:hint="eastAsia" w:ascii="仿宋_GB2312" w:hAnsi="Times New Roman" w:eastAsia="仿宋_GB2312" w:cs="Times New Roman"/>
              <w:kern w:val="0"/>
              <w:sz w:val="24"/>
              <w:szCs w:val="36"/>
              <w:lang w:val="en-US" w:eastAsia="zh-CN" w:bidi="ar-SA"/>
            </w:rPr>
            <w:instrText xml:space="preserve"> HYPERLINK \l _Toc11571 </w:instrText>
          </w:r>
          <w:r>
            <w:rPr>
              <w:rFonts w:hint="eastAsia" w:ascii="仿宋_GB2312" w:hAnsi="Times New Roman" w:eastAsia="仿宋_GB2312" w:cs="Times New Roman"/>
              <w:kern w:val="0"/>
              <w:sz w:val="24"/>
              <w:szCs w:val="36"/>
              <w:lang w:val="en-US" w:eastAsia="zh-CN" w:bidi="ar-SA"/>
            </w:rPr>
            <w:fldChar w:fldCharType="separate"/>
          </w:r>
          <w:r>
            <w:rPr>
              <w:rFonts w:hint="eastAsia" w:ascii="黑体" w:hAnsi="黑体" w:eastAsia="黑体" w:cs="黑体"/>
              <w:sz w:val="24"/>
              <w:szCs w:val="24"/>
            </w:rPr>
            <w:t>九、 国有资本经营预算支出决算情况说明</w:t>
          </w:r>
          <w:r>
            <w:rPr>
              <w:sz w:val="24"/>
              <w:szCs w:val="24"/>
            </w:rPr>
            <w:tab/>
          </w:r>
          <w:r>
            <w:rPr>
              <w:sz w:val="24"/>
              <w:szCs w:val="24"/>
            </w:rPr>
            <w:fldChar w:fldCharType="begin"/>
          </w:r>
          <w:r>
            <w:rPr>
              <w:sz w:val="24"/>
              <w:szCs w:val="24"/>
            </w:rPr>
            <w:instrText xml:space="preserve"> PAGEREF _Toc11571 \h </w:instrText>
          </w:r>
          <w:r>
            <w:rPr>
              <w:sz w:val="24"/>
              <w:szCs w:val="24"/>
            </w:rPr>
            <w:fldChar w:fldCharType="separate"/>
          </w:r>
          <w:r>
            <w:rPr>
              <w:sz w:val="24"/>
              <w:szCs w:val="24"/>
            </w:rPr>
            <w:t>14</w:t>
          </w:r>
          <w:r>
            <w:rPr>
              <w:sz w:val="24"/>
              <w:szCs w:val="24"/>
            </w:rPr>
            <w:fldChar w:fldCharType="end"/>
          </w:r>
          <w:r>
            <w:rPr>
              <w:rFonts w:hint="eastAsia" w:ascii="仿宋_GB2312" w:hAnsi="Times New Roman" w:eastAsia="仿宋_GB2312" w:cs="Times New Roman"/>
              <w:kern w:val="0"/>
              <w:sz w:val="24"/>
              <w:szCs w:val="36"/>
              <w:lang w:val="en-US" w:eastAsia="zh-CN" w:bidi="ar-SA"/>
            </w:rPr>
            <w:fldChar w:fldCharType="end"/>
          </w:r>
        </w:p>
        <w:p w14:paraId="598DCD9E">
          <w:pPr>
            <w:pStyle w:val="37"/>
            <w:keepNext w:val="0"/>
            <w:keepLines w:val="0"/>
            <w:pageBreakBefore w:val="0"/>
            <w:tabs>
              <w:tab w:val="right" w:leader="hyphen" w:pos="8306"/>
            </w:tabs>
            <w:kinsoku/>
            <w:wordWrap/>
            <w:overflowPunct/>
            <w:topLinePunct w:val="0"/>
            <w:autoSpaceDE/>
            <w:autoSpaceDN/>
            <w:bidi w:val="0"/>
            <w:adjustRightInd/>
            <w:snapToGrid/>
            <w:spacing w:line="360" w:lineRule="auto"/>
            <w:textAlignment w:val="auto"/>
            <w:rPr>
              <w:sz w:val="24"/>
              <w:szCs w:val="24"/>
            </w:rPr>
          </w:pPr>
          <w:r>
            <w:rPr>
              <w:rFonts w:hint="eastAsia" w:ascii="仿宋_GB2312" w:hAnsi="Times New Roman" w:eastAsia="仿宋_GB2312" w:cs="Times New Roman"/>
              <w:kern w:val="0"/>
              <w:sz w:val="24"/>
              <w:szCs w:val="36"/>
              <w:lang w:val="en-US" w:eastAsia="zh-CN" w:bidi="ar-SA"/>
            </w:rPr>
            <w:fldChar w:fldCharType="begin"/>
          </w:r>
          <w:r>
            <w:rPr>
              <w:rFonts w:hint="eastAsia" w:ascii="仿宋_GB2312" w:hAnsi="Times New Roman" w:eastAsia="仿宋_GB2312" w:cs="Times New Roman"/>
              <w:kern w:val="0"/>
              <w:sz w:val="24"/>
              <w:szCs w:val="36"/>
              <w:lang w:val="en-US" w:eastAsia="zh-CN" w:bidi="ar-SA"/>
            </w:rPr>
            <w:instrText xml:space="preserve"> HYPERLINK \l _Toc32056 </w:instrText>
          </w:r>
          <w:r>
            <w:rPr>
              <w:rFonts w:hint="eastAsia" w:ascii="仿宋_GB2312" w:hAnsi="Times New Roman" w:eastAsia="仿宋_GB2312" w:cs="Times New Roman"/>
              <w:kern w:val="0"/>
              <w:sz w:val="24"/>
              <w:szCs w:val="36"/>
              <w:lang w:val="en-US" w:eastAsia="zh-CN" w:bidi="ar-SA"/>
            </w:rPr>
            <w:fldChar w:fldCharType="separate"/>
          </w:r>
          <w:r>
            <w:rPr>
              <w:rFonts w:hint="eastAsia" w:ascii="黑体" w:hAnsi="黑体" w:eastAsia="黑体" w:cs="黑体"/>
              <w:sz w:val="24"/>
              <w:szCs w:val="24"/>
            </w:rPr>
            <w:t>十、 其他重要事项的情况说明</w:t>
          </w:r>
          <w:r>
            <w:rPr>
              <w:sz w:val="24"/>
              <w:szCs w:val="24"/>
            </w:rPr>
            <w:tab/>
          </w:r>
          <w:r>
            <w:rPr>
              <w:sz w:val="24"/>
              <w:szCs w:val="24"/>
            </w:rPr>
            <w:fldChar w:fldCharType="begin"/>
          </w:r>
          <w:r>
            <w:rPr>
              <w:sz w:val="24"/>
              <w:szCs w:val="24"/>
            </w:rPr>
            <w:instrText xml:space="preserve"> PAGEREF _Toc32056 \h </w:instrText>
          </w:r>
          <w:r>
            <w:rPr>
              <w:sz w:val="24"/>
              <w:szCs w:val="24"/>
            </w:rPr>
            <w:fldChar w:fldCharType="separate"/>
          </w:r>
          <w:r>
            <w:rPr>
              <w:sz w:val="24"/>
              <w:szCs w:val="24"/>
            </w:rPr>
            <w:t>14</w:t>
          </w:r>
          <w:r>
            <w:rPr>
              <w:sz w:val="24"/>
              <w:szCs w:val="24"/>
            </w:rPr>
            <w:fldChar w:fldCharType="end"/>
          </w:r>
          <w:r>
            <w:rPr>
              <w:rFonts w:hint="eastAsia" w:ascii="仿宋_GB2312" w:hAnsi="Times New Roman" w:eastAsia="仿宋_GB2312" w:cs="Times New Roman"/>
              <w:kern w:val="0"/>
              <w:sz w:val="24"/>
              <w:szCs w:val="36"/>
              <w:lang w:val="en-US" w:eastAsia="zh-CN" w:bidi="ar-SA"/>
            </w:rPr>
            <w:fldChar w:fldCharType="end"/>
          </w:r>
        </w:p>
        <w:p w14:paraId="10DFC7F9">
          <w:pPr>
            <w:pStyle w:val="36"/>
            <w:keepNext w:val="0"/>
            <w:keepLines w:val="0"/>
            <w:pageBreakBefore w:val="0"/>
            <w:tabs>
              <w:tab w:val="right" w:leader="hyphen" w:pos="8306"/>
            </w:tabs>
            <w:kinsoku/>
            <w:wordWrap/>
            <w:overflowPunct/>
            <w:topLinePunct w:val="0"/>
            <w:autoSpaceDE/>
            <w:autoSpaceDN/>
            <w:bidi w:val="0"/>
            <w:adjustRightInd/>
            <w:snapToGrid/>
            <w:spacing w:line="360" w:lineRule="auto"/>
            <w:textAlignment w:val="auto"/>
            <w:rPr>
              <w:b/>
              <w:sz w:val="24"/>
              <w:szCs w:val="24"/>
            </w:rPr>
          </w:pPr>
          <w:r>
            <w:rPr>
              <w:rFonts w:hint="eastAsia" w:ascii="仿宋_GB2312" w:hAnsi="Times New Roman" w:eastAsia="仿宋_GB2312" w:cs="Times New Roman"/>
              <w:b/>
              <w:kern w:val="0"/>
              <w:sz w:val="24"/>
              <w:szCs w:val="36"/>
              <w:lang w:val="en-US" w:eastAsia="zh-CN" w:bidi="ar-SA"/>
            </w:rPr>
            <w:fldChar w:fldCharType="begin"/>
          </w:r>
          <w:r>
            <w:rPr>
              <w:rFonts w:hint="eastAsia" w:ascii="仿宋_GB2312" w:hAnsi="Times New Roman" w:eastAsia="仿宋_GB2312" w:cs="Times New Roman"/>
              <w:b/>
              <w:kern w:val="0"/>
              <w:sz w:val="24"/>
              <w:szCs w:val="36"/>
              <w:lang w:val="en-US" w:eastAsia="zh-CN" w:bidi="ar-SA"/>
            </w:rPr>
            <w:instrText xml:space="preserve"> HYPERLINK \l _Toc14010 </w:instrText>
          </w:r>
          <w:r>
            <w:rPr>
              <w:rFonts w:hint="eastAsia" w:ascii="仿宋_GB2312" w:hAnsi="Times New Roman" w:eastAsia="仿宋_GB2312" w:cs="Times New Roman"/>
              <w:b/>
              <w:kern w:val="0"/>
              <w:sz w:val="24"/>
              <w:szCs w:val="36"/>
              <w:lang w:val="en-US" w:eastAsia="zh-CN" w:bidi="ar-SA"/>
            </w:rPr>
            <w:fldChar w:fldCharType="separate"/>
          </w:r>
          <w:r>
            <w:rPr>
              <w:rFonts w:hint="eastAsia" w:ascii="黑体" w:hAnsi="黑体" w:eastAsia="黑体" w:cs="黑体"/>
              <w:b/>
              <w:sz w:val="24"/>
              <w:szCs w:val="24"/>
            </w:rPr>
            <w:t>第三部分 名词解释</w:t>
          </w:r>
          <w:r>
            <w:rPr>
              <w:b/>
              <w:sz w:val="24"/>
              <w:szCs w:val="24"/>
            </w:rPr>
            <w:tab/>
          </w:r>
          <w:r>
            <w:rPr>
              <w:b/>
              <w:sz w:val="24"/>
              <w:szCs w:val="24"/>
            </w:rPr>
            <w:fldChar w:fldCharType="begin"/>
          </w:r>
          <w:r>
            <w:rPr>
              <w:b/>
              <w:sz w:val="24"/>
              <w:szCs w:val="24"/>
            </w:rPr>
            <w:instrText xml:space="preserve"> PAGEREF _Toc14010 \h </w:instrText>
          </w:r>
          <w:r>
            <w:rPr>
              <w:b/>
              <w:sz w:val="24"/>
              <w:szCs w:val="24"/>
            </w:rPr>
            <w:fldChar w:fldCharType="separate"/>
          </w:r>
          <w:r>
            <w:rPr>
              <w:b/>
              <w:sz w:val="24"/>
              <w:szCs w:val="24"/>
            </w:rPr>
            <w:t>16</w:t>
          </w:r>
          <w:r>
            <w:rPr>
              <w:b/>
              <w:sz w:val="24"/>
              <w:szCs w:val="24"/>
            </w:rPr>
            <w:fldChar w:fldCharType="end"/>
          </w:r>
          <w:r>
            <w:rPr>
              <w:rFonts w:hint="eastAsia" w:ascii="仿宋_GB2312" w:hAnsi="Times New Roman" w:eastAsia="仿宋_GB2312" w:cs="Times New Roman"/>
              <w:b/>
              <w:kern w:val="0"/>
              <w:sz w:val="24"/>
              <w:szCs w:val="36"/>
              <w:lang w:val="en-US" w:eastAsia="zh-CN" w:bidi="ar-SA"/>
            </w:rPr>
            <w:fldChar w:fldCharType="end"/>
          </w:r>
        </w:p>
        <w:p w14:paraId="37790AAD">
          <w:pPr>
            <w:pStyle w:val="36"/>
            <w:keepNext w:val="0"/>
            <w:keepLines w:val="0"/>
            <w:pageBreakBefore w:val="0"/>
            <w:tabs>
              <w:tab w:val="right" w:leader="hyphen" w:pos="8306"/>
            </w:tabs>
            <w:kinsoku/>
            <w:wordWrap/>
            <w:overflowPunct/>
            <w:topLinePunct w:val="0"/>
            <w:autoSpaceDE/>
            <w:autoSpaceDN/>
            <w:bidi w:val="0"/>
            <w:adjustRightInd/>
            <w:snapToGrid/>
            <w:spacing w:line="360" w:lineRule="auto"/>
            <w:textAlignment w:val="auto"/>
            <w:rPr>
              <w:b/>
              <w:sz w:val="24"/>
              <w:szCs w:val="24"/>
            </w:rPr>
          </w:pPr>
          <w:r>
            <w:rPr>
              <w:rFonts w:hint="eastAsia" w:ascii="仿宋_GB2312" w:hAnsi="Times New Roman" w:eastAsia="仿宋_GB2312" w:cs="Times New Roman"/>
              <w:b/>
              <w:kern w:val="0"/>
              <w:sz w:val="24"/>
              <w:szCs w:val="36"/>
              <w:lang w:val="en-US" w:eastAsia="zh-CN" w:bidi="ar-SA"/>
            </w:rPr>
            <w:fldChar w:fldCharType="begin"/>
          </w:r>
          <w:r>
            <w:rPr>
              <w:rFonts w:hint="eastAsia" w:ascii="仿宋_GB2312" w:hAnsi="Times New Roman" w:eastAsia="仿宋_GB2312" w:cs="Times New Roman"/>
              <w:b/>
              <w:kern w:val="0"/>
              <w:sz w:val="24"/>
              <w:szCs w:val="36"/>
              <w:lang w:val="en-US" w:eastAsia="zh-CN" w:bidi="ar-SA"/>
            </w:rPr>
            <w:instrText xml:space="preserve"> HYPERLINK \l _Toc16501 </w:instrText>
          </w:r>
          <w:r>
            <w:rPr>
              <w:rFonts w:hint="eastAsia" w:ascii="仿宋_GB2312" w:hAnsi="Times New Roman" w:eastAsia="仿宋_GB2312" w:cs="Times New Roman"/>
              <w:b/>
              <w:kern w:val="0"/>
              <w:sz w:val="24"/>
              <w:szCs w:val="36"/>
              <w:lang w:val="en-US" w:eastAsia="zh-CN" w:bidi="ar-SA"/>
            </w:rPr>
            <w:fldChar w:fldCharType="separate"/>
          </w:r>
          <w:r>
            <w:rPr>
              <w:rFonts w:hint="eastAsia" w:ascii="黑体" w:hAnsi="黑体" w:eastAsia="黑体" w:cs="黑体"/>
              <w:b/>
              <w:sz w:val="24"/>
              <w:szCs w:val="24"/>
            </w:rPr>
            <w:t>第四部分 附件</w:t>
          </w:r>
          <w:r>
            <w:rPr>
              <w:b/>
              <w:sz w:val="24"/>
              <w:szCs w:val="24"/>
            </w:rPr>
            <w:tab/>
          </w:r>
          <w:r>
            <w:rPr>
              <w:b/>
              <w:sz w:val="24"/>
              <w:szCs w:val="24"/>
            </w:rPr>
            <w:fldChar w:fldCharType="begin"/>
          </w:r>
          <w:r>
            <w:rPr>
              <w:b/>
              <w:sz w:val="24"/>
              <w:szCs w:val="24"/>
            </w:rPr>
            <w:instrText xml:space="preserve"> PAGEREF _Toc16501 \h </w:instrText>
          </w:r>
          <w:r>
            <w:rPr>
              <w:b/>
              <w:sz w:val="24"/>
              <w:szCs w:val="24"/>
            </w:rPr>
            <w:fldChar w:fldCharType="separate"/>
          </w:r>
          <w:r>
            <w:rPr>
              <w:b/>
              <w:sz w:val="24"/>
              <w:szCs w:val="24"/>
            </w:rPr>
            <w:t>21</w:t>
          </w:r>
          <w:r>
            <w:rPr>
              <w:b/>
              <w:sz w:val="24"/>
              <w:szCs w:val="24"/>
            </w:rPr>
            <w:fldChar w:fldCharType="end"/>
          </w:r>
          <w:r>
            <w:rPr>
              <w:rFonts w:hint="eastAsia" w:ascii="仿宋_GB2312" w:hAnsi="Times New Roman" w:eastAsia="仿宋_GB2312" w:cs="Times New Roman"/>
              <w:b/>
              <w:kern w:val="0"/>
              <w:sz w:val="24"/>
              <w:szCs w:val="36"/>
              <w:lang w:val="en-US" w:eastAsia="zh-CN" w:bidi="ar-SA"/>
            </w:rPr>
            <w:fldChar w:fldCharType="end"/>
          </w:r>
        </w:p>
        <w:p w14:paraId="7AA37462">
          <w:pPr>
            <w:pStyle w:val="36"/>
            <w:keepNext w:val="0"/>
            <w:keepLines w:val="0"/>
            <w:pageBreakBefore w:val="0"/>
            <w:tabs>
              <w:tab w:val="right" w:leader="hyphen" w:pos="8306"/>
            </w:tabs>
            <w:kinsoku/>
            <w:wordWrap/>
            <w:overflowPunct/>
            <w:topLinePunct w:val="0"/>
            <w:autoSpaceDE/>
            <w:autoSpaceDN/>
            <w:bidi w:val="0"/>
            <w:adjustRightInd/>
            <w:snapToGrid/>
            <w:spacing w:line="360" w:lineRule="auto"/>
            <w:textAlignment w:val="auto"/>
            <w:rPr>
              <w:b/>
              <w:sz w:val="24"/>
              <w:szCs w:val="24"/>
            </w:rPr>
          </w:pPr>
          <w:r>
            <w:rPr>
              <w:rFonts w:hint="eastAsia" w:ascii="仿宋_GB2312" w:hAnsi="Times New Roman" w:eastAsia="仿宋_GB2312" w:cs="Times New Roman"/>
              <w:b/>
              <w:kern w:val="0"/>
              <w:sz w:val="24"/>
              <w:szCs w:val="36"/>
              <w:lang w:val="en-US" w:eastAsia="zh-CN" w:bidi="ar-SA"/>
            </w:rPr>
            <w:fldChar w:fldCharType="begin"/>
          </w:r>
          <w:r>
            <w:rPr>
              <w:rFonts w:hint="eastAsia" w:ascii="仿宋_GB2312" w:hAnsi="Times New Roman" w:eastAsia="仿宋_GB2312" w:cs="Times New Roman"/>
              <w:b/>
              <w:kern w:val="0"/>
              <w:sz w:val="24"/>
              <w:szCs w:val="36"/>
              <w:lang w:val="en-US" w:eastAsia="zh-CN" w:bidi="ar-SA"/>
            </w:rPr>
            <w:instrText xml:space="preserve"> HYPERLINK \l _Toc31434 </w:instrText>
          </w:r>
          <w:r>
            <w:rPr>
              <w:rFonts w:hint="eastAsia" w:ascii="仿宋_GB2312" w:hAnsi="Times New Roman" w:eastAsia="仿宋_GB2312" w:cs="Times New Roman"/>
              <w:b/>
              <w:kern w:val="0"/>
              <w:sz w:val="24"/>
              <w:szCs w:val="36"/>
              <w:lang w:val="en-US" w:eastAsia="zh-CN" w:bidi="ar-SA"/>
            </w:rPr>
            <w:fldChar w:fldCharType="separate"/>
          </w:r>
          <w:r>
            <w:rPr>
              <w:rFonts w:hint="eastAsia" w:ascii="黑体" w:hAnsi="黑体" w:eastAsia="黑体" w:cs="黑体"/>
              <w:b/>
              <w:sz w:val="24"/>
              <w:szCs w:val="24"/>
            </w:rPr>
            <w:t>第五部分 附表</w:t>
          </w:r>
          <w:r>
            <w:rPr>
              <w:b/>
              <w:sz w:val="24"/>
              <w:szCs w:val="24"/>
            </w:rPr>
            <w:tab/>
          </w:r>
          <w:r>
            <w:rPr>
              <w:b/>
              <w:sz w:val="24"/>
              <w:szCs w:val="24"/>
            </w:rPr>
            <w:fldChar w:fldCharType="begin"/>
          </w:r>
          <w:r>
            <w:rPr>
              <w:b/>
              <w:sz w:val="24"/>
              <w:szCs w:val="24"/>
            </w:rPr>
            <w:instrText xml:space="preserve"> PAGEREF _Toc31434 \h </w:instrText>
          </w:r>
          <w:r>
            <w:rPr>
              <w:b/>
              <w:sz w:val="24"/>
              <w:szCs w:val="24"/>
            </w:rPr>
            <w:fldChar w:fldCharType="separate"/>
          </w:r>
          <w:r>
            <w:rPr>
              <w:b/>
              <w:sz w:val="24"/>
              <w:szCs w:val="24"/>
            </w:rPr>
            <w:t>74</w:t>
          </w:r>
          <w:r>
            <w:rPr>
              <w:b/>
              <w:sz w:val="24"/>
              <w:szCs w:val="24"/>
            </w:rPr>
            <w:fldChar w:fldCharType="end"/>
          </w:r>
          <w:r>
            <w:rPr>
              <w:rFonts w:hint="eastAsia" w:ascii="仿宋_GB2312" w:hAnsi="Times New Roman" w:eastAsia="仿宋_GB2312" w:cs="Times New Roman"/>
              <w:b/>
              <w:kern w:val="0"/>
              <w:sz w:val="24"/>
              <w:szCs w:val="36"/>
              <w:lang w:val="en-US" w:eastAsia="zh-CN" w:bidi="ar-SA"/>
            </w:rPr>
            <w:fldChar w:fldCharType="end"/>
          </w:r>
        </w:p>
        <w:p w14:paraId="16F8A1E7">
          <w:pPr>
            <w:pStyle w:val="37"/>
            <w:keepNext w:val="0"/>
            <w:keepLines w:val="0"/>
            <w:pageBreakBefore w:val="0"/>
            <w:tabs>
              <w:tab w:val="right" w:leader="hyphen" w:pos="8306"/>
            </w:tabs>
            <w:kinsoku/>
            <w:wordWrap/>
            <w:overflowPunct/>
            <w:topLinePunct w:val="0"/>
            <w:autoSpaceDE/>
            <w:autoSpaceDN/>
            <w:bidi w:val="0"/>
            <w:adjustRightInd/>
            <w:snapToGrid/>
            <w:spacing w:line="360" w:lineRule="auto"/>
            <w:textAlignment w:val="auto"/>
            <w:rPr>
              <w:sz w:val="24"/>
              <w:szCs w:val="24"/>
            </w:rPr>
          </w:pPr>
          <w:r>
            <w:rPr>
              <w:rFonts w:hint="eastAsia" w:ascii="仿宋_GB2312" w:hAnsi="Times New Roman" w:eastAsia="仿宋_GB2312" w:cs="Times New Roman"/>
              <w:kern w:val="0"/>
              <w:sz w:val="24"/>
              <w:szCs w:val="36"/>
              <w:lang w:val="en-US" w:eastAsia="zh-CN" w:bidi="ar-SA"/>
            </w:rPr>
            <w:fldChar w:fldCharType="begin"/>
          </w:r>
          <w:r>
            <w:rPr>
              <w:rFonts w:hint="eastAsia" w:ascii="仿宋_GB2312" w:hAnsi="Times New Roman" w:eastAsia="仿宋_GB2312" w:cs="Times New Roman"/>
              <w:kern w:val="0"/>
              <w:sz w:val="24"/>
              <w:szCs w:val="36"/>
              <w:lang w:val="en-US" w:eastAsia="zh-CN" w:bidi="ar-SA"/>
            </w:rPr>
            <w:instrText xml:space="preserve"> HYPERLINK \l _Toc7427 </w:instrText>
          </w:r>
          <w:r>
            <w:rPr>
              <w:rFonts w:hint="eastAsia" w:ascii="仿宋_GB2312" w:hAnsi="Times New Roman" w:eastAsia="仿宋_GB2312" w:cs="Times New Roman"/>
              <w:kern w:val="0"/>
              <w:sz w:val="24"/>
              <w:szCs w:val="36"/>
              <w:lang w:val="en-US" w:eastAsia="zh-CN" w:bidi="ar-SA"/>
            </w:rPr>
            <w:fldChar w:fldCharType="separate"/>
          </w:r>
          <w:r>
            <w:rPr>
              <w:rFonts w:hint="eastAsia"/>
              <w:sz w:val="24"/>
              <w:szCs w:val="24"/>
            </w:rPr>
            <w:t>一、收入支出决算总表</w:t>
          </w:r>
          <w:r>
            <w:rPr>
              <w:sz w:val="24"/>
              <w:szCs w:val="24"/>
            </w:rPr>
            <w:tab/>
          </w:r>
          <w:r>
            <w:rPr>
              <w:sz w:val="24"/>
              <w:szCs w:val="24"/>
            </w:rPr>
            <w:fldChar w:fldCharType="begin"/>
          </w:r>
          <w:r>
            <w:rPr>
              <w:sz w:val="24"/>
              <w:szCs w:val="24"/>
            </w:rPr>
            <w:instrText xml:space="preserve"> PAGEREF _Toc7427 \h </w:instrText>
          </w:r>
          <w:r>
            <w:rPr>
              <w:sz w:val="24"/>
              <w:szCs w:val="24"/>
            </w:rPr>
            <w:fldChar w:fldCharType="separate"/>
          </w:r>
          <w:r>
            <w:rPr>
              <w:sz w:val="24"/>
              <w:szCs w:val="24"/>
            </w:rPr>
            <w:t>74</w:t>
          </w:r>
          <w:r>
            <w:rPr>
              <w:sz w:val="24"/>
              <w:szCs w:val="24"/>
            </w:rPr>
            <w:fldChar w:fldCharType="end"/>
          </w:r>
          <w:r>
            <w:rPr>
              <w:rFonts w:hint="eastAsia" w:ascii="仿宋_GB2312" w:hAnsi="Times New Roman" w:eastAsia="仿宋_GB2312" w:cs="Times New Roman"/>
              <w:kern w:val="0"/>
              <w:sz w:val="24"/>
              <w:szCs w:val="36"/>
              <w:lang w:val="en-US" w:eastAsia="zh-CN" w:bidi="ar-SA"/>
            </w:rPr>
            <w:fldChar w:fldCharType="end"/>
          </w:r>
        </w:p>
        <w:p w14:paraId="1A477247">
          <w:pPr>
            <w:pStyle w:val="37"/>
            <w:keepNext w:val="0"/>
            <w:keepLines w:val="0"/>
            <w:pageBreakBefore w:val="0"/>
            <w:tabs>
              <w:tab w:val="right" w:leader="hyphen" w:pos="8306"/>
            </w:tabs>
            <w:kinsoku/>
            <w:wordWrap/>
            <w:overflowPunct/>
            <w:topLinePunct w:val="0"/>
            <w:autoSpaceDE/>
            <w:autoSpaceDN/>
            <w:bidi w:val="0"/>
            <w:adjustRightInd/>
            <w:snapToGrid/>
            <w:spacing w:line="360" w:lineRule="auto"/>
            <w:textAlignment w:val="auto"/>
            <w:rPr>
              <w:sz w:val="24"/>
              <w:szCs w:val="24"/>
            </w:rPr>
          </w:pPr>
          <w:r>
            <w:rPr>
              <w:rFonts w:hint="eastAsia" w:ascii="仿宋_GB2312" w:hAnsi="Times New Roman" w:eastAsia="仿宋_GB2312" w:cs="Times New Roman"/>
              <w:kern w:val="0"/>
              <w:sz w:val="24"/>
              <w:szCs w:val="36"/>
              <w:lang w:val="en-US" w:eastAsia="zh-CN" w:bidi="ar-SA"/>
            </w:rPr>
            <w:fldChar w:fldCharType="begin"/>
          </w:r>
          <w:r>
            <w:rPr>
              <w:rFonts w:hint="eastAsia" w:ascii="仿宋_GB2312" w:hAnsi="Times New Roman" w:eastAsia="仿宋_GB2312" w:cs="Times New Roman"/>
              <w:kern w:val="0"/>
              <w:sz w:val="24"/>
              <w:szCs w:val="36"/>
              <w:lang w:val="en-US" w:eastAsia="zh-CN" w:bidi="ar-SA"/>
            </w:rPr>
            <w:instrText xml:space="preserve"> HYPERLINK \l _Toc12104 </w:instrText>
          </w:r>
          <w:r>
            <w:rPr>
              <w:rFonts w:hint="eastAsia" w:ascii="仿宋_GB2312" w:hAnsi="Times New Roman" w:eastAsia="仿宋_GB2312" w:cs="Times New Roman"/>
              <w:kern w:val="0"/>
              <w:sz w:val="24"/>
              <w:szCs w:val="36"/>
              <w:lang w:val="en-US" w:eastAsia="zh-CN" w:bidi="ar-SA"/>
            </w:rPr>
            <w:fldChar w:fldCharType="separate"/>
          </w:r>
          <w:r>
            <w:rPr>
              <w:rFonts w:hint="eastAsia"/>
              <w:sz w:val="24"/>
              <w:szCs w:val="24"/>
            </w:rPr>
            <w:t>二、收入决算表</w:t>
          </w:r>
          <w:r>
            <w:rPr>
              <w:sz w:val="24"/>
              <w:szCs w:val="24"/>
            </w:rPr>
            <w:tab/>
          </w:r>
          <w:r>
            <w:rPr>
              <w:sz w:val="24"/>
              <w:szCs w:val="24"/>
            </w:rPr>
            <w:fldChar w:fldCharType="begin"/>
          </w:r>
          <w:r>
            <w:rPr>
              <w:sz w:val="24"/>
              <w:szCs w:val="24"/>
            </w:rPr>
            <w:instrText xml:space="preserve"> PAGEREF _Toc12104 \h </w:instrText>
          </w:r>
          <w:r>
            <w:rPr>
              <w:sz w:val="24"/>
              <w:szCs w:val="24"/>
            </w:rPr>
            <w:fldChar w:fldCharType="separate"/>
          </w:r>
          <w:r>
            <w:rPr>
              <w:sz w:val="24"/>
              <w:szCs w:val="24"/>
            </w:rPr>
            <w:t>74</w:t>
          </w:r>
          <w:r>
            <w:rPr>
              <w:sz w:val="24"/>
              <w:szCs w:val="24"/>
            </w:rPr>
            <w:fldChar w:fldCharType="end"/>
          </w:r>
          <w:r>
            <w:rPr>
              <w:rFonts w:hint="eastAsia" w:ascii="仿宋_GB2312" w:hAnsi="Times New Roman" w:eastAsia="仿宋_GB2312" w:cs="Times New Roman"/>
              <w:kern w:val="0"/>
              <w:sz w:val="24"/>
              <w:szCs w:val="36"/>
              <w:lang w:val="en-US" w:eastAsia="zh-CN" w:bidi="ar-SA"/>
            </w:rPr>
            <w:fldChar w:fldCharType="end"/>
          </w:r>
        </w:p>
        <w:p w14:paraId="01267D0C">
          <w:pPr>
            <w:pStyle w:val="37"/>
            <w:keepNext w:val="0"/>
            <w:keepLines w:val="0"/>
            <w:pageBreakBefore w:val="0"/>
            <w:tabs>
              <w:tab w:val="right" w:leader="hyphen" w:pos="8306"/>
            </w:tabs>
            <w:kinsoku/>
            <w:wordWrap/>
            <w:overflowPunct/>
            <w:topLinePunct w:val="0"/>
            <w:autoSpaceDE/>
            <w:autoSpaceDN/>
            <w:bidi w:val="0"/>
            <w:adjustRightInd/>
            <w:snapToGrid/>
            <w:spacing w:line="360" w:lineRule="auto"/>
            <w:textAlignment w:val="auto"/>
            <w:rPr>
              <w:sz w:val="24"/>
              <w:szCs w:val="24"/>
            </w:rPr>
          </w:pPr>
          <w:r>
            <w:rPr>
              <w:rFonts w:hint="eastAsia" w:ascii="仿宋_GB2312" w:hAnsi="Times New Roman" w:eastAsia="仿宋_GB2312" w:cs="Times New Roman"/>
              <w:kern w:val="0"/>
              <w:sz w:val="24"/>
              <w:szCs w:val="36"/>
              <w:lang w:val="en-US" w:eastAsia="zh-CN" w:bidi="ar-SA"/>
            </w:rPr>
            <w:fldChar w:fldCharType="begin"/>
          </w:r>
          <w:r>
            <w:rPr>
              <w:rFonts w:hint="eastAsia" w:ascii="仿宋_GB2312" w:hAnsi="Times New Roman" w:eastAsia="仿宋_GB2312" w:cs="Times New Roman"/>
              <w:kern w:val="0"/>
              <w:sz w:val="24"/>
              <w:szCs w:val="36"/>
              <w:lang w:val="en-US" w:eastAsia="zh-CN" w:bidi="ar-SA"/>
            </w:rPr>
            <w:instrText xml:space="preserve"> HYPERLINK \l _Toc31258 </w:instrText>
          </w:r>
          <w:r>
            <w:rPr>
              <w:rFonts w:hint="eastAsia" w:ascii="仿宋_GB2312" w:hAnsi="Times New Roman" w:eastAsia="仿宋_GB2312" w:cs="Times New Roman"/>
              <w:kern w:val="0"/>
              <w:sz w:val="24"/>
              <w:szCs w:val="36"/>
              <w:lang w:val="en-US" w:eastAsia="zh-CN" w:bidi="ar-SA"/>
            </w:rPr>
            <w:fldChar w:fldCharType="separate"/>
          </w:r>
          <w:r>
            <w:rPr>
              <w:rFonts w:hint="eastAsia"/>
              <w:sz w:val="24"/>
              <w:szCs w:val="24"/>
            </w:rPr>
            <w:t>三、支出决算表</w:t>
          </w:r>
          <w:r>
            <w:rPr>
              <w:sz w:val="24"/>
              <w:szCs w:val="24"/>
            </w:rPr>
            <w:tab/>
          </w:r>
          <w:r>
            <w:rPr>
              <w:sz w:val="24"/>
              <w:szCs w:val="24"/>
            </w:rPr>
            <w:fldChar w:fldCharType="begin"/>
          </w:r>
          <w:r>
            <w:rPr>
              <w:sz w:val="24"/>
              <w:szCs w:val="24"/>
            </w:rPr>
            <w:instrText xml:space="preserve"> PAGEREF _Toc31258 \h </w:instrText>
          </w:r>
          <w:r>
            <w:rPr>
              <w:sz w:val="24"/>
              <w:szCs w:val="24"/>
            </w:rPr>
            <w:fldChar w:fldCharType="separate"/>
          </w:r>
          <w:r>
            <w:rPr>
              <w:sz w:val="24"/>
              <w:szCs w:val="24"/>
            </w:rPr>
            <w:t>74</w:t>
          </w:r>
          <w:r>
            <w:rPr>
              <w:sz w:val="24"/>
              <w:szCs w:val="24"/>
            </w:rPr>
            <w:fldChar w:fldCharType="end"/>
          </w:r>
          <w:r>
            <w:rPr>
              <w:rFonts w:hint="eastAsia" w:ascii="仿宋_GB2312" w:hAnsi="Times New Roman" w:eastAsia="仿宋_GB2312" w:cs="Times New Roman"/>
              <w:kern w:val="0"/>
              <w:sz w:val="24"/>
              <w:szCs w:val="36"/>
              <w:lang w:val="en-US" w:eastAsia="zh-CN" w:bidi="ar-SA"/>
            </w:rPr>
            <w:fldChar w:fldCharType="end"/>
          </w:r>
        </w:p>
        <w:p w14:paraId="4323ECA6">
          <w:pPr>
            <w:pStyle w:val="37"/>
            <w:keepNext w:val="0"/>
            <w:keepLines w:val="0"/>
            <w:pageBreakBefore w:val="0"/>
            <w:tabs>
              <w:tab w:val="right" w:leader="hyphen" w:pos="8306"/>
            </w:tabs>
            <w:kinsoku/>
            <w:wordWrap/>
            <w:overflowPunct/>
            <w:topLinePunct w:val="0"/>
            <w:autoSpaceDE/>
            <w:autoSpaceDN/>
            <w:bidi w:val="0"/>
            <w:adjustRightInd/>
            <w:snapToGrid/>
            <w:spacing w:line="360" w:lineRule="auto"/>
            <w:textAlignment w:val="auto"/>
            <w:rPr>
              <w:sz w:val="24"/>
              <w:szCs w:val="24"/>
            </w:rPr>
          </w:pPr>
          <w:r>
            <w:rPr>
              <w:rFonts w:hint="eastAsia" w:ascii="仿宋_GB2312" w:hAnsi="Times New Roman" w:eastAsia="仿宋_GB2312" w:cs="Times New Roman"/>
              <w:kern w:val="0"/>
              <w:sz w:val="24"/>
              <w:szCs w:val="36"/>
              <w:lang w:val="en-US" w:eastAsia="zh-CN" w:bidi="ar-SA"/>
            </w:rPr>
            <w:fldChar w:fldCharType="begin"/>
          </w:r>
          <w:r>
            <w:rPr>
              <w:rFonts w:hint="eastAsia" w:ascii="仿宋_GB2312" w:hAnsi="Times New Roman" w:eastAsia="仿宋_GB2312" w:cs="Times New Roman"/>
              <w:kern w:val="0"/>
              <w:sz w:val="24"/>
              <w:szCs w:val="36"/>
              <w:lang w:val="en-US" w:eastAsia="zh-CN" w:bidi="ar-SA"/>
            </w:rPr>
            <w:instrText xml:space="preserve"> HYPERLINK \l _Toc3958 </w:instrText>
          </w:r>
          <w:r>
            <w:rPr>
              <w:rFonts w:hint="eastAsia" w:ascii="仿宋_GB2312" w:hAnsi="Times New Roman" w:eastAsia="仿宋_GB2312" w:cs="Times New Roman"/>
              <w:kern w:val="0"/>
              <w:sz w:val="24"/>
              <w:szCs w:val="36"/>
              <w:lang w:val="en-US" w:eastAsia="zh-CN" w:bidi="ar-SA"/>
            </w:rPr>
            <w:fldChar w:fldCharType="separate"/>
          </w:r>
          <w:r>
            <w:rPr>
              <w:rFonts w:hint="eastAsia"/>
              <w:sz w:val="24"/>
              <w:szCs w:val="24"/>
            </w:rPr>
            <w:t>四、财政拨款收入支出决算总表</w:t>
          </w:r>
          <w:r>
            <w:rPr>
              <w:sz w:val="24"/>
              <w:szCs w:val="24"/>
            </w:rPr>
            <w:tab/>
          </w:r>
          <w:r>
            <w:rPr>
              <w:sz w:val="24"/>
              <w:szCs w:val="24"/>
            </w:rPr>
            <w:fldChar w:fldCharType="begin"/>
          </w:r>
          <w:r>
            <w:rPr>
              <w:sz w:val="24"/>
              <w:szCs w:val="24"/>
            </w:rPr>
            <w:instrText xml:space="preserve"> PAGEREF _Toc3958 \h </w:instrText>
          </w:r>
          <w:r>
            <w:rPr>
              <w:sz w:val="24"/>
              <w:szCs w:val="24"/>
            </w:rPr>
            <w:fldChar w:fldCharType="separate"/>
          </w:r>
          <w:r>
            <w:rPr>
              <w:sz w:val="24"/>
              <w:szCs w:val="24"/>
            </w:rPr>
            <w:t>74</w:t>
          </w:r>
          <w:r>
            <w:rPr>
              <w:sz w:val="24"/>
              <w:szCs w:val="24"/>
            </w:rPr>
            <w:fldChar w:fldCharType="end"/>
          </w:r>
          <w:r>
            <w:rPr>
              <w:rFonts w:hint="eastAsia" w:ascii="仿宋_GB2312" w:hAnsi="Times New Roman" w:eastAsia="仿宋_GB2312" w:cs="Times New Roman"/>
              <w:kern w:val="0"/>
              <w:sz w:val="24"/>
              <w:szCs w:val="36"/>
              <w:lang w:val="en-US" w:eastAsia="zh-CN" w:bidi="ar-SA"/>
            </w:rPr>
            <w:fldChar w:fldCharType="end"/>
          </w:r>
        </w:p>
        <w:p w14:paraId="75F4FFBB">
          <w:pPr>
            <w:pStyle w:val="37"/>
            <w:keepNext w:val="0"/>
            <w:keepLines w:val="0"/>
            <w:pageBreakBefore w:val="0"/>
            <w:tabs>
              <w:tab w:val="right" w:leader="hyphen" w:pos="8306"/>
            </w:tabs>
            <w:kinsoku/>
            <w:wordWrap/>
            <w:overflowPunct/>
            <w:topLinePunct w:val="0"/>
            <w:autoSpaceDE/>
            <w:autoSpaceDN/>
            <w:bidi w:val="0"/>
            <w:adjustRightInd/>
            <w:snapToGrid/>
            <w:spacing w:line="360" w:lineRule="auto"/>
            <w:textAlignment w:val="auto"/>
            <w:rPr>
              <w:sz w:val="24"/>
              <w:szCs w:val="24"/>
            </w:rPr>
          </w:pPr>
          <w:r>
            <w:rPr>
              <w:rFonts w:hint="eastAsia" w:ascii="仿宋_GB2312" w:hAnsi="Times New Roman" w:eastAsia="仿宋_GB2312" w:cs="Times New Roman"/>
              <w:kern w:val="0"/>
              <w:sz w:val="24"/>
              <w:szCs w:val="36"/>
              <w:lang w:val="en-US" w:eastAsia="zh-CN" w:bidi="ar-SA"/>
            </w:rPr>
            <w:fldChar w:fldCharType="begin"/>
          </w:r>
          <w:r>
            <w:rPr>
              <w:rFonts w:hint="eastAsia" w:ascii="仿宋_GB2312" w:hAnsi="Times New Roman" w:eastAsia="仿宋_GB2312" w:cs="Times New Roman"/>
              <w:kern w:val="0"/>
              <w:sz w:val="24"/>
              <w:szCs w:val="36"/>
              <w:lang w:val="en-US" w:eastAsia="zh-CN" w:bidi="ar-SA"/>
            </w:rPr>
            <w:instrText xml:space="preserve"> HYPERLINK \l _Toc15833 </w:instrText>
          </w:r>
          <w:r>
            <w:rPr>
              <w:rFonts w:hint="eastAsia" w:ascii="仿宋_GB2312" w:hAnsi="Times New Roman" w:eastAsia="仿宋_GB2312" w:cs="Times New Roman"/>
              <w:kern w:val="0"/>
              <w:sz w:val="24"/>
              <w:szCs w:val="36"/>
              <w:lang w:val="en-US" w:eastAsia="zh-CN" w:bidi="ar-SA"/>
            </w:rPr>
            <w:fldChar w:fldCharType="separate"/>
          </w:r>
          <w:r>
            <w:rPr>
              <w:rFonts w:hint="eastAsia"/>
              <w:sz w:val="24"/>
              <w:szCs w:val="24"/>
            </w:rPr>
            <w:t>五、财政拨款支出决算明细表</w:t>
          </w:r>
          <w:r>
            <w:rPr>
              <w:sz w:val="24"/>
              <w:szCs w:val="24"/>
            </w:rPr>
            <w:tab/>
          </w:r>
          <w:r>
            <w:rPr>
              <w:sz w:val="24"/>
              <w:szCs w:val="24"/>
            </w:rPr>
            <w:fldChar w:fldCharType="begin"/>
          </w:r>
          <w:r>
            <w:rPr>
              <w:sz w:val="24"/>
              <w:szCs w:val="24"/>
            </w:rPr>
            <w:instrText xml:space="preserve"> PAGEREF _Toc15833 \h </w:instrText>
          </w:r>
          <w:r>
            <w:rPr>
              <w:sz w:val="24"/>
              <w:szCs w:val="24"/>
            </w:rPr>
            <w:fldChar w:fldCharType="separate"/>
          </w:r>
          <w:r>
            <w:rPr>
              <w:sz w:val="24"/>
              <w:szCs w:val="24"/>
            </w:rPr>
            <w:t>74</w:t>
          </w:r>
          <w:r>
            <w:rPr>
              <w:sz w:val="24"/>
              <w:szCs w:val="24"/>
            </w:rPr>
            <w:fldChar w:fldCharType="end"/>
          </w:r>
          <w:r>
            <w:rPr>
              <w:rFonts w:hint="eastAsia" w:ascii="仿宋_GB2312" w:hAnsi="Times New Roman" w:eastAsia="仿宋_GB2312" w:cs="Times New Roman"/>
              <w:kern w:val="0"/>
              <w:sz w:val="24"/>
              <w:szCs w:val="36"/>
              <w:lang w:val="en-US" w:eastAsia="zh-CN" w:bidi="ar-SA"/>
            </w:rPr>
            <w:fldChar w:fldCharType="end"/>
          </w:r>
        </w:p>
        <w:p w14:paraId="37F56EC4">
          <w:pPr>
            <w:pStyle w:val="37"/>
            <w:keepNext w:val="0"/>
            <w:keepLines w:val="0"/>
            <w:pageBreakBefore w:val="0"/>
            <w:tabs>
              <w:tab w:val="right" w:leader="hyphen" w:pos="8306"/>
            </w:tabs>
            <w:kinsoku/>
            <w:wordWrap/>
            <w:overflowPunct/>
            <w:topLinePunct w:val="0"/>
            <w:autoSpaceDE/>
            <w:autoSpaceDN/>
            <w:bidi w:val="0"/>
            <w:adjustRightInd/>
            <w:snapToGrid/>
            <w:spacing w:line="360" w:lineRule="auto"/>
            <w:textAlignment w:val="auto"/>
            <w:rPr>
              <w:sz w:val="24"/>
              <w:szCs w:val="24"/>
            </w:rPr>
          </w:pPr>
          <w:r>
            <w:rPr>
              <w:rFonts w:hint="eastAsia" w:ascii="仿宋_GB2312" w:hAnsi="Times New Roman" w:eastAsia="仿宋_GB2312" w:cs="Times New Roman"/>
              <w:kern w:val="0"/>
              <w:sz w:val="24"/>
              <w:szCs w:val="36"/>
              <w:lang w:val="en-US" w:eastAsia="zh-CN" w:bidi="ar-SA"/>
            </w:rPr>
            <w:fldChar w:fldCharType="begin"/>
          </w:r>
          <w:r>
            <w:rPr>
              <w:rFonts w:hint="eastAsia" w:ascii="仿宋_GB2312" w:hAnsi="Times New Roman" w:eastAsia="仿宋_GB2312" w:cs="Times New Roman"/>
              <w:kern w:val="0"/>
              <w:sz w:val="24"/>
              <w:szCs w:val="36"/>
              <w:lang w:val="en-US" w:eastAsia="zh-CN" w:bidi="ar-SA"/>
            </w:rPr>
            <w:instrText xml:space="preserve"> HYPERLINK \l _Toc14204 </w:instrText>
          </w:r>
          <w:r>
            <w:rPr>
              <w:rFonts w:hint="eastAsia" w:ascii="仿宋_GB2312" w:hAnsi="Times New Roman" w:eastAsia="仿宋_GB2312" w:cs="Times New Roman"/>
              <w:kern w:val="0"/>
              <w:sz w:val="24"/>
              <w:szCs w:val="36"/>
              <w:lang w:val="en-US" w:eastAsia="zh-CN" w:bidi="ar-SA"/>
            </w:rPr>
            <w:fldChar w:fldCharType="separate"/>
          </w:r>
          <w:r>
            <w:rPr>
              <w:rFonts w:hint="eastAsia"/>
              <w:sz w:val="24"/>
              <w:szCs w:val="24"/>
            </w:rPr>
            <w:t>六、一般公共预算财政拨款支出决算表</w:t>
          </w:r>
          <w:r>
            <w:rPr>
              <w:sz w:val="24"/>
              <w:szCs w:val="24"/>
            </w:rPr>
            <w:tab/>
          </w:r>
          <w:r>
            <w:rPr>
              <w:sz w:val="24"/>
              <w:szCs w:val="24"/>
            </w:rPr>
            <w:fldChar w:fldCharType="begin"/>
          </w:r>
          <w:r>
            <w:rPr>
              <w:sz w:val="24"/>
              <w:szCs w:val="24"/>
            </w:rPr>
            <w:instrText xml:space="preserve"> PAGEREF _Toc14204 \h </w:instrText>
          </w:r>
          <w:r>
            <w:rPr>
              <w:sz w:val="24"/>
              <w:szCs w:val="24"/>
            </w:rPr>
            <w:fldChar w:fldCharType="separate"/>
          </w:r>
          <w:r>
            <w:rPr>
              <w:sz w:val="24"/>
              <w:szCs w:val="24"/>
            </w:rPr>
            <w:t>74</w:t>
          </w:r>
          <w:r>
            <w:rPr>
              <w:sz w:val="24"/>
              <w:szCs w:val="24"/>
            </w:rPr>
            <w:fldChar w:fldCharType="end"/>
          </w:r>
          <w:r>
            <w:rPr>
              <w:rFonts w:hint="eastAsia" w:ascii="仿宋_GB2312" w:hAnsi="Times New Roman" w:eastAsia="仿宋_GB2312" w:cs="Times New Roman"/>
              <w:kern w:val="0"/>
              <w:sz w:val="24"/>
              <w:szCs w:val="36"/>
              <w:lang w:val="en-US" w:eastAsia="zh-CN" w:bidi="ar-SA"/>
            </w:rPr>
            <w:fldChar w:fldCharType="end"/>
          </w:r>
        </w:p>
        <w:p w14:paraId="72233DE8">
          <w:pPr>
            <w:pStyle w:val="37"/>
            <w:keepNext w:val="0"/>
            <w:keepLines w:val="0"/>
            <w:pageBreakBefore w:val="0"/>
            <w:tabs>
              <w:tab w:val="right" w:leader="hyphen" w:pos="8306"/>
            </w:tabs>
            <w:kinsoku/>
            <w:wordWrap/>
            <w:overflowPunct/>
            <w:topLinePunct w:val="0"/>
            <w:autoSpaceDE/>
            <w:autoSpaceDN/>
            <w:bidi w:val="0"/>
            <w:adjustRightInd/>
            <w:snapToGrid/>
            <w:spacing w:line="360" w:lineRule="auto"/>
            <w:textAlignment w:val="auto"/>
            <w:rPr>
              <w:sz w:val="24"/>
              <w:szCs w:val="24"/>
            </w:rPr>
          </w:pPr>
          <w:r>
            <w:rPr>
              <w:rFonts w:hint="eastAsia" w:ascii="仿宋_GB2312" w:hAnsi="Times New Roman" w:eastAsia="仿宋_GB2312" w:cs="Times New Roman"/>
              <w:kern w:val="0"/>
              <w:sz w:val="24"/>
              <w:szCs w:val="36"/>
              <w:lang w:val="en-US" w:eastAsia="zh-CN" w:bidi="ar-SA"/>
            </w:rPr>
            <w:fldChar w:fldCharType="begin"/>
          </w:r>
          <w:r>
            <w:rPr>
              <w:rFonts w:hint="eastAsia" w:ascii="仿宋_GB2312" w:hAnsi="Times New Roman" w:eastAsia="仿宋_GB2312" w:cs="Times New Roman"/>
              <w:kern w:val="0"/>
              <w:sz w:val="24"/>
              <w:szCs w:val="36"/>
              <w:lang w:val="en-US" w:eastAsia="zh-CN" w:bidi="ar-SA"/>
            </w:rPr>
            <w:instrText xml:space="preserve"> HYPERLINK \l _Toc2971 </w:instrText>
          </w:r>
          <w:r>
            <w:rPr>
              <w:rFonts w:hint="eastAsia" w:ascii="仿宋_GB2312" w:hAnsi="Times New Roman" w:eastAsia="仿宋_GB2312" w:cs="Times New Roman"/>
              <w:kern w:val="0"/>
              <w:sz w:val="24"/>
              <w:szCs w:val="36"/>
              <w:lang w:val="en-US" w:eastAsia="zh-CN" w:bidi="ar-SA"/>
            </w:rPr>
            <w:fldChar w:fldCharType="separate"/>
          </w:r>
          <w:r>
            <w:rPr>
              <w:rFonts w:hint="eastAsia"/>
              <w:sz w:val="24"/>
              <w:szCs w:val="24"/>
            </w:rPr>
            <w:t>七、一般公共预算财政拨款支出决算明细表</w:t>
          </w:r>
          <w:r>
            <w:rPr>
              <w:sz w:val="24"/>
              <w:szCs w:val="24"/>
            </w:rPr>
            <w:tab/>
          </w:r>
          <w:r>
            <w:rPr>
              <w:sz w:val="24"/>
              <w:szCs w:val="24"/>
            </w:rPr>
            <w:fldChar w:fldCharType="begin"/>
          </w:r>
          <w:r>
            <w:rPr>
              <w:sz w:val="24"/>
              <w:szCs w:val="24"/>
            </w:rPr>
            <w:instrText xml:space="preserve"> PAGEREF _Toc2971 \h </w:instrText>
          </w:r>
          <w:r>
            <w:rPr>
              <w:sz w:val="24"/>
              <w:szCs w:val="24"/>
            </w:rPr>
            <w:fldChar w:fldCharType="separate"/>
          </w:r>
          <w:r>
            <w:rPr>
              <w:sz w:val="24"/>
              <w:szCs w:val="24"/>
            </w:rPr>
            <w:t>74</w:t>
          </w:r>
          <w:r>
            <w:rPr>
              <w:sz w:val="24"/>
              <w:szCs w:val="24"/>
            </w:rPr>
            <w:fldChar w:fldCharType="end"/>
          </w:r>
          <w:r>
            <w:rPr>
              <w:rFonts w:hint="eastAsia" w:ascii="仿宋_GB2312" w:hAnsi="Times New Roman" w:eastAsia="仿宋_GB2312" w:cs="Times New Roman"/>
              <w:kern w:val="0"/>
              <w:sz w:val="24"/>
              <w:szCs w:val="36"/>
              <w:lang w:val="en-US" w:eastAsia="zh-CN" w:bidi="ar-SA"/>
            </w:rPr>
            <w:fldChar w:fldCharType="end"/>
          </w:r>
        </w:p>
        <w:p w14:paraId="7A90DE8E">
          <w:pPr>
            <w:pStyle w:val="37"/>
            <w:keepNext w:val="0"/>
            <w:keepLines w:val="0"/>
            <w:pageBreakBefore w:val="0"/>
            <w:tabs>
              <w:tab w:val="right" w:leader="hyphen" w:pos="8306"/>
            </w:tabs>
            <w:kinsoku/>
            <w:wordWrap/>
            <w:overflowPunct/>
            <w:topLinePunct w:val="0"/>
            <w:autoSpaceDE/>
            <w:autoSpaceDN/>
            <w:bidi w:val="0"/>
            <w:adjustRightInd/>
            <w:snapToGrid/>
            <w:spacing w:line="360" w:lineRule="auto"/>
            <w:textAlignment w:val="auto"/>
            <w:rPr>
              <w:sz w:val="24"/>
              <w:szCs w:val="24"/>
            </w:rPr>
          </w:pPr>
          <w:r>
            <w:rPr>
              <w:rFonts w:hint="eastAsia" w:ascii="仿宋_GB2312" w:hAnsi="Times New Roman" w:eastAsia="仿宋_GB2312" w:cs="Times New Roman"/>
              <w:kern w:val="0"/>
              <w:sz w:val="24"/>
              <w:szCs w:val="36"/>
              <w:lang w:val="en-US" w:eastAsia="zh-CN" w:bidi="ar-SA"/>
            </w:rPr>
            <w:fldChar w:fldCharType="begin"/>
          </w:r>
          <w:r>
            <w:rPr>
              <w:rFonts w:hint="eastAsia" w:ascii="仿宋_GB2312" w:hAnsi="Times New Roman" w:eastAsia="仿宋_GB2312" w:cs="Times New Roman"/>
              <w:kern w:val="0"/>
              <w:sz w:val="24"/>
              <w:szCs w:val="36"/>
              <w:lang w:val="en-US" w:eastAsia="zh-CN" w:bidi="ar-SA"/>
            </w:rPr>
            <w:instrText xml:space="preserve"> HYPERLINK \l _Toc7638 </w:instrText>
          </w:r>
          <w:r>
            <w:rPr>
              <w:rFonts w:hint="eastAsia" w:ascii="仿宋_GB2312" w:hAnsi="Times New Roman" w:eastAsia="仿宋_GB2312" w:cs="Times New Roman"/>
              <w:kern w:val="0"/>
              <w:sz w:val="24"/>
              <w:szCs w:val="36"/>
              <w:lang w:val="en-US" w:eastAsia="zh-CN" w:bidi="ar-SA"/>
            </w:rPr>
            <w:fldChar w:fldCharType="separate"/>
          </w:r>
          <w:r>
            <w:rPr>
              <w:rFonts w:hint="eastAsia"/>
              <w:sz w:val="24"/>
              <w:szCs w:val="24"/>
            </w:rPr>
            <w:t>八、一般公共预算财政拨款基本支出决算表</w:t>
          </w:r>
          <w:r>
            <w:rPr>
              <w:sz w:val="24"/>
              <w:szCs w:val="24"/>
            </w:rPr>
            <w:tab/>
          </w:r>
          <w:r>
            <w:rPr>
              <w:sz w:val="24"/>
              <w:szCs w:val="24"/>
            </w:rPr>
            <w:fldChar w:fldCharType="begin"/>
          </w:r>
          <w:r>
            <w:rPr>
              <w:sz w:val="24"/>
              <w:szCs w:val="24"/>
            </w:rPr>
            <w:instrText xml:space="preserve"> PAGEREF _Toc7638 \h </w:instrText>
          </w:r>
          <w:r>
            <w:rPr>
              <w:sz w:val="24"/>
              <w:szCs w:val="24"/>
            </w:rPr>
            <w:fldChar w:fldCharType="separate"/>
          </w:r>
          <w:r>
            <w:rPr>
              <w:sz w:val="24"/>
              <w:szCs w:val="24"/>
            </w:rPr>
            <w:t>74</w:t>
          </w:r>
          <w:r>
            <w:rPr>
              <w:sz w:val="24"/>
              <w:szCs w:val="24"/>
            </w:rPr>
            <w:fldChar w:fldCharType="end"/>
          </w:r>
          <w:r>
            <w:rPr>
              <w:rFonts w:hint="eastAsia" w:ascii="仿宋_GB2312" w:hAnsi="Times New Roman" w:eastAsia="仿宋_GB2312" w:cs="Times New Roman"/>
              <w:kern w:val="0"/>
              <w:sz w:val="24"/>
              <w:szCs w:val="36"/>
              <w:lang w:val="en-US" w:eastAsia="zh-CN" w:bidi="ar-SA"/>
            </w:rPr>
            <w:fldChar w:fldCharType="end"/>
          </w:r>
        </w:p>
        <w:p w14:paraId="43FFC90A">
          <w:pPr>
            <w:pStyle w:val="37"/>
            <w:keepNext w:val="0"/>
            <w:keepLines w:val="0"/>
            <w:pageBreakBefore w:val="0"/>
            <w:tabs>
              <w:tab w:val="right" w:leader="hyphen" w:pos="8306"/>
            </w:tabs>
            <w:kinsoku/>
            <w:wordWrap/>
            <w:overflowPunct/>
            <w:topLinePunct w:val="0"/>
            <w:autoSpaceDE/>
            <w:autoSpaceDN/>
            <w:bidi w:val="0"/>
            <w:adjustRightInd/>
            <w:snapToGrid/>
            <w:spacing w:line="360" w:lineRule="auto"/>
            <w:textAlignment w:val="auto"/>
            <w:rPr>
              <w:sz w:val="24"/>
              <w:szCs w:val="24"/>
            </w:rPr>
          </w:pPr>
          <w:r>
            <w:rPr>
              <w:rFonts w:hint="eastAsia" w:ascii="仿宋_GB2312" w:hAnsi="Times New Roman" w:eastAsia="仿宋_GB2312" w:cs="Times New Roman"/>
              <w:kern w:val="0"/>
              <w:sz w:val="24"/>
              <w:szCs w:val="36"/>
              <w:lang w:val="en-US" w:eastAsia="zh-CN" w:bidi="ar-SA"/>
            </w:rPr>
            <w:fldChar w:fldCharType="begin"/>
          </w:r>
          <w:r>
            <w:rPr>
              <w:rFonts w:hint="eastAsia" w:ascii="仿宋_GB2312" w:hAnsi="Times New Roman" w:eastAsia="仿宋_GB2312" w:cs="Times New Roman"/>
              <w:kern w:val="0"/>
              <w:sz w:val="24"/>
              <w:szCs w:val="36"/>
              <w:lang w:val="en-US" w:eastAsia="zh-CN" w:bidi="ar-SA"/>
            </w:rPr>
            <w:instrText xml:space="preserve"> HYPERLINK \l _Toc1619 </w:instrText>
          </w:r>
          <w:r>
            <w:rPr>
              <w:rFonts w:hint="eastAsia" w:ascii="仿宋_GB2312" w:hAnsi="Times New Roman" w:eastAsia="仿宋_GB2312" w:cs="Times New Roman"/>
              <w:kern w:val="0"/>
              <w:sz w:val="24"/>
              <w:szCs w:val="36"/>
              <w:lang w:val="en-US" w:eastAsia="zh-CN" w:bidi="ar-SA"/>
            </w:rPr>
            <w:fldChar w:fldCharType="separate"/>
          </w:r>
          <w:r>
            <w:rPr>
              <w:rFonts w:hint="eastAsia"/>
              <w:sz w:val="24"/>
              <w:szCs w:val="24"/>
            </w:rPr>
            <w:t>九、一般公共预算财政拨款项目支出决算表</w:t>
          </w:r>
          <w:r>
            <w:rPr>
              <w:sz w:val="24"/>
              <w:szCs w:val="24"/>
            </w:rPr>
            <w:tab/>
          </w:r>
          <w:r>
            <w:rPr>
              <w:sz w:val="24"/>
              <w:szCs w:val="24"/>
            </w:rPr>
            <w:fldChar w:fldCharType="begin"/>
          </w:r>
          <w:r>
            <w:rPr>
              <w:sz w:val="24"/>
              <w:szCs w:val="24"/>
            </w:rPr>
            <w:instrText xml:space="preserve"> PAGEREF _Toc1619 \h </w:instrText>
          </w:r>
          <w:r>
            <w:rPr>
              <w:sz w:val="24"/>
              <w:szCs w:val="24"/>
            </w:rPr>
            <w:fldChar w:fldCharType="separate"/>
          </w:r>
          <w:r>
            <w:rPr>
              <w:sz w:val="24"/>
              <w:szCs w:val="24"/>
            </w:rPr>
            <w:t>74</w:t>
          </w:r>
          <w:r>
            <w:rPr>
              <w:sz w:val="24"/>
              <w:szCs w:val="24"/>
            </w:rPr>
            <w:fldChar w:fldCharType="end"/>
          </w:r>
          <w:r>
            <w:rPr>
              <w:rFonts w:hint="eastAsia" w:ascii="仿宋_GB2312" w:hAnsi="Times New Roman" w:eastAsia="仿宋_GB2312" w:cs="Times New Roman"/>
              <w:kern w:val="0"/>
              <w:sz w:val="24"/>
              <w:szCs w:val="36"/>
              <w:lang w:val="en-US" w:eastAsia="zh-CN" w:bidi="ar-SA"/>
            </w:rPr>
            <w:fldChar w:fldCharType="end"/>
          </w:r>
        </w:p>
        <w:p w14:paraId="69485F5E">
          <w:pPr>
            <w:pStyle w:val="37"/>
            <w:keepNext w:val="0"/>
            <w:keepLines w:val="0"/>
            <w:pageBreakBefore w:val="0"/>
            <w:tabs>
              <w:tab w:val="right" w:leader="hyphen" w:pos="8306"/>
            </w:tabs>
            <w:kinsoku/>
            <w:wordWrap/>
            <w:overflowPunct/>
            <w:topLinePunct w:val="0"/>
            <w:autoSpaceDE/>
            <w:autoSpaceDN/>
            <w:bidi w:val="0"/>
            <w:adjustRightInd/>
            <w:snapToGrid/>
            <w:spacing w:line="360" w:lineRule="auto"/>
            <w:textAlignment w:val="auto"/>
            <w:rPr>
              <w:sz w:val="24"/>
              <w:szCs w:val="24"/>
            </w:rPr>
          </w:pPr>
          <w:r>
            <w:rPr>
              <w:rFonts w:hint="eastAsia" w:ascii="仿宋_GB2312" w:hAnsi="Times New Roman" w:eastAsia="仿宋_GB2312" w:cs="Times New Roman"/>
              <w:kern w:val="0"/>
              <w:sz w:val="24"/>
              <w:szCs w:val="36"/>
              <w:lang w:val="en-US" w:eastAsia="zh-CN" w:bidi="ar-SA"/>
            </w:rPr>
            <w:fldChar w:fldCharType="begin"/>
          </w:r>
          <w:r>
            <w:rPr>
              <w:rFonts w:hint="eastAsia" w:ascii="仿宋_GB2312" w:hAnsi="Times New Roman" w:eastAsia="仿宋_GB2312" w:cs="Times New Roman"/>
              <w:kern w:val="0"/>
              <w:sz w:val="24"/>
              <w:szCs w:val="36"/>
              <w:lang w:val="en-US" w:eastAsia="zh-CN" w:bidi="ar-SA"/>
            </w:rPr>
            <w:instrText xml:space="preserve"> HYPERLINK \l _Toc20097 </w:instrText>
          </w:r>
          <w:r>
            <w:rPr>
              <w:rFonts w:hint="eastAsia" w:ascii="仿宋_GB2312" w:hAnsi="Times New Roman" w:eastAsia="仿宋_GB2312" w:cs="Times New Roman"/>
              <w:kern w:val="0"/>
              <w:sz w:val="24"/>
              <w:szCs w:val="36"/>
              <w:lang w:val="en-US" w:eastAsia="zh-CN" w:bidi="ar-SA"/>
            </w:rPr>
            <w:fldChar w:fldCharType="separate"/>
          </w:r>
          <w:r>
            <w:rPr>
              <w:rFonts w:hint="eastAsia"/>
              <w:sz w:val="24"/>
              <w:szCs w:val="24"/>
            </w:rPr>
            <w:t>十、一般公共预算财政拨款“三公”经费支出决算表</w:t>
          </w:r>
          <w:r>
            <w:rPr>
              <w:sz w:val="24"/>
              <w:szCs w:val="24"/>
            </w:rPr>
            <w:tab/>
          </w:r>
          <w:r>
            <w:rPr>
              <w:sz w:val="24"/>
              <w:szCs w:val="24"/>
            </w:rPr>
            <w:fldChar w:fldCharType="begin"/>
          </w:r>
          <w:r>
            <w:rPr>
              <w:sz w:val="24"/>
              <w:szCs w:val="24"/>
            </w:rPr>
            <w:instrText xml:space="preserve"> PAGEREF _Toc20097 \h </w:instrText>
          </w:r>
          <w:r>
            <w:rPr>
              <w:sz w:val="24"/>
              <w:szCs w:val="24"/>
            </w:rPr>
            <w:fldChar w:fldCharType="separate"/>
          </w:r>
          <w:r>
            <w:rPr>
              <w:sz w:val="24"/>
              <w:szCs w:val="24"/>
            </w:rPr>
            <w:t>74</w:t>
          </w:r>
          <w:r>
            <w:rPr>
              <w:sz w:val="24"/>
              <w:szCs w:val="24"/>
            </w:rPr>
            <w:fldChar w:fldCharType="end"/>
          </w:r>
          <w:r>
            <w:rPr>
              <w:rFonts w:hint="eastAsia" w:ascii="仿宋_GB2312" w:hAnsi="Times New Roman" w:eastAsia="仿宋_GB2312" w:cs="Times New Roman"/>
              <w:kern w:val="0"/>
              <w:sz w:val="24"/>
              <w:szCs w:val="36"/>
              <w:lang w:val="en-US" w:eastAsia="zh-CN" w:bidi="ar-SA"/>
            </w:rPr>
            <w:fldChar w:fldCharType="end"/>
          </w:r>
        </w:p>
        <w:p w14:paraId="5EAA95F6">
          <w:pPr>
            <w:pStyle w:val="37"/>
            <w:keepNext w:val="0"/>
            <w:keepLines w:val="0"/>
            <w:pageBreakBefore w:val="0"/>
            <w:tabs>
              <w:tab w:val="right" w:leader="hyphen" w:pos="8306"/>
            </w:tabs>
            <w:kinsoku/>
            <w:wordWrap/>
            <w:overflowPunct/>
            <w:topLinePunct w:val="0"/>
            <w:autoSpaceDE/>
            <w:autoSpaceDN/>
            <w:bidi w:val="0"/>
            <w:adjustRightInd/>
            <w:snapToGrid/>
            <w:spacing w:line="360" w:lineRule="auto"/>
            <w:textAlignment w:val="auto"/>
            <w:rPr>
              <w:sz w:val="24"/>
              <w:szCs w:val="24"/>
            </w:rPr>
          </w:pPr>
          <w:r>
            <w:rPr>
              <w:rFonts w:hint="eastAsia" w:ascii="仿宋_GB2312" w:hAnsi="Times New Roman" w:eastAsia="仿宋_GB2312" w:cs="Times New Roman"/>
              <w:kern w:val="0"/>
              <w:sz w:val="24"/>
              <w:szCs w:val="36"/>
              <w:lang w:val="en-US" w:eastAsia="zh-CN" w:bidi="ar-SA"/>
            </w:rPr>
            <w:fldChar w:fldCharType="begin"/>
          </w:r>
          <w:r>
            <w:rPr>
              <w:rFonts w:hint="eastAsia" w:ascii="仿宋_GB2312" w:hAnsi="Times New Roman" w:eastAsia="仿宋_GB2312" w:cs="Times New Roman"/>
              <w:kern w:val="0"/>
              <w:sz w:val="24"/>
              <w:szCs w:val="36"/>
              <w:lang w:val="en-US" w:eastAsia="zh-CN" w:bidi="ar-SA"/>
            </w:rPr>
            <w:instrText xml:space="preserve"> HYPERLINK \l _Toc4980 </w:instrText>
          </w:r>
          <w:r>
            <w:rPr>
              <w:rFonts w:hint="eastAsia" w:ascii="仿宋_GB2312" w:hAnsi="Times New Roman" w:eastAsia="仿宋_GB2312" w:cs="Times New Roman"/>
              <w:kern w:val="0"/>
              <w:sz w:val="24"/>
              <w:szCs w:val="36"/>
              <w:lang w:val="en-US" w:eastAsia="zh-CN" w:bidi="ar-SA"/>
            </w:rPr>
            <w:fldChar w:fldCharType="separate"/>
          </w:r>
          <w:r>
            <w:rPr>
              <w:rFonts w:hint="eastAsia"/>
              <w:sz w:val="24"/>
              <w:szCs w:val="24"/>
            </w:rPr>
            <w:t>十一、政府性基金预算财政拨款收入支出决算表</w:t>
          </w:r>
          <w:r>
            <w:rPr>
              <w:sz w:val="24"/>
              <w:szCs w:val="24"/>
            </w:rPr>
            <w:tab/>
          </w:r>
          <w:r>
            <w:rPr>
              <w:sz w:val="24"/>
              <w:szCs w:val="24"/>
            </w:rPr>
            <w:fldChar w:fldCharType="begin"/>
          </w:r>
          <w:r>
            <w:rPr>
              <w:sz w:val="24"/>
              <w:szCs w:val="24"/>
            </w:rPr>
            <w:instrText xml:space="preserve"> PAGEREF _Toc4980 \h </w:instrText>
          </w:r>
          <w:r>
            <w:rPr>
              <w:sz w:val="24"/>
              <w:szCs w:val="24"/>
            </w:rPr>
            <w:fldChar w:fldCharType="separate"/>
          </w:r>
          <w:r>
            <w:rPr>
              <w:sz w:val="24"/>
              <w:szCs w:val="24"/>
            </w:rPr>
            <w:t>74</w:t>
          </w:r>
          <w:r>
            <w:rPr>
              <w:sz w:val="24"/>
              <w:szCs w:val="24"/>
            </w:rPr>
            <w:fldChar w:fldCharType="end"/>
          </w:r>
          <w:r>
            <w:rPr>
              <w:rFonts w:hint="eastAsia" w:ascii="仿宋_GB2312" w:hAnsi="Times New Roman" w:eastAsia="仿宋_GB2312" w:cs="Times New Roman"/>
              <w:kern w:val="0"/>
              <w:sz w:val="24"/>
              <w:szCs w:val="36"/>
              <w:lang w:val="en-US" w:eastAsia="zh-CN" w:bidi="ar-SA"/>
            </w:rPr>
            <w:fldChar w:fldCharType="end"/>
          </w:r>
        </w:p>
        <w:p w14:paraId="27BD6B85">
          <w:pPr>
            <w:pStyle w:val="37"/>
            <w:keepNext w:val="0"/>
            <w:keepLines w:val="0"/>
            <w:pageBreakBefore w:val="0"/>
            <w:tabs>
              <w:tab w:val="right" w:leader="hyphen" w:pos="8306"/>
            </w:tabs>
            <w:kinsoku/>
            <w:wordWrap/>
            <w:overflowPunct/>
            <w:topLinePunct w:val="0"/>
            <w:autoSpaceDE/>
            <w:autoSpaceDN/>
            <w:bidi w:val="0"/>
            <w:adjustRightInd/>
            <w:snapToGrid/>
            <w:spacing w:line="360" w:lineRule="auto"/>
            <w:textAlignment w:val="auto"/>
            <w:rPr>
              <w:sz w:val="24"/>
              <w:szCs w:val="24"/>
            </w:rPr>
          </w:pPr>
          <w:r>
            <w:rPr>
              <w:rFonts w:hint="eastAsia" w:ascii="仿宋_GB2312" w:hAnsi="Times New Roman" w:eastAsia="仿宋_GB2312" w:cs="Times New Roman"/>
              <w:kern w:val="0"/>
              <w:sz w:val="24"/>
              <w:szCs w:val="36"/>
              <w:lang w:val="en-US" w:eastAsia="zh-CN" w:bidi="ar-SA"/>
            </w:rPr>
            <w:fldChar w:fldCharType="begin"/>
          </w:r>
          <w:r>
            <w:rPr>
              <w:rFonts w:hint="eastAsia" w:ascii="仿宋_GB2312" w:hAnsi="Times New Roman" w:eastAsia="仿宋_GB2312" w:cs="Times New Roman"/>
              <w:kern w:val="0"/>
              <w:sz w:val="24"/>
              <w:szCs w:val="36"/>
              <w:lang w:val="en-US" w:eastAsia="zh-CN" w:bidi="ar-SA"/>
            </w:rPr>
            <w:instrText xml:space="preserve"> HYPERLINK \l _Toc17617 </w:instrText>
          </w:r>
          <w:r>
            <w:rPr>
              <w:rFonts w:hint="eastAsia" w:ascii="仿宋_GB2312" w:hAnsi="Times New Roman" w:eastAsia="仿宋_GB2312" w:cs="Times New Roman"/>
              <w:kern w:val="0"/>
              <w:sz w:val="24"/>
              <w:szCs w:val="36"/>
              <w:lang w:val="en-US" w:eastAsia="zh-CN" w:bidi="ar-SA"/>
            </w:rPr>
            <w:fldChar w:fldCharType="separate"/>
          </w:r>
          <w:r>
            <w:rPr>
              <w:rFonts w:hint="eastAsia"/>
              <w:sz w:val="24"/>
              <w:szCs w:val="24"/>
            </w:rPr>
            <w:t>十二、政府性基金预算财政拨款“三公”经费支出决算表</w:t>
          </w:r>
          <w:r>
            <w:rPr>
              <w:sz w:val="24"/>
              <w:szCs w:val="24"/>
            </w:rPr>
            <w:tab/>
          </w:r>
          <w:r>
            <w:rPr>
              <w:sz w:val="24"/>
              <w:szCs w:val="24"/>
            </w:rPr>
            <w:fldChar w:fldCharType="begin"/>
          </w:r>
          <w:r>
            <w:rPr>
              <w:sz w:val="24"/>
              <w:szCs w:val="24"/>
            </w:rPr>
            <w:instrText xml:space="preserve"> PAGEREF _Toc17617 \h </w:instrText>
          </w:r>
          <w:r>
            <w:rPr>
              <w:sz w:val="24"/>
              <w:szCs w:val="24"/>
            </w:rPr>
            <w:fldChar w:fldCharType="separate"/>
          </w:r>
          <w:r>
            <w:rPr>
              <w:sz w:val="24"/>
              <w:szCs w:val="24"/>
            </w:rPr>
            <w:t>74</w:t>
          </w:r>
          <w:r>
            <w:rPr>
              <w:sz w:val="24"/>
              <w:szCs w:val="24"/>
            </w:rPr>
            <w:fldChar w:fldCharType="end"/>
          </w:r>
          <w:r>
            <w:rPr>
              <w:rFonts w:hint="eastAsia" w:ascii="仿宋_GB2312" w:hAnsi="Times New Roman" w:eastAsia="仿宋_GB2312" w:cs="Times New Roman"/>
              <w:kern w:val="0"/>
              <w:sz w:val="24"/>
              <w:szCs w:val="36"/>
              <w:lang w:val="en-US" w:eastAsia="zh-CN" w:bidi="ar-SA"/>
            </w:rPr>
            <w:fldChar w:fldCharType="end"/>
          </w:r>
        </w:p>
        <w:p w14:paraId="290582C1">
          <w:pPr>
            <w:pStyle w:val="37"/>
            <w:keepNext w:val="0"/>
            <w:keepLines w:val="0"/>
            <w:pageBreakBefore w:val="0"/>
            <w:tabs>
              <w:tab w:val="right" w:leader="hyphen" w:pos="8306"/>
            </w:tabs>
            <w:kinsoku/>
            <w:wordWrap/>
            <w:overflowPunct/>
            <w:topLinePunct w:val="0"/>
            <w:autoSpaceDE/>
            <w:autoSpaceDN/>
            <w:bidi w:val="0"/>
            <w:adjustRightInd/>
            <w:snapToGrid/>
            <w:spacing w:line="360" w:lineRule="auto"/>
            <w:textAlignment w:val="auto"/>
            <w:rPr>
              <w:sz w:val="24"/>
              <w:szCs w:val="24"/>
            </w:rPr>
          </w:pPr>
          <w:r>
            <w:rPr>
              <w:rFonts w:hint="eastAsia" w:ascii="仿宋_GB2312" w:hAnsi="Times New Roman" w:eastAsia="仿宋_GB2312" w:cs="Times New Roman"/>
              <w:kern w:val="0"/>
              <w:sz w:val="24"/>
              <w:szCs w:val="36"/>
              <w:lang w:val="en-US" w:eastAsia="zh-CN" w:bidi="ar-SA"/>
            </w:rPr>
            <w:fldChar w:fldCharType="begin"/>
          </w:r>
          <w:r>
            <w:rPr>
              <w:rFonts w:hint="eastAsia" w:ascii="仿宋_GB2312" w:hAnsi="Times New Roman" w:eastAsia="仿宋_GB2312" w:cs="Times New Roman"/>
              <w:kern w:val="0"/>
              <w:sz w:val="24"/>
              <w:szCs w:val="36"/>
              <w:lang w:val="en-US" w:eastAsia="zh-CN" w:bidi="ar-SA"/>
            </w:rPr>
            <w:instrText xml:space="preserve"> HYPERLINK \l _Toc26125 </w:instrText>
          </w:r>
          <w:r>
            <w:rPr>
              <w:rFonts w:hint="eastAsia" w:ascii="仿宋_GB2312" w:hAnsi="Times New Roman" w:eastAsia="仿宋_GB2312" w:cs="Times New Roman"/>
              <w:kern w:val="0"/>
              <w:sz w:val="24"/>
              <w:szCs w:val="36"/>
              <w:lang w:val="en-US" w:eastAsia="zh-CN" w:bidi="ar-SA"/>
            </w:rPr>
            <w:fldChar w:fldCharType="separate"/>
          </w:r>
          <w:r>
            <w:rPr>
              <w:rFonts w:hint="eastAsia"/>
              <w:sz w:val="24"/>
              <w:szCs w:val="24"/>
            </w:rPr>
            <w:t>十三、国有资本经营预算财政拨款收入支出决算表</w:t>
          </w:r>
          <w:r>
            <w:rPr>
              <w:sz w:val="24"/>
              <w:szCs w:val="24"/>
            </w:rPr>
            <w:tab/>
          </w:r>
          <w:r>
            <w:rPr>
              <w:sz w:val="24"/>
              <w:szCs w:val="24"/>
            </w:rPr>
            <w:fldChar w:fldCharType="begin"/>
          </w:r>
          <w:r>
            <w:rPr>
              <w:sz w:val="24"/>
              <w:szCs w:val="24"/>
            </w:rPr>
            <w:instrText xml:space="preserve"> PAGEREF _Toc26125 \h </w:instrText>
          </w:r>
          <w:r>
            <w:rPr>
              <w:sz w:val="24"/>
              <w:szCs w:val="24"/>
            </w:rPr>
            <w:fldChar w:fldCharType="separate"/>
          </w:r>
          <w:r>
            <w:rPr>
              <w:sz w:val="24"/>
              <w:szCs w:val="24"/>
            </w:rPr>
            <w:t>74</w:t>
          </w:r>
          <w:r>
            <w:rPr>
              <w:sz w:val="24"/>
              <w:szCs w:val="24"/>
            </w:rPr>
            <w:fldChar w:fldCharType="end"/>
          </w:r>
          <w:r>
            <w:rPr>
              <w:rFonts w:hint="eastAsia" w:ascii="仿宋_GB2312" w:hAnsi="Times New Roman" w:eastAsia="仿宋_GB2312" w:cs="Times New Roman"/>
              <w:kern w:val="0"/>
              <w:sz w:val="24"/>
              <w:szCs w:val="36"/>
              <w:lang w:val="en-US" w:eastAsia="zh-CN" w:bidi="ar-SA"/>
            </w:rPr>
            <w:fldChar w:fldCharType="end"/>
          </w:r>
        </w:p>
        <w:p w14:paraId="16489F41">
          <w:pPr>
            <w:pStyle w:val="37"/>
            <w:keepNext w:val="0"/>
            <w:keepLines w:val="0"/>
            <w:pageBreakBefore w:val="0"/>
            <w:tabs>
              <w:tab w:val="right" w:leader="hyphen" w:pos="8306"/>
            </w:tabs>
            <w:kinsoku/>
            <w:wordWrap/>
            <w:overflowPunct/>
            <w:topLinePunct w:val="0"/>
            <w:autoSpaceDE/>
            <w:autoSpaceDN/>
            <w:bidi w:val="0"/>
            <w:adjustRightInd/>
            <w:snapToGrid/>
            <w:spacing w:line="360" w:lineRule="auto"/>
            <w:textAlignment w:val="auto"/>
            <w:rPr>
              <w:sz w:val="24"/>
              <w:szCs w:val="24"/>
            </w:rPr>
          </w:pPr>
          <w:r>
            <w:rPr>
              <w:rFonts w:hint="eastAsia" w:ascii="仿宋_GB2312" w:hAnsi="Times New Roman" w:eastAsia="仿宋_GB2312" w:cs="Times New Roman"/>
              <w:kern w:val="0"/>
              <w:sz w:val="24"/>
              <w:szCs w:val="36"/>
              <w:lang w:val="en-US" w:eastAsia="zh-CN" w:bidi="ar-SA"/>
            </w:rPr>
            <w:fldChar w:fldCharType="begin"/>
          </w:r>
          <w:r>
            <w:rPr>
              <w:rFonts w:hint="eastAsia" w:ascii="仿宋_GB2312" w:hAnsi="Times New Roman" w:eastAsia="仿宋_GB2312" w:cs="Times New Roman"/>
              <w:kern w:val="0"/>
              <w:sz w:val="24"/>
              <w:szCs w:val="36"/>
              <w:lang w:val="en-US" w:eastAsia="zh-CN" w:bidi="ar-SA"/>
            </w:rPr>
            <w:instrText xml:space="preserve"> HYPERLINK \l _Toc148 </w:instrText>
          </w:r>
          <w:r>
            <w:rPr>
              <w:rFonts w:hint="eastAsia" w:ascii="仿宋_GB2312" w:hAnsi="Times New Roman" w:eastAsia="仿宋_GB2312" w:cs="Times New Roman"/>
              <w:kern w:val="0"/>
              <w:sz w:val="24"/>
              <w:szCs w:val="36"/>
              <w:lang w:val="en-US" w:eastAsia="zh-CN" w:bidi="ar-SA"/>
            </w:rPr>
            <w:fldChar w:fldCharType="separate"/>
          </w:r>
          <w:r>
            <w:rPr>
              <w:rFonts w:hint="eastAsia"/>
              <w:sz w:val="24"/>
              <w:szCs w:val="24"/>
            </w:rPr>
            <w:t>十四、国有资本经营预算财政拨款支出决算表</w:t>
          </w:r>
          <w:r>
            <w:rPr>
              <w:sz w:val="24"/>
              <w:szCs w:val="24"/>
            </w:rPr>
            <w:tab/>
          </w:r>
          <w:r>
            <w:rPr>
              <w:sz w:val="24"/>
              <w:szCs w:val="24"/>
            </w:rPr>
            <w:fldChar w:fldCharType="begin"/>
          </w:r>
          <w:r>
            <w:rPr>
              <w:sz w:val="24"/>
              <w:szCs w:val="24"/>
            </w:rPr>
            <w:instrText xml:space="preserve"> PAGEREF _Toc148 \h </w:instrText>
          </w:r>
          <w:r>
            <w:rPr>
              <w:sz w:val="24"/>
              <w:szCs w:val="24"/>
            </w:rPr>
            <w:fldChar w:fldCharType="separate"/>
          </w:r>
          <w:r>
            <w:rPr>
              <w:sz w:val="24"/>
              <w:szCs w:val="24"/>
            </w:rPr>
            <w:t>74</w:t>
          </w:r>
          <w:r>
            <w:rPr>
              <w:sz w:val="24"/>
              <w:szCs w:val="24"/>
            </w:rPr>
            <w:fldChar w:fldCharType="end"/>
          </w:r>
          <w:r>
            <w:rPr>
              <w:rFonts w:hint="eastAsia" w:ascii="仿宋_GB2312" w:hAnsi="Times New Roman" w:eastAsia="仿宋_GB2312" w:cs="Times New Roman"/>
              <w:kern w:val="0"/>
              <w:sz w:val="24"/>
              <w:szCs w:val="36"/>
              <w:lang w:val="en-US" w:eastAsia="zh-CN" w:bidi="ar-SA"/>
            </w:rPr>
            <w:fldChar w:fldCharType="end"/>
          </w:r>
        </w:p>
        <w:p w14:paraId="0D52DBD0">
          <w:pPr>
            <w:pStyle w:val="9"/>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Times New Roman" w:eastAsia="仿宋_GB2312" w:cs="Times New Roman"/>
              <w:b/>
              <w:kern w:val="0"/>
              <w:sz w:val="40"/>
              <w:szCs w:val="36"/>
              <w:lang w:val="en-US" w:eastAsia="zh-CN" w:bidi="ar-SA"/>
            </w:rPr>
          </w:pPr>
          <w:r>
            <w:rPr>
              <w:rFonts w:hint="eastAsia" w:ascii="仿宋_GB2312" w:hAnsi="Times New Roman" w:eastAsia="仿宋_GB2312" w:cs="Times New Roman"/>
              <w:b/>
              <w:kern w:val="0"/>
              <w:sz w:val="40"/>
              <w:szCs w:val="36"/>
              <w:lang w:val="en-US" w:eastAsia="zh-CN" w:bidi="ar-SA"/>
            </w:rPr>
            <w:fldChar w:fldCharType="end"/>
          </w:r>
        </w:p>
      </w:sdtContent>
    </w:sdt>
    <w:p w14:paraId="10F73041">
      <w:pPr>
        <w:pStyle w:val="9"/>
        <w:rPr>
          <w:rFonts w:hint="eastAsia"/>
          <w:sz w:val="32"/>
          <w:szCs w:val="28"/>
        </w:rPr>
      </w:pPr>
    </w:p>
    <w:p w14:paraId="16173ED3">
      <w:pPr>
        <w:pStyle w:val="9"/>
        <w:rPr>
          <w:rFonts w:hint="eastAsia"/>
          <w:sz w:val="32"/>
          <w:szCs w:val="28"/>
        </w:rPr>
      </w:pPr>
    </w:p>
    <w:p w14:paraId="2A53C500">
      <w:pPr>
        <w:pStyle w:val="9"/>
        <w:rPr>
          <w:rFonts w:hint="eastAsia"/>
          <w:sz w:val="32"/>
          <w:szCs w:val="28"/>
        </w:rPr>
      </w:pPr>
    </w:p>
    <w:p w14:paraId="43B89D22">
      <w:pPr>
        <w:pStyle w:val="9"/>
        <w:rPr>
          <w:rFonts w:hint="eastAsia"/>
          <w:sz w:val="32"/>
          <w:szCs w:val="28"/>
        </w:rPr>
      </w:pPr>
    </w:p>
    <w:p w14:paraId="5492FE77">
      <w:pPr>
        <w:pStyle w:val="9"/>
        <w:rPr>
          <w:rFonts w:hint="eastAsia"/>
        </w:rPr>
      </w:pPr>
    </w:p>
    <w:p w14:paraId="1A69B49E">
      <w:pPr>
        <w:pStyle w:val="9"/>
        <w:rPr>
          <w:rFonts w:hint="eastAsia"/>
        </w:rPr>
      </w:pPr>
    </w:p>
    <w:p w14:paraId="6F0E3EA9">
      <w:pPr>
        <w:pStyle w:val="9"/>
        <w:rPr>
          <w:rFonts w:hint="eastAsia"/>
        </w:rPr>
      </w:pPr>
    </w:p>
    <w:p w14:paraId="44BE23D5">
      <w:pPr>
        <w:pStyle w:val="9"/>
        <w:rPr>
          <w:rFonts w:hint="eastAsia"/>
        </w:rPr>
      </w:pPr>
    </w:p>
    <w:p w14:paraId="3C6A9EC7">
      <w:pPr>
        <w:pStyle w:val="9"/>
        <w:rPr>
          <w:rFonts w:hint="eastAsia"/>
        </w:rPr>
      </w:pPr>
    </w:p>
    <w:p w14:paraId="725CAB0C">
      <w:pPr>
        <w:pStyle w:val="9"/>
        <w:rPr>
          <w:rFonts w:hint="eastAsia"/>
        </w:rPr>
      </w:pPr>
    </w:p>
    <w:p w14:paraId="6F41AEEF">
      <w:pPr>
        <w:pStyle w:val="9"/>
        <w:rPr>
          <w:rFonts w:hint="eastAsia"/>
        </w:rPr>
      </w:pPr>
    </w:p>
    <w:p w14:paraId="62FE1FBE">
      <w:pPr>
        <w:pStyle w:val="9"/>
        <w:rPr>
          <w:rFonts w:hint="eastAsia"/>
        </w:rPr>
      </w:pPr>
    </w:p>
    <w:p w14:paraId="3F65F560">
      <w:pPr>
        <w:pStyle w:val="9"/>
        <w:rPr>
          <w:rFonts w:hint="eastAsia"/>
        </w:rPr>
      </w:pPr>
    </w:p>
    <w:p w14:paraId="0A4CD337">
      <w:pPr>
        <w:pStyle w:val="9"/>
        <w:rPr>
          <w:rFonts w:hint="eastAsia"/>
        </w:rPr>
      </w:pPr>
    </w:p>
    <w:p w14:paraId="5C4CF423">
      <w:pPr>
        <w:pStyle w:val="9"/>
        <w:rPr>
          <w:rFonts w:hint="eastAsia"/>
        </w:rPr>
      </w:pPr>
    </w:p>
    <w:p w14:paraId="40A78844">
      <w:pPr>
        <w:pStyle w:val="9"/>
        <w:rPr>
          <w:rFonts w:hint="eastAsia"/>
        </w:rPr>
      </w:pPr>
    </w:p>
    <w:p w14:paraId="65006CDE">
      <w:pPr>
        <w:pStyle w:val="9"/>
        <w:rPr>
          <w:rFonts w:hint="eastAsia"/>
        </w:rPr>
      </w:pPr>
    </w:p>
    <w:p w14:paraId="364B15D9">
      <w:pPr>
        <w:pStyle w:val="9"/>
        <w:rPr>
          <w:rFonts w:hint="eastAsia"/>
        </w:rPr>
      </w:pPr>
    </w:p>
    <w:p w14:paraId="66F97ACE">
      <w:pPr>
        <w:pStyle w:val="9"/>
        <w:rPr>
          <w:rFonts w:hint="eastAsia"/>
        </w:rPr>
      </w:pPr>
    </w:p>
    <w:p w14:paraId="645C0025">
      <w:pPr>
        <w:pStyle w:val="9"/>
        <w:rPr>
          <w:rFonts w:hint="eastAsia"/>
        </w:rPr>
      </w:pPr>
    </w:p>
    <w:p w14:paraId="10EE130B">
      <w:pPr>
        <w:rPr>
          <w:rFonts w:hint="eastAsia"/>
        </w:rPr>
      </w:pPr>
    </w:p>
    <w:p w14:paraId="7579B03B">
      <w:pPr>
        <w:pStyle w:val="5"/>
        <w:bidi w:val="0"/>
        <w:jc w:val="center"/>
        <w:rPr>
          <w:rFonts w:hint="eastAsia" w:ascii="黑体" w:hAnsi="黑体" w:eastAsia="黑体" w:cs="黑体"/>
        </w:rPr>
        <w:sectPr>
          <w:footerReference r:id="rId3" w:type="default"/>
          <w:pgSz w:w="11906" w:h="16839"/>
          <w:pgMar w:top="1431" w:right="1475" w:bottom="1120" w:left="1548" w:header="0" w:footer="831" w:gutter="0"/>
          <w:cols w:space="720" w:num="1"/>
        </w:sectPr>
      </w:pPr>
      <w:bookmarkStart w:id="28" w:name="_Toc12580"/>
      <w:bookmarkStart w:id="29" w:name="_Toc1043"/>
      <w:bookmarkStart w:id="30" w:name="_Toc7338"/>
    </w:p>
    <w:p w14:paraId="664494DF">
      <w:pPr>
        <w:pStyle w:val="5"/>
        <w:bidi w:val="0"/>
        <w:jc w:val="center"/>
        <w:rPr>
          <w:rFonts w:hint="eastAsia" w:ascii="黑体" w:hAnsi="黑体" w:eastAsia="黑体" w:cs="黑体"/>
        </w:rPr>
      </w:pPr>
      <w:r>
        <w:rPr>
          <w:rFonts w:hint="eastAsia" w:ascii="黑体" w:hAnsi="黑体" w:eastAsia="黑体" w:cs="黑体"/>
        </w:rPr>
        <w:t>第一部分 部门概况</w:t>
      </w:r>
      <w:bookmarkEnd w:id="28"/>
      <w:bookmarkEnd w:id="29"/>
      <w:bookmarkEnd w:id="30"/>
    </w:p>
    <w:p w14:paraId="3668213D">
      <w:pPr>
        <w:widowControl/>
        <w:jc w:val="left"/>
        <w:rPr>
          <w:rFonts w:ascii="黑体" w:eastAsia="黑体"/>
          <w:sz w:val="32"/>
          <w:szCs w:val="32"/>
        </w:rPr>
      </w:pPr>
    </w:p>
    <w:p w14:paraId="207F5110">
      <w:pPr>
        <w:pStyle w:val="6"/>
        <w:bidi w:val="0"/>
        <w:rPr>
          <w:rFonts w:hint="default" w:ascii="黑体" w:hAnsi="黑体" w:eastAsia="黑体" w:cs="黑体"/>
          <w:lang w:val="en-US" w:eastAsia="zh-CN"/>
        </w:rPr>
      </w:pPr>
      <w:bookmarkStart w:id="31" w:name="_Toc4415"/>
      <w:bookmarkStart w:id="32" w:name="_Toc20813"/>
      <w:bookmarkStart w:id="33" w:name="_Toc15377197"/>
      <w:bookmarkStart w:id="34" w:name="_Toc6330"/>
      <w:bookmarkStart w:id="35" w:name="_Toc15396600"/>
      <w:r>
        <w:rPr>
          <w:rFonts w:hint="eastAsia" w:ascii="黑体" w:hAnsi="黑体" w:eastAsia="黑体" w:cs="黑体"/>
        </w:rPr>
        <w:t>一、</w:t>
      </w:r>
      <w:bookmarkEnd w:id="31"/>
      <w:bookmarkEnd w:id="32"/>
      <w:bookmarkEnd w:id="33"/>
      <w:bookmarkEnd w:id="34"/>
      <w:bookmarkEnd w:id="35"/>
      <w:r>
        <w:rPr>
          <w:rFonts w:hint="eastAsia" w:ascii="黑体" w:hAnsi="黑体" w:eastAsia="黑体" w:cs="黑体"/>
          <w:lang w:val="en-US" w:eastAsia="zh-CN"/>
        </w:rPr>
        <w:t>部门职责</w:t>
      </w:r>
    </w:p>
    <w:p w14:paraId="13A9EC0A">
      <w:pPr>
        <w:pStyle w:val="9"/>
        <w:adjustRightInd w:val="0"/>
        <w:snapToGrid w:val="0"/>
        <w:spacing w:before="93" w:line="600" w:lineRule="exact"/>
        <w:ind w:firstLine="672" w:firstLineChars="210"/>
        <w:outlineLvl w:val="2"/>
        <w:rPr>
          <w:rFonts w:hint="eastAsia" w:ascii="仿宋" w:hAnsi="仿宋" w:eastAsia="仿宋"/>
          <w:bCs/>
          <w:sz w:val="32"/>
          <w:szCs w:val="32"/>
        </w:rPr>
      </w:pPr>
      <w:bookmarkStart w:id="36" w:name="_Toc15377198"/>
      <w:bookmarkStart w:id="37" w:name="_Toc15378445"/>
      <w:r>
        <w:rPr>
          <w:rFonts w:hint="eastAsia" w:ascii="仿宋" w:hAnsi="仿宋" w:eastAsia="仿宋"/>
          <w:bCs/>
          <w:sz w:val="32"/>
          <w:szCs w:val="32"/>
        </w:rPr>
        <w:t>（一）主要职能。</w:t>
      </w:r>
      <w:bookmarkEnd w:id="36"/>
      <w:bookmarkEnd w:id="37"/>
      <w:bookmarkStart w:id="38" w:name="_Toc15377199"/>
      <w:bookmarkStart w:id="39" w:name="_Toc15378446"/>
    </w:p>
    <w:p w14:paraId="3C2E944C">
      <w:pPr>
        <w:keepNext w:val="0"/>
        <w:keepLines w:val="0"/>
        <w:pageBreakBefore w:val="0"/>
        <w:widowControl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仿宋_GB2312"/>
          <w:i w:val="0"/>
          <w:iCs w:val="0"/>
          <w:caps w:val="0"/>
          <w:color w:val="000000"/>
          <w:spacing w:val="0"/>
          <w:sz w:val="31"/>
          <w:szCs w:val="31"/>
          <w:lang w:eastAsia="zh-CN"/>
        </w:rPr>
      </w:pPr>
      <w:r>
        <w:rPr>
          <w:rFonts w:ascii="仿宋_GB2312" w:hAnsi="宋体" w:eastAsia="仿宋_GB2312" w:cs="仿宋_GB2312"/>
          <w:i w:val="0"/>
          <w:iCs w:val="0"/>
          <w:caps w:val="0"/>
          <w:color w:val="000000"/>
          <w:spacing w:val="0"/>
          <w:sz w:val="31"/>
          <w:szCs w:val="31"/>
        </w:rPr>
        <w:t>州司法局负责贯彻落实党中央关于全面依法治国的方针政策和省委、州委的安排部署，在履行职责过程中坚持和加强党对全面依法治国工作的集中统一领导。主要职责是：</w:t>
      </w:r>
    </w:p>
    <w:p w14:paraId="64AA0AD7">
      <w:pPr>
        <w:keepNext w:val="0"/>
        <w:keepLines w:val="0"/>
        <w:pageBreakBefore w:val="0"/>
        <w:widowControl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仿宋_GB2312"/>
          <w:i w:val="0"/>
          <w:iCs w:val="0"/>
          <w:caps w:val="0"/>
          <w:color w:val="000000"/>
          <w:spacing w:val="0"/>
          <w:sz w:val="31"/>
          <w:szCs w:val="31"/>
          <w:lang w:eastAsia="zh-CN"/>
        </w:rPr>
      </w:pPr>
      <w:r>
        <w:rPr>
          <w:rFonts w:hint="default" w:ascii="仿宋_GB2312" w:hAnsi="宋体" w:eastAsia="仿宋_GB2312" w:cs="仿宋_GB2312"/>
          <w:i w:val="0"/>
          <w:iCs w:val="0"/>
          <w:caps w:val="0"/>
          <w:color w:val="000000"/>
          <w:spacing w:val="0"/>
          <w:sz w:val="31"/>
          <w:szCs w:val="31"/>
        </w:rPr>
        <w:t>（一）承担全面依法治省、依法治州重大问题的政策研究，协调有关方面提出全面依法治州规划建议，负责有关重大决策部署督察工作。</w:t>
      </w:r>
    </w:p>
    <w:p w14:paraId="7F7B4047">
      <w:pPr>
        <w:keepNext w:val="0"/>
        <w:keepLines w:val="0"/>
        <w:pageBreakBefore w:val="0"/>
        <w:widowControl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仿宋_GB2312"/>
          <w:i w:val="0"/>
          <w:iCs w:val="0"/>
          <w:caps w:val="0"/>
          <w:color w:val="000000"/>
          <w:spacing w:val="0"/>
          <w:sz w:val="31"/>
          <w:szCs w:val="31"/>
          <w:lang w:eastAsia="zh-CN"/>
        </w:rPr>
      </w:pPr>
      <w:r>
        <w:rPr>
          <w:rFonts w:hint="default" w:ascii="仿宋_GB2312" w:hAnsi="宋体" w:eastAsia="仿宋_GB2312" w:cs="仿宋_GB2312"/>
          <w:i w:val="0"/>
          <w:iCs w:val="0"/>
          <w:caps w:val="0"/>
          <w:color w:val="000000"/>
          <w:spacing w:val="0"/>
          <w:sz w:val="31"/>
          <w:szCs w:val="31"/>
        </w:rPr>
        <w:t>（二）承担协调规划立法工作的责任。协调有关方面提出立法规划和年度立法工作计划的建议，负责跟踪了解各部门对立法工作计划的落实情况，加强组织实施和督促指导，研究提出立法与改革决策相衔接的意见、措施；负责面向社会征集地方性法规、规章制定项目建议。</w:t>
      </w:r>
    </w:p>
    <w:p w14:paraId="0B49ECD4">
      <w:pPr>
        <w:keepNext w:val="0"/>
        <w:keepLines w:val="0"/>
        <w:pageBreakBefore w:val="0"/>
        <w:widowControl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仿宋_GB2312"/>
          <w:i w:val="0"/>
          <w:iCs w:val="0"/>
          <w:caps w:val="0"/>
          <w:color w:val="000000"/>
          <w:spacing w:val="0"/>
          <w:sz w:val="31"/>
          <w:szCs w:val="31"/>
          <w:lang w:eastAsia="zh-CN"/>
        </w:rPr>
      </w:pPr>
      <w:r>
        <w:rPr>
          <w:rFonts w:hint="default" w:ascii="仿宋_GB2312" w:hAnsi="宋体" w:eastAsia="仿宋_GB2312" w:cs="仿宋_GB2312"/>
          <w:i w:val="0"/>
          <w:iCs w:val="0"/>
          <w:caps w:val="0"/>
          <w:color w:val="000000"/>
          <w:spacing w:val="0"/>
          <w:sz w:val="31"/>
          <w:szCs w:val="31"/>
        </w:rPr>
        <w:t>（三）负责协调组织地方性法规、州政府规章草案起草工作。负责州政府各部门报送州政府的地方性法规、规章草案的审查工作；负责立法协调。</w:t>
      </w:r>
    </w:p>
    <w:p w14:paraId="005F4CF1">
      <w:pPr>
        <w:keepNext w:val="0"/>
        <w:keepLines w:val="0"/>
        <w:pageBreakBefore w:val="0"/>
        <w:widowControl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仿宋_GB2312"/>
          <w:i w:val="0"/>
          <w:iCs w:val="0"/>
          <w:caps w:val="0"/>
          <w:color w:val="000000"/>
          <w:spacing w:val="0"/>
          <w:sz w:val="31"/>
          <w:szCs w:val="31"/>
          <w:lang w:eastAsia="zh-CN"/>
        </w:rPr>
      </w:pPr>
      <w:r>
        <w:rPr>
          <w:rFonts w:hint="default" w:ascii="仿宋_GB2312" w:hAnsi="宋体" w:eastAsia="仿宋_GB2312" w:cs="仿宋_GB2312"/>
          <w:i w:val="0"/>
          <w:iCs w:val="0"/>
          <w:caps w:val="0"/>
          <w:color w:val="000000"/>
          <w:spacing w:val="0"/>
          <w:sz w:val="31"/>
          <w:szCs w:val="31"/>
        </w:rPr>
        <w:t>（四）承担州政府规章的解释、立法后评估工作。负责协调各县（市）、各部门实施法律、法规、规章中的有关争议和问题；承办州政府规章的清理、编纂、翻译工作；承办州政府规章报送备案工作。</w:t>
      </w:r>
    </w:p>
    <w:p w14:paraId="5BB111AF">
      <w:pPr>
        <w:keepNext w:val="0"/>
        <w:keepLines w:val="0"/>
        <w:pageBreakBefore w:val="0"/>
        <w:widowControl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仿宋_GB2312"/>
          <w:i w:val="0"/>
          <w:iCs w:val="0"/>
          <w:caps w:val="0"/>
          <w:color w:val="000000"/>
          <w:spacing w:val="0"/>
          <w:sz w:val="31"/>
          <w:szCs w:val="31"/>
          <w:lang w:eastAsia="zh-CN"/>
        </w:rPr>
      </w:pPr>
      <w:r>
        <w:rPr>
          <w:rFonts w:hint="default" w:ascii="仿宋_GB2312" w:hAnsi="宋体" w:eastAsia="仿宋_GB2312" w:cs="仿宋_GB2312"/>
          <w:i w:val="0"/>
          <w:iCs w:val="0"/>
          <w:caps w:val="0"/>
          <w:color w:val="000000"/>
          <w:spacing w:val="0"/>
          <w:sz w:val="31"/>
          <w:szCs w:val="31"/>
        </w:rPr>
        <w:t>（五）负责州政府规范性文件、重大行政决策发布前的合法性审查。承办州政府规范性文件的报送备案工作；负责各县（市）政府和州政府各部门规范性文件的备案审查工作；组织开展规范性文件清理。</w:t>
      </w:r>
    </w:p>
    <w:p w14:paraId="440C521C">
      <w:pPr>
        <w:keepNext w:val="0"/>
        <w:keepLines w:val="0"/>
        <w:pageBreakBefore w:val="0"/>
        <w:widowControl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仿宋_GB2312"/>
          <w:i w:val="0"/>
          <w:iCs w:val="0"/>
          <w:caps w:val="0"/>
          <w:color w:val="000000"/>
          <w:spacing w:val="0"/>
          <w:sz w:val="31"/>
          <w:szCs w:val="31"/>
          <w:lang w:eastAsia="zh-CN"/>
        </w:rPr>
      </w:pPr>
      <w:r>
        <w:rPr>
          <w:rFonts w:hint="default" w:ascii="仿宋_GB2312" w:hAnsi="宋体" w:eastAsia="仿宋_GB2312" w:cs="仿宋_GB2312"/>
          <w:i w:val="0"/>
          <w:iCs w:val="0"/>
          <w:caps w:val="0"/>
          <w:color w:val="000000"/>
          <w:spacing w:val="0"/>
          <w:sz w:val="31"/>
          <w:szCs w:val="31"/>
        </w:rPr>
        <w:t>（六）承担统筹推进法治政府建设的责任。指导监督州政府各部门、各县（市）政府依法行政工作；负责综合协调、监督检查行政执法，承担推进行政执法体制改革有关工作，推进严格规范公正文明执法；指导监督全州行政复议、行政应诉和行政赔偿工作，承办向州政府申请的行政复议、行政赔偿案件，代理州政府行政应诉案件。</w:t>
      </w:r>
    </w:p>
    <w:p w14:paraId="255146A8">
      <w:pPr>
        <w:keepNext w:val="0"/>
        <w:keepLines w:val="0"/>
        <w:pageBreakBefore w:val="0"/>
        <w:widowControl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仿宋_GB2312"/>
          <w:i w:val="0"/>
          <w:iCs w:val="0"/>
          <w:caps w:val="0"/>
          <w:color w:val="000000"/>
          <w:spacing w:val="0"/>
          <w:sz w:val="31"/>
          <w:szCs w:val="31"/>
          <w:lang w:eastAsia="zh-CN"/>
        </w:rPr>
      </w:pPr>
      <w:r>
        <w:rPr>
          <w:rFonts w:hint="default" w:ascii="仿宋_GB2312" w:hAnsi="宋体" w:eastAsia="仿宋_GB2312" w:cs="仿宋_GB2312"/>
          <w:i w:val="0"/>
          <w:iCs w:val="0"/>
          <w:caps w:val="0"/>
          <w:color w:val="000000"/>
          <w:spacing w:val="0"/>
          <w:sz w:val="31"/>
          <w:szCs w:val="31"/>
        </w:rPr>
        <w:t>（七）承担统筹规划法治社会建设的责任。负责拟订法治宣传教育规划并组织实施，组织对外法治宣传；指导有关部门开展专项法律宣传普及，做好职责范围内的法治宣传工作；指导依法治理和法治创建工作；推动人民参与和促进法治建设；推进司法所规范化建设；指导行政调解和人民调解工作；负责并指导人民监督员的选任管理工作；指导人民陪审员选任工作。</w:t>
      </w:r>
    </w:p>
    <w:p w14:paraId="1B0D19B6">
      <w:pPr>
        <w:keepNext w:val="0"/>
        <w:keepLines w:val="0"/>
        <w:pageBreakBefore w:val="0"/>
        <w:widowControl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仿宋_GB2312"/>
          <w:i w:val="0"/>
          <w:iCs w:val="0"/>
          <w:caps w:val="0"/>
          <w:color w:val="000000"/>
          <w:spacing w:val="0"/>
          <w:sz w:val="31"/>
          <w:szCs w:val="31"/>
          <w:lang w:eastAsia="zh-CN"/>
        </w:rPr>
      </w:pPr>
      <w:r>
        <w:rPr>
          <w:rFonts w:hint="default" w:ascii="仿宋_GB2312" w:hAnsi="宋体" w:eastAsia="仿宋_GB2312" w:cs="仿宋_GB2312"/>
          <w:i w:val="0"/>
          <w:iCs w:val="0"/>
          <w:caps w:val="0"/>
          <w:color w:val="000000"/>
          <w:spacing w:val="0"/>
          <w:sz w:val="31"/>
          <w:szCs w:val="31"/>
        </w:rPr>
        <w:t>（八）指导辖区内监狱党的建设、党风廉政建设。协助省司法厅做好辖区内监狱管理相关工作；指导管理社区矫正工作；指导刑满释放人员帮教安置工作。</w:t>
      </w:r>
    </w:p>
    <w:p w14:paraId="318097A6">
      <w:pPr>
        <w:keepNext w:val="0"/>
        <w:keepLines w:val="0"/>
        <w:pageBreakBefore w:val="0"/>
        <w:widowControl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仿宋_GB2312"/>
          <w:i w:val="0"/>
          <w:iCs w:val="0"/>
          <w:caps w:val="0"/>
          <w:color w:val="000000"/>
          <w:spacing w:val="0"/>
          <w:sz w:val="31"/>
          <w:szCs w:val="31"/>
          <w:lang w:eastAsia="zh-CN"/>
        </w:rPr>
      </w:pPr>
      <w:r>
        <w:rPr>
          <w:rFonts w:hint="default" w:ascii="仿宋_GB2312" w:hAnsi="宋体" w:eastAsia="仿宋_GB2312" w:cs="仿宋_GB2312"/>
          <w:i w:val="0"/>
          <w:iCs w:val="0"/>
          <w:caps w:val="0"/>
          <w:color w:val="000000"/>
          <w:spacing w:val="0"/>
          <w:sz w:val="31"/>
          <w:szCs w:val="31"/>
        </w:rPr>
        <w:t>（九）负责全州司法行政戒毒管理工作。负责司法行政戒毒系统党的建设、党风廉政建设和领导班子建设；监督管理本系统强制隔离戒毒执行和戒毒康复工作；对社区戒毒和社区康复工作提供指导、支持和协助。</w:t>
      </w:r>
    </w:p>
    <w:p w14:paraId="4709A755">
      <w:pPr>
        <w:keepNext w:val="0"/>
        <w:keepLines w:val="0"/>
        <w:pageBreakBefore w:val="0"/>
        <w:widowControl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仿宋_GB2312"/>
          <w:i w:val="0"/>
          <w:iCs w:val="0"/>
          <w:caps w:val="0"/>
          <w:color w:val="000000"/>
          <w:spacing w:val="0"/>
          <w:sz w:val="31"/>
          <w:szCs w:val="31"/>
          <w:lang w:eastAsia="zh-CN"/>
        </w:rPr>
      </w:pPr>
      <w:r>
        <w:rPr>
          <w:rFonts w:hint="default" w:ascii="仿宋_GB2312" w:hAnsi="宋体" w:eastAsia="仿宋_GB2312" w:cs="仿宋_GB2312"/>
          <w:i w:val="0"/>
          <w:iCs w:val="0"/>
          <w:caps w:val="0"/>
          <w:color w:val="000000"/>
          <w:spacing w:val="0"/>
          <w:sz w:val="31"/>
          <w:szCs w:val="31"/>
        </w:rPr>
        <w:t>（十）负责拟订全州公共法律服务体系建设规划并指导实施，统筹和布局全州法律服务资源。统筹指导、监督管理律师、法律援助、司法鉴定、公证、仲裁和基层法律服务工作。</w:t>
      </w:r>
    </w:p>
    <w:p w14:paraId="0808C871">
      <w:pPr>
        <w:keepNext w:val="0"/>
        <w:keepLines w:val="0"/>
        <w:pageBreakBefore w:val="0"/>
        <w:widowControl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仿宋_GB2312"/>
          <w:i w:val="0"/>
          <w:iCs w:val="0"/>
          <w:caps w:val="0"/>
          <w:color w:val="000000"/>
          <w:spacing w:val="0"/>
          <w:sz w:val="31"/>
          <w:szCs w:val="31"/>
          <w:lang w:eastAsia="zh-CN"/>
        </w:rPr>
      </w:pPr>
      <w:r>
        <w:rPr>
          <w:rFonts w:hint="default" w:ascii="仿宋_GB2312" w:hAnsi="宋体" w:eastAsia="仿宋_GB2312" w:cs="仿宋_GB2312"/>
          <w:i w:val="0"/>
          <w:iCs w:val="0"/>
          <w:caps w:val="0"/>
          <w:color w:val="000000"/>
          <w:spacing w:val="0"/>
          <w:sz w:val="31"/>
          <w:szCs w:val="31"/>
        </w:rPr>
        <w:t>（十一）负责全州国家统一法律职业资格考试的组织实施工作。负责全州国家统一法律职业资格管理工作；负责规划和指导法律职业人员入职前培训工作。</w:t>
      </w:r>
    </w:p>
    <w:p w14:paraId="7F4E7876">
      <w:pPr>
        <w:keepNext w:val="0"/>
        <w:keepLines w:val="0"/>
        <w:pageBreakBefore w:val="0"/>
        <w:widowControl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仿宋_GB2312"/>
          <w:i w:val="0"/>
          <w:iCs w:val="0"/>
          <w:caps w:val="0"/>
          <w:color w:val="000000"/>
          <w:spacing w:val="0"/>
          <w:sz w:val="31"/>
          <w:szCs w:val="31"/>
          <w:lang w:eastAsia="zh-CN"/>
        </w:rPr>
      </w:pPr>
      <w:r>
        <w:rPr>
          <w:rFonts w:hint="default" w:ascii="仿宋_GB2312" w:hAnsi="宋体" w:eastAsia="仿宋_GB2312" w:cs="仿宋_GB2312"/>
          <w:i w:val="0"/>
          <w:iCs w:val="0"/>
          <w:caps w:val="0"/>
          <w:color w:val="000000"/>
          <w:spacing w:val="0"/>
          <w:sz w:val="31"/>
          <w:szCs w:val="31"/>
        </w:rPr>
        <w:t>（十二）负责本系统执法执勤车辆等装备管理工作。指导监督本系统及戒毒所财务、装备、设施、场所等保障工作。</w:t>
      </w:r>
    </w:p>
    <w:p w14:paraId="7B86EA7B">
      <w:pPr>
        <w:keepNext w:val="0"/>
        <w:keepLines w:val="0"/>
        <w:pageBreakBefore w:val="0"/>
        <w:widowControl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仿宋_GB2312"/>
          <w:i w:val="0"/>
          <w:iCs w:val="0"/>
          <w:caps w:val="0"/>
          <w:color w:val="000000"/>
          <w:spacing w:val="0"/>
          <w:sz w:val="31"/>
          <w:szCs w:val="31"/>
          <w:lang w:eastAsia="zh-CN"/>
        </w:rPr>
      </w:pPr>
      <w:r>
        <w:rPr>
          <w:rFonts w:hint="default" w:ascii="仿宋_GB2312" w:hAnsi="宋体" w:eastAsia="仿宋_GB2312" w:cs="仿宋_GB2312"/>
          <w:i w:val="0"/>
          <w:iCs w:val="0"/>
          <w:caps w:val="0"/>
          <w:color w:val="000000"/>
          <w:spacing w:val="0"/>
          <w:sz w:val="31"/>
          <w:szCs w:val="31"/>
        </w:rPr>
        <w:t>（十三）规划、协调、指导法治人才队伍建设相关工作，指导监督本系统队伍建设。负责全州警务管理和警务督察工作；协助县（市）管理司法局领导干部。</w:t>
      </w:r>
    </w:p>
    <w:p w14:paraId="39C52967">
      <w:pPr>
        <w:keepNext w:val="0"/>
        <w:keepLines w:val="0"/>
        <w:pageBreakBefore w:val="0"/>
        <w:widowControl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仿宋_GB2312"/>
          <w:i w:val="0"/>
          <w:iCs w:val="0"/>
          <w:caps w:val="0"/>
          <w:color w:val="000000"/>
          <w:spacing w:val="0"/>
          <w:sz w:val="31"/>
          <w:szCs w:val="31"/>
          <w:lang w:eastAsia="zh-CN"/>
        </w:rPr>
      </w:pPr>
      <w:r>
        <w:rPr>
          <w:rFonts w:hint="default" w:ascii="仿宋_GB2312" w:hAnsi="宋体" w:eastAsia="仿宋_GB2312" w:cs="仿宋_GB2312"/>
          <w:i w:val="0"/>
          <w:iCs w:val="0"/>
          <w:caps w:val="0"/>
          <w:color w:val="000000"/>
          <w:spacing w:val="0"/>
          <w:sz w:val="31"/>
          <w:szCs w:val="31"/>
        </w:rPr>
        <w:t>（十四）负责全州外来企业投诉处理和民营企业法律服务工作，并指导本系统行政审批工作。</w:t>
      </w:r>
    </w:p>
    <w:p w14:paraId="2069E93D">
      <w:pPr>
        <w:keepNext w:val="0"/>
        <w:keepLines w:val="0"/>
        <w:pageBreakBefore w:val="0"/>
        <w:widowControl w:val="0"/>
        <w:kinsoku/>
        <w:wordWrap/>
        <w:overflowPunct/>
        <w:topLinePunct w:val="0"/>
        <w:autoSpaceDE/>
        <w:autoSpaceDN/>
        <w:bidi w:val="0"/>
        <w:adjustRightInd/>
        <w:snapToGrid/>
        <w:spacing w:line="360" w:lineRule="auto"/>
        <w:ind w:firstLine="620" w:firstLineChars="200"/>
        <w:jc w:val="left"/>
        <w:textAlignment w:val="auto"/>
        <w:rPr>
          <w:rFonts w:ascii="仿宋_GB2312" w:hAnsi="黑体" w:eastAsia="仿宋_GB2312"/>
          <w:sz w:val="32"/>
          <w:szCs w:val="32"/>
        </w:rPr>
      </w:pPr>
      <w:r>
        <w:rPr>
          <w:rFonts w:hint="default" w:ascii="仿宋_GB2312" w:hAnsi="宋体" w:eastAsia="仿宋_GB2312" w:cs="仿宋_GB2312"/>
          <w:i w:val="0"/>
          <w:iCs w:val="0"/>
          <w:caps w:val="0"/>
          <w:color w:val="000000"/>
          <w:spacing w:val="0"/>
          <w:sz w:val="31"/>
          <w:szCs w:val="31"/>
        </w:rPr>
        <w:t>（十五）完成州委、州政府交办的其他任务。</w:t>
      </w:r>
    </w:p>
    <w:bookmarkEnd w:id="38"/>
    <w:bookmarkEnd w:id="39"/>
    <w:p w14:paraId="72A4CB91">
      <w:pPr>
        <w:pStyle w:val="6"/>
        <w:numPr>
          <w:ilvl w:val="0"/>
          <w:numId w:val="1"/>
        </w:numPr>
        <w:bidi w:val="0"/>
        <w:rPr>
          <w:rFonts w:hint="eastAsia" w:ascii="黑体" w:hAnsi="黑体" w:eastAsia="黑体" w:cs="黑体"/>
        </w:rPr>
      </w:pPr>
      <w:bookmarkStart w:id="40" w:name="_Toc32289"/>
      <w:bookmarkStart w:id="41" w:name="_Toc13942"/>
      <w:bookmarkStart w:id="42" w:name="_Toc15396601"/>
      <w:bookmarkStart w:id="43" w:name="_Toc18172"/>
      <w:bookmarkStart w:id="44" w:name="_Toc15377200"/>
      <w:r>
        <w:rPr>
          <w:rFonts w:hint="eastAsia" w:ascii="黑体" w:hAnsi="黑体" w:eastAsia="黑体" w:cs="黑体"/>
        </w:rPr>
        <w:t>机构设置</w:t>
      </w:r>
    </w:p>
    <w:p w14:paraId="288AAEAE">
      <w:pPr>
        <w:spacing w:before="101" w:line="372" w:lineRule="auto"/>
        <w:ind w:right="35" w:firstLine="592" w:firstLineChars="200"/>
        <w:jc w:val="both"/>
        <w:rPr>
          <w:rFonts w:hint="eastAsia" w:ascii="仿宋" w:hAnsi="仿宋" w:eastAsia="仿宋" w:cs="仿宋"/>
          <w:spacing w:val="-7"/>
          <w:sz w:val="31"/>
          <w:szCs w:val="31"/>
          <w:lang w:eastAsia="zh-CN"/>
        </w:rPr>
      </w:pPr>
      <w:r>
        <w:rPr>
          <w:rFonts w:hint="default" w:ascii="仿宋" w:hAnsi="仿宋" w:eastAsia="仿宋" w:cs="仿宋"/>
          <w:spacing w:val="-7"/>
          <w:sz w:val="31"/>
          <w:szCs w:val="31"/>
        </w:rPr>
        <w:t>州司法局部门下属二级预算单位共有0个，其中行政单位1个，为甘孜藏族自治州司法局；其他事业单位2个，为康巴公证处、四川支点律师事务所。主要包括：</w:t>
      </w:r>
      <w:r>
        <w:rPr>
          <w:rFonts w:ascii="仿宋" w:hAnsi="仿宋" w:eastAsia="仿宋" w:cs="仿宋"/>
          <w:spacing w:val="-7"/>
          <w:sz w:val="31"/>
          <w:szCs w:val="31"/>
        </w:rPr>
        <w:t>甘孜州司法局</w:t>
      </w:r>
      <w:r>
        <w:rPr>
          <w:rFonts w:hint="default" w:ascii="仿宋" w:hAnsi="仿宋" w:eastAsia="仿宋" w:cs="仿宋"/>
          <w:spacing w:val="-7"/>
          <w:sz w:val="31"/>
          <w:szCs w:val="31"/>
        </w:rPr>
        <w:t>机关</w:t>
      </w:r>
      <w:r>
        <w:rPr>
          <w:rFonts w:hint="eastAsia" w:ascii="仿宋" w:hAnsi="仿宋" w:eastAsia="仿宋" w:cs="仿宋"/>
          <w:spacing w:val="-7"/>
          <w:sz w:val="31"/>
          <w:szCs w:val="31"/>
          <w:lang w:eastAsia="zh-CN"/>
        </w:rPr>
        <w:t>、</w:t>
      </w:r>
      <w:r>
        <w:rPr>
          <w:rFonts w:hint="eastAsia" w:ascii="仿宋" w:hAnsi="仿宋" w:eastAsia="仿宋" w:cs="仿宋"/>
          <w:spacing w:val="-7"/>
          <w:sz w:val="31"/>
          <w:szCs w:val="31"/>
        </w:rPr>
        <w:t>　</w:t>
      </w:r>
      <w:r>
        <w:rPr>
          <w:rFonts w:ascii="仿宋" w:hAnsi="仿宋" w:eastAsia="仿宋" w:cs="仿宋"/>
          <w:spacing w:val="-7"/>
          <w:sz w:val="31"/>
          <w:szCs w:val="31"/>
        </w:rPr>
        <w:t>康巴公证处</w:t>
      </w:r>
      <w:r>
        <w:rPr>
          <w:rFonts w:hint="eastAsia" w:ascii="仿宋" w:hAnsi="仿宋" w:eastAsia="仿宋" w:cs="仿宋"/>
          <w:spacing w:val="-7"/>
          <w:sz w:val="31"/>
          <w:szCs w:val="31"/>
          <w:lang w:eastAsia="zh-CN"/>
        </w:rPr>
        <w:t>、</w:t>
      </w:r>
      <w:r>
        <w:rPr>
          <w:rFonts w:hint="eastAsia" w:ascii="仿宋" w:hAnsi="仿宋" w:eastAsia="仿宋" w:cs="仿宋"/>
          <w:spacing w:val="-7"/>
          <w:sz w:val="31"/>
          <w:szCs w:val="31"/>
        </w:rPr>
        <w:t>四川支点律师事务所</w:t>
      </w:r>
      <w:r>
        <w:rPr>
          <w:rFonts w:hint="eastAsia" w:ascii="仿宋" w:hAnsi="仿宋" w:eastAsia="仿宋" w:cs="仿宋"/>
          <w:spacing w:val="-7"/>
          <w:sz w:val="31"/>
          <w:szCs w:val="31"/>
          <w:lang w:eastAsia="zh-CN"/>
        </w:rPr>
        <w:t>。</w:t>
      </w:r>
      <w:r>
        <w:rPr>
          <w:rFonts w:hint="eastAsia" w:ascii="仿宋" w:hAnsi="仿宋" w:eastAsia="仿宋" w:cs="仿宋"/>
          <w:spacing w:val="-7"/>
          <w:sz w:val="31"/>
          <w:szCs w:val="31"/>
        </w:rPr>
        <w:t>　</w:t>
      </w:r>
    </w:p>
    <w:p w14:paraId="49FF98FE">
      <w:pPr>
        <w:spacing w:before="101" w:line="372" w:lineRule="auto"/>
        <w:ind w:right="35"/>
        <w:jc w:val="both"/>
        <w:rPr>
          <w:rFonts w:hint="eastAsia" w:ascii="仿宋" w:hAnsi="仿宋" w:eastAsia="仿宋" w:cs="仿宋"/>
          <w:spacing w:val="-4"/>
          <w:sz w:val="31"/>
          <w:szCs w:val="31"/>
          <w:lang w:eastAsia="zh-CN"/>
        </w:rPr>
        <w:sectPr>
          <w:footerReference r:id="rId4" w:type="default"/>
          <w:pgSz w:w="11906" w:h="16839"/>
          <w:pgMar w:top="1431" w:right="1319" w:bottom="1120" w:left="1592" w:header="0" w:footer="831" w:gutter="0"/>
          <w:pgNumType w:fmt="decimal" w:start="1"/>
          <w:cols w:space="720" w:num="1"/>
        </w:sectPr>
      </w:pPr>
    </w:p>
    <w:p w14:paraId="68293232">
      <w:pPr>
        <w:pStyle w:val="9"/>
        <w:spacing w:line="323" w:lineRule="auto"/>
      </w:pPr>
    </w:p>
    <w:bookmarkEnd w:id="40"/>
    <w:bookmarkEnd w:id="41"/>
    <w:bookmarkEnd w:id="42"/>
    <w:bookmarkEnd w:id="43"/>
    <w:bookmarkEnd w:id="44"/>
    <w:p w14:paraId="1D1A80E2">
      <w:pPr>
        <w:pStyle w:val="5"/>
        <w:bidi w:val="0"/>
        <w:jc w:val="center"/>
        <w:rPr>
          <w:rFonts w:hint="eastAsia" w:ascii="黑体" w:hAnsi="黑体" w:eastAsia="黑体" w:cs="黑体"/>
        </w:rPr>
      </w:pPr>
      <w:bookmarkStart w:id="45" w:name="_Toc29117"/>
      <w:bookmarkStart w:id="46" w:name="_Toc9805"/>
      <w:bookmarkStart w:id="47" w:name="_Toc15396602"/>
      <w:bookmarkStart w:id="48" w:name="_Toc15377204"/>
      <w:bookmarkStart w:id="49" w:name="_Toc24457"/>
      <w:r>
        <w:rPr>
          <w:rFonts w:hint="eastAsia" w:ascii="黑体" w:hAnsi="黑体" w:eastAsia="黑体" w:cs="黑体"/>
        </w:rPr>
        <w:t>第二部分 202</w:t>
      </w:r>
      <w:r>
        <w:rPr>
          <w:rFonts w:hint="eastAsia" w:ascii="黑体" w:hAnsi="黑体" w:eastAsia="黑体" w:cs="黑体"/>
          <w:lang w:val="en-US" w:eastAsia="zh-CN"/>
        </w:rPr>
        <w:t>3</w:t>
      </w:r>
      <w:r>
        <w:rPr>
          <w:rFonts w:hint="eastAsia" w:ascii="黑体" w:hAnsi="黑体" w:eastAsia="黑体" w:cs="黑体"/>
        </w:rPr>
        <w:t>年度部门决算情况说明</w:t>
      </w:r>
      <w:bookmarkEnd w:id="45"/>
      <w:bookmarkEnd w:id="46"/>
      <w:bookmarkEnd w:id="47"/>
      <w:bookmarkEnd w:id="48"/>
      <w:bookmarkEnd w:id="49"/>
    </w:p>
    <w:p w14:paraId="63F1A464"/>
    <w:p w14:paraId="558652C5">
      <w:pPr>
        <w:pStyle w:val="6"/>
        <w:numPr>
          <w:ilvl w:val="0"/>
          <w:numId w:val="2"/>
        </w:numPr>
        <w:bidi w:val="0"/>
        <w:rPr>
          <w:rFonts w:hint="eastAsia" w:ascii="黑体" w:hAnsi="黑体" w:eastAsia="黑体" w:cs="黑体"/>
        </w:rPr>
      </w:pPr>
      <w:bookmarkStart w:id="50" w:name="_Toc27482"/>
      <w:bookmarkStart w:id="51" w:name="_Toc32239"/>
      <w:bookmarkStart w:id="52" w:name="_Toc15396603"/>
      <w:bookmarkStart w:id="53" w:name="_Toc3233"/>
      <w:bookmarkStart w:id="54" w:name="_Toc15377205"/>
      <w:r>
        <w:rPr>
          <w:rFonts w:hint="eastAsia" w:ascii="黑体" w:hAnsi="黑体" w:eastAsia="黑体" w:cs="黑体"/>
        </w:rPr>
        <w:t>收入支出决算总体情况说明</w:t>
      </w:r>
      <w:bookmarkEnd w:id="50"/>
      <w:bookmarkEnd w:id="51"/>
      <w:bookmarkEnd w:id="52"/>
      <w:bookmarkEnd w:id="53"/>
      <w:bookmarkEnd w:id="54"/>
    </w:p>
    <w:p w14:paraId="0E34554D">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w:t>
      </w:r>
      <w:r>
        <w:rPr>
          <w:rFonts w:hint="eastAsia" w:ascii="仿宋" w:hAnsi="仿宋" w:eastAsia="仿宋"/>
          <w:sz w:val="32"/>
          <w:szCs w:val="32"/>
          <w:lang w:val="en-US" w:eastAsia="zh-CN"/>
        </w:rPr>
        <w:t>收入</w:t>
      </w:r>
      <w:r>
        <w:rPr>
          <w:rFonts w:hint="eastAsia" w:ascii="仿宋" w:hAnsi="仿宋" w:eastAsia="仿宋"/>
          <w:sz w:val="32"/>
          <w:szCs w:val="32"/>
        </w:rPr>
        <w:t>总计</w:t>
      </w:r>
      <w:r>
        <w:rPr>
          <w:rFonts w:hint="eastAsia" w:ascii="仿宋" w:hAnsi="仿宋" w:eastAsia="仿宋"/>
          <w:sz w:val="32"/>
          <w:szCs w:val="32"/>
          <w:lang w:val="en-US" w:eastAsia="zh-CN"/>
        </w:rPr>
        <w:t>1863.16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与202</w:t>
      </w:r>
      <w:r>
        <w:rPr>
          <w:rFonts w:hint="eastAsia" w:ascii="仿宋" w:hAnsi="仿宋" w:eastAsia="仿宋"/>
          <w:sz w:val="32"/>
          <w:szCs w:val="32"/>
          <w:lang w:val="en-US" w:eastAsia="zh-CN"/>
        </w:rPr>
        <w:t>2</w:t>
      </w:r>
      <w:r>
        <w:rPr>
          <w:rFonts w:hint="eastAsia" w:ascii="仿宋" w:hAnsi="仿宋" w:eastAsia="仿宋"/>
          <w:sz w:val="32"/>
          <w:szCs w:val="32"/>
        </w:rPr>
        <w:t>年相比</w:t>
      </w:r>
      <w:r>
        <w:rPr>
          <w:rFonts w:hint="eastAsia" w:ascii="仿宋" w:hAnsi="仿宋" w:eastAsia="仿宋"/>
          <w:sz w:val="32"/>
          <w:szCs w:val="32"/>
          <w:lang w:val="en-US" w:eastAsia="zh-CN"/>
        </w:rPr>
        <w:t>收入</w:t>
      </w:r>
      <w:r>
        <w:rPr>
          <w:rFonts w:hint="eastAsia" w:ascii="仿宋" w:hAnsi="仿宋" w:eastAsia="仿宋"/>
          <w:sz w:val="32"/>
          <w:szCs w:val="32"/>
        </w:rPr>
        <w:t>总计</w:t>
      </w:r>
      <w:r>
        <w:rPr>
          <w:rFonts w:hint="eastAsia" w:ascii="仿宋" w:hAnsi="仿宋" w:eastAsia="仿宋"/>
          <w:sz w:val="32"/>
          <w:szCs w:val="32"/>
          <w:lang w:val="en-US" w:eastAsia="zh-CN"/>
        </w:rPr>
        <w:t>增加158.14</w:t>
      </w:r>
      <w:r>
        <w:rPr>
          <w:rFonts w:hint="eastAsia" w:ascii="仿宋" w:hAnsi="仿宋" w:eastAsia="仿宋"/>
          <w:sz w:val="32"/>
          <w:szCs w:val="32"/>
        </w:rPr>
        <w:t>万元，</w:t>
      </w:r>
      <w:r>
        <w:rPr>
          <w:rFonts w:hint="eastAsia" w:ascii="仿宋" w:hAnsi="仿宋" w:eastAsia="仿宋"/>
          <w:sz w:val="32"/>
          <w:szCs w:val="32"/>
          <w:lang w:val="en-US" w:eastAsia="zh-CN"/>
        </w:rPr>
        <w:t>增长9.27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2023年单位转移支付项目资金增加。2023年支出总额1863.16万元，与2022年相比较支出总额减少10.98万元，下降0.59%,主要原因是2023年上年结转资金减少。</w:t>
      </w:r>
    </w:p>
    <w:p w14:paraId="22E21905">
      <w:pPr>
        <w:spacing w:line="600" w:lineRule="exact"/>
        <w:ind w:firstLine="640" w:firstLineChars="200"/>
        <w:rPr>
          <w:rFonts w:hint="default" w:ascii="仿宋" w:hAnsi="仿宋" w:eastAsia="仿宋"/>
          <w:sz w:val="32"/>
          <w:szCs w:val="32"/>
          <w:lang w:val="en-US" w:eastAsia="zh-CN"/>
        </w:rPr>
      </w:pPr>
    </w:p>
    <w:p w14:paraId="0E6AC3F7">
      <w:pPr>
        <w:pStyle w:val="8"/>
        <w:ind w:left="0" w:leftChars="0" w:firstLine="0" w:firstLineChars="0"/>
        <w:rPr>
          <w:rFonts w:hint="eastAsia" w:ascii="黑体" w:hAnsi="黑体" w:eastAsia="黑体" w:cs="黑体"/>
        </w:rPr>
      </w:pPr>
      <w:bookmarkStart w:id="55" w:name="_Toc15377206"/>
      <w:bookmarkStart w:id="56" w:name="_Toc30521"/>
      <w:bookmarkStart w:id="57" w:name="_Toc12856"/>
      <w:bookmarkStart w:id="58" w:name="_Toc32568"/>
      <w:bookmarkStart w:id="59" w:name="_Toc15396604"/>
      <w:r>
        <w:drawing>
          <wp:inline distT="0" distB="0" distL="114300" distR="114300">
            <wp:extent cx="4826000" cy="2743200"/>
            <wp:effectExtent l="4445" t="4445" r="82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DF7058">
      <w:pPr>
        <w:pStyle w:val="8"/>
        <w:rPr>
          <w:rFonts w:hint="eastAsia" w:ascii="黑体" w:hAnsi="黑体" w:eastAsia="黑体" w:cs="黑体"/>
        </w:rPr>
      </w:pPr>
    </w:p>
    <w:p w14:paraId="1D981238">
      <w:pPr>
        <w:rPr>
          <w:rFonts w:hint="eastAsia" w:ascii="黑体" w:hAnsi="黑体" w:eastAsia="黑体" w:cs="黑体"/>
        </w:rPr>
      </w:pPr>
    </w:p>
    <w:p w14:paraId="02A6BAE7">
      <w:pPr>
        <w:spacing w:line="600" w:lineRule="exact"/>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r>
        <w:rPr>
          <w:rFonts w:ascii="Ã¥Â¯Â°Ã®â€ Â¿Ã¨â€™â€¹Ã©â€”â€ Ã¥" w:hAnsi="Ã¥Â¯Â°Ã®â€ Â¿Ã¨â€™â€¹Ã©â€”â€ Ã¥" w:eastAsia="Ã¥Â¯Â°Ã®â€ Â¿Ã¨â€™â€¹Ã©â€”â€ Ã¥" w:cs="Ã¥Â¯Â°Ã®â€ Â¿Ã¨â€™â€¹Ã©â€”â€ Ã¥"/>
          <w:i w:val="0"/>
          <w:iCs w:val="0"/>
          <w:caps w:val="0"/>
          <w:color w:val="595959"/>
          <w:spacing w:val="0"/>
          <w:sz w:val="28"/>
          <w:szCs w:val="28"/>
          <w:shd w:val="clear" w:fill="FFFFFF"/>
        </w:rPr>
        <w:t>柱状图，单位：万元</w:t>
      </w:r>
      <w:r>
        <w:rPr>
          <w:rFonts w:hint="eastAsia" w:ascii="仿宋" w:hAnsi="仿宋" w:eastAsia="仿宋"/>
          <w:sz w:val="32"/>
          <w:szCs w:val="32"/>
        </w:rPr>
        <w:t>）</w:t>
      </w:r>
    </w:p>
    <w:p w14:paraId="7A09554A">
      <w:pPr>
        <w:rPr>
          <w:rFonts w:hint="eastAsia" w:ascii="黑体" w:hAnsi="黑体" w:eastAsia="黑体" w:cs="黑体"/>
        </w:rPr>
      </w:pPr>
    </w:p>
    <w:p w14:paraId="50056E3F">
      <w:pPr>
        <w:pStyle w:val="8"/>
        <w:rPr>
          <w:rFonts w:hint="eastAsia"/>
        </w:rPr>
      </w:pPr>
    </w:p>
    <w:p w14:paraId="0EBD10D9">
      <w:pPr>
        <w:pStyle w:val="6"/>
        <w:numPr>
          <w:ilvl w:val="0"/>
          <w:numId w:val="2"/>
        </w:numPr>
        <w:bidi w:val="0"/>
        <w:rPr>
          <w:rFonts w:hint="eastAsia" w:ascii="黑体" w:hAnsi="黑体" w:eastAsia="黑体" w:cs="黑体"/>
        </w:rPr>
      </w:pPr>
      <w:r>
        <w:rPr>
          <w:rFonts w:hint="eastAsia" w:ascii="黑体" w:hAnsi="黑体" w:eastAsia="黑体" w:cs="黑体"/>
        </w:rPr>
        <w:t>收入决算情况说明</w:t>
      </w:r>
      <w:bookmarkEnd w:id="55"/>
      <w:bookmarkEnd w:id="56"/>
      <w:bookmarkEnd w:id="57"/>
      <w:bookmarkEnd w:id="58"/>
      <w:bookmarkEnd w:id="59"/>
    </w:p>
    <w:p w14:paraId="49DC4036">
      <w:pPr>
        <w:bidi w:val="0"/>
        <w:ind w:firstLine="640" w:firstLineChars="200"/>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年本年收入合计</w:t>
      </w:r>
      <w:r>
        <w:rPr>
          <w:rFonts w:hint="eastAsia" w:ascii="仿宋" w:hAnsi="仿宋" w:eastAsia="仿宋"/>
          <w:sz w:val="32"/>
          <w:szCs w:val="32"/>
          <w:lang w:val="en-US" w:eastAsia="zh-CN"/>
        </w:rPr>
        <w:t>1863.16</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1863.16</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w:t>
      </w:r>
    </w:p>
    <w:p w14:paraId="12661FC2">
      <w:pPr>
        <w:pStyle w:val="9"/>
      </w:pPr>
    </w:p>
    <w:p w14:paraId="1D541A30">
      <w:pPr>
        <w:pStyle w:val="9"/>
        <w:rPr>
          <w:rFonts w:ascii="仿宋" w:hAnsi="仿宋" w:eastAsia="仿宋"/>
          <w:sz w:val="32"/>
          <w:szCs w:val="32"/>
        </w:rPr>
      </w:pPr>
      <w:r>
        <w:drawing>
          <wp:inline distT="0" distB="0" distL="114300" distR="114300">
            <wp:extent cx="4826000" cy="2743200"/>
            <wp:effectExtent l="4445" t="4445" r="825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F8B0EA">
      <w:pPr>
        <w:pStyle w:val="9"/>
        <w:rPr>
          <w:rFonts w:ascii="仿宋" w:hAnsi="仿宋" w:eastAsia="仿宋"/>
          <w:sz w:val="32"/>
          <w:szCs w:val="32"/>
        </w:rPr>
      </w:pPr>
    </w:p>
    <w:p w14:paraId="16A91AD8">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14:paraId="5FC91D64">
      <w:pPr>
        <w:spacing w:line="600" w:lineRule="exact"/>
        <w:ind w:firstLine="640" w:firstLineChars="200"/>
        <w:rPr>
          <w:rFonts w:ascii="仿宋_GB2312" w:eastAsia="仿宋_GB2312"/>
          <w:sz w:val="32"/>
          <w:szCs w:val="32"/>
        </w:rPr>
      </w:pPr>
    </w:p>
    <w:p w14:paraId="3A1FF011">
      <w:pPr>
        <w:pStyle w:val="6"/>
        <w:numPr>
          <w:ilvl w:val="0"/>
          <w:numId w:val="2"/>
        </w:numPr>
        <w:bidi w:val="0"/>
        <w:rPr>
          <w:rFonts w:hint="eastAsia" w:ascii="黑体" w:hAnsi="黑体" w:eastAsia="黑体" w:cs="黑体"/>
        </w:rPr>
      </w:pPr>
      <w:bookmarkStart w:id="60" w:name="_Toc1890"/>
      <w:bookmarkStart w:id="61" w:name="_Toc15396605"/>
      <w:bookmarkStart w:id="62" w:name="_Toc20485"/>
      <w:bookmarkStart w:id="63" w:name="_Toc15377207"/>
      <w:bookmarkStart w:id="64" w:name="_Toc24920"/>
      <w:r>
        <w:rPr>
          <w:rFonts w:hint="eastAsia" w:ascii="黑体" w:hAnsi="黑体" w:eastAsia="黑体" w:cs="黑体"/>
        </w:rPr>
        <w:t>支出决算情况说明</w:t>
      </w:r>
      <w:bookmarkEnd w:id="60"/>
      <w:bookmarkEnd w:id="61"/>
      <w:bookmarkEnd w:id="62"/>
      <w:bookmarkEnd w:id="63"/>
      <w:bookmarkEnd w:id="64"/>
    </w:p>
    <w:p w14:paraId="751563F6">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年本年支出合计</w:t>
      </w:r>
      <w:r>
        <w:rPr>
          <w:rFonts w:hint="eastAsia" w:ascii="仿宋" w:hAnsi="仿宋" w:eastAsia="仿宋"/>
          <w:sz w:val="32"/>
          <w:szCs w:val="32"/>
          <w:lang w:val="en-US" w:eastAsia="zh-CN"/>
        </w:rPr>
        <w:t>1863.16</w:t>
      </w:r>
      <w:r>
        <w:rPr>
          <w:rFonts w:hint="eastAsia" w:ascii="仿宋" w:hAnsi="仿宋" w:eastAsia="仿宋"/>
          <w:sz w:val="32"/>
          <w:szCs w:val="32"/>
        </w:rPr>
        <w:t>万元，其中：基本支出</w:t>
      </w:r>
      <w:r>
        <w:rPr>
          <w:rFonts w:hint="eastAsia" w:ascii="仿宋" w:hAnsi="仿宋" w:eastAsia="仿宋"/>
          <w:sz w:val="32"/>
          <w:szCs w:val="32"/>
          <w:lang w:val="en-US" w:eastAsia="zh-CN"/>
        </w:rPr>
        <w:t>1417.69</w:t>
      </w:r>
      <w:r>
        <w:rPr>
          <w:rFonts w:hint="eastAsia" w:ascii="仿宋" w:hAnsi="仿宋" w:eastAsia="仿宋"/>
          <w:sz w:val="32"/>
          <w:szCs w:val="32"/>
        </w:rPr>
        <w:t>万元，占</w:t>
      </w:r>
      <w:r>
        <w:rPr>
          <w:rFonts w:hint="eastAsia" w:ascii="仿宋" w:hAnsi="仿宋" w:eastAsia="仿宋"/>
          <w:sz w:val="32"/>
          <w:szCs w:val="32"/>
          <w:lang w:val="en-US" w:eastAsia="zh-CN"/>
        </w:rPr>
        <w:t>76.09</w:t>
      </w:r>
      <w:r>
        <w:rPr>
          <w:rFonts w:hint="eastAsia" w:ascii="仿宋" w:hAnsi="仿宋" w:eastAsia="仿宋"/>
          <w:sz w:val="32"/>
          <w:szCs w:val="32"/>
        </w:rPr>
        <w:t>%；项目支出</w:t>
      </w:r>
      <w:r>
        <w:rPr>
          <w:rFonts w:hint="eastAsia" w:ascii="仿宋" w:hAnsi="仿宋" w:eastAsia="仿宋"/>
          <w:sz w:val="32"/>
          <w:szCs w:val="32"/>
          <w:lang w:val="en-US" w:eastAsia="zh-CN"/>
        </w:rPr>
        <w:t>445.47</w:t>
      </w:r>
      <w:r>
        <w:rPr>
          <w:rFonts w:hint="eastAsia" w:ascii="仿宋" w:hAnsi="仿宋" w:eastAsia="仿宋"/>
          <w:sz w:val="32"/>
          <w:szCs w:val="32"/>
        </w:rPr>
        <w:t>万元，占</w:t>
      </w:r>
      <w:r>
        <w:rPr>
          <w:rFonts w:hint="eastAsia" w:ascii="仿宋" w:hAnsi="仿宋" w:eastAsia="仿宋"/>
          <w:sz w:val="32"/>
          <w:szCs w:val="32"/>
          <w:lang w:val="en-US" w:eastAsia="zh-CN"/>
        </w:rPr>
        <w:t>23.91</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w:t>
      </w:r>
    </w:p>
    <w:p w14:paraId="3442D1B8">
      <w:pPr>
        <w:pStyle w:val="9"/>
        <w:rPr>
          <w:rFonts w:ascii="仿宋" w:hAnsi="仿宋" w:eastAsia="仿宋"/>
          <w:sz w:val="32"/>
          <w:szCs w:val="32"/>
          <w:shd w:val="pct10" w:color="auto" w:fill="FFFFFF"/>
        </w:rPr>
      </w:pPr>
    </w:p>
    <w:p w14:paraId="5A9DCFF1">
      <w:pPr>
        <w:pStyle w:val="9"/>
        <w:rPr>
          <w:rFonts w:ascii="仿宋" w:hAnsi="仿宋" w:eastAsia="仿宋"/>
          <w:sz w:val="32"/>
          <w:szCs w:val="32"/>
          <w:shd w:val="pct10" w:color="auto" w:fill="FFFFFF"/>
        </w:rPr>
      </w:pPr>
      <w:r>
        <w:drawing>
          <wp:inline distT="0" distB="0" distL="114300" distR="114300">
            <wp:extent cx="4826000" cy="2743200"/>
            <wp:effectExtent l="4445" t="4445" r="8255" b="14605"/>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654B8CB">
      <w:pPr>
        <w:pStyle w:val="9"/>
        <w:rPr>
          <w:rFonts w:ascii="仿宋" w:hAnsi="仿宋" w:eastAsia="仿宋"/>
          <w:sz w:val="32"/>
          <w:szCs w:val="32"/>
          <w:shd w:val="pct10" w:color="auto" w:fill="FFFFFF"/>
        </w:rPr>
      </w:pPr>
    </w:p>
    <w:p w14:paraId="74D7276A">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r>
        <w:rPr>
          <w:rFonts w:hint="eastAsia" w:ascii="仿宋" w:hAnsi="仿宋" w:eastAsia="仿宋"/>
          <w:sz w:val="32"/>
          <w:szCs w:val="32"/>
          <w:lang w:val="en-US" w:eastAsia="zh-CN"/>
        </w:rPr>
        <w:t>单位：万元</w:t>
      </w:r>
      <w:r>
        <w:rPr>
          <w:rFonts w:hint="eastAsia" w:ascii="仿宋" w:hAnsi="仿宋" w:eastAsia="仿宋"/>
          <w:sz w:val="32"/>
          <w:szCs w:val="32"/>
        </w:rPr>
        <w:t>）</w:t>
      </w:r>
    </w:p>
    <w:p w14:paraId="4FB27A5B">
      <w:pPr>
        <w:spacing w:line="600" w:lineRule="exact"/>
        <w:ind w:firstLine="640" w:firstLineChars="200"/>
        <w:rPr>
          <w:rFonts w:ascii="仿宋_GB2312" w:eastAsia="仿宋_GB2312"/>
          <w:sz w:val="32"/>
          <w:szCs w:val="32"/>
        </w:rPr>
      </w:pPr>
    </w:p>
    <w:p w14:paraId="1EA2400E">
      <w:pPr>
        <w:pStyle w:val="6"/>
        <w:bidi w:val="0"/>
        <w:rPr>
          <w:rFonts w:hint="eastAsia" w:ascii="黑体" w:hAnsi="黑体" w:eastAsia="黑体" w:cs="黑体"/>
        </w:rPr>
      </w:pPr>
      <w:bookmarkStart w:id="65" w:name="_Toc21048"/>
      <w:bookmarkStart w:id="66" w:name="_Toc15396606"/>
      <w:bookmarkStart w:id="67" w:name="_Toc15377208"/>
      <w:bookmarkStart w:id="68" w:name="_Toc16917"/>
      <w:bookmarkStart w:id="69" w:name="_Toc9862"/>
      <w:r>
        <w:rPr>
          <w:rFonts w:hint="eastAsia" w:ascii="黑体" w:hAnsi="黑体" w:eastAsia="黑体" w:cs="黑体"/>
        </w:rPr>
        <w:t>四、财政拨款收入支出决算总体情况说明</w:t>
      </w:r>
      <w:bookmarkEnd w:id="65"/>
      <w:bookmarkEnd w:id="66"/>
      <w:bookmarkEnd w:id="67"/>
      <w:bookmarkEnd w:id="68"/>
      <w:bookmarkEnd w:id="69"/>
    </w:p>
    <w:p w14:paraId="107F624A">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w:t>
      </w:r>
      <w:r>
        <w:rPr>
          <w:rFonts w:hint="eastAsia" w:ascii="仿宋" w:hAnsi="仿宋" w:eastAsia="仿宋"/>
          <w:sz w:val="32"/>
          <w:szCs w:val="32"/>
          <w:lang w:val="en-US" w:eastAsia="zh-CN"/>
        </w:rPr>
        <w:t>财政拨款收入1863.16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与202</w:t>
      </w:r>
      <w:r>
        <w:rPr>
          <w:rFonts w:hint="eastAsia" w:ascii="仿宋" w:hAnsi="仿宋" w:eastAsia="仿宋"/>
          <w:sz w:val="32"/>
          <w:szCs w:val="32"/>
          <w:lang w:val="en-US" w:eastAsia="zh-CN"/>
        </w:rPr>
        <w:t>2</w:t>
      </w:r>
      <w:r>
        <w:rPr>
          <w:rFonts w:hint="eastAsia" w:ascii="仿宋" w:hAnsi="仿宋" w:eastAsia="仿宋"/>
          <w:sz w:val="32"/>
          <w:szCs w:val="32"/>
        </w:rPr>
        <w:t>年相比</w:t>
      </w:r>
      <w:r>
        <w:rPr>
          <w:rFonts w:hint="eastAsia" w:ascii="仿宋" w:hAnsi="仿宋" w:eastAsia="仿宋"/>
          <w:sz w:val="32"/>
          <w:szCs w:val="32"/>
          <w:lang w:val="en-US" w:eastAsia="zh-CN"/>
        </w:rPr>
        <w:t>收入</w:t>
      </w:r>
      <w:r>
        <w:rPr>
          <w:rFonts w:hint="eastAsia" w:ascii="仿宋" w:hAnsi="仿宋" w:eastAsia="仿宋"/>
          <w:sz w:val="32"/>
          <w:szCs w:val="32"/>
        </w:rPr>
        <w:t>总计</w:t>
      </w:r>
      <w:r>
        <w:rPr>
          <w:rFonts w:hint="eastAsia" w:ascii="仿宋" w:hAnsi="仿宋" w:eastAsia="仿宋"/>
          <w:sz w:val="32"/>
          <w:szCs w:val="32"/>
          <w:lang w:val="en-US" w:eastAsia="zh-CN"/>
        </w:rPr>
        <w:t>增加158.14</w:t>
      </w:r>
      <w:r>
        <w:rPr>
          <w:rFonts w:hint="eastAsia" w:ascii="仿宋" w:hAnsi="仿宋" w:eastAsia="仿宋"/>
          <w:sz w:val="32"/>
          <w:szCs w:val="32"/>
        </w:rPr>
        <w:t>万元，</w:t>
      </w:r>
      <w:r>
        <w:rPr>
          <w:rFonts w:hint="eastAsia" w:ascii="仿宋" w:hAnsi="仿宋" w:eastAsia="仿宋"/>
          <w:sz w:val="32"/>
          <w:szCs w:val="32"/>
          <w:lang w:val="en-US" w:eastAsia="zh-CN"/>
        </w:rPr>
        <w:t>下降9.27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2023年单位转移支付项目资金增加。2023年财政拨款支出总额1863.16万元，与2022年相比较支出总额减少10.98万元，下降0.59%,主要原因是2023年上年结转资金支出减少。</w:t>
      </w:r>
    </w:p>
    <w:p w14:paraId="07544B9C">
      <w:pPr>
        <w:pStyle w:val="9"/>
      </w:pPr>
    </w:p>
    <w:p w14:paraId="02C4B801">
      <w:pPr>
        <w:pStyle w:val="9"/>
      </w:pPr>
    </w:p>
    <w:p w14:paraId="4A7FF829">
      <w:pPr>
        <w:pStyle w:val="9"/>
        <w:rPr>
          <w:rFonts w:ascii="仿宋" w:hAnsi="仿宋" w:eastAsia="仿宋"/>
          <w:b/>
          <w:sz w:val="32"/>
          <w:szCs w:val="32"/>
        </w:rPr>
      </w:pPr>
      <w:r>
        <w:drawing>
          <wp:inline distT="0" distB="0" distL="114300" distR="114300">
            <wp:extent cx="4826000" cy="2743200"/>
            <wp:effectExtent l="4445" t="4445" r="8255" b="1460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10F581">
      <w:pPr>
        <w:spacing w:line="600" w:lineRule="exact"/>
        <w:rPr>
          <w:rFonts w:hint="eastAsia" w:ascii="仿宋" w:hAnsi="仿宋" w:eastAsia="仿宋"/>
          <w:sz w:val="28"/>
          <w:szCs w:val="28"/>
        </w:rPr>
      </w:pPr>
    </w:p>
    <w:p w14:paraId="06D6698C">
      <w:pPr>
        <w:spacing w:line="600" w:lineRule="exact"/>
        <w:rPr>
          <w:rFonts w:ascii="仿宋" w:hAnsi="仿宋" w:eastAsia="仿宋"/>
          <w:sz w:val="28"/>
          <w:szCs w:val="28"/>
        </w:rPr>
      </w:pPr>
      <w:r>
        <w:rPr>
          <w:rFonts w:hint="eastAsia" w:ascii="仿宋" w:hAnsi="仿宋" w:eastAsia="仿宋"/>
          <w:sz w:val="28"/>
          <w:szCs w:val="28"/>
        </w:rPr>
        <w:t>（图4：财政拨款收、支决算总计变动情况）（柱状图</w:t>
      </w:r>
      <w:r>
        <w:rPr>
          <w:rFonts w:hint="eastAsia" w:ascii="仿宋" w:hAnsi="仿宋" w:eastAsia="仿宋"/>
          <w:sz w:val="28"/>
          <w:szCs w:val="28"/>
          <w:lang w:val="en-US" w:eastAsia="zh-CN"/>
        </w:rPr>
        <w:t>单位：万元</w:t>
      </w:r>
      <w:r>
        <w:rPr>
          <w:rFonts w:hint="eastAsia" w:ascii="仿宋" w:hAnsi="仿宋" w:eastAsia="仿宋"/>
          <w:sz w:val="28"/>
          <w:szCs w:val="28"/>
        </w:rPr>
        <w:t>）</w:t>
      </w:r>
    </w:p>
    <w:p w14:paraId="1B029F70">
      <w:pPr>
        <w:spacing w:line="600" w:lineRule="exact"/>
        <w:ind w:firstLine="640"/>
        <w:rPr>
          <w:rFonts w:ascii="仿宋" w:hAnsi="仿宋" w:eastAsia="仿宋"/>
          <w:b/>
          <w:sz w:val="32"/>
          <w:szCs w:val="32"/>
        </w:rPr>
      </w:pPr>
    </w:p>
    <w:p w14:paraId="2DF4AF84">
      <w:pPr>
        <w:pStyle w:val="6"/>
        <w:bidi w:val="0"/>
        <w:rPr>
          <w:rFonts w:hint="eastAsia" w:ascii="黑体" w:hAnsi="黑体" w:eastAsia="黑体" w:cs="黑体"/>
        </w:rPr>
      </w:pPr>
      <w:bookmarkStart w:id="70" w:name="_Toc15396607"/>
      <w:bookmarkStart w:id="71" w:name="_Toc22878"/>
      <w:bookmarkStart w:id="72" w:name="_Toc15377209"/>
      <w:bookmarkStart w:id="73" w:name="_Toc22318"/>
      <w:bookmarkStart w:id="74" w:name="_Toc11025"/>
      <w:r>
        <w:rPr>
          <w:rFonts w:hint="eastAsia" w:ascii="黑体" w:hAnsi="黑体" w:eastAsia="黑体" w:cs="黑体"/>
        </w:rPr>
        <w:t>五、一般公共预算财政拨款支出决算情况说明</w:t>
      </w:r>
      <w:bookmarkEnd w:id="70"/>
      <w:bookmarkEnd w:id="71"/>
      <w:bookmarkEnd w:id="72"/>
      <w:bookmarkEnd w:id="73"/>
      <w:bookmarkEnd w:id="74"/>
    </w:p>
    <w:p w14:paraId="3D6C3979">
      <w:pPr>
        <w:spacing w:line="600" w:lineRule="exact"/>
        <w:ind w:firstLine="643" w:firstLineChars="200"/>
        <w:outlineLvl w:val="2"/>
        <w:rPr>
          <w:rFonts w:ascii="仿宋" w:hAnsi="仿宋" w:eastAsia="仿宋"/>
          <w:b/>
          <w:sz w:val="32"/>
          <w:szCs w:val="32"/>
        </w:rPr>
      </w:pPr>
      <w:bookmarkStart w:id="75" w:name="_Toc15377210"/>
      <w:r>
        <w:rPr>
          <w:rFonts w:hint="eastAsia" w:ascii="仿宋" w:hAnsi="仿宋" w:eastAsia="仿宋"/>
          <w:b/>
          <w:sz w:val="32"/>
          <w:szCs w:val="32"/>
        </w:rPr>
        <w:t>（一）一般公共预算财政拨款支出决算总体情况</w:t>
      </w:r>
      <w:bookmarkEnd w:id="75"/>
    </w:p>
    <w:p w14:paraId="715880A2">
      <w:pPr>
        <w:spacing w:line="600" w:lineRule="exact"/>
        <w:ind w:firstLine="640"/>
        <w:rPr>
          <w:rFonts w:hint="eastAsia"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1863.16</w:t>
      </w:r>
      <w:r>
        <w:rPr>
          <w:rFonts w:hint="eastAsia" w:ascii="仿宋" w:hAnsi="仿宋" w:eastAsia="仿宋"/>
          <w:sz w:val="32"/>
          <w:szCs w:val="32"/>
        </w:rPr>
        <w:t>万元，占本年支出合计的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年相比，一般公共预算财政拨款支出</w:t>
      </w:r>
      <w:r>
        <w:rPr>
          <w:rFonts w:hint="eastAsia" w:ascii="仿宋" w:hAnsi="仿宋" w:eastAsia="仿宋"/>
          <w:sz w:val="32"/>
          <w:szCs w:val="32"/>
          <w:lang w:val="en-US" w:eastAsia="zh-CN"/>
        </w:rPr>
        <w:t>减少10.98</w:t>
      </w:r>
      <w:r>
        <w:rPr>
          <w:rFonts w:hint="eastAsia" w:ascii="仿宋" w:hAnsi="仿宋" w:eastAsia="仿宋"/>
          <w:sz w:val="32"/>
          <w:szCs w:val="32"/>
        </w:rPr>
        <w:t>万元，</w:t>
      </w:r>
      <w:r>
        <w:rPr>
          <w:rFonts w:hint="eastAsia" w:ascii="仿宋" w:hAnsi="仿宋" w:eastAsia="仿宋"/>
          <w:sz w:val="32"/>
          <w:szCs w:val="32"/>
          <w:lang w:val="en-US" w:eastAsia="zh-CN"/>
        </w:rPr>
        <w:t>下降0.59</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2023年上年结转支出减少。</w:t>
      </w:r>
    </w:p>
    <w:p w14:paraId="0B0EC936">
      <w:pPr>
        <w:pStyle w:val="9"/>
        <w:rPr>
          <w:rFonts w:hint="eastAsia" w:ascii="仿宋" w:hAnsi="仿宋" w:eastAsia="仿宋"/>
          <w:sz w:val="32"/>
          <w:szCs w:val="32"/>
          <w:lang w:val="en-US" w:eastAsia="zh-CN"/>
        </w:rPr>
      </w:pPr>
    </w:p>
    <w:p w14:paraId="39F3D633">
      <w:pPr>
        <w:pStyle w:val="9"/>
        <w:rPr>
          <w:rFonts w:hint="eastAsia" w:ascii="仿宋" w:hAnsi="仿宋" w:eastAsia="仿宋"/>
          <w:sz w:val="32"/>
          <w:szCs w:val="32"/>
          <w:lang w:val="en-US" w:eastAsia="zh-CN"/>
        </w:rPr>
      </w:pPr>
    </w:p>
    <w:p w14:paraId="4479B006">
      <w:pPr>
        <w:pStyle w:val="9"/>
      </w:pPr>
    </w:p>
    <w:p w14:paraId="06C1D05E">
      <w:pPr>
        <w:pStyle w:val="9"/>
      </w:pPr>
    </w:p>
    <w:p w14:paraId="7527209D">
      <w:pPr>
        <w:pStyle w:val="9"/>
        <w:rPr>
          <w:rFonts w:hint="default" w:ascii="仿宋" w:hAnsi="仿宋" w:eastAsia="仿宋"/>
          <w:sz w:val="32"/>
          <w:szCs w:val="32"/>
          <w:lang w:val="en-US" w:eastAsia="zh-CN"/>
        </w:rPr>
      </w:pPr>
      <w:r>
        <w:drawing>
          <wp:inline distT="0" distB="0" distL="114300" distR="114300">
            <wp:extent cx="4826000" cy="2743200"/>
            <wp:effectExtent l="4445" t="4445" r="8255" b="14605"/>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7FDE3B5">
      <w:pPr>
        <w:spacing w:line="600" w:lineRule="exact"/>
        <w:rPr>
          <w:rFonts w:hint="eastAsia" w:ascii="仿宋" w:hAnsi="仿宋" w:eastAsia="仿宋"/>
          <w:sz w:val="32"/>
          <w:szCs w:val="32"/>
        </w:rPr>
      </w:pPr>
    </w:p>
    <w:p w14:paraId="004145F3">
      <w:pPr>
        <w:spacing w:line="600" w:lineRule="exact"/>
        <w:rPr>
          <w:rFonts w:hint="eastAsia" w:ascii="仿宋" w:hAnsi="仿宋" w:eastAsia="仿宋"/>
          <w:sz w:val="32"/>
          <w:szCs w:val="32"/>
        </w:rPr>
      </w:pPr>
      <w:r>
        <w:rPr>
          <w:rFonts w:hint="eastAsia" w:ascii="仿宋" w:hAnsi="仿宋" w:eastAsia="仿宋"/>
          <w:sz w:val="32"/>
          <w:szCs w:val="32"/>
        </w:rPr>
        <w:t>（图5：一般公共预算财政拨款支出决算变动情况）</w:t>
      </w:r>
    </w:p>
    <w:p w14:paraId="33937AF7">
      <w:pPr>
        <w:spacing w:line="600" w:lineRule="exact"/>
        <w:rPr>
          <w:rFonts w:ascii="仿宋" w:hAnsi="仿宋" w:eastAsia="仿宋"/>
          <w:sz w:val="32"/>
          <w:szCs w:val="32"/>
        </w:rPr>
      </w:pPr>
      <w:r>
        <w:rPr>
          <w:rFonts w:hint="eastAsia" w:ascii="仿宋" w:hAnsi="仿宋" w:eastAsia="仿宋"/>
          <w:sz w:val="32"/>
          <w:szCs w:val="32"/>
        </w:rPr>
        <w:t>（柱状图</w:t>
      </w:r>
      <w:r>
        <w:rPr>
          <w:rFonts w:hint="eastAsia" w:ascii="仿宋" w:hAnsi="仿宋" w:eastAsia="仿宋"/>
          <w:sz w:val="32"/>
          <w:szCs w:val="32"/>
          <w:lang w:val="en-US" w:eastAsia="zh-CN"/>
        </w:rPr>
        <w:t>单位：万元</w:t>
      </w:r>
      <w:r>
        <w:rPr>
          <w:rFonts w:hint="eastAsia" w:ascii="仿宋" w:hAnsi="仿宋" w:eastAsia="仿宋"/>
          <w:sz w:val="32"/>
          <w:szCs w:val="32"/>
        </w:rPr>
        <w:t>）</w:t>
      </w:r>
    </w:p>
    <w:p w14:paraId="7056D749">
      <w:pPr>
        <w:spacing w:line="600" w:lineRule="exact"/>
        <w:ind w:firstLine="640" w:firstLineChars="200"/>
        <w:rPr>
          <w:rFonts w:ascii="仿宋" w:hAnsi="仿宋" w:eastAsia="仿宋"/>
          <w:sz w:val="32"/>
          <w:szCs w:val="32"/>
        </w:rPr>
      </w:pPr>
    </w:p>
    <w:p w14:paraId="52501852">
      <w:pPr>
        <w:spacing w:line="600" w:lineRule="exact"/>
        <w:ind w:firstLine="643" w:firstLineChars="200"/>
        <w:outlineLvl w:val="2"/>
        <w:rPr>
          <w:rFonts w:ascii="仿宋" w:hAnsi="仿宋" w:eastAsia="仿宋"/>
          <w:b/>
          <w:sz w:val="32"/>
          <w:szCs w:val="32"/>
        </w:rPr>
      </w:pPr>
      <w:bookmarkStart w:id="76" w:name="_Toc15377211"/>
      <w:r>
        <w:rPr>
          <w:rFonts w:hint="eastAsia" w:ascii="仿宋" w:hAnsi="仿宋" w:eastAsia="仿宋"/>
          <w:b/>
          <w:sz w:val="32"/>
          <w:szCs w:val="32"/>
        </w:rPr>
        <w:t>（二）一般公共预算财政拨款支出决算结构情况</w:t>
      </w:r>
      <w:bookmarkEnd w:id="76"/>
    </w:p>
    <w:p w14:paraId="7D38ACB2">
      <w:pPr>
        <w:spacing w:line="600" w:lineRule="exact"/>
        <w:ind w:firstLine="640"/>
        <w:rPr>
          <w:rFonts w:hint="eastAsia"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1863.16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科学技术（类）</w:t>
      </w:r>
      <w:r>
        <w:rPr>
          <w:rFonts w:hint="eastAsia" w:ascii="仿宋" w:hAnsi="仿宋" w:eastAsia="仿宋"/>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212.3</w:t>
      </w:r>
      <w:r>
        <w:rPr>
          <w:rFonts w:hint="eastAsia" w:ascii="仿宋" w:hAnsi="仿宋" w:eastAsia="仿宋"/>
          <w:sz w:val="32"/>
          <w:szCs w:val="32"/>
        </w:rPr>
        <w:t>万元，占</w:t>
      </w:r>
      <w:r>
        <w:rPr>
          <w:rFonts w:hint="eastAsia" w:ascii="仿宋" w:hAnsi="仿宋" w:eastAsia="仿宋"/>
          <w:sz w:val="32"/>
          <w:szCs w:val="32"/>
          <w:lang w:val="en-US" w:eastAsia="zh-CN"/>
        </w:rPr>
        <w:t>11.39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40.46</w:t>
      </w:r>
      <w:r>
        <w:rPr>
          <w:rFonts w:hint="eastAsia" w:ascii="仿宋" w:hAnsi="仿宋" w:eastAsia="仿宋"/>
          <w:sz w:val="32"/>
          <w:szCs w:val="32"/>
        </w:rPr>
        <w:t>万元，占</w:t>
      </w:r>
      <w:r>
        <w:rPr>
          <w:rFonts w:hint="eastAsia" w:ascii="仿宋" w:hAnsi="仿宋" w:eastAsia="仿宋"/>
          <w:sz w:val="32"/>
          <w:szCs w:val="32"/>
          <w:lang w:val="en-US" w:eastAsia="zh-CN"/>
        </w:rPr>
        <w:t>2.17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类</w:t>
      </w:r>
      <w:r>
        <w:rPr>
          <w:rFonts w:hint="eastAsia" w:ascii="仿宋" w:hAnsi="仿宋" w:eastAsia="仿宋"/>
          <w:b/>
          <w:bCs/>
          <w:sz w:val="32"/>
          <w:szCs w:val="32"/>
          <w:lang w:eastAsia="zh-CN"/>
        </w:rPr>
        <w:t>）</w:t>
      </w:r>
      <w:r>
        <w:rPr>
          <w:rFonts w:hint="eastAsia" w:ascii="仿宋" w:hAnsi="仿宋" w:eastAsia="仿宋"/>
          <w:sz w:val="32"/>
          <w:szCs w:val="32"/>
          <w:lang w:val="en-US" w:eastAsia="zh-CN"/>
        </w:rPr>
        <w:t>106.27</w:t>
      </w:r>
      <w:r>
        <w:rPr>
          <w:rFonts w:hint="eastAsia" w:ascii="仿宋" w:hAnsi="仿宋" w:eastAsia="仿宋"/>
          <w:sz w:val="32"/>
          <w:szCs w:val="32"/>
        </w:rPr>
        <w:t>万元，占</w:t>
      </w:r>
      <w:r>
        <w:rPr>
          <w:rFonts w:hint="eastAsia" w:ascii="仿宋" w:hAnsi="仿宋" w:eastAsia="仿宋"/>
          <w:sz w:val="32"/>
          <w:szCs w:val="32"/>
          <w:lang w:val="en-US" w:eastAsia="zh-CN"/>
        </w:rPr>
        <w:t>5.7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农林水支出</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类</w:t>
      </w:r>
      <w:r>
        <w:rPr>
          <w:rFonts w:hint="eastAsia" w:ascii="仿宋" w:hAnsi="仿宋" w:eastAsia="仿宋"/>
          <w:b/>
          <w:bCs/>
          <w:sz w:val="32"/>
          <w:szCs w:val="32"/>
          <w:lang w:eastAsia="zh-CN"/>
        </w:rPr>
        <w:t>）</w:t>
      </w:r>
      <w:r>
        <w:rPr>
          <w:rFonts w:hint="eastAsia" w:ascii="仿宋" w:hAnsi="仿宋" w:eastAsia="仿宋"/>
          <w:sz w:val="32"/>
          <w:szCs w:val="32"/>
          <w:lang w:val="en-US" w:eastAsia="zh-CN"/>
        </w:rPr>
        <w:t>支出0万元，占0%。国防支出（类）支出0万元，占0%；公共安全支出（类）支出1504.12万元，占比80.73%。</w:t>
      </w:r>
    </w:p>
    <w:p w14:paraId="54E1651D">
      <w:pPr>
        <w:spacing w:line="600" w:lineRule="exact"/>
        <w:rPr>
          <w:rFonts w:ascii="仿宋" w:hAnsi="仿宋" w:eastAsia="仿宋"/>
          <w:sz w:val="32"/>
          <w:szCs w:val="32"/>
        </w:rPr>
      </w:pPr>
    </w:p>
    <w:p w14:paraId="26F0E269">
      <w:pPr>
        <w:pStyle w:val="3"/>
        <w:rPr>
          <w:rFonts w:ascii="仿宋" w:hAnsi="仿宋" w:eastAsia="仿宋"/>
          <w:sz w:val="32"/>
          <w:szCs w:val="32"/>
        </w:rPr>
      </w:pPr>
    </w:p>
    <w:p w14:paraId="7B9B3D6F">
      <w:pPr>
        <w:rPr>
          <w:rFonts w:ascii="仿宋" w:hAnsi="仿宋" w:eastAsia="仿宋"/>
          <w:sz w:val="32"/>
          <w:szCs w:val="32"/>
        </w:rPr>
      </w:pPr>
    </w:p>
    <w:p w14:paraId="29EB3A59">
      <w:pPr>
        <w:pStyle w:val="3"/>
        <w:rPr>
          <w:rFonts w:ascii="仿宋" w:hAnsi="仿宋" w:eastAsia="仿宋"/>
          <w:sz w:val="32"/>
          <w:szCs w:val="32"/>
        </w:rPr>
      </w:pPr>
    </w:p>
    <w:p w14:paraId="45B16A6E"/>
    <w:p w14:paraId="18221C2F">
      <w:pPr>
        <w:pStyle w:val="3"/>
        <w:rPr>
          <w:rFonts w:ascii="仿宋" w:hAnsi="仿宋" w:eastAsia="仿宋"/>
          <w:sz w:val="32"/>
          <w:szCs w:val="32"/>
        </w:rPr>
      </w:pPr>
    </w:p>
    <w:p w14:paraId="1459D99C">
      <w:r>
        <w:drawing>
          <wp:inline distT="0" distB="0" distL="114300" distR="114300">
            <wp:extent cx="4826000" cy="2743200"/>
            <wp:effectExtent l="4445" t="4445" r="8255" b="14605"/>
            <wp:docPr id="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5A80057">
      <w:pPr>
        <w:pStyle w:val="9"/>
        <w:rPr>
          <w:rFonts w:hint="eastAsia" w:ascii="仿宋" w:hAnsi="仿宋" w:eastAsia="仿宋"/>
          <w:sz w:val="32"/>
          <w:szCs w:val="32"/>
        </w:rPr>
      </w:pPr>
    </w:p>
    <w:p w14:paraId="1BBF76D4">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（图6：一般公共预算财政拨款支出决算结构）</w:t>
      </w:r>
    </w:p>
    <w:p w14:paraId="4F46C297">
      <w:pPr>
        <w:spacing w:line="600" w:lineRule="exact"/>
        <w:ind w:firstLine="640" w:firstLineChars="200"/>
        <w:rPr>
          <w:rFonts w:ascii="仿宋" w:hAnsi="仿宋" w:eastAsia="仿宋"/>
          <w:sz w:val="32"/>
          <w:szCs w:val="32"/>
        </w:rPr>
      </w:pPr>
      <w:r>
        <w:rPr>
          <w:rFonts w:hint="eastAsia" w:ascii="仿宋" w:hAnsi="仿宋" w:eastAsia="仿宋"/>
          <w:sz w:val="32"/>
          <w:szCs w:val="32"/>
        </w:rPr>
        <w:t>（饼状图</w:t>
      </w:r>
      <w:r>
        <w:rPr>
          <w:rFonts w:hint="eastAsia" w:ascii="仿宋" w:hAnsi="仿宋" w:eastAsia="仿宋"/>
          <w:sz w:val="32"/>
          <w:szCs w:val="32"/>
          <w:lang w:val="en-US" w:eastAsia="zh-CN"/>
        </w:rPr>
        <w:t>单位：万元</w:t>
      </w:r>
      <w:r>
        <w:rPr>
          <w:rFonts w:hint="eastAsia" w:ascii="仿宋" w:hAnsi="仿宋" w:eastAsia="仿宋"/>
          <w:sz w:val="32"/>
          <w:szCs w:val="32"/>
        </w:rPr>
        <w:t>）</w:t>
      </w:r>
    </w:p>
    <w:p w14:paraId="5F15F080">
      <w:pPr>
        <w:spacing w:line="600" w:lineRule="exact"/>
        <w:ind w:firstLine="643" w:firstLineChars="200"/>
        <w:outlineLvl w:val="2"/>
        <w:rPr>
          <w:rFonts w:ascii="仿宋" w:hAnsi="仿宋" w:eastAsia="仿宋"/>
          <w:b/>
          <w:sz w:val="32"/>
          <w:szCs w:val="32"/>
        </w:rPr>
      </w:pPr>
      <w:bookmarkStart w:id="77" w:name="_Toc15377212"/>
      <w:r>
        <w:rPr>
          <w:rFonts w:hint="eastAsia" w:ascii="仿宋" w:hAnsi="仿宋" w:eastAsia="仿宋"/>
          <w:b/>
          <w:sz w:val="32"/>
          <w:szCs w:val="32"/>
        </w:rPr>
        <w:t>（三）一般公共预算财政拨款支出决算具体情况</w:t>
      </w:r>
      <w:bookmarkEnd w:id="77"/>
    </w:p>
    <w:p w14:paraId="2BB03DFD">
      <w:pPr>
        <w:numPr>
          <w:ilvl w:val="0"/>
          <w:numId w:val="0"/>
        </w:numPr>
        <w:spacing w:line="600" w:lineRule="exact"/>
        <w:ind w:firstLine="643" w:firstLineChars="200"/>
        <w:rPr>
          <w:rStyle w:val="20"/>
          <w:rFonts w:hint="eastAsia" w:ascii="仿宋" w:hAnsi="仿宋" w:eastAsia="仿宋"/>
          <w:bCs/>
          <w:sz w:val="32"/>
          <w:szCs w:val="32"/>
        </w:rPr>
      </w:pPr>
      <w:bookmarkStart w:id="78" w:name="_Toc15377213"/>
      <w:bookmarkStart w:id="79" w:name="_Toc15377444"/>
      <w:bookmarkStart w:id="80" w:name="_Toc15378460"/>
      <w:r>
        <w:rPr>
          <w:rStyle w:val="20"/>
          <w:rFonts w:hint="eastAsia" w:ascii="仿宋" w:hAnsi="仿宋" w:eastAsia="仿宋"/>
          <w:bCs/>
          <w:sz w:val="32"/>
          <w:szCs w:val="32"/>
        </w:rPr>
        <w:t>202</w:t>
      </w:r>
      <w:r>
        <w:rPr>
          <w:rStyle w:val="20"/>
          <w:rFonts w:hint="eastAsia" w:ascii="仿宋" w:hAnsi="仿宋" w:eastAsia="仿宋"/>
          <w:bCs/>
          <w:sz w:val="32"/>
          <w:szCs w:val="32"/>
          <w:lang w:val="en-US" w:eastAsia="zh-CN"/>
        </w:rPr>
        <w:t>3</w:t>
      </w:r>
      <w:r>
        <w:rPr>
          <w:rStyle w:val="20"/>
          <w:rFonts w:hint="eastAsia" w:ascii="仿宋" w:hAnsi="仿宋" w:eastAsia="仿宋"/>
          <w:bCs/>
          <w:sz w:val="32"/>
          <w:szCs w:val="32"/>
        </w:rPr>
        <w:t>年一般公共预算支出决算数为</w:t>
      </w:r>
      <w:r>
        <w:rPr>
          <w:rFonts w:hint="eastAsia" w:ascii="仿宋" w:hAnsi="仿宋" w:eastAsia="仿宋"/>
          <w:sz w:val="32"/>
          <w:szCs w:val="32"/>
          <w:lang w:val="en-US" w:eastAsia="zh-CN"/>
        </w:rPr>
        <w:t>1863.16</w:t>
      </w:r>
      <w:r>
        <w:rPr>
          <w:rStyle w:val="20"/>
          <w:rFonts w:hint="eastAsia" w:ascii="仿宋" w:hAnsi="仿宋" w:eastAsia="仿宋"/>
          <w:bCs/>
          <w:sz w:val="32"/>
          <w:szCs w:val="32"/>
          <w:lang w:val="en-US" w:eastAsia="zh-CN"/>
        </w:rPr>
        <w:t>万元</w:t>
      </w:r>
      <w:r>
        <w:rPr>
          <w:rStyle w:val="20"/>
          <w:rFonts w:hint="eastAsia" w:ascii="仿宋" w:hAnsi="仿宋" w:eastAsia="仿宋"/>
          <w:bCs/>
          <w:sz w:val="32"/>
          <w:szCs w:val="32"/>
        </w:rPr>
        <w:t>，完成预算</w:t>
      </w:r>
      <w:r>
        <w:rPr>
          <w:rStyle w:val="20"/>
          <w:rFonts w:hint="eastAsia" w:ascii="仿宋" w:hAnsi="仿宋" w:eastAsia="仿宋"/>
          <w:bCs/>
          <w:sz w:val="32"/>
          <w:szCs w:val="32"/>
          <w:lang w:val="en-US" w:eastAsia="zh-CN"/>
        </w:rPr>
        <w:t>100</w:t>
      </w:r>
      <w:r>
        <w:rPr>
          <w:rStyle w:val="20"/>
          <w:rFonts w:hint="eastAsia" w:ascii="仿宋" w:hAnsi="仿宋" w:eastAsia="仿宋"/>
          <w:bCs/>
          <w:sz w:val="32"/>
          <w:szCs w:val="32"/>
        </w:rPr>
        <w:t>%。其中：</w:t>
      </w:r>
      <w:bookmarkEnd w:id="78"/>
      <w:bookmarkEnd w:id="79"/>
      <w:bookmarkEnd w:id="80"/>
    </w:p>
    <w:p w14:paraId="3100FEC2">
      <w:pPr>
        <w:numPr>
          <w:ilvl w:val="0"/>
          <w:numId w:val="0"/>
        </w:numPr>
        <w:spacing w:line="600" w:lineRule="exact"/>
        <w:ind w:firstLine="643" w:firstLineChars="200"/>
        <w:rPr>
          <w:rFonts w:ascii="仿宋" w:hAnsi="仿宋" w:eastAsia="仿宋"/>
          <w:b/>
          <w:sz w:val="32"/>
          <w:szCs w:val="32"/>
        </w:rPr>
      </w:pPr>
      <w:r>
        <w:rPr>
          <w:rStyle w:val="20"/>
          <w:rFonts w:hint="eastAsia" w:ascii="仿宋" w:hAnsi="仿宋" w:eastAsia="仿宋"/>
          <w:bCs/>
          <w:sz w:val="32"/>
          <w:szCs w:val="32"/>
          <w:lang w:val="en-US" w:eastAsia="zh-CN"/>
        </w:rPr>
        <w:t>1</w:t>
      </w:r>
      <w:r>
        <w:rPr>
          <w:rStyle w:val="20"/>
          <w:rFonts w:ascii="仿宋" w:hAnsi="仿宋" w:eastAsia="仿宋"/>
          <w:bCs/>
          <w:sz w:val="32"/>
          <w:szCs w:val="32"/>
        </w:rPr>
        <w:t>.</w:t>
      </w:r>
      <w:r>
        <w:rPr>
          <w:rStyle w:val="20"/>
          <w:rFonts w:hint="eastAsia" w:ascii="仿宋" w:hAnsi="仿宋" w:eastAsia="仿宋"/>
          <w:bCs/>
          <w:sz w:val="32"/>
          <w:szCs w:val="32"/>
        </w:rPr>
        <w:t>社会保障和就业（类）行政事业单位养老支出（款）  其他行政事业单位养老支出（项）</w:t>
      </w:r>
      <w:r>
        <w:rPr>
          <w:rStyle w:val="20"/>
          <w:rFonts w:ascii="仿宋" w:hAnsi="仿宋" w:eastAsia="仿宋"/>
          <w:bCs/>
          <w:sz w:val="32"/>
          <w:szCs w:val="32"/>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28.55</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w:t>
      </w:r>
      <w:r>
        <w:rPr>
          <w:rStyle w:val="20"/>
          <w:rFonts w:hint="eastAsia" w:ascii="仿宋" w:hAnsi="仿宋" w:eastAsia="仿宋"/>
          <w:b w:val="0"/>
          <w:bCs/>
          <w:sz w:val="32"/>
          <w:szCs w:val="32"/>
          <w:lang w:val="en-US" w:eastAsia="zh-CN"/>
        </w:rPr>
        <w:t>与</w:t>
      </w:r>
      <w:r>
        <w:rPr>
          <w:rStyle w:val="20"/>
          <w:rFonts w:hint="eastAsia" w:ascii="仿宋" w:hAnsi="仿宋" w:eastAsia="仿宋"/>
          <w:b w:val="0"/>
          <w:bCs/>
          <w:sz w:val="32"/>
          <w:szCs w:val="32"/>
        </w:rPr>
        <w:t>预算数</w:t>
      </w:r>
      <w:r>
        <w:rPr>
          <w:rStyle w:val="20"/>
          <w:rFonts w:hint="eastAsia" w:ascii="仿宋" w:hAnsi="仿宋" w:eastAsia="仿宋"/>
          <w:b w:val="0"/>
          <w:bCs/>
          <w:sz w:val="32"/>
          <w:szCs w:val="32"/>
          <w:lang w:val="en-US" w:eastAsia="zh-CN"/>
        </w:rPr>
        <w:t>持平，完成预算100%</w:t>
      </w:r>
      <w:r>
        <w:rPr>
          <w:rStyle w:val="20"/>
          <w:rFonts w:hint="eastAsia" w:ascii="仿宋" w:hAnsi="仿宋" w:eastAsia="仿宋"/>
          <w:b w:val="0"/>
          <w:bCs/>
          <w:sz w:val="32"/>
          <w:szCs w:val="32"/>
        </w:rPr>
        <w:t>。</w:t>
      </w:r>
    </w:p>
    <w:p w14:paraId="33E8B793">
      <w:pPr>
        <w:numPr>
          <w:ilvl w:val="0"/>
          <w:numId w:val="0"/>
        </w:numPr>
        <w:spacing w:line="600" w:lineRule="exact"/>
        <w:ind w:firstLine="643" w:firstLineChars="200"/>
        <w:rPr>
          <w:rStyle w:val="20"/>
          <w:rFonts w:hint="eastAsia" w:ascii="仿宋" w:hAnsi="仿宋" w:eastAsia="仿宋"/>
          <w:b w:val="0"/>
          <w:bCs/>
          <w:sz w:val="32"/>
          <w:szCs w:val="32"/>
        </w:rPr>
      </w:pPr>
      <w:r>
        <w:rPr>
          <w:rStyle w:val="20"/>
          <w:rFonts w:hint="eastAsia" w:ascii="仿宋" w:hAnsi="仿宋" w:eastAsia="仿宋"/>
          <w:bCs/>
          <w:sz w:val="32"/>
          <w:szCs w:val="32"/>
          <w:lang w:val="en-US" w:eastAsia="zh-CN"/>
        </w:rPr>
        <w:t>2</w:t>
      </w:r>
      <w:r>
        <w:rPr>
          <w:rStyle w:val="20"/>
          <w:rFonts w:ascii="仿宋" w:hAnsi="仿宋" w:eastAsia="仿宋"/>
          <w:bCs/>
          <w:sz w:val="32"/>
          <w:szCs w:val="32"/>
        </w:rPr>
        <w:t>.</w:t>
      </w:r>
      <w:r>
        <w:rPr>
          <w:rStyle w:val="20"/>
          <w:rFonts w:hint="eastAsia" w:ascii="仿宋" w:hAnsi="仿宋" w:eastAsia="仿宋"/>
          <w:bCs/>
          <w:sz w:val="32"/>
          <w:szCs w:val="32"/>
        </w:rPr>
        <w:t>社会保障和就业（类）行政事业单位养老支出（款）机关事业单位基本养老保险缴费支出（项）</w:t>
      </w:r>
      <w:r>
        <w:rPr>
          <w:rStyle w:val="20"/>
          <w:rFonts w:ascii="仿宋" w:hAnsi="仿宋" w:eastAsia="仿宋"/>
          <w:bCs/>
          <w:sz w:val="32"/>
          <w:szCs w:val="32"/>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143.18</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w:t>
      </w:r>
      <w:r>
        <w:rPr>
          <w:rStyle w:val="20"/>
          <w:rFonts w:hint="eastAsia" w:ascii="仿宋" w:hAnsi="仿宋" w:eastAsia="仿宋"/>
          <w:b w:val="0"/>
          <w:bCs/>
          <w:sz w:val="32"/>
          <w:szCs w:val="32"/>
          <w:lang w:val="en-US" w:eastAsia="zh-CN"/>
        </w:rPr>
        <w:t>与</w:t>
      </w:r>
      <w:r>
        <w:rPr>
          <w:rStyle w:val="20"/>
          <w:rFonts w:hint="eastAsia" w:ascii="仿宋" w:hAnsi="仿宋" w:eastAsia="仿宋"/>
          <w:b w:val="0"/>
          <w:bCs/>
          <w:sz w:val="32"/>
          <w:szCs w:val="32"/>
        </w:rPr>
        <w:t>预算数</w:t>
      </w:r>
      <w:r>
        <w:rPr>
          <w:rStyle w:val="20"/>
          <w:rFonts w:hint="eastAsia" w:ascii="仿宋" w:hAnsi="仿宋" w:eastAsia="仿宋"/>
          <w:b w:val="0"/>
          <w:bCs/>
          <w:sz w:val="32"/>
          <w:szCs w:val="32"/>
          <w:lang w:val="en-US" w:eastAsia="zh-CN"/>
        </w:rPr>
        <w:t>持平，完成预算100%</w:t>
      </w:r>
      <w:r>
        <w:rPr>
          <w:rStyle w:val="20"/>
          <w:rFonts w:hint="eastAsia" w:ascii="仿宋" w:hAnsi="仿宋" w:eastAsia="仿宋"/>
          <w:b w:val="0"/>
          <w:bCs/>
          <w:sz w:val="32"/>
          <w:szCs w:val="32"/>
        </w:rPr>
        <w:t>。</w:t>
      </w:r>
    </w:p>
    <w:p w14:paraId="16186740">
      <w:pPr>
        <w:numPr>
          <w:ilvl w:val="0"/>
          <w:numId w:val="0"/>
        </w:numPr>
        <w:spacing w:line="600" w:lineRule="exact"/>
        <w:ind w:firstLine="643" w:firstLineChars="200"/>
        <w:rPr>
          <w:rStyle w:val="20"/>
          <w:rFonts w:hint="eastAsia" w:ascii="仿宋" w:hAnsi="仿宋" w:eastAsia="仿宋"/>
          <w:b w:val="0"/>
          <w:bCs/>
          <w:sz w:val="32"/>
          <w:szCs w:val="32"/>
        </w:rPr>
      </w:pPr>
      <w:r>
        <w:rPr>
          <w:rStyle w:val="20"/>
          <w:rFonts w:hint="eastAsia" w:ascii="仿宋" w:hAnsi="仿宋" w:eastAsia="仿宋"/>
          <w:bCs/>
          <w:sz w:val="32"/>
          <w:szCs w:val="32"/>
          <w:lang w:val="en-US" w:eastAsia="zh-CN"/>
        </w:rPr>
        <w:t>3.</w:t>
      </w:r>
      <w:r>
        <w:rPr>
          <w:rStyle w:val="20"/>
          <w:rFonts w:hint="eastAsia" w:ascii="仿宋" w:hAnsi="仿宋" w:eastAsia="仿宋"/>
          <w:bCs/>
          <w:sz w:val="32"/>
          <w:szCs w:val="32"/>
        </w:rPr>
        <w:t>社会保障和就业（类）行政事业单位养老支出（款）机关事业单位职业年金缴费支出（项）</w:t>
      </w:r>
      <w:r>
        <w:rPr>
          <w:rStyle w:val="20"/>
          <w:rFonts w:ascii="仿宋" w:hAnsi="仿宋" w:eastAsia="仿宋"/>
          <w:bCs/>
          <w:sz w:val="32"/>
          <w:szCs w:val="32"/>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30.61</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w:t>
      </w:r>
      <w:r>
        <w:rPr>
          <w:rStyle w:val="20"/>
          <w:rFonts w:hint="eastAsia" w:ascii="仿宋" w:hAnsi="仿宋" w:eastAsia="仿宋"/>
          <w:b w:val="0"/>
          <w:bCs/>
          <w:sz w:val="32"/>
          <w:szCs w:val="32"/>
          <w:lang w:val="en-US" w:eastAsia="zh-CN"/>
        </w:rPr>
        <w:t>与</w:t>
      </w:r>
      <w:r>
        <w:rPr>
          <w:rStyle w:val="20"/>
          <w:rFonts w:hint="eastAsia" w:ascii="仿宋" w:hAnsi="仿宋" w:eastAsia="仿宋"/>
          <w:b w:val="0"/>
          <w:bCs/>
          <w:sz w:val="32"/>
          <w:szCs w:val="32"/>
        </w:rPr>
        <w:t>预算数</w:t>
      </w:r>
      <w:r>
        <w:rPr>
          <w:rStyle w:val="20"/>
          <w:rFonts w:hint="eastAsia" w:ascii="仿宋" w:hAnsi="仿宋" w:eastAsia="仿宋"/>
          <w:b w:val="0"/>
          <w:bCs/>
          <w:sz w:val="32"/>
          <w:szCs w:val="32"/>
          <w:lang w:val="en-US" w:eastAsia="zh-CN"/>
        </w:rPr>
        <w:t>持平，完成预算100%</w:t>
      </w:r>
      <w:r>
        <w:rPr>
          <w:rStyle w:val="20"/>
          <w:rFonts w:hint="eastAsia" w:ascii="仿宋" w:hAnsi="仿宋" w:eastAsia="仿宋"/>
          <w:b w:val="0"/>
          <w:bCs/>
          <w:sz w:val="32"/>
          <w:szCs w:val="32"/>
        </w:rPr>
        <w:t>。</w:t>
      </w:r>
    </w:p>
    <w:p w14:paraId="216F0087">
      <w:pPr>
        <w:numPr>
          <w:ilvl w:val="0"/>
          <w:numId w:val="0"/>
        </w:numPr>
        <w:spacing w:line="600" w:lineRule="exact"/>
        <w:ind w:firstLine="643" w:firstLineChars="200"/>
      </w:pPr>
      <w:r>
        <w:rPr>
          <w:rStyle w:val="20"/>
          <w:rFonts w:hint="eastAsia" w:ascii="仿宋" w:hAnsi="仿宋" w:eastAsia="仿宋"/>
          <w:bCs/>
          <w:sz w:val="32"/>
          <w:szCs w:val="32"/>
          <w:lang w:val="en-US" w:eastAsia="zh-CN"/>
        </w:rPr>
        <w:t>4.</w:t>
      </w:r>
      <w:r>
        <w:rPr>
          <w:rStyle w:val="20"/>
          <w:rFonts w:hint="eastAsia" w:ascii="仿宋" w:hAnsi="仿宋" w:eastAsia="仿宋"/>
          <w:bCs/>
          <w:sz w:val="32"/>
          <w:szCs w:val="32"/>
        </w:rPr>
        <w:t>社会保障和就业（类）残疾人事业（款）其他残疾人事业支出（项）</w:t>
      </w:r>
      <w:r>
        <w:rPr>
          <w:rStyle w:val="20"/>
          <w:rFonts w:ascii="仿宋" w:hAnsi="仿宋" w:eastAsia="仿宋"/>
          <w:bCs/>
          <w:sz w:val="32"/>
          <w:szCs w:val="32"/>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7.88</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w:t>
      </w:r>
      <w:r>
        <w:rPr>
          <w:rStyle w:val="20"/>
          <w:rFonts w:hint="eastAsia" w:ascii="仿宋" w:hAnsi="仿宋" w:eastAsia="仿宋"/>
          <w:b w:val="0"/>
          <w:bCs/>
          <w:sz w:val="32"/>
          <w:szCs w:val="32"/>
          <w:lang w:val="en-US" w:eastAsia="zh-CN"/>
        </w:rPr>
        <w:t>与</w:t>
      </w:r>
      <w:r>
        <w:rPr>
          <w:rStyle w:val="20"/>
          <w:rFonts w:hint="eastAsia" w:ascii="仿宋" w:hAnsi="仿宋" w:eastAsia="仿宋"/>
          <w:b w:val="0"/>
          <w:bCs/>
          <w:sz w:val="32"/>
          <w:szCs w:val="32"/>
        </w:rPr>
        <w:t>预算数</w:t>
      </w:r>
      <w:r>
        <w:rPr>
          <w:rStyle w:val="20"/>
          <w:rFonts w:hint="eastAsia" w:ascii="仿宋" w:hAnsi="仿宋" w:eastAsia="仿宋"/>
          <w:b w:val="0"/>
          <w:bCs/>
          <w:sz w:val="32"/>
          <w:szCs w:val="32"/>
          <w:lang w:val="en-US" w:eastAsia="zh-CN"/>
        </w:rPr>
        <w:t>持平，完成预算100%</w:t>
      </w:r>
      <w:r>
        <w:rPr>
          <w:rStyle w:val="20"/>
          <w:rFonts w:hint="eastAsia" w:ascii="仿宋" w:hAnsi="仿宋" w:eastAsia="仿宋"/>
          <w:b w:val="0"/>
          <w:bCs/>
          <w:sz w:val="32"/>
          <w:szCs w:val="32"/>
        </w:rPr>
        <w:t>。</w:t>
      </w:r>
    </w:p>
    <w:p w14:paraId="724D8942">
      <w:pPr>
        <w:numPr>
          <w:ilvl w:val="0"/>
          <w:numId w:val="0"/>
        </w:numPr>
        <w:spacing w:line="600" w:lineRule="exact"/>
        <w:ind w:firstLine="643" w:firstLineChars="200"/>
        <w:rPr>
          <w:rStyle w:val="20"/>
          <w:rFonts w:hint="eastAsia" w:ascii="仿宋" w:hAnsi="仿宋" w:eastAsia="仿宋"/>
          <w:b w:val="0"/>
          <w:bCs/>
          <w:sz w:val="32"/>
          <w:szCs w:val="32"/>
        </w:rPr>
      </w:pPr>
      <w:r>
        <w:rPr>
          <w:rStyle w:val="20"/>
          <w:rFonts w:hint="eastAsia" w:ascii="仿宋" w:hAnsi="仿宋" w:eastAsia="仿宋"/>
          <w:bCs/>
          <w:sz w:val="32"/>
          <w:szCs w:val="32"/>
          <w:lang w:val="en-US" w:eastAsia="zh-CN"/>
        </w:rPr>
        <w:t>5.</w:t>
      </w:r>
      <w:r>
        <w:rPr>
          <w:rStyle w:val="20"/>
          <w:rFonts w:hint="eastAsia" w:ascii="仿宋" w:hAnsi="仿宋" w:eastAsia="仿宋"/>
          <w:bCs/>
          <w:sz w:val="32"/>
          <w:szCs w:val="32"/>
        </w:rPr>
        <w:t>社会保障和就业（类）其他社会保障和就业支出（款）其他社会保障和就业支出（项）</w:t>
      </w:r>
      <w:r>
        <w:rPr>
          <w:rStyle w:val="20"/>
          <w:rFonts w:ascii="仿宋" w:hAnsi="仿宋" w:eastAsia="仿宋"/>
          <w:bCs/>
          <w:sz w:val="32"/>
          <w:szCs w:val="32"/>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2.08</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w:t>
      </w:r>
      <w:r>
        <w:rPr>
          <w:rStyle w:val="20"/>
          <w:rFonts w:hint="eastAsia" w:ascii="仿宋" w:hAnsi="仿宋" w:eastAsia="仿宋"/>
          <w:b w:val="0"/>
          <w:bCs/>
          <w:sz w:val="32"/>
          <w:szCs w:val="32"/>
          <w:lang w:val="en-US" w:eastAsia="zh-CN"/>
        </w:rPr>
        <w:t>与</w:t>
      </w:r>
      <w:r>
        <w:rPr>
          <w:rStyle w:val="20"/>
          <w:rFonts w:hint="eastAsia" w:ascii="仿宋" w:hAnsi="仿宋" w:eastAsia="仿宋"/>
          <w:b w:val="0"/>
          <w:bCs/>
          <w:sz w:val="32"/>
          <w:szCs w:val="32"/>
        </w:rPr>
        <w:t>预算数</w:t>
      </w:r>
      <w:r>
        <w:rPr>
          <w:rStyle w:val="20"/>
          <w:rFonts w:hint="eastAsia" w:ascii="仿宋" w:hAnsi="仿宋" w:eastAsia="仿宋"/>
          <w:b w:val="0"/>
          <w:bCs/>
          <w:sz w:val="32"/>
          <w:szCs w:val="32"/>
          <w:lang w:val="en-US" w:eastAsia="zh-CN"/>
        </w:rPr>
        <w:t>持平，完成预算100%</w:t>
      </w:r>
      <w:r>
        <w:rPr>
          <w:rStyle w:val="20"/>
          <w:rFonts w:hint="eastAsia" w:ascii="仿宋" w:hAnsi="仿宋" w:eastAsia="仿宋"/>
          <w:b w:val="0"/>
          <w:bCs/>
          <w:sz w:val="32"/>
          <w:szCs w:val="32"/>
        </w:rPr>
        <w:t>。</w:t>
      </w:r>
    </w:p>
    <w:p w14:paraId="6319A93D">
      <w:pPr>
        <w:numPr>
          <w:ilvl w:val="0"/>
          <w:numId w:val="0"/>
        </w:numPr>
        <w:spacing w:line="600" w:lineRule="exact"/>
        <w:ind w:firstLine="643" w:firstLineChars="200"/>
        <w:rPr>
          <w:rStyle w:val="20"/>
          <w:rFonts w:hint="eastAsia" w:ascii="仿宋" w:hAnsi="仿宋" w:eastAsia="仿宋"/>
          <w:b w:val="0"/>
          <w:bCs/>
          <w:sz w:val="32"/>
          <w:szCs w:val="32"/>
        </w:rPr>
      </w:pPr>
      <w:r>
        <w:rPr>
          <w:rStyle w:val="20"/>
          <w:rFonts w:hint="eastAsia" w:ascii="仿宋" w:hAnsi="仿宋" w:eastAsia="仿宋"/>
          <w:bCs/>
          <w:sz w:val="32"/>
          <w:szCs w:val="32"/>
          <w:lang w:val="en-US" w:eastAsia="zh-CN"/>
        </w:rPr>
        <w:t>6.</w:t>
      </w:r>
      <w:r>
        <w:rPr>
          <w:rStyle w:val="20"/>
          <w:rFonts w:hint="eastAsia" w:ascii="仿宋" w:hAnsi="仿宋" w:eastAsia="仿宋"/>
          <w:bCs/>
          <w:sz w:val="32"/>
          <w:szCs w:val="32"/>
        </w:rPr>
        <w:t>公共安全支出（类）司法（款）行政运行（项）</w:t>
      </w:r>
      <w:r>
        <w:rPr>
          <w:rStyle w:val="20"/>
          <w:rFonts w:ascii="仿宋" w:hAnsi="仿宋" w:eastAsia="仿宋"/>
          <w:bCs/>
          <w:sz w:val="32"/>
          <w:szCs w:val="32"/>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1009.95</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w:t>
      </w:r>
      <w:r>
        <w:rPr>
          <w:rStyle w:val="20"/>
          <w:rFonts w:hint="eastAsia" w:ascii="仿宋" w:hAnsi="仿宋" w:eastAsia="仿宋"/>
          <w:b w:val="0"/>
          <w:bCs/>
          <w:sz w:val="32"/>
          <w:szCs w:val="32"/>
          <w:lang w:val="en-US" w:eastAsia="zh-CN"/>
        </w:rPr>
        <w:t>与</w:t>
      </w:r>
      <w:r>
        <w:rPr>
          <w:rStyle w:val="20"/>
          <w:rFonts w:hint="eastAsia" w:ascii="仿宋" w:hAnsi="仿宋" w:eastAsia="仿宋"/>
          <w:b w:val="0"/>
          <w:bCs/>
          <w:sz w:val="32"/>
          <w:szCs w:val="32"/>
        </w:rPr>
        <w:t>预算数</w:t>
      </w:r>
      <w:r>
        <w:rPr>
          <w:rStyle w:val="20"/>
          <w:rFonts w:hint="eastAsia" w:ascii="仿宋" w:hAnsi="仿宋" w:eastAsia="仿宋"/>
          <w:b w:val="0"/>
          <w:bCs/>
          <w:sz w:val="32"/>
          <w:szCs w:val="32"/>
          <w:lang w:val="en-US" w:eastAsia="zh-CN"/>
        </w:rPr>
        <w:t>持平，完成预算100%</w:t>
      </w:r>
      <w:r>
        <w:rPr>
          <w:rStyle w:val="20"/>
          <w:rFonts w:hint="eastAsia" w:ascii="仿宋" w:hAnsi="仿宋" w:eastAsia="仿宋"/>
          <w:b w:val="0"/>
          <w:bCs/>
          <w:sz w:val="32"/>
          <w:szCs w:val="32"/>
        </w:rPr>
        <w:t>。</w:t>
      </w:r>
    </w:p>
    <w:p w14:paraId="370AA1A9">
      <w:pPr>
        <w:numPr>
          <w:ilvl w:val="0"/>
          <w:numId w:val="0"/>
        </w:numPr>
        <w:spacing w:line="600" w:lineRule="exact"/>
        <w:ind w:firstLine="643" w:firstLineChars="200"/>
        <w:rPr>
          <w:rStyle w:val="20"/>
          <w:rFonts w:hint="eastAsia" w:ascii="仿宋" w:hAnsi="仿宋" w:eastAsia="仿宋"/>
          <w:b w:val="0"/>
          <w:bCs/>
          <w:sz w:val="32"/>
          <w:szCs w:val="32"/>
        </w:rPr>
      </w:pPr>
      <w:r>
        <w:rPr>
          <w:rStyle w:val="20"/>
          <w:rFonts w:hint="eastAsia" w:ascii="仿宋" w:hAnsi="仿宋" w:eastAsia="仿宋"/>
          <w:bCs/>
          <w:sz w:val="32"/>
          <w:szCs w:val="32"/>
          <w:lang w:val="en-US" w:eastAsia="zh-CN"/>
        </w:rPr>
        <w:t>7.</w:t>
      </w:r>
      <w:r>
        <w:rPr>
          <w:rStyle w:val="20"/>
          <w:rFonts w:hint="eastAsia" w:ascii="仿宋" w:hAnsi="仿宋" w:eastAsia="仿宋"/>
          <w:bCs/>
          <w:sz w:val="32"/>
          <w:szCs w:val="32"/>
        </w:rPr>
        <w:t>公共安全支出（类）司法（款）一般行政管理事务（项）</w:t>
      </w:r>
      <w:r>
        <w:rPr>
          <w:rStyle w:val="20"/>
          <w:rFonts w:ascii="仿宋" w:hAnsi="仿宋" w:eastAsia="仿宋"/>
          <w:bCs/>
          <w:sz w:val="32"/>
          <w:szCs w:val="32"/>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372.33</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w:t>
      </w:r>
      <w:r>
        <w:rPr>
          <w:rStyle w:val="20"/>
          <w:rFonts w:hint="eastAsia" w:ascii="仿宋" w:hAnsi="仿宋" w:eastAsia="仿宋"/>
          <w:b w:val="0"/>
          <w:bCs/>
          <w:sz w:val="32"/>
          <w:szCs w:val="32"/>
          <w:lang w:val="en-US" w:eastAsia="zh-CN"/>
        </w:rPr>
        <w:t>与</w:t>
      </w:r>
      <w:r>
        <w:rPr>
          <w:rStyle w:val="20"/>
          <w:rFonts w:hint="eastAsia" w:ascii="仿宋" w:hAnsi="仿宋" w:eastAsia="仿宋"/>
          <w:b w:val="0"/>
          <w:bCs/>
          <w:sz w:val="32"/>
          <w:szCs w:val="32"/>
        </w:rPr>
        <w:t>预算数</w:t>
      </w:r>
      <w:r>
        <w:rPr>
          <w:rStyle w:val="20"/>
          <w:rFonts w:hint="eastAsia" w:ascii="仿宋" w:hAnsi="仿宋" w:eastAsia="仿宋"/>
          <w:b w:val="0"/>
          <w:bCs/>
          <w:sz w:val="32"/>
          <w:szCs w:val="32"/>
          <w:lang w:val="en-US" w:eastAsia="zh-CN"/>
        </w:rPr>
        <w:t>持平，完成预算100%</w:t>
      </w:r>
      <w:r>
        <w:rPr>
          <w:rStyle w:val="20"/>
          <w:rFonts w:hint="eastAsia" w:ascii="仿宋" w:hAnsi="仿宋" w:eastAsia="仿宋"/>
          <w:b w:val="0"/>
          <w:bCs/>
          <w:sz w:val="32"/>
          <w:szCs w:val="32"/>
        </w:rPr>
        <w:t>。</w:t>
      </w:r>
    </w:p>
    <w:p w14:paraId="3AA8CF4A">
      <w:pPr>
        <w:numPr>
          <w:ilvl w:val="0"/>
          <w:numId w:val="0"/>
        </w:numPr>
        <w:spacing w:line="600" w:lineRule="exact"/>
        <w:ind w:firstLine="643" w:firstLineChars="200"/>
        <w:rPr>
          <w:rStyle w:val="20"/>
          <w:rFonts w:hint="eastAsia" w:ascii="仿宋" w:hAnsi="仿宋" w:eastAsia="仿宋"/>
          <w:b w:val="0"/>
          <w:bCs/>
          <w:sz w:val="32"/>
          <w:szCs w:val="32"/>
        </w:rPr>
      </w:pPr>
      <w:r>
        <w:rPr>
          <w:rStyle w:val="20"/>
          <w:rFonts w:hint="eastAsia" w:ascii="仿宋" w:hAnsi="仿宋" w:eastAsia="仿宋"/>
          <w:bCs/>
          <w:sz w:val="32"/>
          <w:szCs w:val="32"/>
          <w:lang w:val="en-US" w:eastAsia="zh-CN"/>
        </w:rPr>
        <w:t>8.</w:t>
      </w:r>
      <w:r>
        <w:rPr>
          <w:rStyle w:val="20"/>
          <w:rFonts w:hint="eastAsia" w:ascii="仿宋" w:hAnsi="仿宋" w:eastAsia="仿宋"/>
          <w:bCs/>
          <w:sz w:val="32"/>
          <w:szCs w:val="32"/>
        </w:rPr>
        <w:t>公共安全支出（类）司法（款） 社区矫正（项）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4</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w:t>
      </w:r>
      <w:r>
        <w:rPr>
          <w:rStyle w:val="20"/>
          <w:rFonts w:hint="eastAsia" w:ascii="仿宋" w:hAnsi="仿宋" w:eastAsia="仿宋"/>
          <w:b w:val="0"/>
          <w:bCs/>
          <w:sz w:val="32"/>
          <w:szCs w:val="32"/>
          <w:lang w:val="en-US" w:eastAsia="zh-CN"/>
        </w:rPr>
        <w:t>与</w:t>
      </w:r>
      <w:r>
        <w:rPr>
          <w:rStyle w:val="20"/>
          <w:rFonts w:hint="eastAsia" w:ascii="仿宋" w:hAnsi="仿宋" w:eastAsia="仿宋"/>
          <w:b w:val="0"/>
          <w:bCs/>
          <w:sz w:val="32"/>
          <w:szCs w:val="32"/>
        </w:rPr>
        <w:t>预算数</w:t>
      </w:r>
      <w:r>
        <w:rPr>
          <w:rStyle w:val="20"/>
          <w:rFonts w:hint="eastAsia" w:ascii="仿宋" w:hAnsi="仿宋" w:eastAsia="仿宋"/>
          <w:b w:val="0"/>
          <w:bCs/>
          <w:sz w:val="32"/>
          <w:szCs w:val="32"/>
          <w:lang w:val="en-US" w:eastAsia="zh-CN"/>
        </w:rPr>
        <w:t>持平，完成预算100%</w:t>
      </w:r>
      <w:r>
        <w:rPr>
          <w:rStyle w:val="20"/>
          <w:rFonts w:hint="eastAsia" w:ascii="仿宋" w:hAnsi="仿宋" w:eastAsia="仿宋"/>
          <w:b w:val="0"/>
          <w:bCs/>
          <w:sz w:val="32"/>
          <w:szCs w:val="32"/>
        </w:rPr>
        <w:t>。</w:t>
      </w:r>
    </w:p>
    <w:p w14:paraId="4A334F64">
      <w:pPr>
        <w:pStyle w:val="8"/>
      </w:pPr>
    </w:p>
    <w:p w14:paraId="44E7B7F9">
      <w:pPr>
        <w:numPr>
          <w:ilvl w:val="0"/>
          <w:numId w:val="0"/>
        </w:numPr>
        <w:spacing w:line="600" w:lineRule="exact"/>
        <w:ind w:firstLine="643" w:firstLineChars="200"/>
        <w:rPr>
          <w:rStyle w:val="20"/>
          <w:rFonts w:hint="eastAsia" w:ascii="仿宋" w:hAnsi="仿宋" w:eastAsia="仿宋"/>
          <w:b w:val="0"/>
          <w:bCs/>
          <w:sz w:val="32"/>
          <w:szCs w:val="32"/>
        </w:rPr>
      </w:pPr>
      <w:r>
        <w:rPr>
          <w:rStyle w:val="20"/>
          <w:rFonts w:hint="eastAsia" w:ascii="仿宋" w:hAnsi="仿宋" w:eastAsia="仿宋"/>
          <w:bCs/>
          <w:sz w:val="32"/>
          <w:szCs w:val="32"/>
          <w:lang w:val="en-US" w:eastAsia="zh-CN"/>
        </w:rPr>
        <w:t>9.</w:t>
      </w:r>
      <w:r>
        <w:rPr>
          <w:rStyle w:val="20"/>
          <w:rFonts w:hint="eastAsia" w:ascii="仿宋" w:hAnsi="仿宋" w:eastAsia="仿宋"/>
          <w:bCs/>
          <w:sz w:val="32"/>
          <w:szCs w:val="32"/>
        </w:rPr>
        <w:t>公共安全支出（类）司法（款） 法治建设（项）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19</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w:t>
      </w:r>
      <w:r>
        <w:rPr>
          <w:rStyle w:val="20"/>
          <w:rFonts w:hint="eastAsia" w:ascii="仿宋" w:hAnsi="仿宋" w:eastAsia="仿宋"/>
          <w:b w:val="0"/>
          <w:bCs/>
          <w:sz w:val="32"/>
          <w:szCs w:val="32"/>
          <w:lang w:val="en-US" w:eastAsia="zh-CN"/>
        </w:rPr>
        <w:t>与</w:t>
      </w:r>
      <w:r>
        <w:rPr>
          <w:rStyle w:val="20"/>
          <w:rFonts w:hint="eastAsia" w:ascii="仿宋" w:hAnsi="仿宋" w:eastAsia="仿宋"/>
          <w:b w:val="0"/>
          <w:bCs/>
          <w:sz w:val="32"/>
          <w:szCs w:val="32"/>
        </w:rPr>
        <w:t>预算数</w:t>
      </w:r>
      <w:r>
        <w:rPr>
          <w:rStyle w:val="20"/>
          <w:rFonts w:hint="eastAsia" w:ascii="仿宋" w:hAnsi="仿宋" w:eastAsia="仿宋"/>
          <w:b w:val="0"/>
          <w:bCs/>
          <w:sz w:val="32"/>
          <w:szCs w:val="32"/>
          <w:lang w:val="en-US" w:eastAsia="zh-CN"/>
        </w:rPr>
        <w:t>持平，完成预算100%</w:t>
      </w:r>
      <w:r>
        <w:rPr>
          <w:rStyle w:val="20"/>
          <w:rFonts w:hint="eastAsia" w:ascii="仿宋" w:hAnsi="仿宋" w:eastAsia="仿宋"/>
          <w:b w:val="0"/>
          <w:bCs/>
          <w:sz w:val="32"/>
          <w:szCs w:val="32"/>
        </w:rPr>
        <w:t>。</w:t>
      </w:r>
    </w:p>
    <w:p w14:paraId="5E421883">
      <w:pPr>
        <w:numPr>
          <w:ilvl w:val="0"/>
          <w:numId w:val="0"/>
        </w:numPr>
        <w:spacing w:line="600" w:lineRule="exact"/>
        <w:ind w:firstLine="643" w:firstLineChars="200"/>
      </w:pPr>
      <w:r>
        <w:rPr>
          <w:rStyle w:val="20"/>
          <w:rFonts w:hint="eastAsia" w:ascii="仿宋" w:hAnsi="仿宋" w:eastAsia="仿宋"/>
          <w:bCs/>
          <w:sz w:val="32"/>
          <w:szCs w:val="32"/>
          <w:lang w:val="en-US" w:eastAsia="zh-CN"/>
        </w:rPr>
        <w:t>10.</w:t>
      </w:r>
      <w:r>
        <w:rPr>
          <w:rStyle w:val="20"/>
          <w:rFonts w:hint="eastAsia" w:ascii="仿宋" w:hAnsi="仿宋" w:eastAsia="仿宋"/>
          <w:bCs/>
          <w:sz w:val="32"/>
          <w:szCs w:val="32"/>
        </w:rPr>
        <w:t>公共安全支出（类）司法（款）信息化建设（项）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10.8</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w:t>
      </w:r>
      <w:r>
        <w:rPr>
          <w:rStyle w:val="20"/>
          <w:rFonts w:hint="eastAsia" w:ascii="仿宋" w:hAnsi="仿宋" w:eastAsia="仿宋"/>
          <w:b w:val="0"/>
          <w:bCs/>
          <w:sz w:val="32"/>
          <w:szCs w:val="32"/>
          <w:lang w:val="en-US" w:eastAsia="zh-CN"/>
        </w:rPr>
        <w:t>与</w:t>
      </w:r>
      <w:r>
        <w:rPr>
          <w:rStyle w:val="20"/>
          <w:rFonts w:hint="eastAsia" w:ascii="仿宋" w:hAnsi="仿宋" w:eastAsia="仿宋"/>
          <w:b w:val="0"/>
          <w:bCs/>
          <w:sz w:val="32"/>
          <w:szCs w:val="32"/>
        </w:rPr>
        <w:t>预算数</w:t>
      </w:r>
      <w:r>
        <w:rPr>
          <w:rStyle w:val="20"/>
          <w:rFonts w:hint="eastAsia" w:ascii="仿宋" w:hAnsi="仿宋" w:eastAsia="仿宋"/>
          <w:b w:val="0"/>
          <w:bCs/>
          <w:sz w:val="32"/>
          <w:szCs w:val="32"/>
          <w:lang w:val="en-US" w:eastAsia="zh-CN"/>
        </w:rPr>
        <w:t>持平，完成预算100%</w:t>
      </w:r>
      <w:r>
        <w:rPr>
          <w:rStyle w:val="20"/>
          <w:rFonts w:hint="eastAsia" w:ascii="仿宋" w:hAnsi="仿宋" w:eastAsia="仿宋"/>
          <w:b w:val="0"/>
          <w:bCs/>
          <w:sz w:val="32"/>
          <w:szCs w:val="32"/>
        </w:rPr>
        <w:t>。</w:t>
      </w:r>
    </w:p>
    <w:p w14:paraId="31535862">
      <w:pPr>
        <w:numPr>
          <w:ilvl w:val="0"/>
          <w:numId w:val="0"/>
        </w:numPr>
        <w:spacing w:line="600" w:lineRule="exact"/>
        <w:ind w:firstLine="643" w:firstLineChars="200"/>
        <w:rPr>
          <w:rStyle w:val="20"/>
          <w:rFonts w:hint="eastAsia" w:ascii="仿宋" w:hAnsi="仿宋" w:eastAsia="仿宋"/>
          <w:b w:val="0"/>
          <w:bCs/>
          <w:sz w:val="32"/>
          <w:szCs w:val="32"/>
        </w:rPr>
      </w:pPr>
      <w:r>
        <w:rPr>
          <w:rStyle w:val="20"/>
          <w:rFonts w:hint="eastAsia" w:ascii="仿宋" w:hAnsi="仿宋" w:eastAsia="仿宋"/>
          <w:bCs/>
          <w:sz w:val="32"/>
          <w:szCs w:val="32"/>
          <w:lang w:val="en-US" w:eastAsia="zh-CN"/>
        </w:rPr>
        <w:t>11.</w:t>
      </w:r>
      <w:r>
        <w:rPr>
          <w:rStyle w:val="20"/>
          <w:rFonts w:hint="eastAsia" w:ascii="仿宋" w:hAnsi="仿宋" w:eastAsia="仿宋"/>
          <w:bCs/>
          <w:sz w:val="32"/>
          <w:szCs w:val="32"/>
        </w:rPr>
        <w:t>公共安全支出（类）司法（款） 事业运行（项）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48.71</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w:t>
      </w:r>
      <w:r>
        <w:rPr>
          <w:rStyle w:val="20"/>
          <w:rFonts w:hint="eastAsia" w:ascii="仿宋" w:hAnsi="仿宋" w:eastAsia="仿宋"/>
          <w:b w:val="0"/>
          <w:bCs/>
          <w:sz w:val="32"/>
          <w:szCs w:val="32"/>
          <w:lang w:val="en-US" w:eastAsia="zh-CN"/>
        </w:rPr>
        <w:t>与</w:t>
      </w:r>
      <w:r>
        <w:rPr>
          <w:rStyle w:val="20"/>
          <w:rFonts w:hint="eastAsia" w:ascii="仿宋" w:hAnsi="仿宋" w:eastAsia="仿宋"/>
          <w:b w:val="0"/>
          <w:bCs/>
          <w:sz w:val="32"/>
          <w:szCs w:val="32"/>
        </w:rPr>
        <w:t>预算数</w:t>
      </w:r>
      <w:r>
        <w:rPr>
          <w:rStyle w:val="20"/>
          <w:rFonts w:hint="eastAsia" w:ascii="仿宋" w:hAnsi="仿宋" w:eastAsia="仿宋"/>
          <w:b w:val="0"/>
          <w:bCs/>
          <w:sz w:val="32"/>
          <w:szCs w:val="32"/>
          <w:lang w:val="en-US" w:eastAsia="zh-CN"/>
        </w:rPr>
        <w:t>持平，完成预算100%</w:t>
      </w:r>
      <w:r>
        <w:rPr>
          <w:rStyle w:val="20"/>
          <w:rFonts w:hint="eastAsia" w:ascii="仿宋" w:hAnsi="仿宋" w:eastAsia="仿宋"/>
          <w:b w:val="0"/>
          <w:bCs/>
          <w:sz w:val="32"/>
          <w:szCs w:val="32"/>
        </w:rPr>
        <w:t>。</w:t>
      </w:r>
    </w:p>
    <w:p w14:paraId="5E35AFD4">
      <w:pPr>
        <w:numPr>
          <w:ilvl w:val="0"/>
          <w:numId w:val="0"/>
        </w:numPr>
        <w:spacing w:line="600" w:lineRule="exact"/>
        <w:ind w:firstLine="643" w:firstLineChars="200"/>
        <w:rPr>
          <w:rStyle w:val="20"/>
          <w:rFonts w:hint="eastAsia" w:ascii="仿宋" w:hAnsi="仿宋" w:eastAsia="仿宋"/>
          <w:b w:val="0"/>
          <w:bCs/>
          <w:sz w:val="32"/>
          <w:szCs w:val="32"/>
        </w:rPr>
      </w:pPr>
      <w:r>
        <w:rPr>
          <w:rStyle w:val="20"/>
          <w:rFonts w:hint="eastAsia" w:ascii="仿宋" w:hAnsi="仿宋" w:eastAsia="仿宋"/>
          <w:bCs/>
          <w:sz w:val="32"/>
          <w:szCs w:val="32"/>
          <w:lang w:val="en-US" w:eastAsia="zh-CN"/>
        </w:rPr>
        <w:t>12.</w:t>
      </w:r>
      <w:r>
        <w:rPr>
          <w:rStyle w:val="20"/>
          <w:rFonts w:hint="eastAsia" w:ascii="仿宋" w:hAnsi="仿宋" w:eastAsia="仿宋"/>
          <w:bCs/>
          <w:sz w:val="32"/>
          <w:szCs w:val="32"/>
        </w:rPr>
        <w:t>公共安全支出（类）司法（款）普法宣传（项）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0.33</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w:t>
      </w:r>
      <w:r>
        <w:rPr>
          <w:rStyle w:val="20"/>
          <w:rFonts w:hint="eastAsia" w:ascii="仿宋" w:hAnsi="仿宋" w:eastAsia="仿宋"/>
          <w:b w:val="0"/>
          <w:bCs/>
          <w:sz w:val="32"/>
          <w:szCs w:val="32"/>
          <w:lang w:val="en-US" w:eastAsia="zh-CN"/>
        </w:rPr>
        <w:t>与</w:t>
      </w:r>
      <w:r>
        <w:rPr>
          <w:rStyle w:val="20"/>
          <w:rFonts w:hint="eastAsia" w:ascii="仿宋" w:hAnsi="仿宋" w:eastAsia="仿宋"/>
          <w:b w:val="0"/>
          <w:bCs/>
          <w:sz w:val="32"/>
          <w:szCs w:val="32"/>
        </w:rPr>
        <w:t>预算数</w:t>
      </w:r>
      <w:r>
        <w:rPr>
          <w:rStyle w:val="20"/>
          <w:rFonts w:hint="eastAsia" w:ascii="仿宋" w:hAnsi="仿宋" w:eastAsia="仿宋"/>
          <w:b w:val="0"/>
          <w:bCs/>
          <w:sz w:val="32"/>
          <w:szCs w:val="32"/>
          <w:lang w:val="en-US" w:eastAsia="zh-CN"/>
        </w:rPr>
        <w:t>持平，完成预算100%</w:t>
      </w:r>
      <w:r>
        <w:rPr>
          <w:rStyle w:val="20"/>
          <w:rFonts w:hint="eastAsia" w:ascii="仿宋" w:hAnsi="仿宋" w:eastAsia="仿宋"/>
          <w:b w:val="0"/>
          <w:bCs/>
          <w:sz w:val="32"/>
          <w:szCs w:val="32"/>
        </w:rPr>
        <w:t>。</w:t>
      </w:r>
    </w:p>
    <w:p w14:paraId="49A64A61">
      <w:pPr>
        <w:numPr>
          <w:ilvl w:val="0"/>
          <w:numId w:val="0"/>
        </w:numPr>
        <w:spacing w:line="600" w:lineRule="exact"/>
        <w:ind w:firstLine="643" w:firstLineChars="200"/>
        <w:rPr>
          <w:rStyle w:val="20"/>
          <w:rFonts w:hint="eastAsia" w:ascii="仿宋" w:hAnsi="仿宋" w:eastAsia="仿宋"/>
          <w:b w:val="0"/>
          <w:bCs/>
          <w:sz w:val="32"/>
          <w:szCs w:val="32"/>
        </w:rPr>
      </w:pPr>
      <w:r>
        <w:rPr>
          <w:rStyle w:val="20"/>
          <w:rFonts w:hint="eastAsia" w:ascii="仿宋" w:hAnsi="仿宋" w:eastAsia="仿宋"/>
          <w:bCs/>
          <w:sz w:val="32"/>
          <w:szCs w:val="32"/>
          <w:lang w:val="en-US" w:eastAsia="zh-CN"/>
        </w:rPr>
        <w:t>13.</w:t>
      </w:r>
      <w:r>
        <w:rPr>
          <w:rStyle w:val="20"/>
          <w:rFonts w:hint="eastAsia" w:ascii="仿宋" w:hAnsi="仿宋" w:eastAsia="仿宋"/>
          <w:bCs/>
          <w:sz w:val="32"/>
          <w:szCs w:val="32"/>
        </w:rPr>
        <w:t>公共安全支出（类）司法（款）公共法律服务（项）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56</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w:t>
      </w:r>
      <w:r>
        <w:rPr>
          <w:rStyle w:val="20"/>
          <w:rFonts w:hint="eastAsia" w:ascii="仿宋" w:hAnsi="仿宋" w:eastAsia="仿宋"/>
          <w:b w:val="0"/>
          <w:bCs/>
          <w:sz w:val="32"/>
          <w:szCs w:val="32"/>
          <w:lang w:val="en-US" w:eastAsia="zh-CN"/>
        </w:rPr>
        <w:t>与</w:t>
      </w:r>
      <w:r>
        <w:rPr>
          <w:rStyle w:val="20"/>
          <w:rFonts w:hint="eastAsia" w:ascii="仿宋" w:hAnsi="仿宋" w:eastAsia="仿宋"/>
          <w:b w:val="0"/>
          <w:bCs/>
          <w:sz w:val="32"/>
          <w:szCs w:val="32"/>
        </w:rPr>
        <w:t>预算数</w:t>
      </w:r>
      <w:r>
        <w:rPr>
          <w:rStyle w:val="20"/>
          <w:rFonts w:hint="eastAsia" w:ascii="仿宋" w:hAnsi="仿宋" w:eastAsia="仿宋"/>
          <w:b w:val="0"/>
          <w:bCs/>
          <w:sz w:val="32"/>
          <w:szCs w:val="32"/>
          <w:lang w:val="en-US" w:eastAsia="zh-CN"/>
        </w:rPr>
        <w:t>持平，完成预算100%</w:t>
      </w:r>
      <w:r>
        <w:rPr>
          <w:rStyle w:val="20"/>
          <w:rFonts w:hint="eastAsia" w:ascii="仿宋" w:hAnsi="仿宋" w:eastAsia="仿宋"/>
          <w:b w:val="0"/>
          <w:bCs/>
          <w:sz w:val="32"/>
          <w:szCs w:val="32"/>
        </w:rPr>
        <w:t>。</w:t>
      </w:r>
    </w:p>
    <w:p w14:paraId="69DB1B82">
      <w:pPr>
        <w:numPr>
          <w:ilvl w:val="0"/>
          <w:numId w:val="0"/>
        </w:numPr>
        <w:spacing w:line="600" w:lineRule="exact"/>
        <w:ind w:firstLine="643" w:firstLineChars="200"/>
        <w:rPr>
          <w:rStyle w:val="20"/>
          <w:rFonts w:hint="eastAsia" w:ascii="仿宋" w:hAnsi="仿宋" w:eastAsia="仿宋"/>
          <w:b w:val="0"/>
          <w:bCs/>
          <w:sz w:val="32"/>
          <w:szCs w:val="32"/>
        </w:rPr>
      </w:pPr>
      <w:r>
        <w:rPr>
          <w:rStyle w:val="20"/>
          <w:rFonts w:hint="eastAsia" w:ascii="仿宋" w:hAnsi="仿宋" w:eastAsia="仿宋"/>
          <w:bCs/>
          <w:sz w:val="32"/>
          <w:szCs w:val="32"/>
          <w:lang w:val="en-US" w:eastAsia="zh-CN"/>
        </w:rPr>
        <w:t>14.</w:t>
      </w:r>
      <w:r>
        <w:rPr>
          <w:rStyle w:val="20"/>
          <w:rFonts w:hint="eastAsia" w:ascii="仿宋" w:hAnsi="仿宋" w:eastAsia="仿宋"/>
          <w:bCs/>
          <w:sz w:val="32"/>
          <w:szCs w:val="32"/>
        </w:rPr>
        <w:t>公共安全支出（类）司法（款）  其他司法支出（项）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2</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w:t>
      </w:r>
      <w:r>
        <w:rPr>
          <w:rStyle w:val="20"/>
          <w:rFonts w:hint="eastAsia" w:ascii="仿宋" w:hAnsi="仿宋" w:eastAsia="仿宋"/>
          <w:b w:val="0"/>
          <w:bCs/>
          <w:sz w:val="32"/>
          <w:szCs w:val="32"/>
          <w:lang w:val="en-US" w:eastAsia="zh-CN"/>
        </w:rPr>
        <w:t>与</w:t>
      </w:r>
      <w:r>
        <w:rPr>
          <w:rStyle w:val="20"/>
          <w:rFonts w:hint="eastAsia" w:ascii="仿宋" w:hAnsi="仿宋" w:eastAsia="仿宋"/>
          <w:b w:val="0"/>
          <w:bCs/>
          <w:sz w:val="32"/>
          <w:szCs w:val="32"/>
        </w:rPr>
        <w:t>预算数</w:t>
      </w:r>
      <w:r>
        <w:rPr>
          <w:rStyle w:val="20"/>
          <w:rFonts w:hint="eastAsia" w:ascii="仿宋" w:hAnsi="仿宋" w:eastAsia="仿宋"/>
          <w:b w:val="0"/>
          <w:bCs/>
          <w:sz w:val="32"/>
          <w:szCs w:val="32"/>
          <w:lang w:val="en-US" w:eastAsia="zh-CN"/>
        </w:rPr>
        <w:t>持平，完成预算100%</w:t>
      </w:r>
      <w:r>
        <w:rPr>
          <w:rStyle w:val="20"/>
          <w:rFonts w:hint="eastAsia" w:ascii="仿宋" w:hAnsi="仿宋" w:eastAsia="仿宋"/>
          <w:b w:val="0"/>
          <w:bCs/>
          <w:sz w:val="32"/>
          <w:szCs w:val="32"/>
        </w:rPr>
        <w:t>。</w:t>
      </w:r>
    </w:p>
    <w:p w14:paraId="23A77A42">
      <w:pPr>
        <w:pStyle w:val="3"/>
        <w:rPr>
          <w:rFonts w:hint="eastAsia"/>
        </w:rPr>
      </w:pPr>
    </w:p>
    <w:p w14:paraId="7CF21AE5">
      <w:pPr>
        <w:spacing w:line="600" w:lineRule="exact"/>
        <w:ind w:firstLine="643" w:firstLineChars="200"/>
        <w:rPr>
          <w:rStyle w:val="20"/>
          <w:rFonts w:hint="eastAsia" w:ascii="仿宋" w:hAnsi="仿宋" w:eastAsia="仿宋"/>
          <w:b w:val="0"/>
          <w:bCs/>
          <w:sz w:val="32"/>
          <w:szCs w:val="32"/>
          <w:lang w:val="en-US" w:eastAsia="zh-CN"/>
        </w:rPr>
      </w:pPr>
      <w:r>
        <w:rPr>
          <w:rStyle w:val="20"/>
          <w:rFonts w:hint="eastAsia" w:ascii="仿宋" w:hAnsi="仿宋" w:eastAsia="仿宋"/>
          <w:bCs/>
          <w:sz w:val="32"/>
          <w:szCs w:val="32"/>
          <w:lang w:val="en-US" w:eastAsia="zh-CN"/>
        </w:rPr>
        <w:t>15</w:t>
      </w:r>
      <w:r>
        <w:rPr>
          <w:rStyle w:val="20"/>
          <w:rFonts w:ascii="仿宋" w:hAnsi="仿宋" w:eastAsia="仿宋"/>
          <w:bCs/>
          <w:sz w:val="32"/>
          <w:szCs w:val="32"/>
        </w:rPr>
        <w:t>.</w:t>
      </w:r>
      <w:r>
        <w:rPr>
          <w:rFonts w:hint="eastAsia" w:ascii="仿宋" w:hAnsi="仿宋" w:eastAsia="仿宋"/>
          <w:b/>
          <w:bCs/>
          <w:sz w:val="32"/>
          <w:szCs w:val="32"/>
        </w:rPr>
        <w:t>卫生健康</w:t>
      </w:r>
      <w:r>
        <w:rPr>
          <w:rStyle w:val="20"/>
          <w:rFonts w:hint="eastAsia" w:ascii="仿宋" w:hAnsi="仿宋" w:eastAsia="仿宋"/>
          <w:bCs/>
          <w:sz w:val="32"/>
          <w:szCs w:val="32"/>
        </w:rPr>
        <w:t>（类）行政事业单位医疗（款）行政单位医疗（项）</w:t>
      </w:r>
      <w:r>
        <w:rPr>
          <w:rStyle w:val="20"/>
          <w:rFonts w:ascii="仿宋" w:hAnsi="仿宋" w:eastAsia="仿宋"/>
          <w:bCs/>
          <w:sz w:val="32"/>
          <w:szCs w:val="32"/>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29.33</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w:t>
      </w:r>
      <w:r>
        <w:rPr>
          <w:rStyle w:val="20"/>
          <w:rFonts w:hint="eastAsia" w:ascii="仿宋" w:hAnsi="仿宋" w:eastAsia="仿宋"/>
          <w:b w:val="0"/>
          <w:bCs/>
          <w:sz w:val="32"/>
          <w:szCs w:val="32"/>
          <w:lang w:val="en-US" w:eastAsia="zh-CN"/>
        </w:rPr>
        <w:t>与</w:t>
      </w:r>
      <w:r>
        <w:rPr>
          <w:rStyle w:val="20"/>
          <w:rFonts w:hint="eastAsia" w:ascii="仿宋" w:hAnsi="仿宋" w:eastAsia="仿宋"/>
          <w:b w:val="0"/>
          <w:bCs/>
          <w:sz w:val="32"/>
          <w:szCs w:val="32"/>
        </w:rPr>
        <w:t>预算数</w:t>
      </w:r>
      <w:r>
        <w:rPr>
          <w:rStyle w:val="20"/>
          <w:rFonts w:hint="eastAsia" w:ascii="仿宋" w:hAnsi="仿宋" w:eastAsia="仿宋"/>
          <w:b w:val="0"/>
          <w:bCs/>
          <w:sz w:val="32"/>
          <w:szCs w:val="32"/>
          <w:lang w:val="en-US" w:eastAsia="zh-CN"/>
        </w:rPr>
        <w:t>持平。</w:t>
      </w:r>
    </w:p>
    <w:p w14:paraId="3984D381">
      <w:pPr>
        <w:spacing w:line="600" w:lineRule="exact"/>
        <w:ind w:firstLine="643" w:firstLineChars="200"/>
        <w:rPr>
          <w:rStyle w:val="20"/>
          <w:rFonts w:hint="eastAsia" w:ascii="仿宋" w:hAnsi="仿宋" w:eastAsia="仿宋"/>
          <w:b w:val="0"/>
          <w:bCs/>
          <w:sz w:val="32"/>
          <w:szCs w:val="32"/>
          <w:lang w:val="en-US" w:eastAsia="zh-CN"/>
        </w:rPr>
      </w:pPr>
      <w:r>
        <w:rPr>
          <w:rStyle w:val="20"/>
          <w:rFonts w:hint="eastAsia" w:ascii="仿宋" w:hAnsi="仿宋" w:eastAsia="仿宋"/>
          <w:bCs/>
          <w:sz w:val="32"/>
          <w:szCs w:val="32"/>
          <w:lang w:val="en-US" w:eastAsia="zh-CN"/>
        </w:rPr>
        <w:t>16</w:t>
      </w:r>
      <w:r>
        <w:rPr>
          <w:rStyle w:val="20"/>
          <w:rFonts w:ascii="仿宋" w:hAnsi="仿宋" w:eastAsia="仿宋"/>
          <w:bCs/>
          <w:sz w:val="32"/>
          <w:szCs w:val="32"/>
        </w:rPr>
        <w:t>.</w:t>
      </w:r>
      <w:r>
        <w:rPr>
          <w:rFonts w:hint="eastAsia" w:ascii="仿宋" w:hAnsi="仿宋" w:eastAsia="仿宋"/>
          <w:b/>
          <w:bCs/>
          <w:sz w:val="32"/>
          <w:szCs w:val="32"/>
        </w:rPr>
        <w:t>卫生健康</w:t>
      </w:r>
      <w:r>
        <w:rPr>
          <w:rStyle w:val="20"/>
          <w:rFonts w:hint="eastAsia" w:ascii="仿宋" w:hAnsi="仿宋" w:eastAsia="仿宋"/>
          <w:bCs/>
          <w:sz w:val="32"/>
          <w:szCs w:val="32"/>
        </w:rPr>
        <w:t>（类）行政事业单位医疗（款）</w:t>
      </w:r>
      <w:r>
        <w:rPr>
          <w:rStyle w:val="20"/>
          <w:rFonts w:hint="eastAsia" w:ascii="仿宋" w:hAnsi="仿宋" w:eastAsia="仿宋"/>
          <w:bCs/>
          <w:sz w:val="32"/>
          <w:szCs w:val="32"/>
          <w:lang w:val="en-US" w:eastAsia="zh-CN"/>
        </w:rPr>
        <w:t>事业</w:t>
      </w:r>
      <w:r>
        <w:rPr>
          <w:rStyle w:val="20"/>
          <w:rFonts w:hint="eastAsia" w:ascii="仿宋" w:hAnsi="仿宋" w:eastAsia="仿宋"/>
          <w:bCs/>
          <w:sz w:val="32"/>
          <w:szCs w:val="32"/>
        </w:rPr>
        <w:t>单位医疗（项）</w:t>
      </w:r>
      <w:r>
        <w:rPr>
          <w:rStyle w:val="20"/>
          <w:rFonts w:ascii="仿宋" w:hAnsi="仿宋" w:eastAsia="仿宋"/>
          <w:bCs/>
          <w:sz w:val="32"/>
          <w:szCs w:val="32"/>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1.73</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w:t>
      </w:r>
      <w:r>
        <w:rPr>
          <w:rStyle w:val="20"/>
          <w:rFonts w:hint="eastAsia" w:ascii="仿宋" w:hAnsi="仿宋" w:eastAsia="仿宋"/>
          <w:b w:val="0"/>
          <w:bCs/>
          <w:sz w:val="32"/>
          <w:szCs w:val="32"/>
          <w:lang w:val="en-US" w:eastAsia="zh-CN"/>
        </w:rPr>
        <w:t>与</w:t>
      </w:r>
      <w:r>
        <w:rPr>
          <w:rStyle w:val="20"/>
          <w:rFonts w:hint="eastAsia" w:ascii="仿宋" w:hAnsi="仿宋" w:eastAsia="仿宋"/>
          <w:b w:val="0"/>
          <w:bCs/>
          <w:sz w:val="32"/>
          <w:szCs w:val="32"/>
        </w:rPr>
        <w:t>预算数</w:t>
      </w:r>
      <w:r>
        <w:rPr>
          <w:rStyle w:val="20"/>
          <w:rFonts w:hint="eastAsia" w:ascii="仿宋" w:hAnsi="仿宋" w:eastAsia="仿宋"/>
          <w:b w:val="0"/>
          <w:bCs/>
          <w:sz w:val="32"/>
          <w:szCs w:val="32"/>
          <w:lang w:val="en-US" w:eastAsia="zh-CN"/>
        </w:rPr>
        <w:t>持平。</w:t>
      </w:r>
    </w:p>
    <w:p w14:paraId="3C1C163D">
      <w:pPr>
        <w:pStyle w:val="8"/>
        <w:rPr>
          <w:rFonts w:hint="eastAsia"/>
          <w:lang w:val="en-US" w:eastAsia="zh-CN"/>
        </w:rPr>
      </w:pPr>
    </w:p>
    <w:p w14:paraId="39BC03F3">
      <w:pPr>
        <w:pStyle w:val="9"/>
        <w:ind w:firstLine="643" w:firstLineChars="200"/>
        <w:rPr>
          <w:rStyle w:val="20"/>
          <w:rFonts w:hint="eastAsia" w:ascii="仿宋" w:hAnsi="仿宋" w:eastAsia="仿宋"/>
          <w:b w:val="0"/>
          <w:bCs/>
          <w:sz w:val="32"/>
          <w:szCs w:val="32"/>
          <w:lang w:val="en-US" w:eastAsia="zh-CN"/>
        </w:rPr>
      </w:pPr>
      <w:r>
        <w:rPr>
          <w:rStyle w:val="20"/>
          <w:rFonts w:hint="eastAsia" w:ascii="仿宋" w:hAnsi="仿宋" w:eastAsia="仿宋"/>
          <w:bCs/>
          <w:sz w:val="32"/>
          <w:szCs w:val="32"/>
          <w:lang w:val="en-US" w:eastAsia="zh-CN"/>
        </w:rPr>
        <w:t>17</w:t>
      </w:r>
      <w:r>
        <w:rPr>
          <w:rStyle w:val="20"/>
          <w:rFonts w:ascii="仿宋" w:hAnsi="仿宋" w:eastAsia="仿宋"/>
          <w:bCs/>
          <w:sz w:val="32"/>
          <w:szCs w:val="32"/>
        </w:rPr>
        <w:t>.</w:t>
      </w:r>
      <w:r>
        <w:rPr>
          <w:rFonts w:hint="eastAsia" w:ascii="仿宋" w:hAnsi="仿宋" w:eastAsia="仿宋"/>
          <w:b/>
          <w:bCs/>
          <w:sz w:val="32"/>
          <w:szCs w:val="32"/>
        </w:rPr>
        <w:t>卫生健康</w:t>
      </w:r>
      <w:r>
        <w:rPr>
          <w:rStyle w:val="20"/>
          <w:rFonts w:hint="eastAsia" w:ascii="仿宋" w:hAnsi="仿宋" w:eastAsia="仿宋"/>
          <w:bCs/>
          <w:sz w:val="32"/>
          <w:szCs w:val="32"/>
        </w:rPr>
        <w:t>（类）行政事业单位医疗（款）公务员医疗补助（项）</w:t>
      </w:r>
      <w:r>
        <w:rPr>
          <w:rStyle w:val="20"/>
          <w:rFonts w:ascii="仿宋" w:hAnsi="仿宋" w:eastAsia="仿宋"/>
          <w:bCs/>
          <w:sz w:val="32"/>
          <w:szCs w:val="32"/>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9.4</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w:t>
      </w:r>
      <w:r>
        <w:rPr>
          <w:rStyle w:val="20"/>
          <w:rFonts w:hint="eastAsia" w:ascii="仿宋" w:hAnsi="仿宋" w:eastAsia="仿宋"/>
          <w:b w:val="0"/>
          <w:bCs/>
          <w:sz w:val="32"/>
          <w:szCs w:val="32"/>
          <w:lang w:val="en-US" w:eastAsia="zh-CN"/>
        </w:rPr>
        <w:t>与</w:t>
      </w:r>
      <w:r>
        <w:rPr>
          <w:rStyle w:val="20"/>
          <w:rFonts w:hint="eastAsia" w:ascii="仿宋" w:hAnsi="仿宋" w:eastAsia="仿宋"/>
          <w:b w:val="0"/>
          <w:bCs/>
          <w:sz w:val="32"/>
          <w:szCs w:val="32"/>
        </w:rPr>
        <w:t>预算数</w:t>
      </w:r>
      <w:r>
        <w:rPr>
          <w:rStyle w:val="20"/>
          <w:rFonts w:hint="eastAsia" w:ascii="仿宋" w:hAnsi="仿宋" w:eastAsia="仿宋"/>
          <w:b w:val="0"/>
          <w:bCs/>
          <w:sz w:val="32"/>
          <w:szCs w:val="32"/>
          <w:lang w:val="en-US" w:eastAsia="zh-CN"/>
        </w:rPr>
        <w:t>持平。</w:t>
      </w:r>
    </w:p>
    <w:p w14:paraId="67471120">
      <w:pPr>
        <w:pStyle w:val="9"/>
        <w:ind w:firstLine="643" w:firstLineChars="200"/>
        <w:rPr>
          <w:rFonts w:ascii="仿宋" w:hAnsi="仿宋" w:eastAsia="仿宋"/>
          <w:b/>
          <w:sz w:val="32"/>
          <w:szCs w:val="32"/>
        </w:rPr>
      </w:pPr>
      <w:r>
        <w:rPr>
          <w:rStyle w:val="20"/>
          <w:rFonts w:hint="eastAsia" w:ascii="仿宋" w:hAnsi="仿宋" w:eastAsia="仿宋"/>
          <w:bCs/>
          <w:sz w:val="32"/>
          <w:szCs w:val="32"/>
          <w:lang w:val="en-US" w:eastAsia="zh-CN"/>
        </w:rPr>
        <w:t>18</w:t>
      </w:r>
      <w:r>
        <w:rPr>
          <w:rStyle w:val="20"/>
          <w:rFonts w:ascii="仿宋" w:hAnsi="仿宋" w:eastAsia="仿宋"/>
          <w:bCs/>
          <w:sz w:val="32"/>
          <w:szCs w:val="32"/>
        </w:rPr>
        <w:t>.</w:t>
      </w:r>
      <w:r>
        <w:rPr>
          <w:rFonts w:hint="eastAsia" w:ascii="仿宋" w:hAnsi="仿宋" w:eastAsia="仿宋"/>
          <w:b/>
          <w:bCs/>
          <w:sz w:val="32"/>
          <w:szCs w:val="32"/>
        </w:rPr>
        <w:t>住房保障支出</w:t>
      </w:r>
      <w:r>
        <w:rPr>
          <w:rStyle w:val="20"/>
          <w:rFonts w:hint="eastAsia" w:ascii="仿宋" w:hAnsi="仿宋" w:eastAsia="仿宋"/>
          <w:bCs/>
          <w:sz w:val="32"/>
          <w:szCs w:val="32"/>
        </w:rPr>
        <w:t>（类）住房改革支出（款）住房公积金（项）</w:t>
      </w:r>
      <w:r>
        <w:rPr>
          <w:rStyle w:val="20"/>
          <w:rFonts w:ascii="仿宋" w:hAnsi="仿宋" w:eastAsia="仿宋"/>
          <w:bCs/>
          <w:sz w:val="32"/>
          <w:szCs w:val="32"/>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106.27</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w:t>
      </w:r>
      <w:r>
        <w:rPr>
          <w:rStyle w:val="20"/>
          <w:rFonts w:hint="eastAsia" w:ascii="仿宋" w:hAnsi="仿宋" w:eastAsia="仿宋"/>
          <w:b w:val="0"/>
          <w:bCs/>
          <w:sz w:val="32"/>
          <w:szCs w:val="32"/>
          <w:lang w:val="en-US" w:eastAsia="zh-CN"/>
        </w:rPr>
        <w:t>与</w:t>
      </w:r>
      <w:r>
        <w:rPr>
          <w:rStyle w:val="20"/>
          <w:rFonts w:hint="eastAsia" w:ascii="仿宋" w:hAnsi="仿宋" w:eastAsia="仿宋"/>
          <w:b w:val="0"/>
          <w:bCs/>
          <w:sz w:val="32"/>
          <w:szCs w:val="32"/>
        </w:rPr>
        <w:t>预算数</w:t>
      </w:r>
      <w:r>
        <w:rPr>
          <w:rStyle w:val="20"/>
          <w:rFonts w:hint="eastAsia" w:ascii="仿宋" w:hAnsi="仿宋" w:eastAsia="仿宋"/>
          <w:b w:val="0"/>
          <w:bCs/>
          <w:sz w:val="32"/>
          <w:szCs w:val="32"/>
          <w:lang w:val="en-US" w:eastAsia="zh-CN"/>
        </w:rPr>
        <w:t>持平。</w:t>
      </w:r>
    </w:p>
    <w:p w14:paraId="5AFB0830">
      <w:pPr>
        <w:spacing w:line="600" w:lineRule="exact"/>
        <w:rPr>
          <w:rFonts w:ascii="仿宋" w:hAnsi="仿宋" w:eastAsia="仿宋"/>
          <w:b/>
          <w:sz w:val="32"/>
          <w:szCs w:val="32"/>
        </w:rPr>
      </w:pPr>
    </w:p>
    <w:p w14:paraId="3123B2A7">
      <w:pPr>
        <w:tabs>
          <w:tab w:val="right" w:pos="8306"/>
        </w:tabs>
        <w:spacing w:line="600" w:lineRule="exact"/>
        <w:ind w:firstLine="640"/>
        <w:outlineLvl w:val="1"/>
        <w:rPr>
          <w:rStyle w:val="31"/>
        </w:rPr>
      </w:pPr>
      <w:bookmarkStart w:id="81" w:name="_Toc12935"/>
      <w:bookmarkStart w:id="82" w:name="_Toc10876"/>
      <w:bookmarkStart w:id="83" w:name="_Toc15377214"/>
      <w:bookmarkStart w:id="84" w:name="_Toc11511"/>
      <w:bookmarkStart w:id="85" w:name="_Toc15396608"/>
      <w:r>
        <w:rPr>
          <w:rStyle w:val="31"/>
          <w:rFonts w:hint="eastAsia" w:ascii="黑体" w:hAnsi="黑体" w:eastAsia="黑体" w:cs="黑体"/>
        </w:rPr>
        <w:t>六、一般公共预算财政拨款基本支出决算情况说明</w:t>
      </w:r>
      <w:bookmarkEnd w:id="81"/>
      <w:bookmarkEnd w:id="82"/>
      <w:bookmarkEnd w:id="83"/>
      <w:bookmarkEnd w:id="84"/>
      <w:bookmarkEnd w:id="85"/>
      <w:r>
        <w:rPr>
          <w:rStyle w:val="31"/>
          <w:rFonts w:ascii="黑体" w:hAnsi="黑体" w:eastAsia="黑体"/>
          <w:b w:val="0"/>
        </w:rPr>
        <w:tab/>
      </w:r>
    </w:p>
    <w:p w14:paraId="17BA9562">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年一般公共预算财政拨款基本支出</w:t>
      </w:r>
      <w:r>
        <w:rPr>
          <w:rFonts w:hint="eastAsia" w:ascii="仿宋" w:hAnsi="仿宋" w:eastAsia="仿宋"/>
          <w:sz w:val="32"/>
          <w:szCs w:val="32"/>
          <w:lang w:val="en-US" w:eastAsia="zh-CN"/>
        </w:rPr>
        <w:t>1417.69</w:t>
      </w:r>
      <w:r>
        <w:rPr>
          <w:rFonts w:hint="eastAsia" w:ascii="仿宋" w:hAnsi="仿宋" w:eastAsia="仿宋"/>
          <w:sz w:val="32"/>
          <w:szCs w:val="32"/>
        </w:rPr>
        <w:t>万元，其中：</w:t>
      </w:r>
    </w:p>
    <w:p w14:paraId="4EA2BC87">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lang w:val="en-US" w:eastAsia="zh-CN"/>
        </w:rPr>
        <w:t>1287.72</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3E7C7CF0">
      <w:pPr>
        <w:spacing w:line="600" w:lineRule="exact"/>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129.97</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3B66023D">
      <w:pPr>
        <w:spacing w:line="600" w:lineRule="exact"/>
        <w:ind w:firstLine="640"/>
        <w:rPr>
          <w:rFonts w:ascii="仿宋" w:hAnsi="仿宋" w:eastAsia="仿宋"/>
          <w:b/>
          <w:sz w:val="32"/>
          <w:szCs w:val="32"/>
        </w:rPr>
      </w:pPr>
    </w:p>
    <w:p w14:paraId="50E6BD59">
      <w:pPr>
        <w:pStyle w:val="6"/>
        <w:bidi w:val="0"/>
        <w:jc w:val="center"/>
        <w:rPr>
          <w:rFonts w:hint="eastAsia" w:ascii="黑体" w:hAnsi="黑体" w:eastAsia="黑体" w:cs="黑体"/>
        </w:rPr>
      </w:pPr>
      <w:bookmarkStart w:id="86" w:name="_Toc27364"/>
      <w:bookmarkStart w:id="87" w:name="_Toc10125"/>
      <w:bookmarkStart w:id="88" w:name="_Toc15396609"/>
      <w:bookmarkStart w:id="89" w:name="_Toc15377215"/>
      <w:bookmarkStart w:id="90" w:name="_Toc26833"/>
      <w:r>
        <w:rPr>
          <w:rFonts w:hint="eastAsia" w:ascii="黑体" w:hAnsi="黑体" w:eastAsia="黑体" w:cs="黑体"/>
        </w:rPr>
        <w:t>七、“三公”经费财政拨款支出决算情况说明</w:t>
      </w:r>
      <w:bookmarkEnd w:id="86"/>
      <w:bookmarkEnd w:id="87"/>
      <w:bookmarkEnd w:id="88"/>
      <w:bookmarkEnd w:id="89"/>
      <w:bookmarkEnd w:id="90"/>
    </w:p>
    <w:p w14:paraId="632FB929">
      <w:pPr>
        <w:spacing w:line="600" w:lineRule="exact"/>
        <w:ind w:firstLine="640"/>
        <w:outlineLvl w:val="2"/>
        <w:rPr>
          <w:rFonts w:ascii="仿宋" w:hAnsi="仿宋" w:eastAsia="仿宋"/>
          <w:b/>
          <w:sz w:val="32"/>
          <w:szCs w:val="32"/>
        </w:rPr>
      </w:pPr>
      <w:bookmarkStart w:id="91" w:name="_Toc15377216"/>
      <w:r>
        <w:rPr>
          <w:rFonts w:hint="eastAsia" w:ascii="仿宋" w:hAnsi="仿宋" w:eastAsia="仿宋"/>
          <w:b/>
          <w:sz w:val="32"/>
          <w:szCs w:val="32"/>
        </w:rPr>
        <w:t>（一）“三公”经费财政拨款支出决算总体情况说明</w:t>
      </w:r>
      <w:bookmarkEnd w:id="91"/>
    </w:p>
    <w:p w14:paraId="62643012">
      <w:pPr>
        <w:spacing w:line="600" w:lineRule="exact"/>
        <w:ind w:firstLine="640"/>
        <w:rPr>
          <w:rFonts w:hint="default"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年“三公”经费财政拨款支出决算为</w:t>
      </w:r>
      <w:r>
        <w:rPr>
          <w:rFonts w:hint="eastAsia" w:ascii="仿宋" w:hAnsi="仿宋" w:eastAsia="仿宋"/>
          <w:sz w:val="32"/>
          <w:szCs w:val="32"/>
          <w:lang w:val="en-US" w:eastAsia="zh-CN"/>
        </w:rPr>
        <w:t>55.69</w:t>
      </w:r>
      <w:r>
        <w:rPr>
          <w:rFonts w:hint="eastAsia" w:ascii="仿宋" w:hAnsi="仿宋" w:eastAsia="仿宋"/>
          <w:sz w:val="32"/>
          <w:szCs w:val="32"/>
        </w:rPr>
        <w:t>万元，</w:t>
      </w:r>
      <w:r>
        <w:rPr>
          <w:rFonts w:hint="eastAsia" w:ascii="仿宋" w:hAnsi="仿宋" w:eastAsia="仿宋"/>
          <w:sz w:val="32"/>
          <w:szCs w:val="32"/>
          <w:lang w:val="en-US" w:eastAsia="zh-CN"/>
        </w:rPr>
        <w:t>完成预算100%，</w:t>
      </w:r>
      <w:r>
        <w:rPr>
          <w:rFonts w:hint="eastAsia" w:ascii="仿宋" w:eastAsia="仿宋"/>
          <w:color w:val="000000"/>
          <w:sz w:val="32"/>
          <w:szCs w:val="32"/>
          <w:lang w:val="en-US" w:eastAsia="zh-CN"/>
        </w:rPr>
        <w:t>与预算数据持平。</w:t>
      </w:r>
    </w:p>
    <w:p w14:paraId="3646C145">
      <w:pPr>
        <w:spacing w:line="600" w:lineRule="exact"/>
        <w:ind w:firstLine="640"/>
        <w:outlineLvl w:val="2"/>
        <w:rPr>
          <w:rFonts w:ascii="仿宋" w:hAnsi="仿宋" w:eastAsia="仿宋"/>
          <w:b/>
          <w:sz w:val="32"/>
          <w:szCs w:val="32"/>
        </w:rPr>
      </w:pPr>
      <w:bookmarkStart w:id="92" w:name="_Toc15377217"/>
      <w:r>
        <w:rPr>
          <w:rFonts w:hint="eastAsia" w:ascii="仿宋" w:hAnsi="仿宋" w:eastAsia="仿宋"/>
          <w:b/>
          <w:sz w:val="32"/>
          <w:szCs w:val="32"/>
        </w:rPr>
        <w:t>（二）“三公”经费财政拨款支出决算具体情况说明</w:t>
      </w:r>
      <w:bookmarkEnd w:id="92"/>
    </w:p>
    <w:p w14:paraId="02672B46">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52.91</w:t>
      </w:r>
      <w:r>
        <w:rPr>
          <w:rFonts w:hint="eastAsia" w:ascii="仿宋" w:hAnsi="仿宋" w:eastAsia="仿宋"/>
          <w:sz w:val="32"/>
          <w:szCs w:val="32"/>
        </w:rPr>
        <w:t>万元，占</w:t>
      </w:r>
      <w:r>
        <w:rPr>
          <w:rFonts w:hint="eastAsia" w:ascii="仿宋" w:hAnsi="仿宋" w:eastAsia="仿宋"/>
          <w:sz w:val="32"/>
          <w:szCs w:val="32"/>
          <w:lang w:val="en-US" w:eastAsia="zh-CN"/>
        </w:rPr>
        <w:t>95</w:t>
      </w:r>
      <w:r>
        <w:rPr>
          <w:rFonts w:ascii="仿宋" w:hAnsi="仿宋" w:eastAsia="仿宋"/>
          <w:sz w:val="32"/>
          <w:szCs w:val="32"/>
        </w:rPr>
        <w:t>%</w:t>
      </w:r>
      <w:r>
        <w:rPr>
          <w:rFonts w:hint="eastAsia" w:ascii="仿宋" w:hAnsi="仿宋" w:eastAsia="仿宋"/>
          <w:sz w:val="32"/>
          <w:szCs w:val="32"/>
          <w:lang w:eastAsia="zh-CN"/>
        </w:rPr>
        <w:t>，</w:t>
      </w:r>
      <w:r>
        <w:rPr>
          <w:rFonts w:ascii="仿宋" w:eastAsia="仿宋"/>
          <w:sz w:val="32"/>
          <w:szCs w:val="32"/>
        </w:rPr>
        <w:t>与预算数</w:t>
      </w:r>
      <w:r>
        <w:rPr>
          <w:rFonts w:hint="eastAsia" w:ascii="仿宋" w:eastAsia="仿宋"/>
          <w:sz w:val="32"/>
          <w:szCs w:val="32"/>
          <w:lang w:val="en-US" w:eastAsia="zh-CN"/>
        </w:rPr>
        <w:t>持平；</w:t>
      </w:r>
      <w:r>
        <w:rPr>
          <w:rFonts w:hint="eastAsia" w:ascii="仿宋" w:hAnsi="仿宋" w:eastAsia="仿宋"/>
          <w:sz w:val="32"/>
          <w:szCs w:val="32"/>
        </w:rPr>
        <w:t>公务接待费支出决算</w:t>
      </w:r>
      <w:r>
        <w:rPr>
          <w:rFonts w:hint="eastAsia" w:ascii="仿宋" w:hAnsi="仿宋" w:eastAsia="仿宋"/>
          <w:sz w:val="32"/>
          <w:szCs w:val="32"/>
          <w:lang w:val="en-US" w:eastAsia="zh-CN"/>
        </w:rPr>
        <w:t>2.78</w:t>
      </w:r>
      <w:r>
        <w:rPr>
          <w:rFonts w:hint="eastAsia" w:ascii="仿宋" w:hAnsi="仿宋" w:eastAsia="仿宋"/>
          <w:sz w:val="32"/>
          <w:szCs w:val="32"/>
        </w:rPr>
        <w:t>万元，占</w:t>
      </w:r>
      <w:r>
        <w:rPr>
          <w:rFonts w:hint="eastAsia" w:ascii="仿宋" w:hAnsi="仿宋" w:eastAsia="仿宋"/>
          <w:sz w:val="32"/>
          <w:szCs w:val="32"/>
          <w:lang w:val="en-US" w:eastAsia="zh-CN"/>
        </w:rPr>
        <w:t>5</w:t>
      </w:r>
      <w:r>
        <w:rPr>
          <w:rFonts w:ascii="仿宋" w:hAnsi="仿宋" w:eastAsia="仿宋"/>
          <w:sz w:val="32"/>
          <w:szCs w:val="32"/>
        </w:rPr>
        <w:t>%</w:t>
      </w:r>
      <w:r>
        <w:rPr>
          <w:rFonts w:hint="eastAsia" w:ascii="仿宋" w:hAnsi="仿宋" w:eastAsia="仿宋"/>
          <w:sz w:val="32"/>
          <w:szCs w:val="32"/>
        </w:rPr>
        <w:t>。具体情况如下：</w:t>
      </w:r>
    </w:p>
    <w:p w14:paraId="131708CA">
      <w:pPr>
        <w:pStyle w:val="9"/>
        <w:rPr>
          <w:rFonts w:hint="eastAsia"/>
        </w:rPr>
      </w:pPr>
    </w:p>
    <w:p w14:paraId="3B2647FA">
      <w:pPr>
        <w:pStyle w:val="9"/>
        <w:rPr>
          <w:rFonts w:hint="eastAsia" w:ascii="仿宋" w:hAnsi="仿宋" w:eastAsia="仿宋"/>
          <w:sz w:val="32"/>
          <w:szCs w:val="32"/>
        </w:rPr>
      </w:pPr>
      <w:r>
        <w:drawing>
          <wp:inline distT="0" distB="0" distL="114300" distR="114300">
            <wp:extent cx="4826000" cy="2743200"/>
            <wp:effectExtent l="4445" t="4445" r="8255" b="14605"/>
            <wp:docPr id="9"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2C10819">
      <w:pPr>
        <w:pStyle w:val="9"/>
        <w:rPr>
          <w:rFonts w:hint="eastAsia" w:ascii="仿宋" w:hAnsi="仿宋" w:eastAsia="仿宋"/>
          <w:sz w:val="32"/>
          <w:szCs w:val="32"/>
        </w:rPr>
      </w:pPr>
    </w:p>
    <w:p w14:paraId="7E98C2B9">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r>
        <w:rPr>
          <w:rFonts w:hint="eastAsia" w:ascii="仿宋" w:hAnsi="仿宋" w:eastAsia="仿宋"/>
          <w:sz w:val="32"/>
          <w:szCs w:val="32"/>
          <w:lang w:eastAsia="zh-CN"/>
        </w:rPr>
        <w:t>，</w:t>
      </w:r>
      <w:r>
        <w:rPr>
          <w:rFonts w:hint="eastAsia" w:ascii="仿宋" w:hAnsi="仿宋" w:eastAsia="仿宋"/>
          <w:sz w:val="32"/>
          <w:szCs w:val="32"/>
          <w:lang w:val="en-US" w:eastAsia="zh-CN"/>
        </w:rPr>
        <w:t>单位：万元</w:t>
      </w:r>
      <w:r>
        <w:rPr>
          <w:rFonts w:hint="eastAsia" w:ascii="仿宋" w:hAnsi="仿宋" w:eastAsia="仿宋"/>
          <w:sz w:val="32"/>
          <w:szCs w:val="32"/>
        </w:rPr>
        <w:t>）</w:t>
      </w:r>
    </w:p>
    <w:p w14:paraId="1EDED3FD">
      <w:pPr>
        <w:spacing w:line="600" w:lineRule="exact"/>
        <w:ind w:firstLine="640"/>
        <w:rPr>
          <w:rFonts w:hint="eastAsia"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20"/>
          <w:rFonts w:hint="eastAsia" w:ascii="仿宋" w:hAnsi="仿宋" w:eastAsia="仿宋"/>
          <w:b w:val="0"/>
          <w:bCs/>
          <w:sz w:val="32"/>
          <w:szCs w:val="32"/>
        </w:rPr>
        <w:t>完成预算</w:t>
      </w:r>
      <w:r>
        <w:rPr>
          <w:rStyle w:val="20"/>
          <w:rFonts w:hint="eastAsia" w:ascii="仿宋" w:hAnsi="仿宋" w:eastAsia="仿宋"/>
          <w:b w:val="0"/>
          <w:bCs/>
          <w:sz w:val="32"/>
          <w:szCs w:val="32"/>
          <w:lang w:val="en-US" w:eastAsia="zh-CN"/>
        </w:rPr>
        <w:t>0</w:t>
      </w:r>
      <w:r>
        <w:rPr>
          <w:rStyle w:val="20"/>
          <w:rFonts w:ascii="仿宋" w:hAnsi="仿宋" w:eastAsia="仿宋"/>
          <w:b w:val="0"/>
          <w:bCs/>
          <w:sz w:val="32"/>
          <w:szCs w:val="32"/>
        </w:rPr>
        <w:t>%</w:t>
      </w:r>
      <w:r>
        <w:rPr>
          <w:rStyle w:val="20"/>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w:t>
      </w:r>
    </w:p>
    <w:p w14:paraId="7CAEA8FF">
      <w:pPr>
        <w:spacing w:line="600" w:lineRule="exact"/>
        <w:ind w:firstLine="640"/>
        <w:rPr>
          <w:rFonts w:hint="eastAsia" w:ascii="仿宋_GB2312" w:eastAsia="仿宋_GB2312"/>
          <w:sz w:val="32"/>
          <w:szCs w:val="32"/>
          <w:lang w:val="en-US" w:eastAsia="zh-CN"/>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 w:hAnsi="仿宋" w:eastAsia="仿宋"/>
          <w:sz w:val="32"/>
          <w:szCs w:val="32"/>
          <w:lang w:val="en-US" w:eastAsia="zh-CN"/>
        </w:rPr>
        <w:t>52.91</w:t>
      </w:r>
      <w:r>
        <w:rPr>
          <w:rFonts w:hint="eastAsia" w:ascii="仿宋_GB2312" w:eastAsia="仿宋_GB2312"/>
          <w:sz w:val="32"/>
          <w:szCs w:val="32"/>
        </w:rPr>
        <w:t>万元,</w:t>
      </w:r>
      <w:r>
        <w:rPr>
          <w:rStyle w:val="20"/>
          <w:rFonts w:hint="eastAsia" w:ascii="仿宋" w:hAnsi="仿宋" w:eastAsia="仿宋"/>
          <w:b w:val="0"/>
          <w:bCs/>
          <w:sz w:val="32"/>
          <w:szCs w:val="32"/>
        </w:rPr>
        <w:t>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减少</w:t>
      </w:r>
      <w:r>
        <w:rPr>
          <w:rFonts w:hint="eastAsia" w:eastAsia="仿宋_GB2312"/>
          <w:sz w:val="32"/>
          <w:szCs w:val="32"/>
          <w:lang w:val="en-US" w:eastAsia="zh-CN"/>
        </w:rPr>
        <w:t>5.35</w:t>
      </w:r>
      <w:r>
        <w:rPr>
          <w:rFonts w:hint="eastAsia" w:ascii="仿宋_GB2312" w:eastAsia="仿宋_GB2312"/>
          <w:sz w:val="32"/>
          <w:szCs w:val="32"/>
        </w:rPr>
        <w:t>万元，</w:t>
      </w:r>
      <w:r>
        <w:rPr>
          <w:rFonts w:hint="eastAsia" w:ascii="仿宋_GB2312" w:eastAsia="仿宋_GB2312"/>
          <w:sz w:val="32"/>
          <w:szCs w:val="32"/>
          <w:lang w:val="en-US" w:eastAsia="zh-CN"/>
        </w:rPr>
        <w:t>下降9.18</w:t>
      </w:r>
      <w:r>
        <w:rPr>
          <w:rFonts w:hint="eastAsia" w:ascii="仿宋_GB2312" w:eastAsia="仿宋_GB2312"/>
          <w:sz w:val="32"/>
          <w:szCs w:val="32"/>
        </w:rPr>
        <w:t>%，</w:t>
      </w:r>
      <w:r>
        <w:rPr>
          <w:rFonts w:hint="eastAsia" w:ascii="仿宋_GB2312" w:eastAsia="仿宋_GB2312"/>
          <w:sz w:val="32"/>
          <w:szCs w:val="32"/>
          <w:lang w:val="en-US" w:eastAsia="zh-CN"/>
        </w:rPr>
        <w:t>较2022年减少</w:t>
      </w:r>
      <w:r>
        <w:rPr>
          <w:rFonts w:hint="eastAsia" w:ascii="仿宋_GB2312" w:eastAsia="仿宋_GB2312"/>
          <w:sz w:val="32"/>
          <w:szCs w:val="32"/>
        </w:rPr>
        <w:t>主要原因是202</w:t>
      </w:r>
      <w:r>
        <w:rPr>
          <w:rFonts w:hint="eastAsia" w:ascii="仿宋_GB2312" w:eastAsia="仿宋_GB2312"/>
          <w:sz w:val="32"/>
          <w:szCs w:val="32"/>
          <w:lang w:val="en-US" w:eastAsia="zh-CN"/>
        </w:rPr>
        <w:t>3年单位厉行节约，压缩三公经费开支。</w:t>
      </w:r>
    </w:p>
    <w:p w14:paraId="333D5CDC">
      <w:pPr>
        <w:spacing w:line="600" w:lineRule="exact"/>
        <w:ind w:firstLine="640"/>
        <w:rPr>
          <w:rFonts w:hint="default" w:ascii="仿宋_GB2312" w:eastAsia="仿宋_GB2312"/>
          <w:b/>
          <w:sz w:val="32"/>
          <w:szCs w:val="32"/>
          <w:lang w:val="en-US" w:eastAsia="zh-CN"/>
        </w:rPr>
      </w:pPr>
    </w:p>
    <w:p w14:paraId="693898D6">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5</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5</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30DA325F">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 w:hAnsi="仿宋" w:eastAsia="仿宋"/>
          <w:sz w:val="32"/>
          <w:szCs w:val="32"/>
          <w:lang w:val="en-US" w:eastAsia="zh-CN"/>
        </w:rPr>
        <w:t>52.91</w:t>
      </w:r>
      <w:r>
        <w:rPr>
          <w:rFonts w:hint="eastAsia" w:ascii="仿宋_GB2312" w:eastAsia="仿宋_GB2312"/>
          <w:sz w:val="32"/>
          <w:szCs w:val="32"/>
        </w:rPr>
        <w:t>万元。主要用于</w:t>
      </w:r>
      <w:r>
        <w:rPr>
          <w:rFonts w:hint="eastAsia" w:ascii="仿宋_GB2312" w:eastAsia="仿宋_GB2312"/>
          <w:sz w:val="32"/>
          <w:szCs w:val="32"/>
          <w:lang w:val="en-US" w:eastAsia="zh-CN"/>
        </w:rPr>
        <w:t>开展单位日常管理工作</w:t>
      </w:r>
      <w:r>
        <w:rPr>
          <w:rFonts w:hint="eastAsia" w:ascii="仿宋_GB2312" w:eastAsia="仿宋_GB2312"/>
          <w:sz w:val="32"/>
          <w:szCs w:val="32"/>
        </w:rPr>
        <w:t>等所需的公务用车燃料费、维修费、过路过桥费、保险费等支出。</w:t>
      </w:r>
    </w:p>
    <w:p w14:paraId="54AF0FC5">
      <w:pPr>
        <w:spacing w:line="600" w:lineRule="exact"/>
        <w:ind w:firstLine="640"/>
        <w:rPr>
          <w:rStyle w:val="20"/>
          <w:rFonts w:hint="eastAsia" w:ascii="仿宋" w:hAnsi="仿宋" w:eastAsia="仿宋"/>
          <w:b w:val="0"/>
          <w:bCs/>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2.78</w:t>
      </w:r>
      <w:r>
        <w:rPr>
          <w:rFonts w:hint="eastAsia" w:ascii="仿宋_GB2312" w:eastAsia="仿宋_GB2312"/>
          <w:sz w:val="32"/>
          <w:szCs w:val="32"/>
        </w:rPr>
        <w:t>万元，</w:t>
      </w:r>
      <w:r>
        <w:rPr>
          <w:rStyle w:val="20"/>
          <w:rFonts w:hint="eastAsia" w:ascii="仿宋" w:hAnsi="仿宋" w:eastAsia="仿宋"/>
          <w:b w:val="0"/>
          <w:bCs/>
          <w:sz w:val="32"/>
          <w:szCs w:val="32"/>
        </w:rPr>
        <w:t>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w:t>
      </w:r>
    </w:p>
    <w:p w14:paraId="7691F37C">
      <w:pPr>
        <w:spacing w:line="600" w:lineRule="exact"/>
        <w:ind w:firstLine="640"/>
        <w:rPr>
          <w:rFonts w:hint="eastAsia" w:ascii="仿宋_GB2312" w:eastAsia="仿宋_GB2312"/>
          <w:sz w:val="32"/>
          <w:szCs w:val="32"/>
          <w:lang w:eastAsia="zh-CN"/>
        </w:rPr>
      </w:pPr>
      <w:r>
        <w:rPr>
          <w:rFonts w:hint="eastAsia" w:ascii="仿宋" w:hAnsi="仿宋" w:eastAsia="仿宋"/>
          <w:b/>
          <w:sz w:val="32"/>
          <w:szCs w:val="32"/>
        </w:rPr>
        <w:t>国内公务接待支出</w:t>
      </w:r>
      <w:r>
        <w:rPr>
          <w:rFonts w:hint="eastAsia" w:ascii="仿宋_GB2312" w:eastAsia="仿宋_GB2312"/>
          <w:sz w:val="32"/>
          <w:szCs w:val="32"/>
          <w:lang w:val="en-US" w:eastAsia="zh-CN"/>
        </w:rPr>
        <w:t>2.78</w:t>
      </w:r>
      <w:r>
        <w:rPr>
          <w:rFonts w:hint="eastAsia" w:ascii="仿宋_GB2312" w:eastAsia="仿宋_GB2312"/>
          <w:sz w:val="32"/>
          <w:szCs w:val="32"/>
        </w:rPr>
        <w:t>万元。国内公务接待</w:t>
      </w:r>
      <w:r>
        <w:rPr>
          <w:rFonts w:hint="eastAsia" w:ascii="仿宋_GB2312" w:eastAsia="仿宋_GB2312"/>
          <w:sz w:val="32"/>
          <w:szCs w:val="32"/>
          <w:lang w:val="en-US" w:eastAsia="zh-CN"/>
        </w:rPr>
        <w:t>15</w:t>
      </w:r>
      <w:r>
        <w:rPr>
          <w:rFonts w:hint="eastAsia" w:ascii="仿宋_GB2312" w:eastAsia="仿宋_GB2312"/>
          <w:sz w:val="32"/>
          <w:szCs w:val="32"/>
        </w:rPr>
        <w:t>批次，</w:t>
      </w:r>
      <w:r>
        <w:rPr>
          <w:rFonts w:hint="eastAsia" w:ascii="仿宋_GB2312" w:eastAsia="仿宋_GB2312"/>
          <w:sz w:val="32"/>
          <w:szCs w:val="32"/>
          <w:lang w:val="en-US" w:eastAsia="zh-CN"/>
        </w:rPr>
        <w:t>349</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2.78</w:t>
      </w:r>
      <w:r>
        <w:rPr>
          <w:rFonts w:hint="eastAsia" w:ascii="仿宋_GB2312" w:eastAsia="仿宋_GB2312"/>
          <w:sz w:val="32"/>
          <w:szCs w:val="32"/>
        </w:rPr>
        <w:t>万元</w:t>
      </w:r>
      <w:r>
        <w:rPr>
          <w:rFonts w:hint="eastAsia" w:ascii="仿宋_GB2312" w:eastAsia="仿宋_GB2312"/>
          <w:sz w:val="32"/>
          <w:szCs w:val="32"/>
          <w:lang w:eastAsia="zh-CN"/>
        </w:rPr>
        <w:t>。</w:t>
      </w:r>
    </w:p>
    <w:p w14:paraId="79559224">
      <w:pPr>
        <w:spacing w:line="600" w:lineRule="exact"/>
        <w:ind w:firstLine="643" w:firstLineChars="200"/>
        <w:rPr>
          <w:rFonts w:hint="eastAsia" w:ascii="仿宋_GB2312" w:eastAsia="仿宋_GB2312"/>
          <w:sz w:val="32"/>
          <w:szCs w:val="32"/>
          <w:lang w:eastAsia="zh-CN"/>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人，共计支出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14:paraId="20EEB7FB">
      <w:pPr>
        <w:spacing w:line="600" w:lineRule="exact"/>
        <w:ind w:firstLine="640"/>
        <w:outlineLvl w:val="9"/>
        <w:rPr>
          <w:rFonts w:ascii="黑体" w:eastAsia="黑体"/>
          <w:sz w:val="32"/>
          <w:szCs w:val="32"/>
        </w:rPr>
      </w:pPr>
      <w:bookmarkStart w:id="93" w:name="_Toc15377218"/>
      <w:bookmarkStart w:id="94" w:name="_Toc15396610"/>
    </w:p>
    <w:p w14:paraId="5377F246">
      <w:pPr>
        <w:pStyle w:val="6"/>
        <w:bidi w:val="0"/>
        <w:jc w:val="center"/>
        <w:rPr>
          <w:rFonts w:hint="eastAsia" w:ascii="黑体" w:hAnsi="黑体" w:eastAsia="黑体" w:cs="黑体"/>
        </w:rPr>
      </w:pPr>
      <w:bookmarkStart w:id="95" w:name="_Toc6108"/>
      <w:bookmarkStart w:id="96" w:name="_Toc31828"/>
      <w:bookmarkStart w:id="97" w:name="_Toc21098"/>
      <w:r>
        <w:rPr>
          <w:rFonts w:hint="eastAsia" w:ascii="黑体" w:hAnsi="黑体" w:eastAsia="黑体" w:cs="黑体"/>
        </w:rPr>
        <w:t>八、政府性基金预算支出决算情况说明</w:t>
      </w:r>
      <w:bookmarkEnd w:id="93"/>
      <w:bookmarkEnd w:id="94"/>
      <w:bookmarkEnd w:id="95"/>
      <w:bookmarkEnd w:id="96"/>
      <w:bookmarkEnd w:id="97"/>
    </w:p>
    <w:p w14:paraId="0D0DCD08">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13BDD85E">
      <w:pPr>
        <w:spacing w:line="600" w:lineRule="exact"/>
        <w:ind w:firstLine="640"/>
        <w:rPr>
          <w:rFonts w:ascii="仿宋_GB2312" w:eastAsia="仿宋_GB2312"/>
          <w:sz w:val="32"/>
          <w:szCs w:val="32"/>
        </w:rPr>
      </w:pPr>
    </w:p>
    <w:p w14:paraId="05D5AF7E">
      <w:pPr>
        <w:pStyle w:val="6"/>
        <w:numPr>
          <w:ilvl w:val="0"/>
          <w:numId w:val="3"/>
        </w:numPr>
        <w:bidi w:val="0"/>
        <w:jc w:val="center"/>
        <w:rPr>
          <w:rFonts w:hint="eastAsia" w:ascii="黑体" w:hAnsi="黑体" w:eastAsia="黑体" w:cs="黑体"/>
        </w:rPr>
      </w:pPr>
      <w:bookmarkStart w:id="98" w:name="_Toc17981"/>
      <w:bookmarkStart w:id="99" w:name="_Toc5801"/>
      <w:bookmarkStart w:id="100" w:name="_Toc11571"/>
      <w:bookmarkStart w:id="101" w:name="_Toc15396611"/>
      <w:bookmarkStart w:id="102" w:name="_Toc15377219"/>
      <w:r>
        <w:rPr>
          <w:rFonts w:hint="eastAsia" w:ascii="黑体" w:hAnsi="黑体" w:eastAsia="黑体" w:cs="黑体"/>
        </w:rPr>
        <w:t>国有资本经营预算支出决算情况说明</w:t>
      </w:r>
      <w:bookmarkEnd w:id="98"/>
      <w:bookmarkEnd w:id="99"/>
      <w:bookmarkEnd w:id="100"/>
      <w:bookmarkEnd w:id="101"/>
      <w:bookmarkEnd w:id="102"/>
    </w:p>
    <w:p w14:paraId="0FA21EF5">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6CDA037E">
      <w:pPr>
        <w:spacing w:line="580" w:lineRule="exact"/>
        <w:jc w:val="center"/>
        <w:rPr>
          <w:rFonts w:ascii="方正小标宋简体" w:hAnsi="方正小标宋简体" w:eastAsia="方正小标宋简体" w:cs="方正小标宋简体"/>
          <w:sz w:val="44"/>
          <w:szCs w:val="44"/>
        </w:rPr>
      </w:pPr>
    </w:p>
    <w:p w14:paraId="369CBC5A">
      <w:pPr>
        <w:pStyle w:val="6"/>
        <w:numPr>
          <w:ilvl w:val="0"/>
          <w:numId w:val="3"/>
        </w:numPr>
        <w:bidi w:val="0"/>
        <w:jc w:val="center"/>
        <w:rPr>
          <w:rFonts w:hint="eastAsia" w:ascii="黑体" w:hAnsi="黑体" w:eastAsia="黑体" w:cs="黑体"/>
        </w:rPr>
      </w:pPr>
      <w:bookmarkStart w:id="103" w:name="_Toc15396612"/>
      <w:bookmarkStart w:id="104" w:name="_Toc32084"/>
      <w:bookmarkStart w:id="105" w:name="_Toc15377221"/>
      <w:bookmarkStart w:id="106" w:name="_Toc32056"/>
      <w:bookmarkStart w:id="107" w:name="_Toc19270"/>
      <w:r>
        <w:rPr>
          <w:rFonts w:hint="eastAsia" w:ascii="黑体" w:hAnsi="黑体" w:eastAsia="黑体" w:cs="黑体"/>
        </w:rPr>
        <w:t>其他重要事项的情况说明</w:t>
      </w:r>
      <w:bookmarkEnd w:id="103"/>
      <w:bookmarkEnd w:id="104"/>
      <w:bookmarkEnd w:id="105"/>
      <w:bookmarkEnd w:id="106"/>
      <w:bookmarkEnd w:id="107"/>
    </w:p>
    <w:p w14:paraId="1FF18228">
      <w:pPr>
        <w:spacing w:line="600" w:lineRule="exact"/>
        <w:ind w:firstLine="643" w:firstLineChars="200"/>
        <w:outlineLvl w:val="2"/>
        <w:rPr>
          <w:rFonts w:ascii="仿宋" w:hAnsi="仿宋" w:eastAsia="仿宋"/>
          <w:sz w:val="32"/>
          <w:szCs w:val="32"/>
        </w:rPr>
      </w:pPr>
      <w:bookmarkStart w:id="108" w:name="_Toc15377222"/>
      <w:r>
        <w:rPr>
          <w:rFonts w:hint="eastAsia" w:ascii="仿宋" w:hAnsi="仿宋" w:eastAsia="仿宋"/>
          <w:b/>
          <w:sz w:val="32"/>
          <w:szCs w:val="32"/>
        </w:rPr>
        <w:t>（一）机关运行经费支出情况</w:t>
      </w:r>
      <w:bookmarkEnd w:id="108"/>
    </w:p>
    <w:p w14:paraId="652C3627">
      <w:pPr>
        <w:spacing w:line="600" w:lineRule="exact"/>
        <w:ind w:firstLine="640" w:firstLineChars="200"/>
        <w:rPr>
          <w:rFonts w:hint="default" w:ascii="仿宋_GB2312" w:eastAsia="仿宋_GB2312"/>
          <w:sz w:val="32"/>
          <w:szCs w:val="32"/>
          <w:lang w:val="en-US" w:eastAsia="zh-CN"/>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甘孜藏族自治州司法局</w:t>
      </w:r>
      <w:r>
        <w:rPr>
          <w:rFonts w:hint="eastAsia" w:ascii="仿宋_GB2312" w:eastAsia="仿宋_GB2312"/>
          <w:sz w:val="32"/>
          <w:szCs w:val="32"/>
        </w:rPr>
        <w:t>机关运行经费支出</w:t>
      </w:r>
      <w:r>
        <w:rPr>
          <w:rFonts w:hint="eastAsia" w:ascii="仿宋_GB2312" w:eastAsia="仿宋_GB2312"/>
          <w:sz w:val="32"/>
          <w:szCs w:val="32"/>
          <w:lang w:val="en-US" w:eastAsia="zh-CN"/>
        </w:rPr>
        <w:t>129.97</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减少2.71</w:t>
      </w:r>
      <w:r>
        <w:rPr>
          <w:rFonts w:hint="eastAsia" w:ascii="仿宋_GB2312" w:eastAsia="仿宋_GB2312"/>
          <w:sz w:val="32"/>
          <w:szCs w:val="32"/>
        </w:rPr>
        <w:t>万元，</w:t>
      </w:r>
      <w:r>
        <w:rPr>
          <w:rFonts w:hint="eastAsia" w:ascii="仿宋_GB2312" w:eastAsia="仿宋_GB2312"/>
          <w:sz w:val="32"/>
          <w:szCs w:val="32"/>
          <w:lang w:val="en-US" w:eastAsia="zh-CN"/>
        </w:rPr>
        <w:t>下降2.04</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按照厉行节约，压缩单位公用经费开支。</w:t>
      </w:r>
    </w:p>
    <w:p w14:paraId="1DBCEF19">
      <w:pPr>
        <w:autoSpaceDE w:val="0"/>
        <w:autoSpaceDN w:val="0"/>
        <w:adjustRightInd w:val="0"/>
        <w:spacing w:line="600" w:lineRule="exact"/>
        <w:ind w:firstLine="643" w:firstLineChars="200"/>
        <w:jc w:val="left"/>
        <w:outlineLvl w:val="2"/>
        <w:rPr>
          <w:rFonts w:ascii="仿宋" w:hAnsi="仿宋" w:eastAsia="仿宋"/>
          <w:b/>
          <w:sz w:val="32"/>
          <w:szCs w:val="32"/>
        </w:rPr>
      </w:pPr>
      <w:bookmarkStart w:id="109" w:name="_Toc15377223"/>
      <w:r>
        <w:rPr>
          <w:rFonts w:hint="eastAsia" w:ascii="仿宋" w:hAnsi="仿宋" w:eastAsia="仿宋"/>
          <w:b/>
          <w:sz w:val="32"/>
          <w:szCs w:val="32"/>
        </w:rPr>
        <w:t>（二）政府采购支出情况</w:t>
      </w:r>
      <w:bookmarkEnd w:id="109"/>
    </w:p>
    <w:p w14:paraId="2EA9A1EB">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甘孜藏族自治州司法局</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6FEEEE0F">
      <w:pPr>
        <w:autoSpaceDE w:val="0"/>
        <w:autoSpaceDN w:val="0"/>
        <w:adjustRightInd w:val="0"/>
        <w:spacing w:line="600" w:lineRule="exact"/>
        <w:ind w:firstLine="643" w:firstLineChars="200"/>
        <w:jc w:val="left"/>
        <w:outlineLvl w:val="2"/>
        <w:rPr>
          <w:rFonts w:ascii="仿宋" w:hAnsi="仿宋" w:eastAsia="仿宋"/>
          <w:b/>
          <w:sz w:val="32"/>
          <w:szCs w:val="32"/>
        </w:rPr>
      </w:pPr>
      <w:bookmarkStart w:id="110" w:name="_Toc15377224"/>
      <w:r>
        <w:rPr>
          <w:rFonts w:hint="eastAsia" w:ascii="仿宋" w:hAnsi="仿宋" w:eastAsia="仿宋"/>
          <w:b/>
          <w:sz w:val="32"/>
          <w:szCs w:val="32"/>
        </w:rPr>
        <w:t>（三）国有资产占有使用情况</w:t>
      </w:r>
      <w:bookmarkEnd w:id="110"/>
    </w:p>
    <w:p w14:paraId="6664868C">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val="en-US" w:eastAsia="zh-CN"/>
        </w:rPr>
        <w:t>甘孜藏族自治州司法局</w:t>
      </w:r>
      <w:r>
        <w:rPr>
          <w:rFonts w:hint="eastAsia" w:ascii="仿宋_GB2312" w:eastAsia="仿宋_GB2312"/>
          <w:sz w:val="32"/>
          <w:szCs w:val="32"/>
        </w:rPr>
        <w:t>共有车辆</w:t>
      </w:r>
      <w:r>
        <w:rPr>
          <w:rFonts w:hint="eastAsia" w:ascii="仿宋_GB2312" w:eastAsia="仿宋_GB2312"/>
          <w:sz w:val="32"/>
          <w:szCs w:val="32"/>
          <w:lang w:val="en-US" w:eastAsia="zh-CN"/>
        </w:rPr>
        <w:t>5</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5</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其他用车主要是用于</w:t>
      </w:r>
      <w:r>
        <w:rPr>
          <w:rFonts w:hint="eastAsia" w:ascii="仿宋_GB2312" w:eastAsia="仿宋_GB2312"/>
          <w:sz w:val="32"/>
          <w:szCs w:val="32"/>
          <w:lang w:val="en-US" w:eastAsia="zh-CN"/>
        </w:rPr>
        <w:t>单位开展档案管理日常用车。</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14:paraId="1987D477">
      <w:pPr>
        <w:autoSpaceDE w:val="0"/>
        <w:autoSpaceDN w:val="0"/>
        <w:adjustRightInd w:val="0"/>
        <w:spacing w:line="600" w:lineRule="exact"/>
        <w:ind w:firstLine="643" w:firstLineChars="200"/>
        <w:jc w:val="left"/>
        <w:rPr>
          <w:rFonts w:ascii="仿宋" w:hAnsi="仿宋" w:eastAsia="仿宋"/>
          <w:b/>
          <w:sz w:val="32"/>
          <w:szCs w:val="32"/>
        </w:rPr>
      </w:pPr>
    </w:p>
    <w:p w14:paraId="0C3C153D">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6FF1896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年度预算编制阶段，组织对</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党组织建设、法律服务、法治建设、信息化建设、依法治州</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个项目开展了绩效自评。同时，本部门对202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年部门整体开展绩效自评，《202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甘孜藏族自治州司法局</w:t>
      </w:r>
      <w:r>
        <w:rPr>
          <w:rFonts w:hint="eastAsia" w:ascii="仿宋_GB2312" w:hAnsi="仿宋_GB2312" w:eastAsia="仿宋_GB2312" w:cs="仿宋_GB2312"/>
          <w:sz w:val="32"/>
          <w:szCs w:val="32"/>
        </w:rPr>
        <w:t>部门整体绩效评价报告》见附件（第四部分）。</w:t>
      </w:r>
    </w:p>
    <w:p w14:paraId="3FFCAD1C">
      <w:pPr>
        <w:widowControl/>
        <w:jc w:val="left"/>
        <w:rPr>
          <w:rFonts w:ascii="仿宋_GB2312" w:eastAsia="仿宋_GB2312"/>
          <w:b/>
          <w:sz w:val="32"/>
          <w:szCs w:val="32"/>
        </w:rPr>
      </w:pPr>
      <w:r>
        <w:rPr>
          <w:rFonts w:ascii="仿宋_GB2312" w:eastAsia="仿宋_GB2312"/>
          <w:b/>
          <w:sz w:val="32"/>
          <w:szCs w:val="32"/>
        </w:rPr>
        <w:br w:type="page"/>
      </w:r>
    </w:p>
    <w:p w14:paraId="2753D102">
      <w:pPr>
        <w:pStyle w:val="5"/>
        <w:numPr>
          <w:ilvl w:val="0"/>
          <w:numId w:val="4"/>
        </w:numPr>
        <w:bidi w:val="0"/>
        <w:jc w:val="center"/>
        <w:rPr>
          <w:rFonts w:hint="eastAsia" w:ascii="黑体" w:hAnsi="黑体" w:eastAsia="黑体" w:cs="黑体"/>
        </w:rPr>
      </w:pPr>
      <w:bookmarkStart w:id="111" w:name="_Toc15396613"/>
      <w:bookmarkStart w:id="112" w:name="_Toc26953"/>
      <w:bookmarkStart w:id="113" w:name="_Toc15377225"/>
      <w:bookmarkStart w:id="114" w:name="_Toc14010"/>
      <w:bookmarkStart w:id="115" w:name="_Toc15241"/>
      <w:r>
        <w:rPr>
          <w:rFonts w:hint="eastAsia" w:ascii="黑体" w:hAnsi="黑体" w:eastAsia="黑体" w:cs="黑体"/>
        </w:rPr>
        <w:t>名词解释</w:t>
      </w:r>
      <w:bookmarkEnd w:id="111"/>
      <w:bookmarkEnd w:id="112"/>
      <w:bookmarkEnd w:id="113"/>
      <w:bookmarkEnd w:id="114"/>
      <w:bookmarkEnd w:id="115"/>
    </w:p>
    <w:p w14:paraId="778A89ED">
      <w:pPr>
        <w:spacing w:line="600" w:lineRule="exact"/>
        <w:jc w:val="left"/>
        <w:rPr>
          <w:rFonts w:ascii="宋体"/>
          <w:b/>
          <w:sz w:val="44"/>
          <w:szCs w:val="44"/>
        </w:rPr>
      </w:pPr>
    </w:p>
    <w:p w14:paraId="1215C2CB">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1.财政拨款收入：指单位从同级财政部门取得的财政预算资金。</w:t>
      </w:r>
    </w:p>
    <w:p w14:paraId="3E7CB798">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2.事业收入：指事业单位开展专业业务活动及辅助活动取得的收入。</w:t>
      </w:r>
    </w:p>
    <w:p w14:paraId="50E1C68F">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3.经营收入：指事业单位在专业业务活动及其辅助活动之外开展非独立核算经营活动取得的收入。</w:t>
      </w:r>
    </w:p>
    <w:p w14:paraId="4A6F26DC">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其他收入：指单位取得的除上述收入以外的各项收入。主要是现金盘盈收入、按照规定纳入单位预算管理的科技成果转化收入、行政单位收回已核销的其他应收款、无法偿付的应付及预收款项、置换出资产评估增值等。</w:t>
      </w:r>
    </w:p>
    <w:p w14:paraId="4A351BA1">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5.使用非财政拨款结余：指事业单位使用以前年度积累的非财政拨款结余弥补当年收支差额的金额。</w:t>
      </w:r>
    </w:p>
    <w:p w14:paraId="06C5FD81">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6.年初结转和结余：指以前年度尚未完成、结转到本年按有关规定继续使用的资金。</w:t>
      </w:r>
    </w:p>
    <w:p w14:paraId="1C0CA493">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7.结余分配：指事业单位按照会计制度规定缴纳的所得税、提取的专用结余以及转入非财政拨款结余的金额等。</w:t>
      </w:r>
    </w:p>
    <w:p w14:paraId="4D35DA8A">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8.年末结转和结余：指单位按有关规定结转到下年或以后年度继续使用的资金。</w:t>
      </w:r>
    </w:p>
    <w:p w14:paraId="102AFE2E">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9.一般公共服务（类）其他一般公共服务支出（款）其他一般公共服务支出（项）:指一般公共服务未包括的一般公共服务支出。</w:t>
      </w:r>
    </w:p>
    <w:p w14:paraId="38FAD896">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10.教育（类）进修及培训（款）培训支出（项）:指各部门安排的用于培训的支出。</w:t>
      </w:r>
    </w:p>
    <w:p w14:paraId="13FDAC3D">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11.社会保障和就业（类）行政事业单位离退休（款）事业单位离退休（项）:指事业单位开支的离退休经费。</w:t>
      </w:r>
    </w:p>
    <w:p w14:paraId="0E7A0972">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12.社会保障和就业（类）行政事业单位离退休（款）机关事业单位基本养老保险缴费支出（项）:指机关事业单位实施养老制度由单位缴纳的基本养老保险费支出。</w:t>
      </w:r>
    </w:p>
    <w:p w14:paraId="3B9BB54F">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13.社会保障和就业（类）行政事业单位离退休（款）机关事业单位职业年金缴费支出（项）：指机关事业单位实施养老保险制度由单位实际缴纳的职业年金支出。</w:t>
      </w:r>
    </w:p>
    <w:p w14:paraId="4BB84385">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14.社会保障和就业（类）抚恤（款）死亡抚恤（项）：指按规定用于烈士和牺牲、病故人员家属的一次性和定期抚恤金以及丧葬补助费。</w:t>
      </w:r>
    </w:p>
    <w:p w14:paraId="7937D73C">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15.社会保障和就业（类）抚恤（款）伤残抚恤（项）：指按规定用于伤残人员的抚恤金和按规定开支的各种伤残补助费。</w:t>
      </w:r>
    </w:p>
    <w:p w14:paraId="78460E60">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社会保障和就业（类）抚恤（款）优抚事业单位支出（项）：指民政部门管理的优抚事业单位支出，对集体优抚事业单位的补助，对烈士纪念设施的维修改造和管理保护支出，以及全国重点军供站设施维修改造和设备更新支出。</w:t>
      </w:r>
    </w:p>
    <w:p w14:paraId="1B6F6405">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17.社会保障和就业（类）抚恤（款）其他优抚支出（项）：指其他用于优抚方面的支出。</w:t>
      </w:r>
    </w:p>
    <w:p w14:paraId="04FF3C59">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18.社会保障和就业（类）退役安置（款）军队移交政府的离退休人员安置（项）：指移交政府的军队离退休人员安置支出。</w:t>
      </w:r>
    </w:p>
    <w:p w14:paraId="58BE4076">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社会保障和就业（类）退役安置（款）军队移交政府离退休干部管理机构（项）：指民政部门管理的军队移交政府安置的离退休干部管理机构列入事业编制的人员经费、公用经费以及管理机构用房建设经费等支出。</w:t>
      </w:r>
    </w:p>
    <w:p w14:paraId="0D0E4587">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20.社会保障和就业（类）退役安置（款）退役士兵管理教育（项）:指退役士兵职业教育、转业士官待分配期间管理教育、医疗等支出。</w:t>
      </w:r>
    </w:p>
    <w:p w14:paraId="4F7C0C22">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21.社会保障和就业（类）退役安置（款）其他退役安置支出（项）:指除上述项目以外其他用于退役安置方面的支出。</w:t>
      </w:r>
    </w:p>
    <w:p w14:paraId="5B3179F6">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22.社会保障和就业（类）其他生活救助（款）其他城市生活救助（项）:指除最低生活保障、临时救助、特困人员供养外，用于城市生活困难居民生活救助的其他支出。</w:t>
      </w:r>
    </w:p>
    <w:p w14:paraId="7E3A24AE">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23.社会保障和就业（类）退役军人管理事务（款）行政运行（项）:指行政单位（包括实行公务员管理的事业单位）的基本支出。</w:t>
      </w:r>
    </w:p>
    <w:p w14:paraId="0238F03D">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24.社会保障和就业（类）退役军人管理事务（款）一般行政管理事务（项）:指行政单位（包括实行公务员管理的事业单位）的单独设置项级科目的其他项目支出。</w:t>
      </w:r>
    </w:p>
    <w:p w14:paraId="7DE5D6AE">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25.社会保障和就业（类）退役军人管理事务（款）拥军优属（项）:指开展拥军优属活动的支出。</w:t>
      </w:r>
    </w:p>
    <w:p w14:paraId="0AFD91CA">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26.社会保障和就业（类）退役军人管理事务（款）事业运行（项）：指事业单位的基本支出，不包括行政单位（包括实行公务员管理的事业单位）后勤服务中心、医疗室等附属事业单位。</w:t>
      </w:r>
    </w:p>
    <w:p w14:paraId="679CA388">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27.社会保障和就业（类）退役军人管理事务（款）其他退役军人管理事务（项）:指其他用于退役军人事务管理方面的支出。</w:t>
      </w:r>
    </w:p>
    <w:p w14:paraId="4BA7B5C7">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28.社会保障和就业（类）其他社会保障和就业支出（款）其他社会保障和就业支出（项）:指其他用于社会保障和就业方面的支出。</w:t>
      </w:r>
    </w:p>
    <w:p w14:paraId="386008C9">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卫生健康（类）行政事业单位医疗（款）行政单位医疗（项）:指财政部门安排的行政单位（包括实行公务员管理的事业单位）基本医疗保险缴费经费，未参加医疗保险的行政单位的公费医疗经费，按国家规定享受离休人员、红军老战士待遇人员的医疗经费。</w:t>
      </w:r>
    </w:p>
    <w:p w14:paraId="0C569FA2">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30.卫生健康（类）行政事业单位医疗（款）公务员医疗补助（项）:指财政部门安排的公务员医疗补助经费。</w:t>
      </w:r>
    </w:p>
    <w:p w14:paraId="360C9FE0">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31.卫生健康（类）优抚对象医疗（款）优抚对象医疗补助（项）:指按规定补助优抚对象的医疗经费。</w:t>
      </w:r>
    </w:p>
    <w:p w14:paraId="2347D9D0">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32.住房保障（类）住房改革支出（款）住房公积金（项）:指行政事业单位按人力资源和社会保障部、财政部规定的基本工资和津贴补贴以及规定比例为职工缴纳的住房公积金。</w:t>
      </w:r>
    </w:p>
    <w:p w14:paraId="28168994">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33.基本支出：指为保障机构正常运转、完成日常工作任务而发生的人员支出和公用支出。</w:t>
      </w:r>
    </w:p>
    <w:p w14:paraId="28B41891">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34.项目支出：指在基本支出之外为完成特定行政任务和事业发展目标所发生的支出。</w:t>
      </w:r>
    </w:p>
    <w:p w14:paraId="555538D7">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35.经营支出：指事业单位在专业业务活动及其辅助活动之外开展非独立核算经营活动发生的支出。</w:t>
      </w:r>
    </w:p>
    <w:p w14:paraId="20BDFC29">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FA66526">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485CF5B">
      <w:pPr>
        <w:pStyle w:val="28"/>
        <w:spacing w:line="560" w:lineRule="exact"/>
        <w:ind w:firstLine="640" w:firstLineChars="200"/>
        <w:rPr>
          <w:rFonts w:hint="eastAsia" w:ascii="仿宋_GB2312" w:hAnsi="仿宋_GB2312" w:eastAsia="仿宋_GB2312" w:cs="仿宋_GB2312"/>
          <w:kern w:val="2"/>
          <w:sz w:val="32"/>
          <w:szCs w:val="32"/>
          <w:lang w:val="en-US" w:eastAsia="zh-CN" w:bidi="ar-SA"/>
        </w:rPr>
      </w:pPr>
    </w:p>
    <w:p w14:paraId="3AAE3F62">
      <w:pPr>
        <w:spacing w:line="600" w:lineRule="exact"/>
        <w:jc w:val="left"/>
        <w:outlineLvl w:val="0"/>
        <w:rPr>
          <w:rStyle w:val="30"/>
          <w:rFonts w:hint="eastAsia" w:ascii="黑体" w:hAnsi="黑体" w:eastAsia="黑体" w:cs="黑体"/>
          <w:lang w:val="en-US" w:eastAsia="zh-CN"/>
        </w:rPr>
      </w:pPr>
      <w:bookmarkStart w:id="116" w:name="_Toc15377226"/>
      <w:r>
        <w:rPr>
          <w:rFonts w:hint="eastAsia" w:ascii="仿宋_GB2312" w:hAnsi="仿宋_GB2312" w:eastAsia="仿宋_GB2312" w:cs="仿宋_GB2312"/>
          <w:kern w:val="2"/>
          <w:sz w:val="32"/>
          <w:szCs w:val="32"/>
          <w:lang w:val="en-US" w:eastAsia="zh-CN" w:bidi="ar-SA"/>
        </w:rPr>
        <w:br w:type="page"/>
      </w:r>
      <w:bookmarkStart w:id="117" w:name="_Toc15396614"/>
      <w:bookmarkStart w:id="118" w:name="_Toc22266"/>
      <w:bookmarkStart w:id="119" w:name="_Toc16501"/>
      <w:bookmarkStart w:id="120" w:name="_Toc13720"/>
      <w:r>
        <w:rPr>
          <w:rStyle w:val="30"/>
          <w:rFonts w:hint="eastAsia" w:ascii="黑体" w:hAnsi="黑体" w:eastAsia="黑体" w:cs="黑体"/>
          <w:sz w:val="28"/>
          <w:szCs w:val="28"/>
        </w:rPr>
        <w:t>附件</w:t>
      </w:r>
      <w:r>
        <w:rPr>
          <w:rStyle w:val="30"/>
          <w:rFonts w:hint="eastAsia" w:ascii="黑体" w:hAnsi="黑体" w:eastAsia="黑体" w:cs="黑体"/>
          <w:lang w:val="en-US" w:eastAsia="zh-CN"/>
        </w:rPr>
        <w:t xml:space="preserve">      </w:t>
      </w:r>
    </w:p>
    <w:p w14:paraId="11018117">
      <w:pPr>
        <w:spacing w:line="600" w:lineRule="exact"/>
        <w:ind w:firstLine="3534" w:firstLineChars="800"/>
        <w:jc w:val="left"/>
        <w:outlineLvl w:val="0"/>
        <w:rPr>
          <w:rStyle w:val="30"/>
          <w:rFonts w:hint="eastAsia" w:ascii="黑体" w:hAnsi="黑体" w:eastAsia="黑体" w:cs="黑体"/>
        </w:rPr>
      </w:pPr>
      <w:r>
        <w:rPr>
          <w:rStyle w:val="30"/>
          <w:rFonts w:hint="eastAsia" w:ascii="黑体" w:hAnsi="黑体" w:eastAsia="黑体" w:cs="黑体"/>
        </w:rPr>
        <w:t xml:space="preserve">第四部分 </w:t>
      </w:r>
      <w:bookmarkEnd w:id="117"/>
      <w:bookmarkEnd w:id="118"/>
      <w:bookmarkEnd w:id="119"/>
      <w:bookmarkEnd w:id="120"/>
    </w:p>
    <w:p w14:paraId="02216CE8">
      <w:pPr>
        <w:spacing w:line="600" w:lineRule="exact"/>
        <w:jc w:val="left"/>
        <w:outlineLvl w:val="0"/>
        <w:rPr>
          <w:rStyle w:val="30"/>
          <w:rFonts w:hint="eastAsia" w:ascii="黑体" w:hAnsi="黑体" w:eastAsia="黑体" w:cs="黑体"/>
        </w:rPr>
      </w:pPr>
    </w:p>
    <w:p w14:paraId="28F22C9A">
      <w:pPr>
        <w:spacing w:line="576"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甘孜</w:t>
      </w:r>
      <w:r>
        <w:rPr>
          <w:rFonts w:hint="eastAsia" w:ascii="方正小标宋简体" w:eastAsia="方正小标宋简体"/>
          <w:sz w:val="44"/>
          <w:szCs w:val="44"/>
          <w:lang w:val="en-US" w:eastAsia="zh-CN"/>
        </w:rPr>
        <w:t>藏族自治州</w:t>
      </w:r>
      <w:r>
        <w:rPr>
          <w:rFonts w:hint="eastAsia" w:ascii="方正小标宋简体" w:eastAsia="方正小标宋简体"/>
          <w:sz w:val="44"/>
          <w:szCs w:val="44"/>
          <w:lang w:eastAsia="zh-CN"/>
        </w:rPr>
        <w:t>司法局</w:t>
      </w:r>
    </w:p>
    <w:p w14:paraId="0740B494">
      <w:pPr>
        <w:spacing w:line="576" w:lineRule="exact"/>
        <w:jc w:val="center"/>
        <w:rPr>
          <w:rFonts w:hint="eastAsia" w:ascii="方正仿宋简体" w:eastAsia="方正仿宋简体"/>
          <w:sz w:val="32"/>
          <w:szCs w:val="32"/>
        </w:rPr>
      </w:pPr>
      <w:r>
        <w:rPr>
          <w:rFonts w:hint="eastAsia" w:ascii="方正小标宋简体" w:eastAsia="方正小标宋简体"/>
          <w:sz w:val="44"/>
          <w:szCs w:val="44"/>
          <w:lang w:val="en-US" w:eastAsia="zh-CN"/>
        </w:rPr>
        <w:t>2023年</w:t>
      </w: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r>
        <w:rPr>
          <w:rFonts w:hint="eastAsia" w:ascii="方正仿宋简体" w:eastAsia="方正仿宋简体"/>
          <w:sz w:val="32"/>
          <w:szCs w:val="32"/>
        </w:rPr>
        <w:t xml:space="preserve"> </w:t>
      </w:r>
    </w:p>
    <w:p w14:paraId="52922465">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根据《</w:t>
      </w:r>
      <w:r>
        <w:rPr>
          <w:rFonts w:hint="eastAsia" w:ascii="仿宋_GB2312" w:hAnsi="仿宋_GB2312" w:eastAsia="仿宋_GB2312" w:cs="仿宋_GB2312"/>
          <w:sz w:val="32"/>
          <w:szCs w:val="32"/>
          <w:lang w:val="en-US" w:eastAsia="zh-CN"/>
        </w:rPr>
        <w:t>关于开展2023年度部门绩效自评及绩效评价工作的通知</w:t>
      </w:r>
      <w:r>
        <w:rPr>
          <w:rFonts w:hint="eastAsia" w:ascii="仿宋_GB2312" w:hAnsi="仿宋_GB2312" w:eastAsia="仿宋_GB2312" w:cs="仿宋_GB2312"/>
          <w:sz w:val="32"/>
          <w:szCs w:val="32"/>
        </w:rPr>
        <w:t>》(甘财绩〔20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号)要求，</w:t>
      </w:r>
      <w:r>
        <w:rPr>
          <w:rFonts w:hint="eastAsia" w:ascii="仿宋_GB2312" w:hAnsi="仿宋_GB2312" w:eastAsia="仿宋_GB2312" w:cs="仿宋_GB2312"/>
          <w:sz w:val="32"/>
          <w:szCs w:val="32"/>
          <w:lang w:val="en-US" w:eastAsia="zh-CN"/>
        </w:rPr>
        <w:t>我单位结合工作实际，认真开展了2023年整体支出绩效自评工作，现将有关情况报告如下：</w:t>
      </w:r>
    </w:p>
    <w:p w14:paraId="7628E7A1">
      <w:pPr>
        <w:pStyle w:val="45"/>
        <w:autoSpaceDE w:val="0"/>
        <w:spacing w:line="528" w:lineRule="atLeast"/>
        <w:ind w:firstLine="613"/>
        <w:rPr>
          <w:color w:val="333333"/>
          <w:sz w:val="20"/>
          <w:szCs w:val="20"/>
        </w:rPr>
      </w:pPr>
      <w:r>
        <w:rPr>
          <w:rFonts w:hint="eastAsia" w:ascii="黑体" w:eastAsia="黑体"/>
          <w:color w:val="333333"/>
          <w:sz w:val="30"/>
          <w:szCs w:val="30"/>
        </w:rPr>
        <w:t>一、部门概况</w:t>
      </w:r>
    </w:p>
    <w:p w14:paraId="514A5B2E">
      <w:pPr>
        <w:pStyle w:val="45"/>
        <w:autoSpaceDE w:val="0"/>
        <w:spacing w:line="528" w:lineRule="atLeast"/>
        <w:ind w:firstLine="613"/>
        <w:rPr>
          <w:rFonts w:hint="eastAsia"/>
          <w:color w:val="333333"/>
          <w:sz w:val="20"/>
          <w:szCs w:val="20"/>
        </w:rPr>
      </w:pPr>
      <w:r>
        <w:rPr>
          <w:rStyle w:val="20"/>
          <w:rFonts w:hint="eastAsia" w:ascii="楷体_GB2312" w:eastAsia="楷体_GB2312"/>
          <w:color w:val="333333"/>
          <w:sz w:val="30"/>
          <w:szCs w:val="30"/>
        </w:rPr>
        <w:t>（一）机构组成</w:t>
      </w:r>
    </w:p>
    <w:p w14:paraId="4DB9BCF6">
      <w:pPr>
        <w:pStyle w:val="45"/>
        <w:autoSpaceDE w:val="0"/>
        <w:spacing w:line="528" w:lineRule="atLeas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州司法局属于独立核算单位，是一级预算单位，本单位下辖事业单位2个，内设机构19个科室，无下级预算单位。</w:t>
      </w:r>
    </w:p>
    <w:p w14:paraId="265A5F37">
      <w:pPr>
        <w:pStyle w:val="45"/>
        <w:autoSpaceDE w:val="0"/>
        <w:spacing w:line="528" w:lineRule="atLeast"/>
        <w:ind w:firstLine="613"/>
        <w:rPr>
          <w:rFonts w:hint="eastAsia"/>
          <w:color w:val="333333"/>
          <w:sz w:val="20"/>
          <w:szCs w:val="20"/>
        </w:rPr>
      </w:pPr>
      <w:r>
        <w:rPr>
          <w:rStyle w:val="20"/>
          <w:rFonts w:hint="eastAsia" w:ascii="楷体_GB2312" w:eastAsia="楷体_GB2312"/>
          <w:color w:val="333333"/>
          <w:sz w:val="30"/>
          <w:szCs w:val="30"/>
        </w:rPr>
        <w:t>（二）机构职能</w:t>
      </w:r>
    </w:p>
    <w:p w14:paraId="16D7ACB9">
      <w:pPr>
        <w:pStyle w:val="45"/>
        <w:autoSpaceDE w:val="0"/>
        <w:spacing w:line="528" w:lineRule="atLeast"/>
        <w:ind w:firstLine="613"/>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州司法局负责贯彻落实党中央关于全面依法治国的方针政策和省委、州委的安排部署，在履行职责过程中坚持和加强党对全面依法治国工作的集中统一领导。主要职责是：</w:t>
      </w:r>
    </w:p>
    <w:p w14:paraId="50C1E7BB">
      <w:pPr>
        <w:pStyle w:val="45"/>
        <w:autoSpaceDE w:val="0"/>
        <w:spacing w:line="528" w:lineRule="atLeast"/>
        <w:ind w:firstLine="613"/>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1、</w:t>
      </w:r>
      <w:r>
        <w:rPr>
          <w:rFonts w:hint="default" w:ascii="仿宋_GB2312" w:hAnsi="仿宋_GB2312" w:eastAsia="仿宋_GB2312" w:cs="仿宋_GB2312"/>
          <w:kern w:val="2"/>
          <w:sz w:val="32"/>
          <w:szCs w:val="32"/>
          <w:lang w:val="en-US" w:eastAsia="zh-CN" w:bidi="ar-SA"/>
        </w:rPr>
        <w:t>承担全面依法治省、依法治州重大问题的政策研究，协调有关方面提出全面依法治州规划建议，负责有关重大决策部署督察工作。</w:t>
      </w:r>
    </w:p>
    <w:p w14:paraId="5D6D5ABD">
      <w:pPr>
        <w:pStyle w:val="45"/>
        <w:autoSpaceDE w:val="0"/>
        <w:spacing w:line="528" w:lineRule="atLeast"/>
        <w:ind w:firstLine="613"/>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w:t>
      </w:r>
      <w:r>
        <w:rPr>
          <w:rFonts w:hint="default" w:ascii="仿宋_GB2312" w:hAnsi="仿宋_GB2312" w:eastAsia="仿宋_GB2312" w:cs="仿宋_GB2312"/>
          <w:kern w:val="2"/>
          <w:sz w:val="32"/>
          <w:szCs w:val="32"/>
          <w:lang w:val="en-US" w:eastAsia="zh-CN" w:bidi="ar-SA"/>
        </w:rPr>
        <w:t>承担协调规划立法工作的责任。协调有关方面提出立法规划和年度立法工作计划的建议，负责跟踪了解各部门对立法工作计划的落实情况，加强组织实施和督促指导，研究提出立法与改革决策相衔接的意见、措施；负责面向社会征集地方性法规、规章制定项目建议。</w:t>
      </w:r>
    </w:p>
    <w:p w14:paraId="7E807F0C">
      <w:pPr>
        <w:pStyle w:val="45"/>
        <w:autoSpaceDE w:val="0"/>
        <w:spacing w:line="528" w:lineRule="atLeast"/>
        <w:ind w:firstLine="613"/>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3、</w:t>
      </w:r>
      <w:r>
        <w:rPr>
          <w:rFonts w:hint="default" w:ascii="仿宋_GB2312" w:hAnsi="仿宋_GB2312" w:eastAsia="仿宋_GB2312" w:cs="仿宋_GB2312"/>
          <w:kern w:val="2"/>
          <w:sz w:val="32"/>
          <w:szCs w:val="32"/>
          <w:lang w:val="en-US" w:eastAsia="zh-CN" w:bidi="ar-SA"/>
        </w:rPr>
        <w:t>负责协调组织地方性法规、州政府规章草案起草工作。负责州政府各部门报送州政府的地方性法规、规章草案的审查工作；负责立法协调。</w:t>
      </w:r>
    </w:p>
    <w:p w14:paraId="6FD6906A">
      <w:pPr>
        <w:pStyle w:val="45"/>
        <w:autoSpaceDE w:val="0"/>
        <w:spacing w:line="528" w:lineRule="atLeast"/>
        <w:ind w:firstLine="613"/>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4、</w:t>
      </w:r>
      <w:r>
        <w:rPr>
          <w:rFonts w:hint="default" w:ascii="仿宋_GB2312" w:hAnsi="仿宋_GB2312" w:eastAsia="仿宋_GB2312" w:cs="仿宋_GB2312"/>
          <w:kern w:val="2"/>
          <w:sz w:val="32"/>
          <w:szCs w:val="32"/>
          <w:lang w:val="en-US" w:eastAsia="zh-CN" w:bidi="ar-SA"/>
        </w:rPr>
        <w:t>承担州政府规章的解释、立法后评估工作。负责协调各县（市）、各部门实施法律、法规、规章中的有关争议和问题；承办州政府规章的清理、编纂、翻译工作；承办州政府规章报送备案工作。</w:t>
      </w:r>
    </w:p>
    <w:p w14:paraId="4B5764C3">
      <w:pPr>
        <w:pStyle w:val="45"/>
        <w:autoSpaceDE w:val="0"/>
        <w:spacing w:line="528" w:lineRule="atLeast"/>
        <w:ind w:firstLine="613"/>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5、</w:t>
      </w:r>
      <w:r>
        <w:rPr>
          <w:rFonts w:hint="default" w:ascii="仿宋_GB2312" w:hAnsi="仿宋_GB2312" w:eastAsia="仿宋_GB2312" w:cs="仿宋_GB2312"/>
          <w:kern w:val="2"/>
          <w:sz w:val="32"/>
          <w:szCs w:val="32"/>
          <w:lang w:val="en-US" w:eastAsia="zh-CN" w:bidi="ar-SA"/>
        </w:rPr>
        <w:t>负责州政府规范性文件、重大行政决策发布前的合法性审查。承办州政府规范性文件的报送备案工作；负责各县（市）政府和州政府各部门规范性文件的备案审查工作；组织开展规范性文件清理。</w:t>
      </w:r>
    </w:p>
    <w:p w14:paraId="796625DE">
      <w:pPr>
        <w:pStyle w:val="45"/>
        <w:autoSpaceDE w:val="0"/>
        <w:spacing w:line="528" w:lineRule="atLeast"/>
        <w:ind w:firstLine="613"/>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6、</w:t>
      </w:r>
      <w:r>
        <w:rPr>
          <w:rFonts w:hint="default" w:ascii="仿宋_GB2312" w:hAnsi="仿宋_GB2312" w:eastAsia="仿宋_GB2312" w:cs="仿宋_GB2312"/>
          <w:kern w:val="2"/>
          <w:sz w:val="32"/>
          <w:szCs w:val="32"/>
          <w:lang w:val="en-US" w:eastAsia="zh-CN" w:bidi="ar-SA"/>
        </w:rPr>
        <w:t>承担统筹推进法治政府建设的责任。指导监督州政府各部门、各县（市）政府依法行政工作；负责综合协调、监督检查行政执法，承担推进行政执法体制改革有关工作，推进严格规范公正文明执法；指导监督全州行政复议、行政应诉和行政赔偿工作，承办向州政府申请的行政复议、行政赔偿案件，代理州政府行政应诉案件。</w:t>
      </w:r>
    </w:p>
    <w:p w14:paraId="5EB11E95">
      <w:pPr>
        <w:pStyle w:val="45"/>
        <w:autoSpaceDE w:val="0"/>
        <w:spacing w:line="528" w:lineRule="atLeast"/>
        <w:ind w:firstLine="613"/>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 xml:space="preserve">  7、</w:t>
      </w:r>
      <w:r>
        <w:rPr>
          <w:rFonts w:hint="default" w:ascii="仿宋_GB2312" w:hAnsi="仿宋_GB2312" w:eastAsia="仿宋_GB2312" w:cs="仿宋_GB2312"/>
          <w:kern w:val="2"/>
          <w:sz w:val="32"/>
          <w:szCs w:val="32"/>
          <w:lang w:val="en-US" w:eastAsia="zh-CN" w:bidi="ar-SA"/>
        </w:rPr>
        <w:t>承担统筹规划法治社会建设的责任。负责拟订法治宣传教育规划并组织实施，组织对外法治宣传；指导有关部门开展专项法律宣传普及，做好职责范围内的法治宣传工作；指导依法治理和法治创建工作；推动人民参与和促进法治建设；推进司法所规范化建设；指导行政调解和人民调解工作；负责并指导人民监督员的选任管理工作；指导人民陪审员选</w:t>
      </w:r>
      <w:r>
        <w:rPr>
          <w:rFonts w:hint="default" w:ascii="仿宋_GB2312" w:hAnsi="仿宋_GB2312" w:eastAsia="仿宋_GB2312" w:cs="仿宋_GB2312"/>
          <w:kern w:val="2"/>
          <w:sz w:val="32"/>
          <w:szCs w:val="32"/>
          <w:highlight w:val="none"/>
          <w:lang w:val="en-US" w:eastAsia="zh-CN" w:bidi="ar-SA"/>
        </w:rPr>
        <w:t>任工作。</w:t>
      </w:r>
    </w:p>
    <w:p w14:paraId="736AEDA9">
      <w:pPr>
        <w:pStyle w:val="45"/>
        <w:autoSpaceDE w:val="0"/>
        <w:spacing w:line="528" w:lineRule="atLeast"/>
        <w:ind w:firstLine="613"/>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 8、</w:t>
      </w:r>
      <w:r>
        <w:rPr>
          <w:rFonts w:hint="default" w:ascii="仿宋_GB2312" w:hAnsi="仿宋_GB2312" w:eastAsia="仿宋_GB2312" w:cs="仿宋_GB2312"/>
          <w:kern w:val="2"/>
          <w:sz w:val="32"/>
          <w:szCs w:val="32"/>
          <w:highlight w:val="none"/>
          <w:lang w:val="en-US" w:eastAsia="zh-CN" w:bidi="ar-SA"/>
        </w:rPr>
        <w:t>指导辖区内监狱党的建设、党风廉政建设。协助省司法厅做好辖区内监狱管理相关工作；指导管理社区矫正工作；指导刑满释放人员帮教安置工作。</w:t>
      </w:r>
    </w:p>
    <w:p w14:paraId="3576937C">
      <w:pPr>
        <w:pStyle w:val="45"/>
        <w:autoSpaceDE w:val="0"/>
        <w:spacing w:line="528" w:lineRule="atLeast"/>
        <w:ind w:firstLine="613"/>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 9、</w:t>
      </w:r>
      <w:r>
        <w:rPr>
          <w:rFonts w:hint="default" w:ascii="仿宋_GB2312" w:hAnsi="仿宋_GB2312" w:eastAsia="仿宋_GB2312" w:cs="仿宋_GB2312"/>
          <w:kern w:val="2"/>
          <w:sz w:val="32"/>
          <w:szCs w:val="32"/>
          <w:highlight w:val="none"/>
          <w:lang w:val="en-US" w:eastAsia="zh-CN" w:bidi="ar-SA"/>
        </w:rPr>
        <w:t>负责全州司法行政戒毒管理工作。负责司法行政戒毒系统党的建设、党风廉政建设和领导班子建设；监督管理本系统强制隔离戒毒执行和戒毒康复工作；对社区戒毒和社区康复工作提供指导、支持和协助。</w:t>
      </w:r>
    </w:p>
    <w:p w14:paraId="2DA718EA">
      <w:pPr>
        <w:pStyle w:val="45"/>
        <w:autoSpaceDE w:val="0"/>
        <w:spacing w:line="528" w:lineRule="atLeast"/>
        <w:ind w:firstLine="613"/>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 10、</w:t>
      </w:r>
      <w:r>
        <w:rPr>
          <w:rFonts w:hint="default" w:ascii="仿宋_GB2312" w:hAnsi="仿宋_GB2312" w:eastAsia="仿宋_GB2312" w:cs="仿宋_GB2312"/>
          <w:kern w:val="2"/>
          <w:sz w:val="32"/>
          <w:szCs w:val="32"/>
          <w:highlight w:val="none"/>
          <w:lang w:val="en-US" w:eastAsia="zh-CN" w:bidi="ar-SA"/>
        </w:rPr>
        <w:t>负责拟订全州公共法律服务体系建设规划并指导实施，统筹和布局全州法律服务资源。统筹指导、监督管理律师、法律援助、司法鉴定、公证、仲裁和基层法律服务工作。</w:t>
      </w:r>
    </w:p>
    <w:p w14:paraId="714D3BCB">
      <w:pPr>
        <w:pStyle w:val="45"/>
        <w:autoSpaceDE w:val="0"/>
        <w:spacing w:line="528" w:lineRule="atLeast"/>
        <w:ind w:firstLine="613"/>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  11、</w:t>
      </w:r>
      <w:r>
        <w:rPr>
          <w:rFonts w:hint="default" w:ascii="仿宋_GB2312" w:hAnsi="仿宋_GB2312" w:eastAsia="仿宋_GB2312" w:cs="仿宋_GB2312"/>
          <w:kern w:val="2"/>
          <w:sz w:val="32"/>
          <w:szCs w:val="32"/>
          <w:highlight w:val="none"/>
          <w:lang w:val="en-US" w:eastAsia="zh-CN" w:bidi="ar-SA"/>
        </w:rPr>
        <w:t>负责全州国家统一法律职业资格考试的组织实施工作。负责全州国家统一法律职业资格管理工作；负责规划和指导法律职业人员入职前培训工作。</w:t>
      </w:r>
    </w:p>
    <w:p w14:paraId="42D30A8D">
      <w:pPr>
        <w:pStyle w:val="45"/>
        <w:autoSpaceDE w:val="0"/>
        <w:spacing w:line="528" w:lineRule="atLeast"/>
        <w:ind w:firstLine="613"/>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  12、</w:t>
      </w:r>
      <w:r>
        <w:rPr>
          <w:rFonts w:hint="default" w:ascii="仿宋_GB2312" w:hAnsi="仿宋_GB2312" w:eastAsia="仿宋_GB2312" w:cs="仿宋_GB2312"/>
          <w:kern w:val="2"/>
          <w:sz w:val="32"/>
          <w:szCs w:val="32"/>
          <w:highlight w:val="none"/>
          <w:lang w:val="en-US" w:eastAsia="zh-CN" w:bidi="ar-SA"/>
        </w:rPr>
        <w:t>负责本系统执法执勤车辆等装备管理工作。指导监督本系统及戒毒所财务、装备、设施、场所等保障工作。</w:t>
      </w:r>
    </w:p>
    <w:p w14:paraId="6DC721E5">
      <w:pPr>
        <w:pStyle w:val="45"/>
        <w:autoSpaceDE w:val="0"/>
        <w:spacing w:line="528" w:lineRule="atLeast"/>
        <w:ind w:firstLine="613"/>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  13、</w:t>
      </w:r>
      <w:r>
        <w:rPr>
          <w:rFonts w:hint="default" w:ascii="仿宋_GB2312" w:hAnsi="仿宋_GB2312" w:eastAsia="仿宋_GB2312" w:cs="仿宋_GB2312"/>
          <w:kern w:val="2"/>
          <w:sz w:val="32"/>
          <w:szCs w:val="32"/>
          <w:highlight w:val="none"/>
          <w:lang w:val="en-US" w:eastAsia="zh-CN" w:bidi="ar-SA"/>
        </w:rPr>
        <w:t>规划、协调、指导法治人才队伍建设相关工作，指导监督本系统队伍建设。负责全州警务管理和警务督察工作；协助县（市）管理司法局领导干部。</w:t>
      </w:r>
    </w:p>
    <w:p w14:paraId="5BDCD864">
      <w:pPr>
        <w:pStyle w:val="45"/>
        <w:autoSpaceDE w:val="0"/>
        <w:spacing w:line="528" w:lineRule="atLeast"/>
        <w:ind w:firstLine="613"/>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  14、</w:t>
      </w:r>
      <w:r>
        <w:rPr>
          <w:rFonts w:hint="default" w:ascii="仿宋_GB2312" w:hAnsi="仿宋_GB2312" w:eastAsia="仿宋_GB2312" w:cs="仿宋_GB2312"/>
          <w:kern w:val="2"/>
          <w:sz w:val="32"/>
          <w:szCs w:val="32"/>
          <w:highlight w:val="none"/>
          <w:lang w:val="en-US" w:eastAsia="zh-CN" w:bidi="ar-SA"/>
        </w:rPr>
        <w:t>负责全州外来企业投诉处理和民营企业法律服务工作，并指导本系统行政审批工作。</w:t>
      </w:r>
    </w:p>
    <w:p w14:paraId="28A50681">
      <w:pPr>
        <w:pStyle w:val="45"/>
        <w:autoSpaceDE w:val="0"/>
        <w:spacing w:line="528" w:lineRule="atLeast"/>
        <w:ind w:firstLine="613"/>
        <w:rPr>
          <w:rFonts w:hint="default" w:ascii="仿宋_GB2312" w:hAnsi="宋体" w:eastAsia="仿宋_GB2312" w:cs="宋体"/>
          <w:color w:val="333333"/>
          <w:kern w:val="0"/>
          <w:sz w:val="30"/>
          <w:szCs w:val="30"/>
          <w:highlight w:val="none"/>
          <w:lang w:val="en-US" w:eastAsia="zh-CN"/>
        </w:rPr>
      </w:pPr>
      <w:r>
        <w:rPr>
          <w:rFonts w:hint="eastAsia" w:ascii="仿宋_GB2312" w:hAnsi="仿宋_GB2312" w:eastAsia="仿宋_GB2312" w:cs="仿宋_GB2312"/>
          <w:kern w:val="2"/>
          <w:sz w:val="32"/>
          <w:szCs w:val="32"/>
          <w:highlight w:val="none"/>
          <w:lang w:val="en-US" w:eastAsia="zh-CN" w:bidi="ar-SA"/>
        </w:rPr>
        <w:t xml:space="preserve">  15、</w:t>
      </w:r>
      <w:r>
        <w:rPr>
          <w:rFonts w:hint="default" w:ascii="仿宋_GB2312" w:hAnsi="仿宋_GB2312" w:eastAsia="仿宋_GB2312" w:cs="仿宋_GB2312"/>
          <w:kern w:val="2"/>
          <w:sz w:val="32"/>
          <w:szCs w:val="32"/>
          <w:highlight w:val="none"/>
          <w:lang w:val="en-US" w:eastAsia="zh-CN" w:bidi="ar-SA"/>
        </w:rPr>
        <w:t>完成州委、州政府交办的其他任务。</w:t>
      </w:r>
    </w:p>
    <w:p w14:paraId="597EB90A">
      <w:pPr>
        <w:widowControl/>
        <w:spacing w:line="513" w:lineRule="atLeast"/>
        <w:ind w:firstLine="602" w:firstLineChars="200"/>
        <w:jc w:val="left"/>
        <w:rPr>
          <w:rFonts w:hint="eastAsia"/>
          <w:color w:val="333333"/>
          <w:sz w:val="20"/>
          <w:szCs w:val="20"/>
          <w:highlight w:val="none"/>
        </w:rPr>
      </w:pPr>
      <w:r>
        <w:rPr>
          <w:rStyle w:val="20"/>
          <w:rFonts w:hint="eastAsia" w:ascii="楷体_GB2312" w:eastAsia="楷体_GB2312"/>
          <w:color w:val="333333"/>
          <w:sz w:val="30"/>
          <w:szCs w:val="30"/>
          <w:highlight w:val="none"/>
        </w:rPr>
        <w:t>（三）人员概况</w:t>
      </w:r>
    </w:p>
    <w:p w14:paraId="1BE43097">
      <w:pPr>
        <w:snapToGrid w:val="0"/>
        <w:spacing w:line="520" w:lineRule="exact"/>
        <w:ind w:firstLine="640" w:firstLineChars="200"/>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人员编制：</w:t>
      </w:r>
      <w:r>
        <w:rPr>
          <w:rFonts w:hint="eastAsia" w:ascii="仿宋_GB2312" w:hAnsi="仿宋_GB2312" w:eastAsia="仿宋_GB2312" w:cs="仿宋_GB2312"/>
          <w:kern w:val="2"/>
          <w:sz w:val="32"/>
          <w:szCs w:val="32"/>
          <w:highlight w:val="none"/>
          <w:lang w:val="en-US" w:eastAsia="zh-CN" w:bidi="ar-SA"/>
        </w:rPr>
        <w:t>2023年,</w:t>
      </w:r>
      <w:r>
        <w:rPr>
          <w:rFonts w:hint="default" w:ascii="仿宋_GB2312" w:hAnsi="仿宋_GB2312" w:eastAsia="仿宋_GB2312" w:cs="仿宋_GB2312"/>
          <w:kern w:val="2"/>
          <w:sz w:val="32"/>
          <w:szCs w:val="32"/>
          <w:highlight w:val="none"/>
          <w:lang w:val="en-US" w:eastAsia="zh-CN" w:bidi="ar-SA"/>
        </w:rPr>
        <w:t>全局有</w:t>
      </w:r>
      <w:r>
        <w:rPr>
          <w:rFonts w:hint="eastAsia" w:ascii="仿宋_GB2312" w:hAnsi="仿宋_GB2312" w:eastAsia="仿宋_GB2312" w:cs="仿宋_GB2312"/>
          <w:kern w:val="2"/>
          <w:sz w:val="32"/>
          <w:szCs w:val="32"/>
          <w:highlight w:val="none"/>
          <w:lang w:val="en-US" w:eastAsia="zh-CN" w:bidi="ar-SA"/>
        </w:rPr>
        <w:t>行政编制47</w:t>
      </w:r>
      <w:r>
        <w:rPr>
          <w:rFonts w:hint="default" w:ascii="仿宋_GB2312" w:hAnsi="仿宋_GB2312" w:eastAsia="仿宋_GB2312" w:cs="仿宋_GB2312"/>
          <w:kern w:val="2"/>
          <w:sz w:val="32"/>
          <w:szCs w:val="32"/>
          <w:highlight w:val="none"/>
          <w:lang w:val="en-US" w:eastAsia="zh-CN" w:bidi="ar-SA"/>
        </w:rPr>
        <w:t>名，在编4</w:t>
      </w:r>
      <w:r>
        <w:rPr>
          <w:rFonts w:hint="eastAsia" w:ascii="仿宋_GB2312" w:hAnsi="仿宋_GB2312" w:eastAsia="仿宋_GB2312" w:cs="仿宋_GB2312"/>
          <w:kern w:val="2"/>
          <w:sz w:val="32"/>
          <w:szCs w:val="32"/>
          <w:highlight w:val="none"/>
          <w:lang w:val="en-US" w:eastAsia="zh-CN" w:bidi="ar-SA"/>
        </w:rPr>
        <w:t>3</w:t>
      </w:r>
      <w:r>
        <w:rPr>
          <w:rFonts w:hint="default" w:ascii="仿宋_GB2312" w:hAnsi="仿宋_GB2312" w:eastAsia="仿宋_GB2312" w:cs="仿宋_GB2312"/>
          <w:kern w:val="2"/>
          <w:sz w:val="32"/>
          <w:szCs w:val="32"/>
          <w:highlight w:val="none"/>
          <w:lang w:val="en-US" w:eastAsia="zh-CN" w:bidi="ar-SA"/>
        </w:rPr>
        <w:t>人；</w:t>
      </w:r>
      <w:r>
        <w:rPr>
          <w:rFonts w:hint="eastAsia" w:ascii="仿宋_GB2312" w:hAnsi="仿宋_GB2312" w:eastAsia="仿宋_GB2312" w:cs="仿宋_GB2312"/>
          <w:kern w:val="2"/>
          <w:sz w:val="32"/>
          <w:szCs w:val="32"/>
          <w:highlight w:val="none"/>
          <w:lang w:val="en-US" w:eastAsia="zh-CN" w:bidi="ar-SA"/>
        </w:rPr>
        <w:t>事业编制6名（律师事务所事业3个、公证处事业3个）</w:t>
      </w:r>
      <w:r>
        <w:rPr>
          <w:rFonts w:hint="default" w:ascii="仿宋_GB2312" w:hAnsi="仿宋_GB2312" w:eastAsia="仿宋_GB2312" w:cs="仿宋_GB2312"/>
          <w:kern w:val="2"/>
          <w:sz w:val="32"/>
          <w:szCs w:val="32"/>
          <w:highlight w:val="none"/>
          <w:lang w:val="en-US" w:eastAsia="zh-CN" w:bidi="ar-SA"/>
        </w:rPr>
        <w:t>，在编</w:t>
      </w:r>
      <w:r>
        <w:rPr>
          <w:rFonts w:hint="eastAsia" w:ascii="仿宋_GB2312" w:hAnsi="仿宋_GB2312" w:eastAsia="仿宋_GB2312" w:cs="仿宋_GB2312"/>
          <w:kern w:val="2"/>
          <w:sz w:val="32"/>
          <w:szCs w:val="32"/>
          <w:highlight w:val="none"/>
          <w:lang w:val="en-US" w:eastAsia="zh-CN" w:bidi="ar-SA"/>
        </w:rPr>
        <w:t>3</w:t>
      </w:r>
      <w:r>
        <w:rPr>
          <w:rFonts w:hint="default" w:ascii="仿宋_GB2312" w:hAnsi="仿宋_GB2312" w:eastAsia="仿宋_GB2312" w:cs="仿宋_GB2312"/>
          <w:kern w:val="2"/>
          <w:sz w:val="32"/>
          <w:szCs w:val="32"/>
          <w:highlight w:val="none"/>
          <w:lang w:val="en-US" w:eastAsia="zh-CN" w:bidi="ar-SA"/>
        </w:rPr>
        <w:t>人；工勤编制5名，在编</w:t>
      </w:r>
      <w:r>
        <w:rPr>
          <w:rFonts w:hint="eastAsia" w:ascii="仿宋_GB2312" w:hAnsi="仿宋_GB2312" w:eastAsia="仿宋_GB2312" w:cs="仿宋_GB2312"/>
          <w:kern w:val="2"/>
          <w:sz w:val="32"/>
          <w:szCs w:val="32"/>
          <w:highlight w:val="none"/>
          <w:lang w:val="en-US" w:eastAsia="zh-CN" w:bidi="ar-SA"/>
        </w:rPr>
        <w:t>3</w:t>
      </w:r>
      <w:r>
        <w:rPr>
          <w:rFonts w:hint="default" w:ascii="仿宋_GB2312" w:hAnsi="仿宋_GB2312" w:eastAsia="仿宋_GB2312" w:cs="仿宋_GB2312"/>
          <w:kern w:val="2"/>
          <w:sz w:val="32"/>
          <w:szCs w:val="32"/>
          <w:highlight w:val="none"/>
          <w:lang w:val="en-US" w:eastAsia="zh-CN" w:bidi="ar-SA"/>
        </w:rPr>
        <w:t>人。</w:t>
      </w:r>
    </w:p>
    <w:p w14:paraId="74315F24">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highlight w:val="none"/>
          <w:shd w:val="clear" w:color="auto" w:fill="FFFFFF"/>
        </w:rPr>
      </w:pPr>
      <w:r>
        <w:rPr>
          <w:rFonts w:hint="eastAsia" w:ascii="黑体" w:hAnsi="宋体" w:eastAsia="黑体" w:cs="宋体"/>
          <w:color w:val="000000"/>
          <w:kern w:val="0"/>
          <w:sz w:val="32"/>
          <w:szCs w:val="32"/>
          <w:highlight w:val="none"/>
          <w:shd w:val="clear" w:color="auto" w:fill="FFFFFF"/>
        </w:rPr>
        <w:t>二、</w:t>
      </w:r>
      <w:r>
        <w:rPr>
          <w:rFonts w:hint="default" w:eastAsia="黑体" w:cs="Times New Roman"/>
          <w:color w:val="000000"/>
          <w:kern w:val="0"/>
          <w:sz w:val="32"/>
          <w:szCs w:val="32"/>
          <w:highlight w:val="none"/>
          <w:shd w:val="clear" w:color="auto" w:fill="FFFFFF"/>
          <w:lang w:val="zh-CN" w:eastAsia="zh-CN"/>
        </w:rPr>
        <w:t>部门资金收支情况</w:t>
      </w:r>
    </w:p>
    <w:p w14:paraId="15416F8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按照综合预算科学编制、高效利用、厉行节约原则，州司法局所有收入和支出均纳入部门预算管理。</w:t>
      </w:r>
    </w:p>
    <w:p w14:paraId="49834212">
      <w:pPr>
        <w:pStyle w:val="17"/>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楷体_GB2312" w:cs="Times New Roman"/>
          <w:b/>
          <w:bCs/>
          <w:color w:val="000000"/>
          <w:kern w:val="0"/>
          <w:sz w:val="32"/>
          <w:szCs w:val="32"/>
          <w:highlight w:val="none"/>
          <w:shd w:val="clear" w:color="auto" w:fill="FFFFFF"/>
          <w:lang w:val="zh-CN"/>
        </w:rPr>
      </w:pPr>
      <w:r>
        <w:rPr>
          <w:rFonts w:hint="eastAsia" w:ascii="Times New Roman" w:hAnsi="Times New Roman" w:eastAsia="楷体_GB2312" w:cs="Times New Roman"/>
          <w:b/>
          <w:bCs/>
          <w:color w:val="000000"/>
          <w:kern w:val="0"/>
          <w:sz w:val="32"/>
          <w:szCs w:val="32"/>
          <w:highlight w:val="none"/>
          <w:shd w:val="clear" w:color="auto" w:fill="FFFFFF"/>
          <w:lang w:val="zh-CN"/>
        </w:rPr>
        <w:t>收入情况</w:t>
      </w:r>
      <w:r>
        <w:rPr>
          <w:rFonts w:hint="default" w:ascii="Times New Roman" w:hAnsi="Times New Roman" w:eastAsia="楷体_GB2312" w:cs="Times New Roman"/>
          <w:b/>
          <w:bCs/>
          <w:color w:val="000000"/>
          <w:kern w:val="0"/>
          <w:sz w:val="32"/>
          <w:szCs w:val="32"/>
          <w:highlight w:val="none"/>
          <w:shd w:val="clear" w:color="auto" w:fill="FFFFFF"/>
          <w:lang w:val="zh-CN"/>
        </w:rPr>
        <w:t>。</w:t>
      </w:r>
    </w:p>
    <w:p w14:paraId="1F87EC68">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40" w:firstLineChars="20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州司法局2023年一般公共预算拨款收入预算1863.16万元，其中：本级财政拨款1863.16万元，占100%；上级财政拨款0万元，占0%；上年结转0万元，占0%；;无政府性基金预算财政拨款收入;无国有资本经营预算财政拨款收入;无事业收入;无经营收入;无附属单位上缴收入;无其他收入。</w:t>
      </w:r>
    </w:p>
    <w:p w14:paraId="0A078556">
      <w:pPr>
        <w:pStyle w:val="17"/>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firstLine="640" w:firstLineChars="0"/>
        <w:jc w:val="both"/>
        <w:rPr>
          <w:rFonts w:hint="default" w:ascii="Times New Roman" w:hAnsi="Times New Roman" w:eastAsia="楷体_GB2312" w:cs="Times New Roman"/>
          <w:b/>
          <w:bCs/>
          <w:color w:val="000000"/>
          <w:kern w:val="0"/>
          <w:sz w:val="32"/>
          <w:szCs w:val="32"/>
          <w:highlight w:val="none"/>
          <w:shd w:val="clear" w:color="auto" w:fill="FFFFFF"/>
          <w:lang w:val="zh-CN"/>
        </w:rPr>
      </w:pPr>
      <w:r>
        <w:rPr>
          <w:rFonts w:hint="eastAsia" w:ascii="Times New Roman" w:hAnsi="Times New Roman" w:eastAsia="楷体_GB2312" w:cs="Times New Roman"/>
          <w:b/>
          <w:bCs/>
          <w:color w:val="000000"/>
          <w:kern w:val="0"/>
          <w:sz w:val="32"/>
          <w:szCs w:val="32"/>
          <w:highlight w:val="none"/>
          <w:shd w:val="clear" w:color="auto" w:fill="FFFFFF"/>
          <w:lang w:val="zh-CN"/>
        </w:rPr>
        <w:t>支出情况</w:t>
      </w:r>
      <w:r>
        <w:rPr>
          <w:rFonts w:hint="default" w:ascii="Times New Roman" w:hAnsi="Times New Roman" w:eastAsia="楷体_GB2312" w:cs="Times New Roman"/>
          <w:b/>
          <w:bCs/>
          <w:color w:val="000000"/>
          <w:kern w:val="0"/>
          <w:sz w:val="32"/>
          <w:szCs w:val="32"/>
          <w:highlight w:val="none"/>
          <w:shd w:val="clear" w:color="auto" w:fill="FFFFFF"/>
          <w:lang w:val="zh-CN"/>
        </w:rPr>
        <w:t>。</w:t>
      </w:r>
    </w:p>
    <w:p w14:paraId="557519BE">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40" w:firstLineChars="20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州司法局2023年收入财政拨款收入1863.16万元，支出预算1863.16万元，其中：基本支出1417.68万元，占76.1%；项目支出445.48万元，占23.9%。</w:t>
      </w:r>
    </w:p>
    <w:p w14:paraId="0AB80E7D">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43" w:firstLineChars="200"/>
        <w:jc w:val="both"/>
        <w:rPr>
          <w:rFonts w:hint="eastAsia" w:ascii="仿宋_GB2312" w:hAnsi="仿宋_GB2312" w:eastAsia="仿宋_GB2312" w:cs="仿宋_GB2312"/>
          <w:kern w:val="2"/>
          <w:sz w:val="32"/>
          <w:szCs w:val="32"/>
          <w:highlight w:val="none"/>
          <w:lang w:val="en-US"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）结余分配和结转结余情况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p>
    <w:p w14:paraId="52FC4529">
      <w:pPr>
        <w:ind w:firstLine="640" w:firstLineChars="200"/>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2023年结转项目主要包括全覆盖法宣补助项目及政法转移资金。</w:t>
      </w:r>
    </w:p>
    <w:p w14:paraId="28820131">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eastAsia="黑体" w:cs="Times New Roman"/>
          <w:color w:val="000000"/>
          <w:kern w:val="0"/>
          <w:sz w:val="32"/>
          <w:szCs w:val="32"/>
          <w:highlight w:val="none"/>
          <w:shd w:val="clear" w:color="auto" w:fill="FFFFFF"/>
          <w:lang w:val="zh-CN" w:eastAsia="zh-CN"/>
        </w:rPr>
      </w:pPr>
      <w:r>
        <w:rPr>
          <w:rFonts w:hint="eastAsia" w:ascii="黑体" w:hAnsi="宋体" w:eastAsia="黑体" w:cs="宋体"/>
          <w:color w:val="000000"/>
          <w:kern w:val="0"/>
          <w:sz w:val="32"/>
          <w:szCs w:val="32"/>
          <w:highlight w:val="none"/>
          <w:shd w:val="clear" w:color="auto" w:fill="FFFFFF"/>
        </w:rPr>
        <w:t>三、</w:t>
      </w:r>
      <w:r>
        <w:rPr>
          <w:rFonts w:hint="default" w:eastAsia="黑体" w:cs="Times New Roman"/>
          <w:color w:val="000000"/>
          <w:kern w:val="0"/>
          <w:sz w:val="32"/>
          <w:szCs w:val="32"/>
          <w:highlight w:val="none"/>
          <w:shd w:val="clear" w:color="auto" w:fill="FFFFFF"/>
          <w:lang w:val="zh-CN" w:eastAsia="zh-CN"/>
        </w:rPr>
        <w:t>部门预算绩效分析</w:t>
      </w:r>
    </w:p>
    <w:p w14:paraId="5CFCE547">
      <w:pPr>
        <w:ind w:firstLine="320" w:firstLineChars="100"/>
        <w:rPr>
          <w:rFonts w:ascii="黑体" w:hAnsi="宋体" w:eastAsia="黑体" w:cs="宋体"/>
          <w:color w:val="000000"/>
          <w:kern w:val="0"/>
          <w:sz w:val="32"/>
          <w:szCs w:val="32"/>
          <w:highlight w:val="none"/>
          <w:shd w:val="clear" w:color="auto" w:fill="FFFFFF"/>
        </w:rPr>
      </w:pPr>
    </w:p>
    <w:p w14:paraId="3467DD98">
      <w:pPr>
        <w:pStyle w:val="17"/>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楷体_GB2312" w:cs="Times New Roman"/>
          <w:b/>
          <w:bCs/>
          <w:color w:val="000000"/>
          <w:kern w:val="0"/>
          <w:sz w:val="32"/>
          <w:szCs w:val="32"/>
          <w:highlight w:val="none"/>
          <w:shd w:val="clear" w:color="auto" w:fill="FFFFFF"/>
          <w:lang w:val="zh-CN"/>
        </w:rPr>
      </w:pPr>
      <w:r>
        <w:rPr>
          <w:rFonts w:hint="eastAsia" w:ascii="Times New Roman" w:hAnsi="Times New Roman" w:eastAsia="楷体_GB2312" w:cs="Times New Roman"/>
          <w:b/>
          <w:bCs/>
          <w:color w:val="000000"/>
          <w:kern w:val="0"/>
          <w:sz w:val="32"/>
          <w:szCs w:val="32"/>
          <w:highlight w:val="none"/>
          <w:shd w:val="clear" w:color="auto" w:fill="FFFFFF"/>
          <w:lang w:val="zh-CN"/>
        </w:rPr>
        <w:t>部门预算</w:t>
      </w:r>
      <w:r>
        <w:rPr>
          <w:rFonts w:hint="default" w:ascii="Times New Roman" w:hAnsi="Times New Roman" w:eastAsia="楷体_GB2312" w:cs="Times New Roman"/>
          <w:b/>
          <w:bCs/>
          <w:color w:val="000000"/>
          <w:kern w:val="0"/>
          <w:sz w:val="32"/>
          <w:szCs w:val="32"/>
          <w:highlight w:val="none"/>
          <w:shd w:val="clear" w:color="auto" w:fill="FFFFFF"/>
          <w:lang w:val="zh-CN"/>
        </w:rPr>
        <w:t>总体绩效分析。</w:t>
      </w:r>
    </w:p>
    <w:p w14:paraId="5F13FCE1">
      <w:pPr>
        <w:spacing w:before="197" w:line="222" w:lineRule="auto"/>
        <w:ind w:left="665"/>
        <w:rPr>
          <w:rFonts w:hint="default" w:ascii="Times New Roman" w:hAnsi="Times New Roman" w:eastAsia="楷体_GB2312" w:cs="Times New Roman"/>
          <w:b/>
          <w:bCs/>
          <w:color w:val="000000"/>
          <w:kern w:val="0"/>
          <w:sz w:val="32"/>
          <w:szCs w:val="32"/>
          <w:highlight w:val="none"/>
          <w:shd w:val="clear" w:color="auto" w:fill="FFFFFF"/>
          <w:lang w:val="zh-CN"/>
        </w:rPr>
      </w:pPr>
      <w:r>
        <w:rPr>
          <w:rFonts w:ascii="仿宋" w:hAnsi="仿宋" w:eastAsia="仿宋" w:cs="仿宋"/>
          <w:spacing w:val="2"/>
          <w:sz w:val="31"/>
          <w:szCs w:val="31"/>
        </w:rPr>
        <w:t>1.履职效能</w:t>
      </w:r>
    </w:p>
    <w:p w14:paraId="62155763">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40" w:firstLineChars="20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甘孜州司法局按照国家政策法规、单位职责和中长期实施规划，结合中心工作、重点任务认真制定了</w:t>
      </w:r>
      <w:r>
        <w:rPr>
          <w:rFonts w:hint="default" w:ascii="仿宋_GB2312" w:hAnsi="仿宋_GB2312" w:eastAsia="仿宋_GB2312" w:cs="仿宋_GB2312"/>
          <w:kern w:val="2"/>
          <w:sz w:val="32"/>
          <w:szCs w:val="32"/>
          <w:highlight w:val="none"/>
          <w:lang w:val="en-US" w:eastAsia="zh-CN" w:bidi="ar-SA"/>
        </w:rPr>
        <w:t>202</w:t>
      </w:r>
      <w:r>
        <w:rPr>
          <w:rFonts w:hint="eastAsia" w:ascii="仿宋_GB2312" w:hAnsi="仿宋_GB2312" w:eastAsia="仿宋_GB2312" w:cs="仿宋_GB2312"/>
          <w:kern w:val="2"/>
          <w:sz w:val="32"/>
          <w:szCs w:val="32"/>
          <w:highlight w:val="none"/>
          <w:lang w:val="en-US" w:eastAsia="zh-CN" w:bidi="ar-SA"/>
        </w:rPr>
        <w:t>3年目标，并将任务分解至各科室。目标任务明确，全面反映了部门目标任务完成和预期效益情况，符合客观实际，合理可行。</w:t>
      </w:r>
    </w:p>
    <w:p w14:paraId="4A211250">
      <w:pPr>
        <w:spacing w:before="100" w:line="222" w:lineRule="auto"/>
        <w:ind w:left="777"/>
        <w:rPr>
          <w:rFonts w:ascii="仿宋" w:hAnsi="仿宋" w:eastAsia="仿宋" w:cs="仿宋"/>
          <w:sz w:val="31"/>
          <w:szCs w:val="31"/>
        </w:rPr>
      </w:pPr>
      <w:r>
        <w:rPr>
          <w:rFonts w:ascii="仿宋" w:hAnsi="仿宋" w:eastAsia="仿宋" w:cs="仿宋"/>
          <w:spacing w:val="3"/>
          <w:sz w:val="31"/>
          <w:szCs w:val="31"/>
        </w:rPr>
        <w:t>2.预算管理</w:t>
      </w:r>
    </w:p>
    <w:p w14:paraId="4049B0A6">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40" w:firstLineChars="20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甘孜藏族自治州司法局预算编制科学准确、单位收入统筹有序、支出执行进度准确、预算年终无结余、严格控制一般性支出，完成率达100%；2023年单位收入主要是财政拨款收入，无其他资金收入。</w:t>
      </w:r>
    </w:p>
    <w:p w14:paraId="71B9A163">
      <w:pPr>
        <w:pStyle w:val="17"/>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32" w:firstLineChars="200"/>
        <w:jc w:val="both"/>
        <w:rPr>
          <w:rFonts w:hint="eastAsia" w:ascii="仿宋" w:hAnsi="仿宋" w:eastAsia="仿宋" w:cs="仿宋"/>
          <w:spacing w:val="3"/>
          <w:kern w:val="2"/>
          <w:sz w:val="31"/>
          <w:szCs w:val="31"/>
          <w:lang w:val="zh-CN" w:eastAsia="zh-CN" w:bidi="ar-SA"/>
        </w:rPr>
      </w:pPr>
      <w:r>
        <w:rPr>
          <w:rFonts w:hint="default" w:ascii="仿宋" w:hAnsi="仿宋" w:eastAsia="仿宋" w:cs="仿宋"/>
          <w:spacing w:val="3"/>
          <w:kern w:val="2"/>
          <w:sz w:val="31"/>
          <w:szCs w:val="31"/>
          <w:lang w:val="zh-CN" w:eastAsia="zh-CN" w:bidi="ar-SA"/>
        </w:rPr>
        <w:t>财务管理</w:t>
      </w:r>
      <w:r>
        <w:rPr>
          <w:rFonts w:hint="eastAsia" w:ascii="仿宋" w:hAnsi="仿宋" w:eastAsia="仿宋" w:cs="仿宋"/>
          <w:spacing w:val="3"/>
          <w:kern w:val="2"/>
          <w:sz w:val="31"/>
          <w:szCs w:val="31"/>
          <w:lang w:val="zh-CN" w:eastAsia="zh-CN" w:bidi="ar-SA"/>
        </w:rPr>
        <w:t>。</w:t>
      </w:r>
    </w:p>
    <w:p w14:paraId="3A4B398B">
      <w:pPr>
        <w:spacing w:before="230" w:line="330" w:lineRule="auto"/>
        <w:ind w:left="3" w:right="83" w:firstLine="632"/>
        <w:rPr>
          <w:rFonts w:ascii="仿宋" w:hAnsi="仿宋" w:eastAsia="仿宋" w:cs="仿宋"/>
          <w:spacing w:val="7"/>
          <w:sz w:val="31"/>
          <w:szCs w:val="31"/>
        </w:rPr>
      </w:pPr>
      <w:r>
        <w:rPr>
          <w:rFonts w:hint="eastAsia" w:ascii="仿宋_GB2312" w:hAnsi="Times New Roman" w:eastAsia="仿宋_GB2312" w:cs="Times New Roman"/>
          <w:spacing w:val="19"/>
          <w:kern w:val="0"/>
          <w:sz w:val="33"/>
          <w:szCs w:val="33"/>
          <w:lang w:val="en-US" w:eastAsia="zh-CN" w:bidi="ar-SA"/>
        </w:rPr>
        <w:t>我局</w:t>
      </w:r>
      <w:r>
        <w:rPr>
          <w:rFonts w:ascii="仿宋_GB2312" w:hAnsi="Times New Roman" w:eastAsia="仿宋_GB2312" w:cs="Times New Roman"/>
          <w:spacing w:val="19"/>
          <w:kern w:val="0"/>
          <w:sz w:val="33"/>
          <w:szCs w:val="33"/>
          <w:lang w:val="en-US" w:eastAsia="zh-CN" w:bidi="ar-SA"/>
        </w:rPr>
        <w:t>先后出台和修订完善了《公务出差管理办法（试行）》《</w:t>
      </w:r>
      <w:r>
        <w:rPr>
          <w:rFonts w:hint="eastAsia" w:ascii="仿宋_GB2312" w:hAnsi="Times New Roman" w:eastAsia="仿宋_GB2312" w:cs="Times New Roman"/>
          <w:spacing w:val="19"/>
          <w:kern w:val="0"/>
          <w:sz w:val="33"/>
          <w:szCs w:val="33"/>
          <w:lang w:val="en-US" w:eastAsia="zh-CN" w:bidi="ar-SA"/>
        </w:rPr>
        <w:t>甘孜藏族自治州司法局</w:t>
      </w:r>
      <w:r>
        <w:rPr>
          <w:rFonts w:ascii="仿宋_GB2312" w:hAnsi="Times New Roman" w:eastAsia="仿宋_GB2312" w:cs="Times New Roman"/>
          <w:spacing w:val="19"/>
          <w:kern w:val="0"/>
          <w:sz w:val="33"/>
          <w:szCs w:val="33"/>
          <w:lang w:val="en-US" w:eastAsia="zh-CN" w:bidi="ar-SA"/>
        </w:rPr>
        <w:t>财务管理办法》《</w:t>
      </w:r>
      <w:r>
        <w:rPr>
          <w:rFonts w:hint="eastAsia" w:ascii="仿宋_GB2312" w:hAnsi="Times New Roman" w:eastAsia="仿宋_GB2312" w:cs="Times New Roman"/>
          <w:spacing w:val="19"/>
          <w:kern w:val="0"/>
          <w:sz w:val="33"/>
          <w:szCs w:val="33"/>
          <w:lang w:val="en-US" w:eastAsia="zh-CN" w:bidi="ar-SA"/>
        </w:rPr>
        <w:t>甘孜藏族自治州司法局</w:t>
      </w:r>
      <w:r>
        <w:rPr>
          <w:rFonts w:ascii="仿宋_GB2312" w:hAnsi="Times New Roman" w:eastAsia="仿宋_GB2312" w:cs="Times New Roman"/>
          <w:spacing w:val="19"/>
          <w:kern w:val="0"/>
          <w:sz w:val="33"/>
          <w:szCs w:val="33"/>
          <w:lang w:val="en-US" w:eastAsia="zh-CN" w:bidi="ar-SA"/>
        </w:rPr>
        <w:t>内部控制建设实施方案》，各项制度涵盖绩效考核、预算管理、收支管理、政府采购管理、国有资产管理、合同管理、专项资金管理等经济业务，明确了支出范围、标准和审批流程，确保财务管理工作有章可循。为加强</w:t>
      </w:r>
      <w:r>
        <w:rPr>
          <w:rFonts w:hint="eastAsia" w:ascii="仿宋_GB2312" w:hAnsi="Times New Roman" w:eastAsia="仿宋_GB2312" w:cs="Times New Roman"/>
          <w:spacing w:val="19"/>
          <w:kern w:val="0"/>
          <w:sz w:val="33"/>
          <w:szCs w:val="33"/>
          <w:lang w:val="en-US" w:eastAsia="zh-CN" w:bidi="ar-SA"/>
        </w:rPr>
        <w:t>甘孜藏族自治州司法局</w:t>
      </w:r>
      <w:r>
        <w:rPr>
          <w:rFonts w:ascii="仿宋_GB2312" w:hAnsi="Times New Roman" w:eastAsia="仿宋_GB2312" w:cs="Times New Roman"/>
          <w:spacing w:val="19"/>
          <w:kern w:val="0"/>
          <w:sz w:val="33"/>
          <w:szCs w:val="33"/>
          <w:lang w:val="en-US" w:eastAsia="zh-CN" w:bidi="ar-SA"/>
        </w:rPr>
        <w:t>财务管理工作，局机关设立了</w:t>
      </w:r>
      <w:r>
        <w:rPr>
          <w:rFonts w:hint="eastAsia" w:ascii="仿宋_GB2312" w:hAnsi="Times New Roman" w:eastAsia="仿宋_GB2312" w:cs="Times New Roman"/>
          <w:spacing w:val="19"/>
          <w:kern w:val="0"/>
          <w:sz w:val="33"/>
          <w:szCs w:val="33"/>
          <w:lang w:val="en-US" w:eastAsia="zh-CN" w:bidi="ar-SA"/>
        </w:rPr>
        <w:t>装备财务保障科</w:t>
      </w:r>
      <w:r>
        <w:rPr>
          <w:rFonts w:ascii="仿宋_GB2312" w:hAnsi="Times New Roman" w:eastAsia="仿宋_GB2312" w:cs="Times New Roman"/>
          <w:spacing w:val="19"/>
          <w:kern w:val="0"/>
          <w:sz w:val="33"/>
          <w:szCs w:val="33"/>
          <w:lang w:val="en-US" w:eastAsia="zh-CN" w:bidi="ar-SA"/>
        </w:rPr>
        <w:t>，合理设置了财务工作岗位，明确了职责权限并严格实行不相容岗位相分离。</w:t>
      </w:r>
      <w:r>
        <w:rPr>
          <w:rFonts w:ascii="仿宋" w:hAnsi="仿宋" w:eastAsia="仿宋" w:cs="仿宋"/>
          <w:spacing w:val="4"/>
          <w:sz w:val="31"/>
          <w:szCs w:val="31"/>
        </w:rPr>
        <w:t>按照财政</w:t>
      </w:r>
      <w:r>
        <w:rPr>
          <w:rFonts w:hint="eastAsia" w:ascii="仿宋" w:hAnsi="仿宋" w:eastAsia="仿宋" w:cs="仿宋"/>
          <w:spacing w:val="4"/>
          <w:sz w:val="31"/>
          <w:szCs w:val="31"/>
          <w:lang w:val="en-US" w:eastAsia="zh-CN"/>
        </w:rPr>
        <w:t>局</w:t>
      </w:r>
      <w:r>
        <w:rPr>
          <w:rFonts w:ascii="仿宋" w:hAnsi="仿宋" w:eastAsia="仿宋" w:cs="仿宋"/>
          <w:spacing w:val="4"/>
          <w:sz w:val="31"/>
          <w:szCs w:val="31"/>
        </w:rPr>
        <w:t>《关</w:t>
      </w:r>
      <w:r>
        <w:rPr>
          <w:rFonts w:ascii="仿宋" w:hAnsi="仿宋" w:eastAsia="仿宋" w:cs="仿宋"/>
          <w:spacing w:val="3"/>
          <w:sz w:val="31"/>
          <w:szCs w:val="31"/>
        </w:rPr>
        <w:t>于进一步加强</w:t>
      </w:r>
      <w:r>
        <w:rPr>
          <w:rFonts w:ascii="仿宋" w:hAnsi="仿宋" w:eastAsia="仿宋" w:cs="仿宋"/>
          <w:spacing w:val="13"/>
          <w:sz w:val="31"/>
          <w:szCs w:val="31"/>
        </w:rPr>
        <w:t>预算管理一体化资金支付动态监控的通知》、《四川</w:t>
      </w:r>
      <w:r>
        <w:rPr>
          <w:rFonts w:ascii="仿宋" w:hAnsi="仿宋" w:eastAsia="仿宋" w:cs="仿宋"/>
          <w:spacing w:val="12"/>
          <w:sz w:val="31"/>
          <w:szCs w:val="31"/>
        </w:rPr>
        <w:t>省省级预</w:t>
      </w:r>
      <w:r>
        <w:rPr>
          <w:rFonts w:ascii="仿宋" w:hAnsi="仿宋" w:eastAsia="仿宋" w:cs="仿宋"/>
          <w:spacing w:val="13"/>
          <w:sz w:val="31"/>
          <w:szCs w:val="31"/>
        </w:rPr>
        <w:t>算管理一体化资金支付管理办法》的规定，通过一体</w:t>
      </w:r>
      <w:r>
        <w:rPr>
          <w:rFonts w:ascii="仿宋" w:hAnsi="仿宋" w:eastAsia="仿宋" w:cs="仿宋"/>
          <w:spacing w:val="12"/>
          <w:sz w:val="31"/>
          <w:szCs w:val="31"/>
        </w:rPr>
        <w:t>化系统全</w:t>
      </w:r>
      <w:r>
        <w:rPr>
          <w:rFonts w:ascii="仿宋" w:hAnsi="仿宋" w:eastAsia="仿宋" w:cs="仿宋"/>
          <w:spacing w:val="13"/>
          <w:sz w:val="31"/>
          <w:szCs w:val="31"/>
        </w:rPr>
        <w:t>流程监控资金支付动态，保障资金支付安全、规范、</w:t>
      </w:r>
      <w:r>
        <w:rPr>
          <w:rFonts w:ascii="仿宋" w:hAnsi="仿宋" w:eastAsia="仿宋" w:cs="仿宋"/>
          <w:spacing w:val="12"/>
          <w:sz w:val="31"/>
          <w:szCs w:val="31"/>
        </w:rPr>
        <w:t>高效，未</w:t>
      </w:r>
      <w:r>
        <w:rPr>
          <w:rFonts w:ascii="仿宋" w:hAnsi="仿宋" w:eastAsia="仿宋" w:cs="仿宋"/>
          <w:spacing w:val="7"/>
          <w:sz w:val="31"/>
          <w:szCs w:val="31"/>
        </w:rPr>
        <w:t>发生违规使用资金的情况。</w:t>
      </w:r>
    </w:p>
    <w:p w14:paraId="1DF914C0">
      <w:pPr>
        <w:spacing w:before="226" w:line="224" w:lineRule="auto"/>
        <w:ind w:left="655"/>
        <w:rPr>
          <w:rFonts w:ascii="仿宋" w:hAnsi="仿宋" w:eastAsia="仿宋" w:cs="仿宋"/>
          <w:sz w:val="31"/>
          <w:szCs w:val="31"/>
        </w:rPr>
      </w:pPr>
      <w:r>
        <w:rPr>
          <w:rFonts w:ascii="仿宋" w:hAnsi="仿宋" w:eastAsia="仿宋" w:cs="仿宋"/>
          <w:spacing w:val="4"/>
          <w:sz w:val="31"/>
          <w:szCs w:val="31"/>
        </w:rPr>
        <w:t>4.资产管理</w:t>
      </w:r>
    </w:p>
    <w:p w14:paraId="66F9D2C1">
      <w:pPr>
        <w:spacing w:before="40" w:line="340" w:lineRule="auto"/>
        <w:ind w:left="35" w:right="160" w:firstLine="629"/>
        <w:rPr>
          <w:rFonts w:ascii="仿宋" w:hAnsi="仿宋" w:eastAsia="仿宋" w:cs="仿宋"/>
          <w:spacing w:val="8"/>
          <w:sz w:val="31"/>
          <w:szCs w:val="31"/>
        </w:rPr>
      </w:pPr>
      <w:r>
        <w:rPr>
          <w:rFonts w:ascii="仿宋" w:hAnsi="仿宋" w:eastAsia="仿宋" w:cs="仿宋"/>
          <w:spacing w:val="7"/>
          <w:sz w:val="31"/>
          <w:szCs w:val="31"/>
        </w:rPr>
        <w:t>我局从严控制固定资产采购，严格审批程</w:t>
      </w:r>
      <w:r>
        <w:rPr>
          <w:rFonts w:ascii="仿宋" w:hAnsi="仿宋" w:eastAsia="仿宋" w:cs="仿宋"/>
          <w:spacing w:val="14"/>
          <w:sz w:val="31"/>
          <w:szCs w:val="31"/>
        </w:rPr>
        <w:t xml:space="preserve"> </w:t>
      </w:r>
      <w:r>
        <w:rPr>
          <w:rFonts w:ascii="仿宋" w:hAnsi="仿宋" w:eastAsia="仿宋" w:cs="仿宋"/>
          <w:spacing w:val="8"/>
          <w:sz w:val="31"/>
          <w:szCs w:val="31"/>
        </w:rPr>
        <w:t>序，资产购置必须先经过资产管理部门核查是否超标准、超</w:t>
      </w:r>
      <w:r>
        <w:rPr>
          <w:rFonts w:ascii="仿宋" w:hAnsi="仿宋" w:eastAsia="仿宋" w:cs="仿宋"/>
          <w:spacing w:val="4"/>
          <w:sz w:val="31"/>
          <w:szCs w:val="31"/>
        </w:rPr>
        <w:t>金额，对不符合采购标准的不予审批，2023年度人均资产变</w:t>
      </w:r>
      <w:r>
        <w:rPr>
          <w:rFonts w:ascii="仿宋" w:hAnsi="仿宋" w:eastAsia="仿宋" w:cs="仿宋"/>
          <w:spacing w:val="7"/>
          <w:sz w:val="31"/>
          <w:szCs w:val="31"/>
        </w:rPr>
        <w:t>化率-</w:t>
      </w:r>
      <w:r>
        <w:rPr>
          <w:rFonts w:hint="eastAsia" w:ascii="仿宋" w:hAnsi="仿宋" w:eastAsia="仿宋" w:cs="仿宋"/>
          <w:spacing w:val="7"/>
          <w:sz w:val="31"/>
          <w:szCs w:val="31"/>
          <w:lang w:val="en-US" w:eastAsia="zh-CN"/>
        </w:rPr>
        <w:t>6.01</w:t>
      </w:r>
      <w:r>
        <w:rPr>
          <w:rFonts w:ascii="仿宋" w:hAnsi="仿宋" w:eastAsia="仿宋" w:cs="仿宋"/>
          <w:spacing w:val="7"/>
          <w:sz w:val="31"/>
          <w:szCs w:val="31"/>
        </w:rPr>
        <w:t>%，强化资产统筹调剂，鼓励单位内部调剂闲置资产，</w:t>
      </w:r>
      <w:r>
        <w:rPr>
          <w:rFonts w:ascii="仿宋" w:hAnsi="仿宋" w:eastAsia="仿宋" w:cs="仿宋"/>
          <w:spacing w:val="8"/>
          <w:sz w:val="31"/>
          <w:szCs w:val="31"/>
        </w:rPr>
        <w:t>每年定期开展资产大清查，全面理清资产底数，没有出现资产闲置浪费，故没有资产盘活情况。</w:t>
      </w:r>
    </w:p>
    <w:p w14:paraId="240D7C67">
      <w:pPr>
        <w:numPr>
          <w:ilvl w:val="0"/>
          <w:numId w:val="7"/>
        </w:numPr>
        <w:spacing w:before="40" w:line="340" w:lineRule="auto"/>
        <w:ind w:left="0" w:leftChars="0" w:right="160" w:firstLine="650" w:firstLineChars="200"/>
        <w:rPr>
          <w:rFonts w:hint="eastAsia" w:ascii="仿宋" w:hAnsi="仿宋" w:eastAsia="仿宋" w:cs="仿宋"/>
          <w:spacing w:val="3"/>
          <w:sz w:val="31"/>
          <w:szCs w:val="31"/>
          <w:lang w:eastAsia="zh-CN"/>
        </w:rPr>
      </w:pPr>
      <w:r>
        <w:rPr>
          <w:rFonts w:ascii="仿宋" w:hAnsi="仿宋" w:eastAsia="仿宋" w:cs="仿宋"/>
          <w:b/>
          <w:bCs/>
          <w:spacing w:val="7"/>
          <w:sz w:val="31"/>
          <w:szCs w:val="31"/>
        </w:rPr>
        <w:t>采购管理。</w:t>
      </w:r>
      <w:r>
        <w:rPr>
          <w:rFonts w:ascii="仿宋" w:hAnsi="仿宋" w:eastAsia="仿宋" w:cs="仿宋"/>
          <w:spacing w:val="7"/>
          <w:sz w:val="31"/>
          <w:szCs w:val="31"/>
        </w:rPr>
        <w:t>我局高度重视政府采购管理工作，定期召</w:t>
      </w:r>
      <w:r>
        <w:rPr>
          <w:rFonts w:ascii="仿宋" w:hAnsi="仿宋" w:eastAsia="仿宋" w:cs="仿宋"/>
          <w:spacing w:val="8"/>
          <w:sz w:val="31"/>
          <w:szCs w:val="31"/>
        </w:rPr>
        <w:t>开政府采购领导小组会议，督促业务部门加快政采项目执行进度，印发《</w:t>
      </w:r>
      <w:r>
        <w:rPr>
          <w:rFonts w:hint="eastAsia" w:ascii="仿宋" w:hAnsi="仿宋" w:eastAsia="仿宋" w:cs="仿宋"/>
          <w:spacing w:val="8"/>
          <w:sz w:val="31"/>
          <w:szCs w:val="31"/>
          <w:lang w:val="en-US" w:eastAsia="zh-CN"/>
        </w:rPr>
        <w:t>甘孜藏族自治州司法局</w:t>
      </w:r>
      <w:r>
        <w:rPr>
          <w:rFonts w:ascii="仿宋" w:hAnsi="仿宋" w:eastAsia="仿宋" w:cs="仿宋"/>
          <w:spacing w:val="8"/>
          <w:sz w:val="31"/>
          <w:szCs w:val="31"/>
        </w:rPr>
        <w:t>政府采购流程图》，进一步</w:t>
      </w:r>
      <w:r>
        <w:rPr>
          <w:rFonts w:ascii="仿宋" w:hAnsi="仿宋" w:eastAsia="仿宋" w:cs="仿宋"/>
          <w:spacing w:val="4"/>
          <w:sz w:val="31"/>
          <w:szCs w:val="31"/>
        </w:rPr>
        <w:t>明确规范政采流程。202</w:t>
      </w:r>
      <w:r>
        <w:rPr>
          <w:rFonts w:hint="eastAsia" w:ascii="仿宋" w:hAnsi="仿宋" w:eastAsia="仿宋" w:cs="仿宋"/>
          <w:spacing w:val="4"/>
          <w:sz w:val="31"/>
          <w:szCs w:val="31"/>
          <w:lang w:val="en-US" w:eastAsia="zh-CN"/>
        </w:rPr>
        <w:t>3</w:t>
      </w:r>
      <w:r>
        <w:rPr>
          <w:rFonts w:ascii="仿宋" w:hAnsi="仿宋" w:eastAsia="仿宋" w:cs="仿宋"/>
          <w:spacing w:val="4"/>
          <w:sz w:val="31"/>
          <w:szCs w:val="31"/>
        </w:rPr>
        <w:t>年我局面向中小企业预留采购项目</w:t>
      </w:r>
      <w:r>
        <w:rPr>
          <w:rFonts w:ascii="仿宋" w:hAnsi="仿宋" w:eastAsia="仿宋" w:cs="仿宋"/>
          <w:spacing w:val="3"/>
          <w:sz w:val="31"/>
          <w:szCs w:val="31"/>
        </w:rPr>
        <w:t>共</w:t>
      </w:r>
      <w:r>
        <w:rPr>
          <w:rFonts w:ascii="仿宋" w:hAnsi="仿宋" w:eastAsia="仿宋" w:cs="仿宋"/>
          <w:spacing w:val="-51"/>
          <w:sz w:val="31"/>
          <w:szCs w:val="31"/>
        </w:rPr>
        <w:t xml:space="preserve"> </w:t>
      </w:r>
      <w:r>
        <w:rPr>
          <w:rFonts w:hint="eastAsia" w:ascii="仿宋" w:hAnsi="仿宋" w:eastAsia="仿宋" w:cs="仿宋"/>
          <w:spacing w:val="3"/>
          <w:sz w:val="31"/>
          <w:szCs w:val="31"/>
          <w:lang w:val="en-US" w:eastAsia="zh-CN"/>
        </w:rPr>
        <w:t>0</w:t>
      </w:r>
      <w:r>
        <w:rPr>
          <w:rFonts w:ascii="仿宋" w:hAnsi="仿宋" w:eastAsia="仿宋" w:cs="仿宋"/>
          <w:spacing w:val="3"/>
          <w:sz w:val="31"/>
          <w:szCs w:val="31"/>
        </w:rPr>
        <w:t>个，预算金额合计</w:t>
      </w:r>
      <w:r>
        <w:rPr>
          <w:rFonts w:hint="eastAsia" w:ascii="仿宋" w:hAnsi="仿宋" w:eastAsia="仿宋" w:cs="仿宋"/>
          <w:spacing w:val="-56"/>
          <w:sz w:val="31"/>
          <w:szCs w:val="31"/>
          <w:lang w:val="en-US" w:eastAsia="zh-CN"/>
        </w:rPr>
        <w:t>0</w:t>
      </w:r>
      <w:r>
        <w:rPr>
          <w:rFonts w:ascii="仿宋" w:hAnsi="仿宋" w:eastAsia="仿宋" w:cs="仿宋"/>
          <w:spacing w:val="-51"/>
          <w:sz w:val="31"/>
          <w:szCs w:val="31"/>
        </w:rPr>
        <w:t xml:space="preserve"> </w:t>
      </w:r>
      <w:r>
        <w:rPr>
          <w:rFonts w:ascii="仿宋" w:hAnsi="仿宋" w:eastAsia="仿宋" w:cs="仿宋"/>
          <w:spacing w:val="3"/>
          <w:sz w:val="31"/>
          <w:szCs w:val="31"/>
        </w:rPr>
        <w:t>万元</w:t>
      </w:r>
      <w:r>
        <w:rPr>
          <w:rFonts w:hint="eastAsia" w:ascii="仿宋" w:hAnsi="仿宋" w:eastAsia="仿宋" w:cs="仿宋"/>
          <w:spacing w:val="3"/>
          <w:sz w:val="31"/>
          <w:szCs w:val="31"/>
          <w:lang w:eastAsia="zh-CN"/>
        </w:rPr>
        <w:t>。</w:t>
      </w:r>
    </w:p>
    <w:p w14:paraId="38A78209">
      <w:pPr>
        <w:spacing w:before="55" w:line="230" w:lineRule="auto"/>
        <w:ind w:left="692"/>
        <w:rPr>
          <w:rFonts w:ascii="楷体" w:hAnsi="楷体" w:eastAsia="楷体" w:cs="楷体"/>
          <w:sz w:val="31"/>
          <w:szCs w:val="31"/>
        </w:rPr>
      </w:pPr>
      <w:r>
        <w:rPr>
          <w:rFonts w:ascii="楷体" w:hAnsi="楷体" w:eastAsia="楷体" w:cs="楷体"/>
          <w:b/>
          <w:bCs/>
          <w:spacing w:val="4"/>
          <w:sz w:val="31"/>
          <w:szCs w:val="31"/>
        </w:rPr>
        <w:t>（二）部门预算项目绩效分析。</w:t>
      </w:r>
    </w:p>
    <w:p w14:paraId="5F92D527">
      <w:pPr>
        <w:spacing w:before="192" w:line="334" w:lineRule="auto"/>
        <w:ind w:left="40" w:right="315" w:firstLine="643"/>
        <w:jc w:val="both"/>
        <w:rPr>
          <w:rFonts w:ascii="仿宋" w:hAnsi="仿宋" w:eastAsia="仿宋" w:cs="仿宋"/>
          <w:sz w:val="31"/>
          <w:szCs w:val="31"/>
        </w:rPr>
      </w:pPr>
      <w:r>
        <w:rPr>
          <w:rFonts w:ascii="仿宋" w:hAnsi="仿宋" w:eastAsia="仿宋" w:cs="仿宋"/>
          <w:spacing w:val="4"/>
          <w:sz w:val="31"/>
          <w:szCs w:val="31"/>
        </w:rPr>
        <w:t>全局常年项目总数</w:t>
      </w:r>
      <w:r>
        <w:rPr>
          <w:rFonts w:ascii="仿宋" w:hAnsi="仿宋" w:eastAsia="仿宋" w:cs="仿宋"/>
          <w:spacing w:val="-51"/>
          <w:sz w:val="31"/>
          <w:szCs w:val="31"/>
        </w:rPr>
        <w:t xml:space="preserve"> </w:t>
      </w:r>
      <w:r>
        <w:rPr>
          <w:rFonts w:hint="eastAsia" w:ascii="仿宋" w:hAnsi="仿宋" w:eastAsia="仿宋" w:cs="仿宋"/>
          <w:spacing w:val="4"/>
          <w:sz w:val="31"/>
          <w:szCs w:val="31"/>
          <w:lang w:val="en-US" w:eastAsia="zh-CN"/>
        </w:rPr>
        <w:t>14</w:t>
      </w:r>
      <w:r>
        <w:rPr>
          <w:rFonts w:ascii="仿宋" w:hAnsi="仿宋" w:eastAsia="仿宋" w:cs="仿宋"/>
          <w:spacing w:val="4"/>
          <w:sz w:val="31"/>
          <w:szCs w:val="31"/>
        </w:rPr>
        <w:t>个，涉及预算总金额</w:t>
      </w:r>
      <w:r>
        <w:rPr>
          <w:rFonts w:hint="eastAsia" w:ascii="仿宋" w:hAnsi="仿宋" w:eastAsia="仿宋" w:cs="仿宋"/>
          <w:spacing w:val="4"/>
          <w:sz w:val="31"/>
          <w:szCs w:val="31"/>
          <w:lang w:val="en-US" w:eastAsia="zh-CN"/>
        </w:rPr>
        <w:t>1422.48</w:t>
      </w:r>
      <w:r>
        <w:rPr>
          <w:rFonts w:ascii="仿宋" w:hAnsi="仿宋" w:eastAsia="仿宋" w:cs="仿宋"/>
          <w:spacing w:val="4"/>
          <w:sz w:val="31"/>
          <w:szCs w:val="31"/>
        </w:rPr>
        <w:t>万</w:t>
      </w:r>
      <w:r>
        <w:rPr>
          <w:rFonts w:ascii="仿宋" w:hAnsi="仿宋" w:eastAsia="仿宋" w:cs="仿宋"/>
          <w:spacing w:val="5"/>
          <w:sz w:val="31"/>
          <w:szCs w:val="31"/>
        </w:rPr>
        <w:t>元，1—12月预算执行总体进度为</w:t>
      </w:r>
      <w:r>
        <w:rPr>
          <w:rFonts w:ascii="仿宋" w:hAnsi="仿宋" w:eastAsia="仿宋" w:cs="仿宋"/>
          <w:spacing w:val="-54"/>
          <w:sz w:val="31"/>
          <w:szCs w:val="31"/>
        </w:rPr>
        <w:t xml:space="preserve"> </w:t>
      </w:r>
      <w:r>
        <w:rPr>
          <w:rFonts w:hint="eastAsia" w:ascii="仿宋" w:hAnsi="仿宋" w:eastAsia="仿宋" w:cs="仿宋"/>
          <w:spacing w:val="5"/>
          <w:sz w:val="31"/>
          <w:szCs w:val="31"/>
          <w:lang w:val="en-US" w:eastAsia="zh-CN"/>
        </w:rPr>
        <w:t>99.66</w:t>
      </w:r>
      <w:r>
        <w:rPr>
          <w:rFonts w:ascii="仿宋" w:hAnsi="仿宋" w:eastAsia="仿宋" w:cs="仿宋"/>
          <w:spacing w:val="5"/>
          <w:sz w:val="31"/>
          <w:szCs w:val="31"/>
        </w:rPr>
        <w:t>%，其中：预算结余</w:t>
      </w:r>
      <w:r>
        <w:rPr>
          <w:rFonts w:ascii="仿宋" w:hAnsi="仿宋" w:eastAsia="仿宋" w:cs="仿宋"/>
          <w:sz w:val="31"/>
          <w:szCs w:val="31"/>
        </w:rPr>
        <w:t>率大于10%的项目共计</w:t>
      </w:r>
      <w:r>
        <w:rPr>
          <w:rFonts w:ascii="仿宋" w:hAnsi="仿宋" w:eastAsia="仿宋" w:cs="仿宋"/>
          <w:spacing w:val="-54"/>
          <w:sz w:val="31"/>
          <w:szCs w:val="31"/>
        </w:rPr>
        <w:t xml:space="preserve"> </w:t>
      </w:r>
      <w:r>
        <w:rPr>
          <w:rFonts w:hint="eastAsia" w:ascii="仿宋" w:hAnsi="仿宋" w:eastAsia="仿宋" w:cs="仿宋"/>
          <w:sz w:val="31"/>
          <w:szCs w:val="31"/>
          <w:lang w:val="en-US" w:eastAsia="zh-CN"/>
        </w:rPr>
        <w:t>3</w:t>
      </w:r>
      <w:r>
        <w:rPr>
          <w:rFonts w:ascii="仿宋" w:hAnsi="仿宋" w:eastAsia="仿宋" w:cs="仿宋"/>
          <w:spacing w:val="-52"/>
          <w:sz w:val="31"/>
          <w:szCs w:val="31"/>
        </w:rPr>
        <w:t xml:space="preserve"> </w:t>
      </w:r>
      <w:r>
        <w:rPr>
          <w:rFonts w:ascii="仿宋" w:hAnsi="仿宋" w:eastAsia="仿宋" w:cs="仿宋"/>
          <w:sz w:val="31"/>
          <w:szCs w:val="31"/>
        </w:rPr>
        <w:t>个。</w:t>
      </w:r>
    </w:p>
    <w:p w14:paraId="022BD8A2">
      <w:pPr>
        <w:spacing w:before="49" w:line="334" w:lineRule="auto"/>
        <w:ind w:left="37" w:right="230" w:firstLine="645"/>
        <w:rPr>
          <w:rFonts w:ascii="仿宋" w:hAnsi="仿宋" w:eastAsia="仿宋" w:cs="仿宋"/>
          <w:sz w:val="31"/>
          <w:szCs w:val="31"/>
        </w:rPr>
      </w:pPr>
      <w:r>
        <w:rPr>
          <w:rFonts w:ascii="仿宋" w:hAnsi="仿宋" w:eastAsia="仿宋" w:cs="仿宋"/>
          <w:spacing w:val="7"/>
          <w:sz w:val="31"/>
          <w:szCs w:val="31"/>
        </w:rPr>
        <w:t>全局阶段（一次性）项目总数</w:t>
      </w:r>
      <w:r>
        <w:rPr>
          <w:rFonts w:hint="eastAsia" w:ascii="仿宋" w:hAnsi="仿宋" w:eastAsia="仿宋" w:cs="仿宋"/>
          <w:spacing w:val="7"/>
          <w:sz w:val="31"/>
          <w:szCs w:val="31"/>
          <w:lang w:val="en-US" w:eastAsia="zh-CN"/>
        </w:rPr>
        <w:t>1</w:t>
      </w:r>
      <w:r>
        <w:rPr>
          <w:rFonts w:ascii="仿宋" w:hAnsi="仿宋" w:eastAsia="仿宋" w:cs="仿宋"/>
          <w:spacing w:val="7"/>
          <w:sz w:val="31"/>
          <w:szCs w:val="31"/>
        </w:rPr>
        <w:t>4个，涉及预算</w:t>
      </w:r>
      <w:r>
        <w:rPr>
          <w:rFonts w:ascii="仿宋" w:hAnsi="仿宋" w:eastAsia="仿宋" w:cs="仿宋"/>
          <w:spacing w:val="6"/>
          <w:sz w:val="31"/>
          <w:szCs w:val="31"/>
        </w:rPr>
        <w:t>总金额</w:t>
      </w:r>
      <w:r>
        <w:rPr>
          <w:rFonts w:ascii="仿宋" w:hAnsi="仿宋" w:eastAsia="仿宋" w:cs="仿宋"/>
          <w:sz w:val="31"/>
          <w:szCs w:val="31"/>
        </w:rPr>
        <w:t xml:space="preserve"> </w:t>
      </w:r>
      <w:r>
        <w:rPr>
          <w:rFonts w:hint="eastAsia" w:ascii="仿宋" w:hAnsi="仿宋" w:eastAsia="仿宋" w:cs="仿宋"/>
          <w:sz w:val="31"/>
          <w:szCs w:val="31"/>
          <w:lang w:val="en-US" w:eastAsia="zh-CN"/>
        </w:rPr>
        <w:t>617.33</w:t>
      </w:r>
      <w:r>
        <w:rPr>
          <w:rFonts w:ascii="仿宋" w:hAnsi="仿宋" w:eastAsia="仿宋" w:cs="仿宋"/>
          <w:sz w:val="31"/>
          <w:szCs w:val="31"/>
        </w:rPr>
        <w:t>万元，1—12月预算执行总体进度</w:t>
      </w:r>
      <w:r>
        <w:rPr>
          <w:rFonts w:ascii="仿宋" w:hAnsi="仿宋" w:eastAsia="仿宋" w:cs="仿宋"/>
          <w:spacing w:val="-1"/>
          <w:sz w:val="31"/>
          <w:szCs w:val="31"/>
        </w:rPr>
        <w:t>为</w:t>
      </w:r>
      <w:r>
        <w:rPr>
          <w:rFonts w:hint="eastAsia" w:ascii="仿宋" w:hAnsi="仿宋" w:eastAsia="仿宋" w:cs="仿宋"/>
          <w:spacing w:val="-1"/>
          <w:sz w:val="31"/>
          <w:szCs w:val="31"/>
          <w:lang w:val="en-US" w:eastAsia="zh-CN"/>
        </w:rPr>
        <w:t>72.16</w:t>
      </w:r>
      <w:r>
        <w:rPr>
          <w:rFonts w:ascii="仿宋" w:hAnsi="仿宋" w:eastAsia="仿宋" w:cs="仿宋"/>
          <w:spacing w:val="-1"/>
          <w:sz w:val="31"/>
          <w:szCs w:val="31"/>
        </w:rPr>
        <w:t>%，其中：</w:t>
      </w:r>
      <w:r>
        <w:rPr>
          <w:rFonts w:ascii="仿宋" w:hAnsi="仿宋" w:eastAsia="仿宋" w:cs="仿宋"/>
          <w:spacing w:val="2"/>
          <w:sz w:val="31"/>
          <w:szCs w:val="31"/>
        </w:rPr>
        <w:t>预算结余率</w:t>
      </w:r>
      <w:r>
        <w:rPr>
          <w:rFonts w:hint="eastAsia" w:ascii="仿宋" w:hAnsi="仿宋" w:eastAsia="仿宋" w:cs="仿宋"/>
          <w:spacing w:val="2"/>
          <w:sz w:val="31"/>
          <w:szCs w:val="31"/>
          <w:lang w:val="en-US" w:eastAsia="zh-CN"/>
        </w:rPr>
        <w:t>大于</w:t>
      </w:r>
      <w:r>
        <w:rPr>
          <w:rFonts w:ascii="仿宋" w:hAnsi="仿宋" w:eastAsia="仿宋" w:cs="仿宋"/>
          <w:spacing w:val="2"/>
          <w:sz w:val="31"/>
          <w:szCs w:val="31"/>
        </w:rPr>
        <w:t>10%的项目共计</w:t>
      </w:r>
      <w:r>
        <w:rPr>
          <w:rFonts w:ascii="仿宋" w:hAnsi="仿宋" w:eastAsia="仿宋" w:cs="仿宋"/>
          <w:spacing w:val="-55"/>
          <w:sz w:val="31"/>
          <w:szCs w:val="31"/>
        </w:rPr>
        <w:t xml:space="preserve"> </w:t>
      </w:r>
      <w:r>
        <w:rPr>
          <w:rFonts w:ascii="仿宋" w:hAnsi="仿宋" w:eastAsia="仿宋" w:cs="仿宋"/>
          <w:spacing w:val="2"/>
          <w:sz w:val="31"/>
          <w:szCs w:val="31"/>
        </w:rPr>
        <w:t>3</w:t>
      </w:r>
      <w:r>
        <w:rPr>
          <w:rFonts w:ascii="仿宋" w:hAnsi="仿宋" w:eastAsia="仿宋" w:cs="仿宋"/>
          <w:spacing w:val="-52"/>
          <w:sz w:val="31"/>
          <w:szCs w:val="31"/>
        </w:rPr>
        <w:t xml:space="preserve"> </w:t>
      </w:r>
      <w:r>
        <w:rPr>
          <w:rFonts w:ascii="仿宋" w:hAnsi="仿宋" w:eastAsia="仿宋" w:cs="仿宋"/>
          <w:spacing w:val="2"/>
          <w:sz w:val="31"/>
          <w:szCs w:val="31"/>
        </w:rPr>
        <w:t>个。</w:t>
      </w:r>
    </w:p>
    <w:p w14:paraId="6624FD8C">
      <w:pPr>
        <w:numPr>
          <w:ilvl w:val="0"/>
          <w:numId w:val="8"/>
        </w:numPr>
        <w:spacing w:before="47" w:line="353" w:lineRule="auto"/>
        <w:ind w:left="40" w:right="13" w:firstLine="651"/>
        <w:rPr>
          <w:rFonts w:ascii="仿宋" w:hAnsi="仿宋" w:eastAsia="仿宋" w:cs="仿宋"/>
          <w:b/>
          <w:bCs/>
          <w:spacing w:val="6"/>
          <w:sz w:val="31"/>
          <w:szCs w:val="31"/>
        </w:rPr>
      </w:pPr>
      <w:r>
        <w:rPr>
          <w:rFonts w:ascii="仿宋" w:hAnsi="仿宋" w:eastAsia="仿宋" w:cs="仿宋"/>
          <w:b/>
          <w:bCs/>
          <w:spacing w:val="6"/>
          <w:sz w:val="31"/>
          <w:szCs w:val="31"/>
        </w:rPr>
        <w:t>项目决策。</w:t>
      </w:r>
    </w:p>
    <w:p w14:paraId="2D3BCA4A">
      <w:pPr>
        <w:numPr>
          <w:ilvl w:val="0"/>
          <w:numId w:val="0"/>
        </w:numPr>
        <w:spacing w:before="47" w:line="353" w:lineRule="auto"/>
        <w:ind w:right="13" w:rightChars="0" w:firstLine="652" w:firstLineChars="200"/>
        <w:rPr>
          <w:rFonts w:ascii="仿宋" w:hAnsi="仿宋" w:eastAsia="仿宋" w:cs="仿宋"/>
          <w:sz w:val="31"/>
          <w:szCs w:val="31"/>
        </w:rPr>
      </w:pPr>
      <w:r>
        <w:rPr>
          <w:rFonts w:ascii="仿宋" w:hAnsi="仿宋" w:eastAsia="仿宋" w:cs="仿宋"/>
          <w:spacing w:val="8"/>
          <w:sz w:val="31"/>
          <w:szCs w:val="31"/>
        </w:rPr>
        <w:t>我</w:t>
      </w:r>
      <w:r>
        <w:rPr>
          <w:rFonts w:hint="eastAsia" w:ascii="仿宋" w:hAnsi="仿宋" w:eastAsia="仿宋" w:cs="仿宋"/>
          <w:spacing w:val="8"/>
          <w:sz w:val="31"/>
          <w:szCs w:val="31"/>
          <w:lang w:val="en-US" w:eastAsia="zh-CN"/>
        </w:rPr>
        <w:t>局</w:t>
      </w:r>
      <w:r>
        <w:rPr>
          <w:rFonts w:ascii="仿宋" w:hAnsi="仿宋" w:eastAsia="仿宋" w:cs="仿宋"/>
          <w:spacing w:val="8"/>
          <w:sz w:val="31"/>
          <w:szCs w:val="31"/>
        </w:rPr>
        <w:t>指导机关</w:t>
      </w:r>
      <w:r>
        <w:rPr>
          <w:rFonts w:ascii="仿宋" w:hAnsi="仿宋" w:eastAsia="仿宋" w:cs="仿宋"/>
          <w:spacing w:val="7"/>
          <w:sz w:val="31"/>
          <w:szCs w:val="31"/>
        </w:rPr>
        <w:t>建立</w:t>
      </w:r>
      <w:r>
        <w:rPr>
          <w:rFonts w:ascii="仿宋" w:hAnsi="仿宋" w:eastAsia="仿宋" w:cs="仿宋"/>
          <w:spacing w:val="8"/>
          <w:sz w:val="31"/>
          <w:szCs w:val="31"/>
        </w:rPr>
        <w:t>了严格的项目甄选和入库机制，对于符合事前绩效评估范围的项目一律先进行事前绩效评估再进行申报，初审通过的项目在规定时间内进入项目库进行复审和排序管理。初审及复审环节均将项目绩效目标与计划期内的任务量、预算安排的资金量匹配情况，绩效目标设置是否科学合理、规范完整、量化细化、预算匹配作为重点内容进行审核，进一步提高项</w:t>
      </w:r>
      <w:r>
        <w:rPr>
          <w:rFonts w:ascii="仿宋" w:hAnsi="仿宋" w:eastAsia="仿宋" w:cs="仿宋"/>
          <w:spacing w:val="6"/>
          <w:sz w:val="31"/>
          <w:szCs w:val="31"/>
        </w:rPr>
        <w:t>目绩效目标设置水平。</w:t>
      </w:r>
    </w:p>
    <w:p w14:paraId="49D41549">
      <w:pPr>
        <w:spacing w:before="59" w:line="352" w:lineRule="auto"/>
        <w:ind w:left="35" w:right="13" w:firstLine="626"/>
        <w:rPr>
          <w:rFonts w:ascii="仿宋" w:hAnsi="仿宋" w:eastAsia="仿宋" w:cs="仿宋"/>
          <w:sz w:val="31"/>
          <w:szCs w:val="31"/>
        </w:rPr>
      </w:pPr>
      <w:r>
        <w:rPr>
          <w:rFonts w:ascii="Times New Roman" w:hAnsi="Times New Roman" w:eastAsia="Times New Roman" w:cs="Times New Roman"/>
          <w:spacing w:val="6"/>
          <w:sz w:val="31"/>
          <w:szCs w:val="31"/>
        </w:rPr>
        <w:t>2.</w:t>
      </w:r>
      <w:r>
        <w:rPr>
          <w:rFonts w:ascii="楷体" w:hAnsi="楷体" w:eastAsia="楷体" w:cs="楷体"/>
          <w:spacing w:val="6"/>
          <w:sz w:val="31"/>
          <w:szCs w:val="31"/>
        </w:rPr>
        <w:t>项目执行。</w:t>
      </w:r>
      <w:r>
        <w:rPr>
          <w:rFonts w:ascii="仿宋" w:hAnsi="仿宋" w:eastAsia="仿宋" w:cs="仿宋"/>
          <w:spacing w:val="6"/>
          <w:sz w:val="31"/>
          <w:szCs w:val="31"/>
        </w:rPr>
        <w:t>我</w:t>
      </w:r>
      <w:r>
        <w:rPr>
          <w:rFonts w:hint="eastAsia" w:ascii="仿宋" w:hAnsi="仿宋" w:eastAsia="仿宋" w:cs="仿宋"/>
          <w:spacing w:val="6"/>
          <w:sz w:val="31"/>
          <w:szCs w:val="31"/>
          <w:lang w:val="en-US" w:eastAsia="zh-CN"/>
        </w:rPr>
        <w:t>局</w:t>
      </w:r>
      <w:r>
        <w:rPr>
          <w:rFonts w:ascii="仿宋" w:hAnsi="仿宋" w:eastAsia="仿宋" w:cs="仿宋"/>
          <w:spacing w:val="6"/>
          <w:sz w:val="31"/>
          <w:szCs w:val="31"/>
        </w:rPr>
        <w:t>充分发挥绩效监控手段，</w:t>
      </w:r>
      <w:r>
        <w:rPr>
          <w:rFonts w:ascii="仿宋" w:hAnsi="仿宋" w:eastAsia="仿宋" w:cs="仿宋"/>
          <w:spacing w:val="5"/>
          <w:sz w:val="31"/>
          <w:szCs w:val="31"/>
        </w:rPr>
        <w:t>实时跟踪</w:t>
      </w:r>
      <w:r>
        <w:rPr>
          <w:rFonts w:ascii="仿宋" w:hAnsi="仿宋" w:eastAsia="仿宋" w:cs="仿宋"/>
          <w:spacing w:val="8"/>
          <w:sz w:val="31"/>
          <w:szCs w:val="31"/>
        </w:rPr>
        <w:t>机关的项目执行及绩效目标完成情况，对项目实际列支内容与绩效目标设置方向的相符程度进行跟踪，对单位预期目标完成差异较大的情况进行密切关注，指导单位实时调整绩效目标并按程序进行报批。对于项目执行情况不理想，实际目标值与年初设置的目标值差异较大的项目将酌情核减单位的预算安排并进行通报批评。</w:t>
      </w:r>
    </w:p>
    <w:p w14:paraId="52F39AE2">
      <w:pPr>
        <w:spacing w:line="352" w:lineRule="auto"/>
        <w:rPr>
          <w:rFonts w:ascii="仿宋" w:hAnsi="仿宋" w:eastAsia="仿宋" w:cs="仿宋"/>
          <w:sz w:val="31"/>
          <w:szCs w:val="31"/>
        </w:rPr>
      </w:pPr>
    </w:p>
    <w:p w14:paraId="67D80FDF">
      <w:pPr>
        <w:spacing w:line="352" w:lineRule="auto"/>
        <w:rPr>
          <w:rFonts w:ascii="仿宋" w:hAnsi="仿宋" w:eastAsia="仿宋" w:cs="仿宋"/>
          <w:sz w:val="31"/>
          <w:szCs w:val="31"/>
        </w:rPr>
        <w:sectPr>
          <w:footerReference r:id="rId5" w:type="default"/>
          <w:pgSz w:w="11906" w:h="16839"/>
          <w:pgMar w:top="1431" w:right="1785" w:bottom="673" w:left="1785" w:header="0" w:footer="526" w:gutter="0"/>
          <w:pgNumType w:fmt="decimal"/>
          <w:cols w:space="720" w:num="1"/>
        </w:sectPr>
      </w:pPr>
    </w:p>
    <w:p w14:paraId="67CC65B5">
      <w:pPr>
        <w:numPr>
          <w:ilvl w:val="0"/>
          <w:numId w:val="0"/>
        </w:numPr>
        <w:spacing w:before="219" w:line="346" w:lineRule="auto"/>
        <w:ind w:left="691" w:leftChars="0" w:right="78" w:rightChars="0"/>
        <w:jc w:val="both"/>
        <w:rPr>
          <w:rFonts w:ascii="楷体" w:hAnsi="楷体" w:eastAsia="楷体" w:cs="楷体"/>
          <w:spacing w:val="1"/>
          <w:sz w:val="31"/>
          <w:szCs w:val="31"/>
        </w:rPr>
      </w:pPr>
      <w:r>
        <w:rPr>
          <w:rFonts w:hint="eastAsia" w:ascii="楷体" w:hAnsi="楷体" w:eastAsia="楷体" w:cs="楷体"/>
          <w:spacing w:val="1"/>
          <w:sz w:val="31"/>
          <w:szCs w:val="31"/>
          <w:lang w:val="en-US" w:eastAsia="zh-CN"/>
        </w:rPr>
        <w:t>3.</w:t>
      </w:r>
      <w:r>
        <w:rPr>
          <w:rFonts w:ascii="楷体" w:hAnsi="楷体" w:eastAsia="楷体" w:cs="楷体"/>
          <w:spacing w:val="1"/>
          <w:sz w:val="31"/>
          <w:szCs w:val="31"/>
        </w:rPr>
        <w:t>目标实现。</w:t>
      </w:r>
    </w:p>
    <w:p w14:paraId="7A29A9F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仿宋" w:hAnsi="仿宋" w:eastAsia="仿宋" w:cs="仿宋"/>
          <w:spacing w:val="8"/>
          <w:sz w:val="31"/>
          <w:szCs w:val="31"/>
        </w:rPr>
      </w:pPr>
      <w:r>
        <w:rPr>
          <w:rFonts w:hint="eastAsia" w:ascii="仿宋" w:hAnsi="仿宋" w:eastAsia="仿宋" w:cs="仿宋"/>
          <w:i w:val="0"/>
          <w:iCs w:val="0"/>
          <w:caps w:val="0"/>
          <w:color w:val="000000"/>
          <w:spacing w:val="0"/>
          <w:sz w:val="32"/>
          <w:szCs w:val="32"/>
          <w:lang w:val="en-US" w:eastAsia="zh-CN"/>
        </w:rPr>
        <w:t>今年我单位共下达基本支出和项目支出进行动态管理，对基本支出按照规定进行严格的人员调整的经费增减核算，项目按规定开展绩效运行自行监控并按时《甘孜州司法局财政支出项目绩效运行监控报告》，时时掌握资金执行进度，通过强化资金执行进度和严格资金使用办法促进业务工作及时高效开展。一年来通过自查没有发现有违反财经纪律的相关问题。</w:t>
      </w:r>
    </w:p>
    <w:p w14:paraId="11FC3893">
      <w:pPr>
        <w:numPr>
          <w:ilvl w:val="0"/>
          <w:numId w:val="0"/>
        </w:numPr>
        <w:spacing w:before="219" w:line="346" w:lineRule="auto"/>
        <w:ind w:right="78" w:rightChars="0" w:firstLine="652" w:firstLineChars="200"/>
        <w:jc w:val="both"/>
        <w:rPr>
          <w:rFonts w:ascii="仿宋" w:hAnsi="仿宋" w:eastAsia="仿宋" w:cs="仿宋"/>
          <w:sz w:val="31"/>
          <w:szCs w:val="31"/>
        </w:rPr>
      </w:pPr>
      <w:r>
        <w:rPr>
          <w:rFonts w:ascii="仿宋" w:hAnsi="仿宋" w:eastAsia="仿宋" w:cs="仿宋"/>
          <w:spacing w:val="8"/>
          <w:sz w:val="31"/>
          <w:szCs w:val="31"/>
        </w:rPr>
        <w:t>我</w:t>
      </w:r>
      <w:r>
        <w:rPr>
          <w:rFonts w:hint="eastAsia" w:ascii="仿宋" w:hAnsi="仿宋" w:eastAsia="仿宋" w:cs="仿宋"/>
          <w:spacing w:val="8"/>
          <w:sz w:val="31"/>
          <w:szCs w:val="31"/>
          <w:lang w:val="en-US" w:eastAsia="zh-CN"/>
        </w:rPr>
        <w:t>局</w:t>
      </w:r>
      <w:r>
        <w:rPr>
          <w:rFonts w:ascii="仿宋" w:hAnsi="仿宋" w:eastAsia="仿宋" w:cs="仿宋"/>
          <w:spacing w:val="8"/>
          <w:sz w:val="31"/>
          <w:szCs w:val="31"/>
        </w:rPr>
        <w:t>2023年继续加强绩效监控跟踪督导，</w:t>
      </w:r>
      <w:r>
        <w:rPr>
          <w:rFonts w:hint="eastAsia" w:ascii="仿宋" w:hAnsi="仿宋" w:eastAsia="仿宋" w:cs="仿宋"/>
          <w:spacing w:val="8"/>
          <w:sz w:val="31"/>
          <w:szCs w:val="31"/>
          <w:lang w:val="en-US" w:eastAsia="zh-CN"/>
        </w:rPr>
        <w:t>14</w:t>
      </w:r>
      <w:r>
        <w:rPr>
          <w:rFonts w:ascii="仿宋" w:hAnsi="仿宋" w:eastAsia="仿宋" w:cs="仿宋"/>
          <w:spacing w:val="8"/>
          <w:sz w:val="31"/>
          <w:szCs w:val="31"/>
        </w:rPr>
        <w:t>个阶段项目中，</w:t>
      </w:r>
      <w:r>
        <w:rPr>
          <w:rFonts w:hint="eastAsia" w:ascii="仿宋" w:hAnsi="仿宋" w:eastAsia="仿宋" w:cs="仿宋"/>
          <w:spacing w:val="8"/>
          <w:sz w:val="31"/>
          <w:szCs w:val="31"/>
          <w:lang w:val="en-US" w:eastAsia="zh-CN"/>
        </w:rPr>
        <w:t>11</w:t>
      </w:r>
      <w:r>
        <w:rPr>
          <w:rFonts w:ascii="仿宋" w:hAnsi="仿宋" w:eastAsia="仿宋" w:cs="仿宋"/>
          <w:spacing w:val="8"/>
          <w:sz w:val="31"/>
          <w:szCs w:val="31"/>
        </w:rPr>
        <w:t>个项目完成绩效目标数量指标，完成数量指标个数</w:t>
      </w:r>
      <w:r>
        <w:rPr>
          <w:rFonts w:hint="eastAsia" w:ascii="仿宋" w:hAnsi="仿宋" w:eastAsia="仿宋" w:cs="仿宋"/>
          <w:spacing w:val="8"/>
          <w:sz w:val="31"/>
          <w:szCs w:val="31"/>
          <w:lang w:val="en-US" w:eastAsia="zh-CN"/>
        </w:rPr>
        <w:t>15</w:t>
      </w:r>
      <w:r>
        <w:rPr>
          <w:rFonts w:ascii="仿宋" w:hAnsi="仿宋" w:eastAsia="仿宋" w:cs="仿宋"/>
          <w:spacing w:val="8"/>
          <w:sz w:val="31"/>
          <w:szCs w:val="31"/>
        </w:rPr>
        <w:t>个，</w:t>
      </w:r>
      <w:r>
        <w:rPr>
          <w:rFonts w:ascii="仿宋" w:hAnsi="仿宋" w:eastAsia="仿宋" w:cs="仿宋"/>
          <w:spacing w:val="6"/>
          <w:sz w:val="31"/>
          <w:szCs w:val="31"/>
        </w:rPr>
        <w:t>部门绩效目标实际完成情况数</w:t>
      </w:r>
      <w:r>
        <w:rPr>
          <w:rFonts w:ascii="仿宋" w:hAnsi="仿宋" w:eastAsia="仿宋" w:cs="仿宋"/>
          <w:spacing w:val="5"/>
          <w:sz w:val="31"/>
          <w:szCs w:val="31"/>
        </w:rPr>
        <w:t>基本达到</w:t>
      </w:r>
      <w:r>
        <w:rPr>
          <w:rFonts w:ascii="仿宋" w:hAnsi="仿宋" w:eastAsia="仿宋" w:cs="仿宋"/>
          <w:spacing w:val="8"/>
          <w:sz w:val="31"/>
          <w:szCs w:val="31"/>
        </w:rPr>
        <w:t>预期绩效目标，实现程度与预期目标基本相符。</w:t>
      </w:r>
    </w:p>
    <w:p w14:paraId="7A07F0C5">
      <w:pPr>
        <w:spacing w:before="55" w:line="333" w:lineRule="auto"/>
        <w:ind w:left="37" w:right="313" w:firstLine="651"/>
        <w:rPr>
          <w:rFonts w:ascii="仿宋" w:hAnsi="仿宋" w:eastAsia="仿宋" w:cs="仿宋"/>
          <w:sz w:val="31"/>
          <w:szCs w:val="31"/>
        </w:rPr>
      </w:pPr>
      <w:r>
        <w:rPr>
          <w:rFonts w:ascii="楷体" w:hAnsi="楷体" w:eastAsia="楷体" w:cs="楷体"/>
          <w:b/>
          <w:bCs/>
          <w:spacing w:val="6"/>
          <w:sz w:val="31"/>
          <w:szCs w:val="31"/>
        </w:rPr>
        <w:t>（三）重点领域绩效分析。</w:t>
      </w:r>
    </w:p>
    <w:p w14:paraId="75A613A1">
      <w:pPr>
        <w:spacing w:before="206" w:line="356" w:lineRule="auto"/>
        <w:ind w:left="34" w:firstLine="644" w:firstLineChars="200"/>
        <w:rPr>
          <w:rFonts w:hint="eastAsia" w:ascii="仿宋" w:hAnsi="仿宋" w:eastAsia="仿宋" w:cs="仿宋"/>
          <w:spacing w:val="3"/>
          <w:sz w:val="31"/>
          <w:szCs w:val="31"/>
          <w:lang w:eastAsia="zh-CN"/>
        </w:rPr>
      </w:pPr>
      <w:r>
        <w:rPr>
          <w:rFonts w:ascii="仿宋" w:hAnsi="仿宋" w:eastAsia="仿宋" w:cs="仿宋"/>
          <w:spacing w:val="6"/>
          <w:sz w:val="31"/>
          <w:szCs w:val="31"/>
        </w:rPr>
        <w:t>我局仅涉及行政事业性国有</w:t>
      </w:r>
      <w:r>
        <w:rPr>
          <w:rFonts w:ascii="仿宋" w:hAnsi="仿宋" w:eastAsia="仿宋" w:cs="仿宋"/>
          <w:spacing w:val="8"/>
          <w:sz w:val="31"/>
          <w:szCs w:val="31"/>
        </w:rPr>
        <w:t>资产。在行政事业性国有资产方面，建立了涵盖资产配置、资产使用、资产处置、资产</w:t>
      </w:r>
      <w:r>
        <w:rPr>
          <w:rFonts w:ascii="仿宋" w:hAnsi="仿宋" w:eastAsia="仿宋" w:cs="仿宋"/>
          <w:spacing w:val="6"/>
          <w:sz w:val="31"/>
          <w:szCs w:val="31"/>
        </w:rPr>
        <w:t>收入收缴等内容的固定资产管理制度，明确了固定资产申购、</w:t>
      </w:r>
      <w:r>
        <w:rPr>
          <w:rFonts w:ascii="仿宋" w:hAnsi="仿宋" w:eastAsia="仿宋" w:cs="仿宋"/>
          <w:spacing w:val="5"/>
          <w:sz w:val="31"/>
          <w:szCs w:val="31"/>
        </w:rPr>
        <w:t>登记、日常管理、清查、盘点、移交、处置、报废等各环节</w:t>
      </w:r>
      <w:r>
        <w:rPr>
          <w:rFonts w:ascii="仿宋" w:hAnsi="仿宋" w:eastAsia="仿宋" w:cs="仿宋"/>
          <w:spacing w:val="8"/>
          <w:sz w:val="31"/>
          <w:szCs w:val="31"/>
        </w:rPr>
        <w:t>的管理要求；严格人员调整变动时固定资产移交、监督及清理检查工作，有效防止了固定资产流失，实现了对固定资产</w:t>
      </w:r>
      <w:r>
        <w:rPr>
          <w:rFonts w:ascii="仿宋" w:hAnsi="仿宋" w:eastAsia="仿宋" w:cs="仿宋"/>
          <w:spacing w:val="4"/>
          <w:sz w:val="31"/>
          <w:szCs w:val="31"/>
        </w:rPr>
        <w:t>的动态、全过程监督管理。</w:t>
      </w:r>
    </w:p>
    <w:p w14:paraId="0B8AF741">
      <w:pPr>
        <w:spacing w:before="52" w:line="230" w:lineRule="auto"/>
        <w:ind w:left="692"/>
        <w:rPr>
          <w:rFonts w:ascii="楷体" w:hAnsi="楷体" w:eastAsia="楷体" w:cs="楷体"/>
          <w:sz w:val="31"/>
          <w:szCs w:val="31"/>
        </w:rPr>
      </w:pPr>
      <w:r>
        <w:rPr>
          <w:rFonts w:ascii="楷体" w:hAnsi="楷体" w:eastAsia="楷体" w:cs="楷体"/>
          <w:b/>
          <w:bCs/>
          <w:spacing w:val="4"/>
          <w:sz w:val="31"/>
          <w:szCs w:val="31"/>
        </w:rPr>
        <w:t>（四）绩效结果应用情况</w:t>
      </w:r>
    </w:p>
    <w:p w14:paraId="48E80DCD">
      <w:pPr>
        <w:spacing w:line="576" w:lineRule="exact"/>
        <w:ind w:firstLine="640" w:firstLineChars="200"/>
        <w:rPr>
          <w:rFonts w:hint="default" w:ascii="仿宋" w:hAnsi="仿宋" w:eastAsia="仿宋" w:cs="仿宋"/>
          <w:i w:val="0"/>
          <w:iCs w:val="0"/>
          <w:caps w:val="0"/>
          <w:color w:val="000000"/>
          <w:spacing w:val="0"/>
          <w:kern w:val="0"/>
          <w:sz w:val="32"/>
          <w:szCs w:val="32"/>
          <w:lang w:val="en-US" w:eastAsia="zh-CN" w:bidi="ar"/>
        </w:rPr>
      </w:pPr>
      <w:r>
        <w:rPr>
          <w:rFonts w:hint="default" w:ascii="仿宋" w:hAnsi="仿宋" w:eastAsia="仿宋" w:cs="仿宋"/>
          <w:i w:val="0"/>
          <w:iCs w:val="0"/>
          <w:caps w:val="0"/>
          <w:color w:val="000000"/>
          <w:spacing w:val="0"/>
          <w:kern w:val="0"/>
          <w:sz w:val="32"/>
          <w:szCs w:val="32"/>
          <w:lang w:val="en-US" w:eastAsia="zh-CN" w:bidi="ar"/>
        </w:rPr>
        <w:t>202</w:t>
      </w:r>
      <w:r>
        <w:rPr>
          <w:rFonts w:hint="eastAsia" w:ascii="仿宋" w:hAnsi="仿宋" w:eastAsia="仿宋" w:cs="仿宋"/>
          <w:i w:val="0"/>
          <w:iCs w:val="0"/>
          <w:caps w:val="0"/>
          <w:color w:val="000000"/>
          <w:spacing w:val="0"/>
          <w:kern w:val="0"/>
          <w:sz w:val="32"/>
          <w:szCs w:val="32"/>
          <w:lang w:val="en-US" w:eastAsia="zh-CN" w:bidi="ar"/>
        </w:rPr>
        <w:t>3</w:t>
      </w:r>
      <w:r>
        <w:rPr>
          <w:rFonts w:hint="default" w:ascii="仿宋" w:hAnsi="仿宋" w:eastAsia="仿宋" w:cs="仿宋"/>
          <w:i w:val="0"/>
          <w:iCs w:val="0"/>
          <w:caps w:val="0"/>
          <w:color w:val="000000"/>
          <w:spacing w:val="0"/>
          <w:kern w:val="0"/>
          <w:sz w:val="32"/>
          <w:szCs w:val="32"/>
          <w:lang w:val="en-US" w:eastAsia="zh-CN" w:bidi="ar"/>
        </w:rPr>
        <w:t>年初</w:t>
      </w:r>
      <w:r>
        <w:rPr>
          <w:rFonts w:hint="eastAsia" w:ascii="仿宋" w:hAnsi="仿宋" w:eastAsia="仿宋" w:cs="仿宋"/>
          <w:i w:val="0"/>
          <w:iCs w:val="0"/>
          <w:caps w:val="0"/>
          <w:color w:val="000000"/>
          <w:spacing w:val="0"/>
          <w:kern w:val="0"/>
          <w:sz w:val="32"/>
          <w:szCs w:val="32"/>
          <w:lang w:val="en-US" w:eastAsia="zh-CN" w:bidi="ar"/>
        </w:rPr>
        <w:t>单位</w:t>
      </w:r>
      <w:r>
        <w:rPr>
          <w:rFonts w:hint="default" w:ascii="仿宋" w:hAnsi="仿宋" w:eastAsia="仿宋" w:cs="仿宋"/>
          <w:i w:val="0"/>
          <w:iCs w:val="0"/>
          <w:caps w:val="0"/>
          <w:color w:val="000000"/>
          <w:spacing w:val="0"/>
          <w:kern w:val="0"/>
          <w:sz w:val="32"/>
          <w:szCs w:val="32"/>
          <w:lang w:val="en-US" w:eastAsia="zh-CN" w:bidi="ar"/>
        </w:rPr>
        <w:t>按照预算要求事先设置了项目完成数量、社会效益、满意度等绩效目标。从项目完成、效益、满意度等方面设置了绩效指标，综合反映项目预期完成的数量、时效、质量，预期达到的社会效益、经济效益、可持续效益、以及服务对象满意度等情况。年</w:t>
      </w:r>
      <w:r>
        <w:rPr>
          <w:rFonts w:hint="eastAsia" w:ascii="仿宋" w:hAnsi="仿宋" w:eastAsia="仿宋" w:cs="仿宋"/>
          <w:i w:val="0"/>
          <w:iCs w:val="0"/>
          <w:caps w:val="0"/>
          <w:color w:val="000000"/>
          <w:spacing w:val="0"/>
          <w:kern w:val="0"/>
          <w:sz w:val="32"/>
          <w:szCs w:val="32"/>
          <w:lang w:val="en-US" w:eastAsia="zh-CN" w:bidi="ar"/>
        </w:rPr>
        <w:t>底</w:t>
      </w:r>
      <w:r>
        <w:rPr>
          <w:rFonts w:hint="default" w:ascii="仿宋" w:hAnsi="仿宋" w:eastAsia="仿宋" w:cs="仿宋"/>
          <w:i w:val="0"/>
          <w:iCs w:val="0"/>
          <w:caps w:val="0"/>
          <w:color w:val="000000"/>
          <w:spacing w:val="0"/>
          <w:kern w:val="0"/>
          <w:sz w:val="32"/>
          <w:szCs w:val="32"/>
          <w:lang w:val="en-US" w:eastAsia="zh-CN" w:bidi="ar"/>
        </w:rPr>
        <w:t>按要求对本单位的支出绩效进行自评，形成自评报告，并</w:t>
      </w:r>
      <w:r>
        <w:rPr>
          <w:rFonts w:hint="eastAsia" w:ascii="仿宋" w:hAnsi="仿宋" w:eastAsia="仿宋" w:cs="仿宋"/>
          <w:i w:val="0"/>
          <w:iCs w:val="0"/>
          <w:caps w:val="0"/>
          <w:color w:val="000000"/>
          <w:spacing w:val="0"/>
          <w:kern w:val="0"/>
          <w:sz w:val="32"/>
          <w:szCs w:val="32"/>
          <w:lang w:val="en-US" w:eastAsia="zh-CN" w:bidi="ar"/>
        </w:rPr>
        <w:t>按要求在规定</w:t>
      </w:r>
      <w:r>
        <w:rPr>
          <w:rFonts w:hint="default" w:ascii="仿宋" w:hAnsi="仿宋" w:eastAsia="仿宋" w:cs="仿宋"/>
          <w:i w:val="0"/>
          <w:iCs w:val="0"/>
          <w:caps w:val="0"/>
          <w:color w:val="000000"/>
          <w:spacing w:val="0"/>
          <w:kern w:val="0"/>
          <w:sz w:val="32"/>
          <w:szCs w:val="32"/>
          <w:lang w:val="en-US" w:eastAsia="zh-CN" w:bidi="ar"/>
        </w:rPr>
        <w:t>网站进行了公开，自觉接受社会监督。进一步强化了绩效管理理念，促进绩效管理与预算编制、执行、监督有机融合。提高了预算编制的科学性、公开性和公正性。规范了财政资金管理，强化了财政支出绩效理念，提升了部门责任意识，</w:t>
      </w:r>
      <w:r>
        <w:rPr>
          <w:rFonts w:hint="eastAsia" w:ascii="仿宋" w:hAnsi="仿宋" w:eastAsia="仿宋" w:cs="仿宋"/>
          <w:color w:val="333333"/>
          <w:sz w:val="32"/>
          <w:szCs w:val="32"/>
        </w:rPr>
        <w:t>提高资金的使用</w:t>
      </w:r>
      <w:r>
        <w:rPr>
          <w:rFonts w:hint="eastAsia" w:ascii="仿宋" w:hAnsi="仿宋" w:eastAsia="仿宋" w:cs="仿宋"/>
          <w:color w:val="333333"/>
          <w:sz w:val="32"/>
          <w:szCs w:val="32"/>
          <w:lang w:eastAsia="zh-CN"/>
        </w:rPr>
        <w:t>效益，促进了</w:t>
      </w:r>
      <w:r>
        <w:rPr>
          <w:rFonts w:hint="eastAsia" w:ascii="仿宋" w:hAnsi="仿宋" w:eastAsia="仿宋" w:cs="仿宋"/>
          <w:color w:val="333333"/>
          <w:sz w:val="32"/>
          <w:szCs w:val="32"/>
        </w:rPr>
        <w:t>业务</w:t>
      </w:r>
      <w:r>
        <w:rPr>
          <w:rFonts w:hint="eastAsia" w:ascii="仿宋" w:hAnsi="仿宋" w:eastAsia="仿宋" w:cs="仿宋"/>
          <w:color w:val="333333"/>
          <w:sz w:val="32"/>
          <w:szCs w:val="32"/>
          <w:lang w:eastAsia="zh-CN"/>
        </w:rPr>
        <w:t>有效开展</w:t>
      </w:r>
      <w:r>
        <w:rPr>
          <w:rFonts w:hint="default" w:ascii="仿宋" w:hAnsi="仿宋" w:eastAsia="仿宋" w:cs="仿宋"/>
          <w:i w:val="0"/>
          <w:iCs w:val="0"/>
          <w:caps w:val="0"/>
          <w:color w:val="000000"/>
          <w:spacing w:val="0"/>
          <w:kern w:val="0"/>
          <w:sz w:val="32"/>
          <w:szCs w:val="32"/>
          <w:lang w:val="en-US" w:eastAsia="zh-CN" w:bidi="ar"/>
        </w:rPr>
        <w:t>。</w:t>
      </w:r>
    </w:p>
    <w:p w14:paraId="65F60FDA">
      <w:pPr>
        <w:pStyle w:val="3"/>
        <w:rPr>
          <w:rFonts w:hint="eastAsia"/>
          <w:lang w:val="en-US" w:eastAsia="zh-CN"/>
        </w:rPr>
      </w:pPr>
    </w:p>
    <w:p w14:paraId="30DACA9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both"/>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四、评价结论及建议</w:t>
      </w:r>
    </w:p>
    <w:p w14:paraId="3D2F698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both"/>
        <w:rPr>
          <w:rFonts w:hint="eastAsia" w:ascii="华文楷体" w:hAnsi="华文楷体" w:eastAsia="华文楷体" w:cs="华文楷体"/>
          <w:b/>
          <w:bCs/>
          <w:i w:val="0"/>
          <w:iCs w:val="0"/>
          <w:caps w:val="0"/>
          <w:color w:val="000000"/>
          <w:spacing w:val="0"/>
          <w:kern w:val="0"/>
          <w:sz w:val="32"/>
          <w:szCs w:val="32"/>
          <w:lang w:val="en-US" w:eastAsia="zh-CN" w:bidi="ar"/>
        </w:rPr>
      </w:pPr>
      <w:r>
        <w:rPr>
          <w:rFonts w:hint="eastAsia" w:ascii="华文楷体" w:hAnsi="华文楷体" w:eastAsia="华文楷体" w:cs="华文楷体"/>
          <w:b/>
          <w:bCs/>
          <w:i w:val="0"/>
          <w:iCs w:val="0"/>
          <w:caps w:val="0"/>
          <w:color w:val="000000"/>
          <w:spacing w:val="0"/>
          <w:kern w:val="0"/>
          <w:sz w:val="32"/>
          <w:szCs w:val="32"/>
          <w:lang w:val="en-US" w:eastAsia="zh-CN" w:bidi="ar"/>
        </w:rPr>
        <w:t>（一）评价结论</w:t>
      </w:r>
    </w:p>
    <w:p w14:paraId="5A252F5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通过绩效自评，甘孜州司法局</w:t>
      </w:r>
      <w:r>
        <w:rPr>
          <w:rFonts w:hint="default" w:ascii="仿宋" w:hAnsi="仿宋" w:eastAsia="仿宋" w:cs="仿宋"/>
          <w:i w:val="0"/>
          <w:iCs w:val="0"/>
          <w:caps w:val="0"/>
          <w:color w:val="000000"/>
          <w:spacing w:val="0"/>
          <w:kern w:val="0"/>
          <w:sz w:val="32"/>
          <w:szCs w:val="32"/>
          <w:lang w:val="en-US" w:eastAsia="zh-CN" w:bidi="ar"/>
        </w:rPr>
        <w:t>202</w:t>
      </w:r>
      <w:r>
        <w:rPr>
          <w:rFonts w:hint="eastAsia" w:ascii="仿宋" w:hAnsi="仿宋" w:eastAsia="仿宋" w:cs="仿宋"/>
          <w:i w:val="0"/>
          <w:iCs w:val="0"/>
          <w:caps w:val="0"/>
          <w:color w:val="000000"/>
          <w:spacing w:val="0"/>
          <w:kern w:val="0"/>
          <w:sz w:val="32"/>
          <w:szCs w:val="32"/>
          <w:lang w:val="en-US" w:eastAsia="zh-CN" w:bidi="ar"/>
        </w:rPr>
        <w:t>3年度部门预算目标任务与法律法规、部门职责、中长期规划相符、目标任务合理可行；预算测算依据充分，绩效目标基本科学合理；专项资金分配及时、绩效监控管理较严格、资产管理规范、内控制度健全并执行有效、相关信息公开及时；任务指标完成情况较好，取得了较好经济效益和社会效益，可持续发展能力提升明显、协作部门、服务对象和社会公众满意。</w:t>
      </w:r>
    </w:p>
    <w:p w14:paraId="6800646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default" w:ascii="仿宋" w:hAnsi="仿宋" w:eastAsia="仿宋" w:cs="仿宋"/>
          <w:i w:val="0"/>
          <w:iCs w:val="0"/>
          <w:caps w:val="0"/>
          <w:color w:val="000000"/>
          <w:spacing w:val="0"/>
          <w:kern w:val="0"/>
          <w:sz w:val="32"/>
          <w:szCs w:val="32"/>
          <w:lang w:val="en-US" w:eastAsia="zh-CN" w:bidi="ar"/>
        </w:rPr>
      </w:pPr>
      <w:r>
        <w:rPr>
          <w:rFonts w:hint="default" w:ascii="仿宋" w:hAnsi="仿宋" w:eastAsia="仿宋" w:cs="仿宋"/>
          <w:i w:val="0"/>
          <w:iCs w:val="0"/>
          <w:caps w:val="0"/>
          <w:color w:val="000000"/>
          <w:spacing w:val="0"/>
          <w:kern w:val="0"/>
          <w:sz w:val="32"/>
          <w:szCs w:val="32"/>
          <w:lang w:val="en-US" w:eastAsia="zh-CN" w:bidi="ar"/>
        </w:rPr>
        <w:t>根据部门支出整体绩效评价指标打分，涉及评价指标分值共100分，自评分为9</w:t>
      </w:r>
      <w:r>
        <w:rPr>
          <w:rFonts w:hint="eastAsia" w:ascii="仿宋" w:hAnsi="仿宋" w:eastAsia="仿宋" w:cs="仿宋"/>
          <w:i w:val="0"/>
          <w:iCs w:val="0"/>
          <w:caps w:val="0"/>
          <w:color w:val="000000"/>
          <w:spacing w:val="0"/>
          <w:kern w:val="0"/>
          <w:sz w:val="32"/>
          <w:szCs w:val="32"/>
          <w:lang w:val="en-US" w:eastAsia="zh-CN" w:bidi="ar"/>
        </w:rPr>
        <w:t>5</w:t>
      </w:r>
      <w:r>
        <w:rPr>
          <w:rFonts w:hint="default" w:ascii="仿宋" w:hAnsi="仿宋" w:eastAsia="仿宋" w:cs="仿宋"/>
          <w:i w:val="0"/>
          <w:iCs w:val="0"/>
          <w:caps w:val="0"/>
          <w:color w:val="000000"/>
          <w:spacing w:val="0"/>
          <w:kern w:val="0"/>
          <w:sz w:val="32"/>
          <w:szCs w:val="32"/>
          <w:lang w:val="en-US" w:eastAsia="zh-CN" w:bidi="ar"/>
        </w:rPr>
        <w:t>分。</w:t>
      </w:r>
    </w:p>
    <w:p w14:paraId="4197930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仿宋" w:hAnsi="仿宋" w:eastAsia="仿宋" w:cs="仿宋"/>
          <w:i w:val="0"/>
          <w:iCs w:val="0"/>
          <w:caps w:val="0"/>
          <w:color w:val="000000"/>
          <w:spacing w:val="0"/>
          <w:kern w:val="0"/>
          <w:sz w:val="32"/>
          <w:szCs w:val="32"/>
          <w:lang w:val="en-US" w:eastAsia="zh-CN" w:bidi="ar"/>
        </w:rPr>
      </w:pPr>
      <w:r>
        <w:rPr>
          <w:rFonts w:hint="default" w:ascii="仿宋" w:hAnsi="仿宋" w:eastAsia="仿宋" w:cs="仿宋"/>
          <w:i w:val="0"/>
          <w:iCs w:val="0"/>
          <w:caps w:val="0"/>
          <w:color w:val="000000"/>
          <w:spacing w:val="0"/>
          <w:kern w:val="0"/>
          <w:sz w:val="32"/>
          <w:szCs w:val="32"/>
          <w:lang w:val="en-US" w:eastAsia="zh-CN" w:bidi="ar"/>
        </w:rPr>
        <w:t>（二）存在问题</w:t>
      </w:r>
    </w:p>
    <w:p w14:paraId="4095671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contextualSpacing/>
        <w:jc w:val="both"/>
        <w:textAlignment w:val="auto"/>
        <w:rPr>
          <w:rFonts w:hint="eastAsia" w:ascii="仿宋_GB2312" w:hAnsi="仿宋_GB2312" w:eastAsia="仿宋_GB2312" w:cs="仿宋_GB2312"/>
          <w:b w:val="0"/>
          <w:bCs w:val="0"/>
          <w:i w:val="0"/>
          <w:iCs w:val="0"/>
          <w:color w:val="000000"/>
          <w:kern w:val="0"/>
          <w:sz w:val="32"/>
          <w:szCs w:val="32"/>
          <w:highlight w:val="none"/>
          <w:u w:val="none"/>
          <w:shd w:val="clear" w:color="auto" w:fill="FFFFFF"/>
          <w:lang w:val="en-US" w:eastAsia="zh-CN"/>
        </w:rPr>
      </w:pPr>
      <w:r>
        <w:rPr>
          <w:rFonts w:hint="eastAsia" w:ascii="仿宋_GB2312" w:hAnsi="仿宋_GB2312" w:eastAsia="仿宋_GB2312" w:cs="仿宋_GB2312"/>
          <w:b w:val="0"/>
          <w:bCs w:val="0"/>
          <w:i w:val="0"/>
          <w:iCs w:val="0"/>
          <w:color w:val="000000"/>
          <w:kern w:val="0"/>
          <w:sz w:val="32"/>
          <w:szCs w:val="32"/>
          <w:highlight w:val="none"/>
          <w:u w:val="none"/>
          <w:shd w:val="clear" w:color="auto" w:fill="FFFFFF"/>
          <w:lang w:val="en-US" w:eastAsia="zh-CN"/>
        </w:rPr>
        <w:t>经过对部门整体支出绩效自评和预算项目绩效自评发现，存在的主要问题包括：一是部门整体支出绩效目标存在未完成指标；二是部门公用经费及非定额公用支出预算存在偏差较大的情况，扣分较多，影响较大；三是部门预算执行进度与序时进度相比还存在一定差距；四是部门预算年终结转结余资金较大；五是项目支出绩效存在预算执行较慢情况；六是绩效监控工作不够细致，未能及时发现存在问题；七是对存在问题的处理不够及时，未能在预算执行完成之前对部门预算进行及时梳理调整。</w:t>
      </w:r>
    </w:p>
    <w:p w14:paraId="2A5E238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both"/>
        <w:rPr>
          <w:rFonts w:hint="default" w:ascii="华文楷体" w:hAnsi="华文楷体" w:eastAsia="华文楷体" w:cs="华文楷体"/>
          <w:b/>
          <w:bCs/>
          <w:i w:val="0"/>
          <w:iCs w:val="0"/>
          <w:caps w:val="0"/>
          <w:color w:val="000000"/>
          <w:spacing w:val="0"/>
          <w:kern w:val="0"/>
          <w:sz w:val="32"/>
          <w:szCs w:val="32"/>
          <w:lang w:val="en-US" w:eastAsia="zh-CN" w:bidi="ar"/>
        </w:rPr>
      </w:pPr>
      <w:r>
        <w:rPr>
          <w:rFonts w:hint="default" w:ascii="华文楷体" w:hAnsi="华文楷体" w:eastAsia="华文楷体" w:cs="华文楷体"/>
          <w:b/>
          <w:bCs/>
          <w:i w:val="0"/>
          <w:iCs w:val="0"/>
          <w:caps w:val="0"/>
          <w:color w:val="000000"/>
          <w:spacing w:val="0"/>
          <w:kern w:val="0"/>
          <w:sz w:val="32"/>
          <w:szCs w:val="32"/>
          <w:lang w:val="en-US" w:eastAsia="zh-CN" w:bidi="ar"/>
        </w:rPr>
        <w:t>（三）改进建议</w:t>
      </w:r>
    </w:p>
    <w:p w14:paraId="6A0AD44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contextualSpacing/>
        <w:jc w:val="both"/>
        <w:textAlignment w:val="auto"/>
        <w:rPr>
          <w:rFonts w:hint="eastAsia" w:ascii="仿宋_GB2312" w:hAnsi="仿宋_GB2312" w:eastAsia="仿宋_GB2312" w:cs="仿宋_GB2312"/>
          <w:b w:val="0"/>
          <w:bCs w:val="0"/>
          <w:i w:val="0"/>
          <w:iCs w:val="0"/>
          <w:color w:val="000000"/>
          <w:kern w:val="0"/>
          <w:sz w:val="32"/>
          <w:szCs w:val="32"/>
          <w:highlight w:val="none"/>
          <w:u w:val="none"/>
          <w:shd w:val="clear" w:color="auto" w:fill="FFFFFF"/>
          <w:lang w:val="en-US" w:eastAsia="zh-CN"/>
        </w:rPr>
      </w:pPr>
      <w:r>
        <w:rPr>
          <w:rFonts w:hint="eastAsia" w:ascii="仿宋_GB2312" w:hAnsi="仿宋_GB2312" w:eastAsia="仿宋_GB2312" w:cs="仿宋_GB2312"/>
          <w:b w:val="0"/>
          <w:bCs w:val="0"/>
          <w:i w:val="0"/>
          <w:iCs w:val="0"/>
          <w:color w:val="000000"/>
          <w:kern w:val="0"/>
          <w:sz w:val="32"/>
          <w:szCs w:val="32"/>
          <w:highlight w:val="none"/>
          <w:u w:val="none"/>
          <w:shd w:val="clear" w:color="auto" w:fill="FFFFFF"/>
          <w:lang w:val="en-US" w:eastAsia="zh-CN"/>
        </w:rPr>
        <w:t>2023年我局基本完成预算执行，但还存在预算绩效监控不全面，处置问题不及时，预算资金结余注销率较大的问题。针对以上存在的问题，在2024年预算执行中，将进一步提高部门预算绩效管理水平：一是进一步健全预算绩效管理制度，完善管理机制；二是利用信息化技术手段，全面开展预算项目绩效管理；三是加强预算监控力度，对执行较差、目标偏离的项目，及时按程序提出处置意见，避免造成财政资金浪费；四是加强预算编制的科学、合理和准确性，并将把预算绩效结果与预算经费安排挂钩；五是积极与财政部门沟通协调，按要求完成各项工作任务。六是加强财务人员和部门财务联络员绩效管理理论知识的培训学习。</w:t>
      </w:r>
    </w:p>
    <w:p w14:paraId="77A4C107">
      <w:pPr>
        <w:pStyle w:val="2"/>
        <w:rPr>
          <w:rFonts w:hint="eastAsia" w:ascii="仿宋_GB2312" w:hAnsi="仿宋_GB2312" w:eastAsia="仿宋_GB2312" w:cs="仿宋_GB2312"/>
          <w:b w:val="0"/>
          <w:bCs w:val="0"/>
          <w:i w:val="0"/>
          <w:iCs w:val="0"/>
          <w:color w:val="000000"/>
          <w:kern w:val="0"/>
          <w:sz w:val="32"/>
          <w:szCs w:val="32"/>
          <w:highlight w:val="none"/>
          <w:u w:val="none"/>
          <w:shd w:val="clear" w:color="auto" w:fill="FFFFFF"/>
          <w:lang w:val="en-US" w:eastAsia="zh-CN"/>
        </w:rPr>
      </w:pPr>
    </w:p>
    <w:p w14:paraId="13D1CE8B">
      <w:pPr>
        <w:pStyle w:val="3"/>
        <w:ind w:left="0" w:leftChars="0" w:firstLine="0" w:firstLineChars="0"/>
        <w:rPr>
          <w:rFonts w:hint="eastAsia" w:ascii="仿宋_GB2312" w:hAnsi="仿宋_GB2312" w:eastAsia="仿宋_GB2312" w:cs="仿宋_GB2312"/>
          <w:b w:val="0"/>
          <w:bCs w:val="0"/>
          <w:i w:val="0"/>
          <w:iCs w:val="0"/>
          <w:color w:val="000000"/>
          <w:kern w:val="0"/>
          <w:sz w:val="32"/>
          <w:szCs w:val="32"/>
          <w:highlight w:val="none"/>
          <w:u w:val="none"/>
          <w:shd w:val="clear" w:color="auto" w:fill="FFFFFF"/>
          <w:lang w:val="en-US" w:eastAsia="zh-CN"/>
        </w:rPr>
      </w:pPr>
    </w:p>
    <w:p w14:paraId="2B01FBA8">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hAnsi="Times New Roman" w:cs="Times New Roman"/>
          <w:color w:val="auto"/>
          <w:sz w:val="32"/>
          <w:szCs w:val="32"/>
          <w:highlight w:val="none"/>
          <w:lang w:val="zh-CN" w:eastAsia="zh-CN"/>
        </w:rPr>
      </w:pPr>
      <w:bookmarkStart w:id="121" w:name="bookmark105"/>
      <w:bookmarkStart w:id="122" w:name="bookmark106"/>
      <w:bookmarkStart w:id="123" w:name="bookmark107"/>
      <w:r>
        <w:rPr>
          <w:rFonts w:hint="eastAsia" w:hAnsi="Times New Roman" w:cs="Times New Roman"/>
          <w:color w:val="auto"/>
          <w:sz w:val="32"/>
          <w:szCs w:val="32"/>
          <w:highlight w:val="none"/>
          <w:lang w:val="zh-CN" w:eastAsia="zh-CN"/>
        </w:rPr>
        <w:t>附表：</w:t>
      </w:r>
      <w:r>
        <w:rPr>
          <w:rFonts w:hint="eastAsia" w:hAnsi="Times New Roman" w:cs="Times New Roman"/>
          <w:color w:val="auto"/>
          <w:sz w:val="32"/>
          <w:szCs w:val="32"/>
          <w:highlight w:val="none"/>
          <w:lang w:val="en-US" w:eastAsia="zh-CN"/>
        </w:rPr>
        <w:t>部门预算项目支出绩效自评表（202</w:t>
      </w:r>
      <w:r>
        <w:rPr>
          <w:rFonts w:hint="eastAsia" w:cs="Times New Roman"/>
          <w:color w:val="auto"/>
          <w:sz w:val="32"/>
          <w:szCs w:val="32"/>
          <w:highlight w:val="none"/>
          <w:lang w:val="en-US" w:eastAsia="zh-CN"/>
        </w:rPr>
        <w:t>3</w:t>
      </w:r>
      <w:r>
        <w:rPr>
          <w:rFonts w:hint="eastAsia" w:hAnsi="Times New Roman" w:cs="Times New Roman"/>
          <w:color w:val="auto"/>
          <w:sz w:val="32"/>
          <w:szCs w:val="32"/>
          <w:highlight w:val="none"/>
          <w:lang w:val="en-US" w:eastAsia="zh-CN"/>
        </w:rPr>
        <w:t>年度）</w:t>
      </w:r>
    </w:p>
    <w:p w14:paraId="146733EB">
      <w:pPr>
        <w:pStyle w:val="3"/>
        <w:keepNext w:val="0"/>
        <w:keepLines w:val="0"/>
        <w:pageBreakBefore w:val="0"/>
        <w:numPr>
          <w:ilvl w:val="0"/>
          <w:numId w:val="0"/>
        </w:numPr>
        <w:kinsoku/>
        <w:wordWrap/>
        <w:overflowPunct/>
        <w:topLinePunct w:val="0"/>
        <w:autoSpaceDE/>
        <w:autoSpaceDN/>
        <w:bidi w:val="0"/>
        <w:spacing w:after="0" w:line="240" w:lineRule="auto"/>
        <w:ind w:firstLine="0" w:firstLineChars="0"/>
        <w:jc w:val="left"/>
        <w:textAlignment w:val="auto"/>
        <w:rPr>
          <w:rFonts w:hint="eastAsia"/>
          <w:color w:val="000000"/>
          <w:spacing w:val="0"/>
          <w:w w:val="100"/>
          <w:position w:val="0"/>
          <w:lang w:val="en-US" w:eastAsia="zh-CN"/>
        </w:rPr>
      </w:pPr>
    </w:p>
    <w:tbl>
      <w:tblPr>
        <w:tblStyle w:val="18"/>
        <w:tblW w:w="9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52"/>
        <w:gridCol w:w="1006"/>
        <w:gridCol w:w="1408"/>
        <w:gridCol w:w="396"/>
        <w:gridCol w:w="967"/>
        <w:gridCol w:w="756"/>
        <w:gridCol w:w="846"/>
        <w:gridCol w:w="576"/>
        <w:gridCol w:w="396"/>
        <w:gridCol w:w="1361"/>
      </w:tblGrid>
      <w:tr w14:paraId="19855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9" w:hRule="atLeast"/>
        </w:trPr>
        <w:tc>
          <w:tcPr>
            <w:tcW w:w="9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0DA6091">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D1AE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D46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3DD31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51330022T000000387730-基层党组织建设经费</w:t>
            </w:r>
          </w:p>
        </w:tc>
      </w:tr>
      <w:tr w14:paraId="4DAE8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9D5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2FB0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甘孜州司法局部门</w:t>
            </w:r>
          </w:p>
        </w:tc>
        <w:tc>
          <w:tcPr>
            <w:tcW w:w="846" w:type="dxa"/>
            <w:tcBorders>
              <w:top w:val="nil"/>
              <w:left w:val="nil"/>
              <w:bottom w:val="nil"/>
              <w:right w:val="nil"/>
            </w:tcBorders>
            <w:shd w:val="clear" w:color="auto" w:fill="auto"/>
            <w:vAlign w:val="center"/>
          </w:tcPr>
          <w:p w14:paraId="708D943B">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93D3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州司法局机关</w:t>
            </w:r>
          </w:p>
        </w:tc>
      </w:tr>
      <w:tr w14:paraId="4DB46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9F83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51F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2425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60B3A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8DE1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560B4">
            <w:pP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C8CC1">
            <w:pPr>
              <w:rPr>
                <w:rFonts w:hint="eastAsia" w:ascii="宋体" w:hAnsi="宋体" w:eastAsia="宋体" w:cs="宋体"/>
                <w:i w:val="0"/>
                <w:iCs w:val="0"/>
                <w:color w:val="000000"/>
                <w:sz w:val="18"/>
                <w:szCs w:val="18"/>
                <w:u w:val="none"/>
              </w:rPr>
            </w:pP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7546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紧紧围绕省州十一次党代会和州委“123456”总体工作格局，全面落实新时代党的建设总要求，以党的政治建设为统领，以“不忘初心，牢记使命”主题教育为主线，以提升基层党组织组织力为重点，深入实施基层党建质量提升工程，以党建统揽机关各项工作，切实把党员干部队伍建设成为政治强、业务精、作风优的过硬队伍，把机关党组织建成讲政治、有活力、能战斗的坚强堡垒。</w:t>
            </w: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ECB36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887A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E4F81">
            <w:pP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78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3926B56">
            <w:pPr>
              <w:rPr>
                <w:rFonts w:hint="eastAsia" w:ascii="宋体" w:hAnsi="宋体" w:eastAsia="宋体" w:cs="宋体"/>
                <w:i w:val="0"/>
                <w:iCs w:val="0"/>
                <w:color w:val="000000"/>
                <w:sz w:val="18"/>
                <w:szCs w:val="18"/>
                <w:u w:val="none"/>
              </w:rPr>
            </w:pPr>
          </w:p>
        </w:tc>
      </w:tr>
      <w:tr w14:paraId="1F3CF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630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68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50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69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570D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F5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24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20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A5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89E8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6CCD2">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CA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AB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AE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66DA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5A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A5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C9E1">
            <w:pPr>
              <w:jc w:val="center"/>
              <w:rPr>
                <w:rFonts w:hint="eastAsia" w:ascii="宋体" w:hAnsi="宋体" w:eastAsia="宋体" w:cs="宋体"/>
                <w:i w:val="0"/>
                <w:iCs w:val="0"/>
                <w:color w:val="000000"/>
                <w:sz w:val="18"/>
                <w:szCs w:val="18"/>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B786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5C5D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EF34A">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46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67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49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B594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64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F3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A8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FCA2D">
            <w:pPr>
              <w:rPr>
                <w:rFonts w:hint="eastAsia" w:ascii="黑体" w:hAnsi="黑体" w:eastAsia="黑体" w:cs="黑体"/>
                <w:i/>
                <w:iCs/>
                <w:color w:val="000000"/>
                <w:sz w:val="18"/>
                <w:szCs w:val="18"/>
                <w:u w:val="none"/>
              </w:rPr>
            </w:pPr>
          </w:p>
        </w:tc>
      </w:tr>
      <w:tr w14:paraId="77151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E364F">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5F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AF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C0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3CC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BA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C1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8C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91FF4">
            <w:pPr>
              <w:rPr>
                <w:rFonts w:hint="eastAsia" w:ascii="黑体" w:hAnsi="黑体" w:eastAsia="黑体" w:cs="黑体"/>
                <w:i/>
                <w:iCs/>
                <w:color w:val="000000"/>
                <w:sz w:val="18"/>
                <w:szCs w:val="18"/>
                <w:u w:val="none"/>
              </w:rPr>
            </w:pPr>
          </w:p>
        </w:tc>
      </w:tr>
      <w:tr w14:paraId="52A5F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362BE">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8E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94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0F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ED9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37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3D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F8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CCFC6">
            <w:pPr>
              <w:rPr>
                <w:rFonts w:hint="eastAsia" w:ascii="黑体" w:hAnsi="黑体" w:eastAsia="黑体" w:cs="黑体"/>
                <w:i/>
                <w:iCs/>
                <w:color w:val="000000"/>
                <w:sz w:val="18"/>
                <w:szCs w:val="18"/>
                <w:u w:val="none"/>
              </w:rPr>
            </w:pPr>
          </w:p>
        </w:tc>
      </w:tr>
      <w:tr w14:paraId="3B8BF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6A23E">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F4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1309">
            <w:pPr>
              <w:jc w:val="center"/>
              <w:rPr>
                <w:rFonts w:hint="eastAsia" w:ascii="微软雅黑" w:hAnsi="微软雅黑" w:eastAsia="微软雅黑" w:cs="微软雅黑"/>
                <w:i/>
                <w:iCs/>
                <w:color w:val="000000"/>
                <w:sz w:val="16"/>
                <w:szCs w:val="16"/>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ACF5">
            <w:pPr>
              <w:jc w:val="center"/>
              <w:rPr>
                <w:rFonts w:hint="eastAsia" w:ascii="微软雅黑" w:hAnsi="微软雅黑" w:eastAsia="微软雅黑" w:cs="微软雅黑"/>
                <w:i/>
                <w:iCs/>
                <w:color w:val="000000"/>
                <w:sz w:val="16"/>
                <w:szCs w:val="16"/>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2EE90D">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141D">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23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B9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2E041">
            <w:pPr>
              <w:rPr>
                <w:rFonts w:hint="eastAsia" w:ascii="黑体" w:hAnsi="黑体" w:eastAsia="黑体" w:cs="黑体"/>
                <w:i/>
                <w:iCs/>
                <w:color w:val="000000"/>
                <w:sz w:val="18"/>
                <w:szCs w:val="18"/>
                <w:u w:val="none"/>
              </w:rPr>
            </w:pPr>
          </w:p>
        </w:tc>
      </w:tr>
      <w:tr w14:paraId="4FCC9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EF58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55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14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D0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FA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A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A7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5D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E5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C9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14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18D9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8F402">
            <w:pPr>
              <w:jc w:val="center"/>
              <w:rPr>
                <w:rFonts w:hint="eastAsia" w:ascii="宋体" w:hAnsi="宋体" w:eastAsia="宋体" w:cs="宋体"/>
                <w:i w:val="0"/>
                <w:iCs w:val="0"/>
                <w:color w:val="000000"/>
                <w:sz w:val="18"/>
                <w:szCs w:val="18"/>
                <w:u w:val="none"/>
              </w:rPr>
            </w:pP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9A5E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9034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8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党建课程调研</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1E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46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9B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1CCB">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F6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0738">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3A22">
            <w:pPr>
              <w:jc w:val="center"/>
              <w:rPr>
                <w:rFonts w:hint="eastAsia" w:ascii="微软雅黑" w:hAnsi="微软雅黑" w:eastAsia="微软雅黑" w:cs="微软雅黑"/>
                <w:i/>
                <w:iCs/>
                <w:color w:val="000000"/>
                <w:sz w:val="16"/>
                <w:szCs w:val="16"/>
                <w:u w:val="none"/>
              </w:rPr>
            </w:pPr>
          </w:p>
        </w:tc>
      </w:tr>
      <w:tr w14:paraId="347CE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C9B59">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40B01">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62CB1">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BF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党务干部培训，上、下半年各1次，预计培训各100人次。</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35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0B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06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A53E">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C3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A0A8">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F10B">
            <w:pPr>
              <w:jc w:val="center"/>
              <w:rPr>
                <w:rFonts w:hint="eastAsia" w:ascii="微软雅黑" w:hAnsi="微软雅黑" w:eastAsia="微软雅黑" w:cs="微软雅黑"/>
                <w:i/>
                <w:iCs/>
                <w:color w:val="000000"/>
                <w:sz w:val="16"/>
                <w:szCs w:val="16"/>
                <w:u w:val="none"/>
              </w:rPr>
            </w:pPr>
          </w:p>
        </w:tc>
      </w:tr>
      <w:tr w14:paraId="3F91C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84ED3">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645B5">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FB641">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F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机关开展党建及群众工作、对口扶贫工作</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79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6F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6E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E901">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2F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B588">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93BB">
            <w:pPr>
              <w:jc w:val="center"/>
              <w:rPr>
                <w:rFonts w:hint="eastAsia" w:ascii="微软雅黑" w:hAnsi="微软雅黑" w:eastAsia="微软雅黑" w:cs="微软雅黑"/>
                <w:i/>
                <w:iCs/>
                <w:color w:val="000000"/>
                <w:sz w:val="16"/>
                <w:szCs w:val="16"/>
                <w:u w:val="none"/>
              </w:rPr>
            </w:pPr>
          </w:p>
        </w:tc>
      </w:tr>
      <w:tr w14:paraId="09C35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A9932">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2C78D">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83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B4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88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BB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7D7B">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521A">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78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5769">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5DA0">
            <w:pPr>
              <w:jc w:val="center"/>
              <w:rPr>
                <w:rFonts w:hint="eastAsia" w:ascii="微软雅黑" w:hAnsi="微软雅黑" w:eastAsia="微软雅黑" w:cs="微软雅黑"/>
                <w:i/>
                <w:iCs/>
                <w:color w:val="000000"/>
                <w:sz w:val="16"/>
                <w:szCs w:val="16"/>
                <w:u w:val="none"/>
              </w:rPr>
            </w:pPr>
          </w:p>
        </w:tc>
      </w:tr>
      <w:tr w14:paraId="21CEE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F44F9">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1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E3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9A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党务干部培训，上、下半年各1次，预计培训各100人次。</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87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90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08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A9B0">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24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D8BF">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A16B">
            <w:pPr>
              <w:jc w:val="center"/>
              <w:rPr>
                <w:rFonts w:hint="eastAsia" w:ascii="微软雅黑" w:hAnsi="微软雅黑" w:eastAsia="微软雅黑" w:cs="微软雅黑"/>
                <w:i/>
                <w:iCs/>
                <w:color w:val="000000"/>
                <w:sz w:val="16"/>
                <w:szCs w:val="16"/>
                <w:u w:val="none"/>
              </w:rPr>
            </w:pPr>
          </w:p>
        </w:tc>
      </w:tr>
      <w:tr w14:paraId="003F2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80FD0">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DB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09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87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党务干部培训对象，帮扶对象，群众满意度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C0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21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43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8F30">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05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6F84">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62E7">
            <w:pPr>
              <w:jc w:val="center"/>
              <w:rPr>
                <w:rFonts w:hint="eastAsia" w:ascii="微软雅黑" w:hAnsi="微软雅黑" w:eastAsia="微软雅黑" w:cs="微软雅黑"/>
                <w:i/>
                <w:iCs/>
                <w:color w:val="000000"/>
                <w:sz w:val="16"/>
                <w:szCs w:val="16"/>
                <w:u w:val="none"/>
              </w:rPr>
            </w:pPr>
          </w:p>
        </w:tc>
      </w:tr>
      <w:tr w14:paraId="4E19E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2F3C8">
            <w:pPr>
              <w:jc w:val="center"/>
              <w:rPr>
                <w:rFonts w:hint="eastAsia" w:ascii="宋体" w:hAnsi="宋体" w:eastAsia="宋体" w:cs="宋体"/>
                <w:i w:val="0"/>
                <w:iCs w:val="0"/>
                <w:color w:val="000000"/>
                <w:sz w:val="18"/>
                <w:szCs w:val="18"/>
                <w:u w:val="none"/>
              </w:rPr>
            </w:pP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8FB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E90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65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党员干部培训</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8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C4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BF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C843">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38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8BDB">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EA69">
            <w:pPr>
              <w:jc w:val="center"/>
              <w:rPr>
                <w:rFonts w:hint="eastAsia" w:ascii="微软雅黑" w:hAnsi="微软雅黑" w:eastAsia="微软雅黑" w:cs="微软雅黑"/>
                <w:i/>
                <w:iCs/>
                <w:color w:val="000000"/>
                <w:sz w:val="16"/>
                <w:szCs w:val="16"/>
                <w:u w:val="none"/>
              </w:rPr>
            </w:pPr>
          </w:p>
        </w:tc>
      </w:tr>
      <w:tr w14:paraId="378A0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1F244">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26DEA">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FD65A">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A9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群众工作、对口帮扶工作</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07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CB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2C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8B2D">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9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84F6">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4E4A">
            <w:pPr>
              <w:jc w:val="center"/>
              <w:rPr>
                <w:rFonts w:hint="eastAsia" w:ascii="微软雅黑" w:hAnsi="微软雅黑" w:eastAsia="微软雅黑" w:cs="微软雅黑"/>
                <w:i/>
                <w:iCs/>
                <w:color w:val="000000"/>
                <w:sz w:val="16"/>
                <w:szCs w:val="16"/>
                <w:u w:val="none"/>
              </w:rPr>
            </w:pPr>
          </w:p>
        </w:tc>
      </w:tr>
      <w:tr w14:paraId="68583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FC2EF">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1637F">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F8D9E">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3D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党建课程调研</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9F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9E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90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05EA">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66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8B94">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04E8">
            <w:pPr>
              <w:jc w:val="center"/>
              <w:rPr>
                <w:rFonts w:hint="eastAsia" w:ascii="微软雅黑" w:hAnsi="微软雅黑" w:eastAsia="微软雅黑" w:cs="微软雅黑"/>
                <w:i/>
                <w:iCs/>
                <w:color w:val="000000"/>
                <w:sz w:val="16"/>
                <w:szCs w:val="16"/>
                <w:u w:val="none"/>
              </w:rPr>
            </w:pPr>
          </w:p>
        </w:tc>
      </w:tr>
      <w:tr w14:paraId="3DC77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DF402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C8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28A1">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C5DD">
            <w:pPr>
              <w:rPr>
                <w:rFonts w:hint="eastAsia" w:ascii="宋体" w:hAnsi="宋体" w:eastAsia="宋体" w:cs="宋体"/>
                <w:i w:val="0"/>
                <w:iCs w:val="0"/>
                <w:color w:val="000000"/>
                <w:sz w:val="18"/>
                <w:szCs w:val="18"/>
                <w:u w:val="none"/>
              </w:rPr>
            </w:pPr>
          </w:p>
        </w:tc>
      </w:tr>
      <w:tr w14:paraId="5CFB8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68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46FA58">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夯实了机关党建及系统党建工作，整体提升党务干部队伍政治理论水平和能力素质，为下一步开展业务工作等提供坚实的基础。</w:t>
            </w:r>
          </w:p>
        </w:tc>
      </w:tr>
      <w:tr w14:paraId="30373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3F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573F14">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个别党员任然存在重业务轻党建思想。</w:t>
            </w:r>
          </w:p>
        </w:tc>
      </w:tr>
      <w:tr w14:paraId="785E7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F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8BE2683">
            <w:pPr>
              <w:pStyle w:val="38"/>
              <w:keepNext w:val="0"/>
              <w:keepLines w:val="0"/>
              <w:widowControl w:val="0"/>
              <w:shd w:val="clear" w:color="auto" w:fill="auto"/>
              <w:tabs>
                <w:tab w:val="left" w:pos="1598"/>
              </w:tabs>
              <w:bidi w:val="0"/>
              <w:spacing w:before="0" w:beforeLines="0" w:after="0" w:afterLines="0" w:line="630" w:lineRule="exact"/>
              <w:ind w:left="0" w:leftChars="0" w:right="0" w:firstLine="0" w:firstLineChars="0"/>
              <w:jc w:val="both"/>
              <w:rPr>
                <w:rFonts w:hint="eastAsia" w:ascii="宋体" w:hAnsi="宋体" w:eastAsia="宋体" w:cs="宋体"/>
                <w:i w:val="0"/>
                <w:iCs w:val="0"/>
                <w:color w:val="000000"/>
                <w:kern w:val="0"/>
                <w:sz w:val="18"/>
                <w:szCs w:val="18"/>
                <w:u w:val="none"/>
                <w:shd w:val="clear"/>
                <w:lang w:val="en-US" w:eastAsia="zh-CN" w:bidi="ar"/>
              </w:rPr>
            </w:pPr>
            <w:r>
              <w:rPr>
                <w:rFonts w:hint="eastAsia" w:ascii="宋体" w:hAnsi="宋体" w:eastAsia="宋体" w:cs="宋体"/>
                <w:i w:val="0"/>
                <w:iCs w:val="0"/>
                <w:color w:val="000000"/>
                <w:kern w:val="0"/>
                <w:sz w:val="18"/>
                <w:szCs w:val="18"/>
                <w:u w:val="none"/>
                <w:shd w:val="clear"/>
                <w:lang w:val="en-US" w:eastAsia="zh-CN" w:bidi="ar"/>
              </w:rPr>
              <w:t xml:space="preserve"> 根据绩效评价结果适当增加党建经费，有效增加专项党建活动，有利提升党组织战斗堡垒作用。</w:t>
            </w:r>
          </w:p>
          <w:p w14:paraId="67B618B5">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shd w:val="clear"/>
                <w:lang w:val="en-US" w:eastAsia="zh-CN" w:bidi="ar"/>
              </w:rPr>
            </w:pPr>
          </w:p>
        </w:tc>
      </w:tr>
      <w:tr w14:paraId="31FAF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44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3EE55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66737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E9EE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76" w:type="dxa"/>
            <w:tcBorders>
              <w:top w:val="nil"/>
              <w:left w:val="nil"/>
              <w:bottom w:val="nil"/>
              <w:right w:val="nil"/>
            </w:tcBorders>
            <w:shd w:val="clear" w:color="auto" w:fill="auto"/>
            <w:vAlign w:val="center"/>
          </w:tcPr>
          <w:p w14:paraId="454BCA21">
            <w:pPr>
              <w:rPr>
                <w:rFonts w:hint="eastAsia" w:ascii="宋体" w:hAnsi="宋体" w:eastAsia="宋体" w:cs="宋体"/>
                <w:i w:val="0"/>
                <w:iCs w:val="0"/>
                <w:color w:val="000000"/>
                <w:sz w:val="18"/>
                <w:szCs w:val="18"/>
                <w:u w:val="none"/>
              </w:rPr>
            </w:pPr>
          </w:p>
        </w:tc>
        <w:tc>
          <w:tcPr>
            <w:tcW w:w="1052" w:type="dxa"/>
            <w:tcBorders>
              <w:top w:val="nil"/>
              <w:left w:val="nil"/>
              <w:bottom w:val="nil"/>
              <w:right w:val="nil"/>
            </w:tcBorders>
            <w:shd w:val="clear" w:color="auto" w:fill="auto"/>
            <w:vAlign w:val="center"/>
          </w:tcPr>
          <w:p w14:paraId="6A2EF161">
            <w:pPr>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auto"/>
            <w:vAlign w:val="center"/>
          </w:tcPr>
          <w:p w14:paraId="4BCEF975">
            <w:pPr>
              <w:rPr>
                <w:rFonts w:hint="eastAsia" w:ascii="宋体" w:hAnsi="宋体" w:eastAsia="宋体" w:cs="宋体"/>
                <w:i w:val="0"/>
                <w:iCs w:val="0"/>
                <w:color w:val="000000"/>
                <w:sz w:val="18"/>
                <w:szCs w:val="18"/>
                <w:u w:val="none"/>
              </w:rPr>
            </w:pPr>
          </w:p>
        </w:tc>
        <w:tc>
          <w:tcPr>
            <w:tcW w:w="1408" w:type="dxa"/>
            <w:tcBorders>
              <w:top w:val="nil"/>
              <w:left w:val="nil"/>
              <w:bottom w:val="nil"/>
              <w:right w:val="nil"/>
            </w:tcBorders>
            <w:shd w:val="clear" w:color="auto" w:fill="auto"/>
            <w:vAlign w:val="center"/>
          </w:tcPr>
          <w:p w14:paraId="04E7B171">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4BB3512B">
            <w:pPr>
              <w:rPr>
                <w:rFonts w:hint="eastAsia" w:ascii="宋体" w:hAnsi="宋体" w:eastAsia="宋体" w:cs="宋体"/>
                <w:i w:val="0"/>
                <w:iCs w:val="0"/>
                <w:color w:val="000000"/>
                <w:sz w:val="18"/>
                <w:szCs w:val="18"/>
                <w:u w:val="none"/>
              </w:rPr>
            </w:pPr>
          </w:p>
        </w:tc>
        <w:tc>
          <w:tcPr>
            <w:tcW w:w="967" w:type="dxa"/>
            <w:tcBorders>
              <w:top w:val="nil"/>
              <w:left w:val="nil"/>
              <w:bottom w:val="nil"/>
              <w:right w:val="nil"/>
            </w:tcBorders>
            <w:shd w:val="clear" w:color="auto" w:fill="auto"/>
            <w:vAlign w:val="center"/>
          </w:tcPr>
          <w:p w14:paraId="1BD7F7F1">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14:paraId="0A3B670C">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0192B140">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6D7D208C">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3D19F54A">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14:paraId="2CEA6C64">
            <w:pPr>
              <w:rPr>
                <w:rFonts w:hint="eastAsia" w:ascii="宋体" w:hAnsi="宋体" w:eastAsia="宋体" w:cs="宋体"/>
                <w:i w:val="0"/>
                <w:iCs w:val="0"/>
                <w:color w:val="000000"/>
                <w:sz w:val="18"/>
                <w:szCs w:val="18"/>
                <w:u w:val="none"/>
              </w:rPr>
            </w:pPr>
          </w:p>
        </w:tc>
      </w:tr>
      <w:tr w14:paraId="3E3F3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9" w:hRule="atLeast"/>
        </w:trPr>
        <w:tc>
          <w:tcPr>
            <w:tcW w:w="9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721E6D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A95D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6D8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EBBF2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51330022T000000388669-法治建设工作经费</w:t>
            </w:r>
          </w:p>
        </w:tc>
      </w:tr>
      <w:tr w14:paraId="1EF47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359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E12C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甘孜州司法局部门</w:t>
            </w:r>
          </w:p>
        </w:tc>
        <w:tc>
          <w:tcPr>
            <w:tcW w:w="846" w:type="dxa"/>
            <w:tcBorders>
              <w:top w:val="nil"/>
              <w:left w:val="nil"/>
              <w:bottom w:val="nil"/>
              <w:right w:val="nil"/>
            </w:tcBorders>
            <w:shd w:val="clear" w:color="auto" w:fill="auto"/>
            <w:vAlign w:val="center"/>
          </w:tcPr>
          <w:p w14:paraId="293C610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E933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州司法局机关</w:t>
            </w:r>
          </w:p>
        </w:tc>
      </w:tr>
      <w:tr w14:paraId="4033A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44E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3F7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478E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64FF8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F4FB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B9633">
            <w:pP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94C1B">
            <w:pPr>
              <w:rPr>
                <w:rFonts w:hint="eastAsia" w:ascii="宋体" w:hAnsi="宋体" w:eastAsia="宋体" w:cs="宋体"/>
                <w:i w:val="0"/>
                <w:iCs w:val="0"/>
                <w:color w:val="000000"/>
                <w:sz w:val="18"/>
                <w:szCs w:val="18"/>
                <w:u w:val="none"/>
              </w:rPr>
            </w:pP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9EFD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紧紧围绕实现“两个率先”，以建成事事有法可依、人人执法守法、各方依法办事的法治甘孜为目标。</w:t>
            </w: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08777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D5D1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2734E">
            <w:pP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EA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A088078">
            <w:pPr>
              <w:rPr>
                <w:rFonts w:hint="eastAsia" w:ascii="宋体" w:hAnsi="宋体" w:eastAsia="宋体" w:cs="宋体"/>
                <w:i w:val="0"/>
                <w:iCs w:val="0"/>
                <w:color w:val="000000"/>
                <w:sz w:val="18"/>
                <w:szCs w:val="18"/>
                <w:u w:val="none"/>
              </w:rPr>
            </w:pPr>
          </w:p>
        </w:tc>
      </w:tr>
      <w:tr w14:paraId="7002F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4B7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E2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2B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39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746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06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2B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B8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9C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B8EE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CB0AA">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18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35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66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F3D0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0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1C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068B">
            <w:pPr>
              <w:jc w:val="center"/>
              <w:rPr>
                <w:rFonts w:hint="eastAsia" w:ascii="宋体" w:hAnsi="宋体" w:eastAsia="宋体" w:cs="宋体"/>
                <w:i w:val="0"/>
                <w:iCs w:val="0"/>
                <w:color w:val="000000"/>
                <w:sz w:val="18"/>
                <w:szCs w:val="18"/>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A92A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5A71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65802">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BF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45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AE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9A57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03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2F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05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12005">
            <w:pPr>
              <w:rPr>
                <w:rFonts w:hint="eastAsia" w:ascii="黑体" w:hAnsi="黑体" w:eastAsia="黑体" w:cs="黑体"/>
                <w:i/>
                <w:iCs/>
                <w:color w:val="000000"/>
                <w:sz w:val="18"/>
                <w:szCs w:val="18"/>
                <w:u w:val="none"/>
              </w:rPr>
            </w:pPr>
          </w:p>
        </w:tc>
      </w:tr>
      <w:tr w14:paraId="2E063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12C5B">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9B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EC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99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8B8A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AC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4C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0D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4145D">
            <w:pPr>
              <w:rPr>
                <w:rFonts w:hint="eastAsia" w:ascii="黑体" w:hAnsi="黑体" w:eastAsia="黑体" w:cs="黑体"/>
                <w:i/>
                <w:iCs/>
                <w:color w:val="000000"/>
                <w:sz w:val="18"/>
                <w:szCs w:val="18"/>
                <w:u w:val="none"/>
              </w:rPr>
            </w:pPr>
          </w:p>
        </w:tc>
      </w:tr>
      <w:tr w14:paraId="55647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5F130">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8E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06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B2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3E6A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0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9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62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68617">
            <w:pPr>
              <w:rPr>
                <w:rFonts w:hint="eastAsia" w:ascii="黑体" w:hAnsi="黑体" w:eastAsia="黑体" w:cs="黑体"/>
                <w:i/>
                <w:iCs/>
                <w:color w:val="000000"/>
                <w:sz w:val="18"/>
                <w:szCs w:val="18"/>
                <w:u w:val="none"/>
              </w:rPr>
            </w:pPr>
          </w:p>
        </w:tc>
      </w:tr>
      <w:tr w14:paraId="69852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D60FC">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B4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67D9">
            <w:pPr>
              <w:jc w:val="center"/>
              <w:rPr>
                <w:rFonts w:hint="eastAsia" w:ascii="微软雅黑" w:hAnsi="微软雅黑" w:eastAsia="微软雅黑" w:cs="微软雅黑"/>
                <w:i/>
                <w:iCs/>
                <w:color w:val="000000"/>
                <w:sz w:val="16"/>
                <w:szCs w:val="16"/>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2EDB">
            <w:pPr>
              <w:jc w:val="center"/>
              <w:rPr>
                <w:rFonts w:hint="eastAsia" w:ascii="微软雅黑" w:hAnsi="微软雅黑" w:eastAsia="微软雅黑" w:cs="微软雅黑"/>
                <w:i/>
                <w:iCs/>
                <w:color w:val="000000"/>
                <w:sz w:val="16"/>
                <w:szCs w:val="16"/>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AAE9F8">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2395">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5C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F4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2E194">
            <w:pPr>
              <w:rPr>
                <w:rFonts w:hint="eastAsia" w:ascii="黑体" w:hAnsi="黑体" w:eastAsia="黑体" w:cs="黑体"/>
                <w:i/>
                <w:iCs/>
                <w:color w:val="000000"/>
                <w:sz w:val="18"/>
                <w:szCs w:val="18"/>
                <w:u w:val="none"/>
              </w:rPr>
            </w:pPr>
          </w:p>
        </w:tc>
      </w:tr>
      <w:tr w14:paraId="54477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ED0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C4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4F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AA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40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E0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7F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AF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77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EE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62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7D1E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6D0B8">
            <w:pPr>
              <w:jc w:val="center"/>
              <w:rPr>
                <w:rFonts w:hint="eastAsia" w:ascii="宋体" w:hAnsi="宋体" w:eastAsia="宋体" w:cs="宋体"/>
                <w:i w:val="0"/>
                <w:iCs w:val="0"/>
                <w:color w:val="000000"/>
                <w:sz w:val="18"/>
                <w:szCs w:val="18"/>
                <w:u w:val="none"/>
              </w:rPr>
            </w:pP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ED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F32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DA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开展合法性审查工作</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17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B1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4F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1C2B">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1B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9765">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E5AF">
            <w:pPr>
              <w:jc w:val="center"/>
              <w:rPr>
                <w:rFonts w:hint="eastAsia" w:ascii="微软雅黑" w:hAnsi="微软雅黑" w:eastAsia="微软雅黑" w:cs="微软雅黑"/>
                <w:i/>
                <w:iCs/>
                <w:color w:val="000000"/>
                <w:sz w:val="16"/>
                <w:szCs w:val="16"/>
                <w:u w:val="none"/>
              </w:rPr>
            </w:pPr>
          </w:p>
        </w:tc>
      </w:tr>
      <w:tr w14:paraId="3A729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F0DEC">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E1F19">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EFFF5">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50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组织开展州级行政执法人员培训考试</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27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47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F5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9618">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C9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DF90">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0186">
            <w:pPr>
              <w:jc w:val="center"/>
              <w:rPr>
                <w:rFonts w:hint="eastAsia" w:ascii="微软雅黑" w:hAnsi="微软雅黑" w:eastAsia="微软雅黑" w:cs="微软雅黑"/>
                <w:i/>
                <w:iCs/>
                <w:color w:val="000000"/>
                <w:sz w:val="16"/>
                <w:szCs w:val="16"/>
                <w:u w:val="none"/>
              </w:rPr>
            </w:pPr>
          </w:p>
        </w:tc>
      </w:tr>
      <w:tr w14:paraId="279E9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EC51B">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11192">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FB8C4">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9B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法治调研</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A9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26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AC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篇（部）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7230">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52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5780">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E666">
            <w:pPr>
              <w:jc w:val="center"/>
              <w:rPr>
                <w:rFonts w:hint="eastAsia" w:ascii="微软雅黑" w:hAnsi="微软雅黑" w:eastAsia="微软雅黑" w:cs="微软雅黑"/>
                <w:i/>
                <w:iCs/>
                <w:color w:val="000000"/>
                <w:sz w:val="16"/>
                <w:szCs w:val="16"/>
                <w:u w:val="none"/>
              </w:rPr>
            </w:pPr>
          </w:p>
        </w:tc>
      </w:tr>
      <w:tr w14:paraId="7F20A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E4236">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E0670">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ABD82">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A3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开展法治政府示范创建</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D3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56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15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E4AE">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5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2E3A">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AEEC">
            <w:pPr>
              <w:jc w:val="center"/>
              <w:rPr>
                <w:rFonts w:hint="eastAsia" w:ascii="微软雅黑" w:hAnsi="微软雅黑" w:eastAsia="微软雅黑" w:cs="微软雅黑"/>
                <w:i/>
                <w:iCs/>
                <w:color w:val="000000"/>
                <w:sz w:val="16"/>
                <w:szCs w:val="16"/>
                <w:u w:val="none"/>
              </w:rPr>
            </w:pPr>
          </w:p>
        </w:tc>
      </w:tr>
      <w:tr w14:paraId="1CB58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DE439">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B13D6">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A3A4F">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5D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开展依法治州工作督查、法治政府建设督查各1次，全年共2次</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90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0E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4F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86BA">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AA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85EF">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E4E4">
            <w:pPr>
              <w:jc w:val="center"/>
              <w:rPr>
                <w:rFonts w:hint="eastAsia" w:ascii="微软雅黑" w:hAnsi="微软雅黑" w:eastAsia="微软雅黑" w:cs="微软雅黑"/>
                <w:i/>
                <w:iCs/>
                <w:color w:val="000000"/>
                <w:sz w:val="16"/>
                <w:szCs w:val="16"/>
                <w:u w:val="none"/>
              </w:rPr>
            </w:pPr>
          </w:p>
        </w:tc>
      </w:tr>
      <w:tr w14:paraId="26767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DFFB8">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CF8D4">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E730F">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AB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行政复议和应诉法律服务</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ED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DB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3A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AB17">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EA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3849">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8DAB">
            <w:pPr>
              <w:jc w:val="center"/>
              <w:rPr>
                <w:rFonts w:hint="eastAsia" w:ascii="微软雅黑" w:hAnsi="微软雅黑" w:eastAsia="微软雅黑" w:cs="微软雅黑"/>
                <w:i/>
                <w:iCs/>
                <w:color w:val="000000"/>
                <w:sz w:val="16"/>
                <w:szCs w:val="16"/>
                <w:u w:val="none"/>
              </w:rPr>
            </w:pPr>
          </w:p>
        </w:tc>
      </w:tr>
      <w:tr w14:paraId="7FE71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C0E56">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2EF00">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6A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E3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推动实施《甘孜州法治政府建设实施方案（2021—2025年）》落实</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1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0C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02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D315">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06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F27A">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AB01">
            <w:pPr>
              <w:jc w:val="center"/>
              <w:rPr>
                <w:rFonts w:hint="eastAsia" w:ascii="微软雅黑" w:hAnsi="微软雅黑" w:eastAsia="微软雅黑" w:cs="微软雅黑"/>
                <w:i/>
                <w:iCs/>
                <w:color w:val="000000"/>
                <w:sz w:val="16"/>
                <w:szCs w:val="16"/>
                <w:u w:val="none"/>
              </w:rPr>
            </w:pPr>
          </w:p>
        </w:tc>
      </w:tr>
      <w:tr w14:paraId="52F66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306F0">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3D76F">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06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AD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CC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68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A3AB">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C220">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6C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E9FD">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3548">
            <w:pPr>
              <w:jc w:val="center"/>
              <w:rPr>
                <w:rFonts w:hint="eastAsia" w:ascii="微软雅黑" w:hAnsi="微软雅黑" w:eastAsia="微软雅黑" w:cs="微软雅黑"/>
                <w:i/>
                <w:iCs/>
                <w:color w:val="000000"/>
                <w:sz w:val="16"/>
                <w:szCs w:val="16"/>
                <w:u w:val="none"/>
              </w:rPr>
            </w:pPr>
          </w:p>
        </w:tc>
      </w:tr>
      <w:tr w14:paraId="6C779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72D14">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36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4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55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对工作的促进作用</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CF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17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0B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D9E1">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37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E012">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0F6C">
            <w:pPr>
              <w:jc w:val="center"/>
              <w:rPr>
                <w:rFonts w:hint="eastAsia" w:ascii="微软雅黑" w:hAnsi="微软雅黑" w:eastAsia="微软雅黑" w:cs="微软雅黑"/>
                <w:i/>
                <w:iCs/>
                <w:color w:val="000000"/>
                <w:sz w:val="16"/>
                <w:szCs w:val="16"/>
                <w:u w:val="none"/>
              </w:rPr>
            </w:pPr>
          </w:p>
        </w:tc>
      </w:tr>
      <w:tr w14:paraId="57312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B6D93">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F4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A1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1F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E6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6E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93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7F50">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6E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4229">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526F">
            <w:pPr>
              <w:jc w:val="center"/>
              <w:rPr>
                <w:rFonts w:hint="eastAsia" w:ascii="微软雅黑" w:hAnsi="微软雅黑" w:eastAsia="微软雅黑" w:cs="微软雅黑"/>
                <w:i/>
                <w:iCs/>
                <w:color w:val="000000"/>
                <w:sz w:val="16"/>
                <w:szCs w:val="16"/>
                <w:u w:val="none"/>
              </w:rPr>
            </w:pPr>
          </w:p>
        </w:tc>
      </w:tr>
      <w:tr w14:paraId="6A829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2801C">
            <w:pPr>
              <w:jc w:val="center"/>
              <w:rPr>
                <w:rFonts w:hint="eastAsia" w:ascii="宋体" w:hAnsi="宋体" w:eastAsia="宋体" w:cs="宋体"/>
                <w:i w:val="0"/>
                <w:iCs w:val="0"/>
                <w:color w:val="000000"/>
                <w:sz w:val="18"/>
                <w:szCs w:val="18"/>
                <w:u w:val="none"/>
              </w:rPr>
            </w:pP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4E7B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FAB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87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法治调研</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6A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72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B4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5F57">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F9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3BD9">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B33B">
            <w:pPr>
              <w:jc w:val="center"/>
              <w:rPr>
                <w:rFonts w:hint="eastAsia" w:ascii="微软雅黑" w:hAnsi="微软雅黑" w:eastAsia="微软雅黑" w:cs="微软雅黑"/>
                <w:i/>
                <w:iCs/>
                <w:color w:val="000000"/>
                <w:sz w:val="16"/>
                <w:szCs w:val="16"/>
                <w:u w:val="none"/>
              </w:rPr>
            </w:pPr>
          </w:p>
        </w:tc>
      </w:tr>
      <w:tr w14:paraId="1966F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A1D0F">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ADD4F">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64D47">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63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行政复议和应诉法律服务</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EC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9F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3E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BCC7">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21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C588">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18F7">
            <w:pPr>
              <w:jc w:val="center"/>
              <w:rPr>
                <w:rFonts w:hint="eastAsia" w:ascii="微软雅黑" w:hAnsi="微软雅黑" w:eastAsia="微软雅黑" w:cs="微软雅黑"/>
                <w:i/>
                <w:iCs/>
                <w:color w:val="000000"/>
                <w:sz w:val="16"/>
                <w:szCs w:val="16"/>
                <w:u w:val="none"/>
              </w:rPr>
            </w:pPr>
          </w:p>
        </w:tc>
      </w:tr>
      <w:tr w14:paraId="04DC4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820C0">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8A3E1">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BAB4C">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6C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开展依法治州工作督查、法治政府建设督查各</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6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64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81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EF3E">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CD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5144">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AA7E">
            <w:pPr>
              <w:jc w:val="center"/>
              <w:rPr>
                <w:rFonts w:hint="eastAsia" w:ascii="微软雅黑" w:hAnsi="微软雅黑" w:eastAsia="微软雅黑" w:cs="微软雅黑"/>
                <w:i/>
                <w:iCs/>
                <w:color w:val="000000"/>
                <w:sz w:val="16"/>
                <w:szCs w:val="16"/>
                <w:u w:val="none"/>
              </w:rPr>
            </w:pPr>
          </w:p>
        </w:tc>
      </w:tr>
      <w:tr w14:paraId="184A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92265">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227BC">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03230">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99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开展法治政府示范创建</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C6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CE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26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28E5">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CF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BB40">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91B7">
            <w:pPr>
              <w:jc w:val="center"/>
              <w:rPr>
                <w:rFonts w:hint="eastAsia" w:ascii="微软雅黑" w:hAnsi="微软雅黑" w:eastAsia="微软雅黑" w:cs="微软雅黑"/>
                <w:i/>
                <w:iCs/>
                <w:color w:val="000000"/>
                <w:sz w:val="16"/>
                <w:szCs w:val="16"/>
                <w:u w:val="none"/>
              </w:rPr>
            </w:pPr>
          </w:p>
        </w:tc>
      </w:tr>
      <w:tr w14:paraId="09336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0E6FD">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B4129">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23B31">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44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执法人员培训考试</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7D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FE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AD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5BBA">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7A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93E8">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391B">
            <w:pPr>
              <w:jc w:val="center"/>
              <w:rPr>
                <w:rFonts w:hint="eastAsia" w:ascii="微软雅黑" w:hAnsi="微软雅黑" w:eastAsia="微软雅黑" w:cs="微软雅黑"/>
                <w:i/>
                <w:iCs/>
                <w:color w:val="000000"/>
                <w:sz w:val="16"/>
                <w:szCs w:val="16"/>
                <w:u w:val="none"/>
              </w:rPr>
            </w:pPr>
          </w:p>
        </w:tc>
      </w:tr>
      <w:tr w14:paraId="4C866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3D178">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B6255">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ECDA0">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12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开展合法性审查工作</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F0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9C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92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AA2F">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86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F1B8">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718F">
            <w:pPr>
              <w:jc w:val="center"/>
              <w:rPr>
                <w:rFonts w:hint="eastAsia" w:ascii="微软雅黑" w:hAnsi="微软雅黑" w:eastAsia="微软雅黑" w:cs="微软雅黑"/>
                <w:i/>
                <w:iCs/>
                <w:color w:val="000000"/>
                <w:sz w:val="16"/>
                <w:szCs w:val="16"/>
                <w:u w:val="none"/>
              </w:rPr>
            </w:pPr>
          </w:p>
        </w:tc>
      </w:tr>
      <w:tr w14:paraId="572CE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E04AC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1A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EBF7">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521C">
            <w:pPr>
              <w:rPr>
                <w:rFonts w:hint="eastAsia" w:ascii="宋体" w:hAnsi="宋体" w:eastAsia="宋体" w:cs="宋体"/>
                <w:i w:val="0"/>
                <w:iCs w:val="0"/>
                <w:color w:val="000000"/>
                <w:sz w:val="18"/>
                <w:szCs w:val="18"/>
                <w:u w:val="none"/>
              </w:rPr>
            </w:pPr>
          </w:p>
        </w:tc>
      </w:tr>
      <w:tr w14:paraId="22485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7A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F373A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一是项目选树难度大。县（市）、部门创评全国、全省法治政府建设示范创建项目的积极性不高，单项创建特色亮点在全省、全国同类型创建项目中缺乏竞争优势，综合类创建指标完成度离90％的基本要求还有较大差距，需下大力气查漏补缺。二是工作力量需强化。甘孜州法治政府建设示范州创建工作领导小组成立后，受县（市）工作人员抽调政策限制，人员抽调未达创建工作专班组建要求，现有工作力量难以保障创建工作有效推进。</w:t>
            </w:r>
          </w:p>
        </w:tc>
      </w:tr>
      <w:tr w14:paraId="0E2DA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EC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67A2D8">
            <w:pPr>
              <w:pStyle w:val="38"/>
              <w:keepNext w:val="0"/>
              <w:keepLines w:val="0"/>
              <w:widowControl w:val="0"/>
              <w:shd w:val="clear" w:color="auto" w:fill="auto"/>
              <w:tabs>
                <w:tab w:val="left" w:pos="1621"/>
              </w:tabs>
              <w:bidi w:val="0"/>
              <w:spacing w:before="0" w:beforeLines="0" w:after="0" w:afterLines="0" w:line="626" w:lineRule="exact"/>
              <w:ind w:left="0" w:leftChars="0" w:right="0" w:firstLine="0" w:firstLineChars="0"/>
              <w:jc w:val="both"/>
              <w:rPr>
                <w:rFonts w:hint="eastAsia" w:ascii="微软雅黑" w:hAnsi="微软雅黑" w:eastAsia="微软雅黑" w:cs="微软雅黑"/>
                <w:i/>
                <w:iCs/>
                <w:color w:val="000000"/>
                <w:kern w:val="0"/>
                <w:sz w:val="16"/>
                <w:szCs w:val="16"/>
                <w:u w:val="none"/>
                <w:shd w:val="clear"/>
                <w:lang w:val="en-US" w:eastAsia="zh-CN" w:bidi="ar"/>
              </w:rPr>
            </w:pPr>
            <w:r>
              <w:rPr>
                <w:rFonts w:hint="eastAsia" w:ascii="微软雅黑" w:hAnsi="微软雅黑" w:eastAsia="微软雅黑" w:cs="微软雅黑"/>
                <w:i/>
                <w:iCs/>
                <w:color w:val="000000"/>
                <w:kern w:val="0"/>
                <w:sz w:val="16"/>
                <w:szCs w:val="16"/>
                <w:u w:val="none"/>
                <w:shd w:val="clear"/>
                <w:lang w:val="en-US" w:eastAsia="zh-CN" w:bidi="ar"/>
              </w:rPr>
              <w:t>通过开展法治建设工作，夯实了法治甘孜的基层基础，提升了行政立法、行政执法、行政监督水平，有力促进了科学立法，规范执法建设，推进法治社会建设，提高了干部群众法律意识，营造了良好的法治氛围，维护社会稳定和谐。</w:t>
            </w:r>
          </w:p>
          <w:p w14:paraId="722E2CE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p>
        </w:tc>
      </w:tr>
      <w:tr w14:paraId="36844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A9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37948C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一是适时引入第三方机构开展法治政府建设示范创建预评估，结合第三方评估结果，建立问题清单、整改清单、责任清单，“点对点”推进分类改进。二是结合州、县（市）实际，有针对性的储备培育1—2个具有地方特色和示范推广价值的法治政府建设综合、单项示范创建项目，力争实现创评项目“零”的突破。</w:t>
            </w:r>
          </w:p>
        </w:tc>
      </w:tr>
      <w:tr w14:paraId="0A5A3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44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6BAEE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项目负责人：辜亮</w:t>
            </w:r>
          </w:p>
        </w:tc>
        <w:tc>
          <w:tcPr>
            <w:tcW w:w="4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FD5C5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077C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76" w:type="dxa"/>
            <w:tcBorders>
              <w:top w:val="nil"/>
              <w:left w:val="nil"/>
              <w:bottom w:val="nil"/>
              <w:right w:val="nil"/>
            </w:tcBorders>
            <w:shd w:val="clear" w:color="auto" w:fill="auto"/>
            <w:vAlign w:val="center"/>
          </w:tcPr>
          <w:p w14:paraId="7B047029">
            <w:pPr>
              <w:rPr>
                <w:rFonts w:hint="eastAsia" w:ascii="宋体" w:hAnsi="宋体" w:eastAsia="宋体" w:cs="宋体"/>
                <w:i w:val="0"/>
                <w:iCs w:val="0"/>
                <w:color w:val="000000"/>
                <w:sz w:val="18"/>
                <w:szCs w:val="18"/>
                <w:u w:val="none"/>
              </w:rPr>
            </w:pPr>
          </w:p>
        </w:tc>
        <w:tc>
          <w:tcPr>
            <w:tcW w:w="1052" w:type="dxa"/>
            <w:tcBorders>
              <w:top w:val="nil"/>
              <w:left w:val="nil"/>
              <w:bottom w:val="nil"/>
              <w:right w:val="nil"/>
            </w:tcBorders>
            <w:shd w:val="clear" w:color="auto" w:fill="auto"/>
            <w:vAlign w:val="center"/>
          </w:tcPr>
          <w:p w14:paraId="745D506F">
            <w:pPr>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auto"/>
            <w:vAlign w:val="center"/>
          </w:tcPr>
          <w:p w14:paraId="30D907A2">
            <w:pPr>
              <w:rPr>
                <w:rFonts w:hint="eastAsia" w:ascii="宋体" w:hAnsi="宋体" w:eastAsia="宋体" w:cs="宋体"/>
                <w:i w:val="0"/>
                <w:iCs w:val="0"/>
                <w:color w:val="000000"/>
                <w:sz w:val="18"/>
                <w:szCs w:val="18"/>
                <w:u w:val="none"/>
              </w:rPr>
            </w:pPr>
          </w:p>
        </w:tc>
        <w:tc>
          <w:tcPr>
            <w:tcW w:w="1408" w:type="dxa"/>
            <w:tcBorders>
              <w:top w:val="nil"/>
              <w:left w:val="nil"/>
              <w:bottom w:val="nil"/>
              <w:right w:val="nil"/>
            </w:tcBorders>
            <w:shd w:val="clear" w:color="auto" w:fill="auto"/>
            <w:vAlign w:val="center"/>
          </w:tcPr>
          <w:p w14:paraId="5901772F">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57882DAE">
            <w:pPr>
              <w:rPr>
                <w:rFonts w:hint="eastAsia" w:ascii="宋体" w:hAnsi="宋体" w:eastAsia="宋体" w:cs="宋体"/>
                <w:i w:val="0"/>
                <w:iCs w:val="0"/>
                <w:color w:val="000000"/>
                <w:sz w:val="18"/>
                <w:szCs w:val="18"/>
                <w:u w:val="none"/>
              </w:rPr>
            </w:pPr>
          </w:p>
        </w:tc>
        <w:tc>
          <w:tcPr>
            <w:tcW w:w="967" w:type="dxa"/>
            <w:tcBorders>
              <w:top w:val="nil"/>
              <w:left w:val="nil"/>
              <w:bottom w:val="nil"/>
              <w:right w:val="nil"/>
            </w:tcBorders>
            <w:shd w:val="clear" w:color="auto" w:fill="auto"/>
            <w:vAlign w:val="center"/>
          </w:tcPr>
          <w:p w14:paraId="24785DE4">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14:paraId="1C867424">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4006580D">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6DECA040">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4E588436">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14:paraId="09150241">
            <w:pPr>
              <w:rPr>
                <w:rFonts w:hint="eastAsia" w:ascii="宋体" w:hAnsi="宋体" w:eastAsia="宋体" w:cs="宋体"/>
                <w:i w:val="0"/>
                <w:iCs w:val="0"/>
                <w:color w:val="000000"/>
                <w:sz w:val="18"/>
                <w:szCs w:val="18"/>
                <w:u w:val="none"/>
              </w:rPr>
            </w:pPr>
          </w:p>
        </w:tc>
      </w:tr>
      <w:tr w14:paraId="6F391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9" w:hRule="atLeast"/>
        </w:trPr>
        <w:tc>
          <w:tcPr>
            <w:tcW w:w="9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EE5989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16B7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A7E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EFE32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51330022T000000388678-刑事执法工作经费</w:t>
            </w:r>
          </w:p>
        </w:tc>
      </w:tr>
      <w:tr w14:paraId="23257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0B7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F0F4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甘孜州司法局部门</w:t>
            </w:r>
          </w:p>
        </w:tc>
        <w:tc>
          <w:tcPr>
            <w:tcW w:w="846" w:type="dxa"/>
            <w:tcBorders>
              <w:top w:val="nil"/>
              <w:left w:val="nil"/>
              <w:bottom w:val="nil"/>
              <w:right w:val="nil"/>
            </w:tcBorders>
            <w:shd w:val="clear" w:color="auto" w:fill="auto"/>
            <w:vAlign w:val="center"/>
          </w:tcPr>
          <w:p w14:paraId="7E9CD40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D220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州司法局机关</w:t>
            </w:r>
          </w:p>
        </w:tc>
      </w:tr>
      <w:tr w14:paraId="7BFBB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02B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0A3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0772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F111B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8EC8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49816">
            <w:pP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DD445">
            <w:pPr>
              <w:rPr>
                <w:rFonts w:hint="eastAsia" w:ascii="宋体" w:hAnsi="宋体" w:eastAsia="宋体" w:cs="宋体"/>
                <w:i w:val="0"/>
                <w:iCs w:val="0"/>
                <w:color w:val="000000"/>
                <w:sz w:val="18"/>
                <w:szCs w:val="18"/>
                <w:u w:val="none"/>
              </w:rPr>
            </w:pP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495E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贯彻落实《中华人民共和国社区矫正法》，不断提升社区矫正执法队伍业务素质，强化对社区服刑人员监管力度，落实指挥、定位信息化矫正工作，加强全州社区矫正工作督导检查。</w:t>
            </w: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5B551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9864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3A408">
            <w:pP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59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942F4AD">
            <w:pPr>
              <w:rPr>
                <w:rFonts w:hint="eastAsia" w:ascii="宋体" w:hAnsi="宋体" w:eastAsia="宋体" w:cs="宋体"/>
                <w:i w:val="0"/>
                <w:iCs w:val="0"/>
                <w:color w:val="000000"/>
                <w:sz w:val="18"/>
                <w:szCs w:val="18"/>
                <w:u w:val="none"/>
              </w:rPr>
            </w:pPr>
          </w:p>
        </w:tc>
      </w:tr>
      <w:tr w14:paraId="1BF75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438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60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00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4A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413C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FB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C5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DE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B5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5B1B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9404E">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34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06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61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C379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0C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18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D51C">
            <w:pPr>
              <w:jc w:val="center"/>
              <w:rPr>
                <w:rFonts w:hint="eastAsia" w:ascii="宋体" w:hAnsi="宋体" w:eastAsia="宋体" w:cs="宋体"/>
                <w:i w:val="0"/>
                <w:iCs w:val="0"/>
                <w:color w:val="000000"/>
                <w:sz w:val="18"/>
                <w:szCs w:val="18"/>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9ED1A">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1ACF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466A1">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7D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FA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65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2126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31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C3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C2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BFCFA">
            <w:pPr>
              <w:rPr>
                <w:rFonts w:hint="eastAsia" w:ascii="黑体" w:hAnsi="黑体" w:eastAsia="黑体" w:cs="黑体"/>
                <w:i/>
                <w:iCs/>
                <w:color w:val="000000"/>
                <w:sz w:val="18"/>
                <w:szCs w:val="18"/>
                <w:u w:val="none"/>
              </w:rPr>
            </w:pPr>
          </w:p>
        </w:tc>
      </w:tr>
      <w:tr w14:paraId="15DFC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7C1F0">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7E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CF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F1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2C49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FE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B2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62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9AC45">
            <w:pPr>
              <w:rPr>
                <w:rFonts w:hint="eastAsia" w:ascii="黑体" w:hAnsi="黑体" w:eastAsia="黑体" w:cs="黑体"/>
                <w:i/>
                <w:iCs/>
                <w:color w:val="000000"/>
                <w:sz w:val="18"/>
                <w:szCs w:val="18"/>
                <w:u w:val="none"/>
              </w:rPr>
            </w:pPr>
          </w:p>
        </w:tc>
      </w:tr>
      <w:tr w14:paraId="09C60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F5346">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D1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14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30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FD66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66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F3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8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4AAA2">
            <w:pPr>
              <w:rPr>
                <w:rFonts w:hint="eastAsia" w:ascii="黑体" w:hAnsi="黑体" w:eastAsia="黑体" w:cs="黑体"/>
                <w:i/>
                <w:iCs/>
                <w:color w:val="000000"/>
                <w:sz w:val="18"/>
                <w:szCs w:val="18"/>
                <w:u w:val="none"/>
              </w:rPr>
            </w:pPr>
          </w:p>
        </w:tc>
      </w:tr>
      <w:tr w14:paraId="65007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BF801">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BB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A913">
            <w:pPr>
              <w:jc w:val="center"/>
              <w:rPr>
                <w:rFonts w:hint="eastAsia" w:ascii="微软雅黑" w:hAnsi="微软雅黑" w:eastAsia="微软雅黑" w:cs="微软雅黑"/>
                <w:i/>
                <w:iCs/>
                <w:color w:val="000000"/>
                <w:sz w:val="16"/>
                <w:szCs w:val="16"/>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0B32">
            <w:pPr>
              <w:jc w:val="center"/>
              <w:rPr>
                <w:rFonts w:hint="eastAsia" w:ascii="微软雅黑" w:hAnsi="微软雅黑" w:eastAsia="微软雅黑" w:cs="微软雅黑"/>
                <w:i/>
                <w:iCs/>
                <w:color w:val="000000"/>
                <w:sz w:val="16"/>
                <w:szCs w:val="16"/>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E2000E">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D405">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BF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1F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D1A1F">
            <w:pPr>
              <w:rPr>
                <w:rFonts w:hint="eastAsia" w:ascii="黑体" w:hAnsi="黑体" w:eastAsia="黑体" w:cs="黑体"/>
                <w:i/>
                <w:iCs/>
                <w:color w:val="000000"/>
                <w:sz w:val="18"/>
                <w:szCs w:val="18"/>
                <w:u w:val="none"/>
              </w:rPr>
            </w:pPr>
          </w:p>
        </w:tc>
      </w:tr>
      <w:tr w14:paraId="22587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952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41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44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BE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33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81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6A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20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65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D3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D7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0B09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55361">
            <w:pPr>
              <w:jc w:val="center"/>
              <w:rPr>
                <w:rFonts w:hint="eastAsia" w:ascii="宋体" w:hAnsi="宋体" w:eastAsia="宋体" w:cs="宋体"/>
                <w:i w:val="0"/>
                <w:iCs w:val="0"/>
                <w:color w:val="000000"/>
                <w:sz w:val="18"/>
                <w:szCs w:val="18"/>
                <w:u w:val="none"/>
              </w:rPr>
            </w:pP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58F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70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78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全州社区矫正工作业务技能培训、指导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50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B9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7A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777A">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AC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BE53">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6E8A">
            <w:pPr>
              <w:jc w:val="center"/>
              <w:rPr>
                <w:rFonts w:hint="eastAsia" w:ascii="微软雅黑" w:hAnsi="微软雅黑" w:eastAsia="微软雅黑" w:cs="微软雅黑"/>
                <w:i/>
                <w:iCs/>
                <w:color w:val="000000"/>
                <w:sz w:val="16"/>
                <w:szCs w:val="16"/>
                <w:u w:val="none"/>
              </w:rPr>
            </w:pPr>
          </w:p>
        </w:tc>
      </w:tr>
      <w:tr w14:paraId="068D9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05A3E">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EAD9D">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F0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08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8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7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915F">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0899">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E4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A7B5">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F701">
            <w:pPr>
              <w:jc w:val="center"/>
              <w:rPr>
                <w:rFonts w:hint="eastAsia" w:ascii="微软雅黑" w:hAnsi="微软雅黑" w:eastAsia="微软雅黑" w:cs="微软雅黑"/>
                <w:i/>
                <w:iCs/>
                <w:color w:val="000000"/>
                <w:sz w:val="16"/>
                <w:szCs w:val="16"/>
                <w:u w:val="none"/>
              </w:rPr>
            </w:pPr>
          </w:p>
        </w:tc>
      </w:tr>
      <w:tr w14:paraId="4DD2D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DB53A">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E9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50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6A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刑事执行工作规范开展</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E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68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AD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33DC">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F5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41EB">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EAC2">
            <w:pPr>
              <w:jc w:val="center"/>
              <w:rPr>
                <w:rFonts w:hint="eastAsia" w:ascii="微软雅黑" w:hAnsi="微软雅黑" w:eastAsia="微软雅黑" w:cs="微软雅黑"/>
                <w:i/>
                <w:iCs/>
                <w:color w:val="000000"/>
                <w:sz w:val="16"/>
                <w:szCs w:val="16"/>
                <w:u w:val="none"/>
              </w:rPr>
            </w:pPr>
          </w:p>
        </w:tc>
      </w:tr>
      <w:tr w14:paraId="652DE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73868">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C9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0F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90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66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C0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A7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0DAA">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62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3712">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23AB">
            <w:pPr>
              <w:jc w:val="center"/>
              <w:rPr>
                <w:rFonts w:hint="eastAsia" w:ascii="微软雅黑" w:hAnsi="微软雅黑" w:eastAsia="微软雅黑" w:cs="微软雅黑"/>
                <w:i/>
                <w:iCs/>
                <w:color w:val="000000"/>
                <w:sz w:val="16"/>
                <w:szCs w:val="16"/>
                <w:u w:val="none"/>
              </w:rPr>
            </w:pPr>
          </w:p>
        </w:tc>
      </w:tr>
      <w:tr w14:paraId="0D212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236CB">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73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DF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1A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全州社区矫正工作业务技能培训、指导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49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0B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8D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C3C7">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B5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8773">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0635">
            <w:pPr>
              <w:jc w:val="center"/>
              <w:rPr>
                <w:rFonts w:hint="eastAsia" w:ascii="微软雅黑" w:hAnsi="微软雅黑" w:eastAsia="微软雅黑" w:cs="微软雅黑"/>
                <w:i/>
                <w:iCs/>
                <w:color w:val="000000"/>
                <w:sz w:val="16"/>
                <w:szCs w:val="16"/>
                <w:u w:val="none"/>
              </w:rPr>
            </w:pPr>
          </w:p>
        </w:tc>
      </w:tr>
      <w:tr w14:paraId="060DF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0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6D467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7D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AA44">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122E">
            <w:pPr>
              <w:rPr>
                <w:rFonts w:hint="eastAsia" w:ascii="宋体" w:hAnsi="宋体" w:eastAsia="宋体" w:cs="宋体"/>
                <w:i w:val="0"/>
                <w:iCs w:val="0"/>
                <w:color w:val="000000"/>
                <w:sz w:val="18"/>
                <w:szCs w:val="18"/>
                <w:u w:val="none"/>
              </w:rPr>
            </w:pPr>
          </w:p>
        </w:tc>
      </w:tr>
      <w:tr w14:paraId="304D0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1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6648FE">
            <w:pPr>
              <w:pStyle w:val="38"/>
              <w:keepNext w:val="0"/>
              <w:keepLines w:val="0"/>
              <w:widowControl w:val="0"/>
              <w:shd w:val="clear" w:color="auto" w:fill="auto"/>
              <w:tabs>
                <w:tab w:val="left" w:pos="1621"/>
              </w:tabs>
              <w:bidi w:val="0"/>
              <w:spacing w:before="0" w:beforeLines="0" w:after="0" w:afterLines="0" w:line="626" w:lineRule="exact"/>
              <w:ind w:left="0" w:leftChars="0" w:right="0" w:firstLine="0" w:firstLineChars="0"/>
              <w:jc w:val="both"/>
              <w:rPr>
                <w:rFonts w:hint="eastAsia" w:ascii="宋体" w:hAnsi="宋体" w:eastAsia="宋体" w:cs="宋体"/>
                <w:i w:val="0"/>
                <w:iCs w:val="0"/>
                <w:color w:val="000000"/>
                <w:kern w:val="0"/>
                <w:sz w:val="18"/>
                <w:szCs w:val="18"/>
                <w:u w:val="none"/>
                <w:shd w:val="clear"/>
                <w:lang w:val="en-US" w:eastAsia="zh-CN" w:bidi="ar"/>
              </w:rPr>
            </w:pPr>
            <w:r>
              <w:rPr>
                <w:rFonts w:hint="eastAsia" w:ascii="宋体" w:hAnsi="宋体" w:eastAsia="宋体" w:cs="宋体"/>
                <w:i w:val="0"/>
                <w:iCs w:val="0"/>
                <w:color w:val="000000"/>
                <w:kern w:val="0"/>
                <w:sz w:val="18"/>
                <w:szCs w:val="18"/>
                <w:u w:val="none"/>
                <w:shd w:val="clear"/>
                <w:lang w:val="en-US" w:eastAsia="zh-CN" w:bidi="ar"/>
              </w:rPr>
              <w:t>通过开展社区矫正工作，</w:t>
            </w:r>
            <w:r>
              <w:rPr>
                <w:rFonts w:ascii="宋体" w:hAnsi="宋体" w:eastAsia="宋体" w:cs="宋体"/>
                <w:i w:val="0"/>
                <w:iCs w:val="0"/>
                <w:color w:val="000000"/>
                <w:kern w:val="0"/>
                <w:sz w:val="18"/>
                <w:szCs w:val="18"/>
                <w:u w:val="none"/>
                <w:shd w:val="clear"/>
                <w:lang w:val="en-US" w:eastAsia="zh-CN" w:bidi="ar"/>
              </w:rPr>
              <w:t>促进社区矫正对象顺利融入社会，预防和减少犯罪，</w:t>
            </w:r>
            <w:r>
              <w:rPr>
                <w:rFonts w:hint="eastAsia" w:ascii="宋体" w:hAnsi="宋体" w:eastAsia="宋体" w:cs="宋体"/>
                <w:i w:val="0"/>
                <w:iCs w:val="0"/>
                <w:color w:val="000000"/>
                <w:kern w:val="0"/>
                <w:sz w:val="18"/>
                <w:szCs w:val="18"/>
                <w:u w:val="none"/>
                <w:shd w:val="clear"/>
                <w:lang w:val="en-US" w:eastAsia="zh-CN" w:bidi="ar"/>
              </w:rPr>
              <w:t>维护社会稳定和谐。</w:t>
            </w:r>
          </w:p>
          <w:p w14:paraId="06A49B9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shd w:val="clear"/>
                <w:lang w:val="en-US" w:eastAsia="zh-CN" w:bidi="ar"/>
              </w:rPr>
            </w:pPr>
          </w:p>
        </w:tc>
      </w:tr>
      <w:tr w14:paraId="287BE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15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15291A3">
            <w:pPr>
              <w:pStyle w:val="38"/>
              <w:keepNext w:val="0"/>
              <w:keepLines w:val="0"/>
              <w:widowControl w:val="0"/>
              <w:shd w:val="clear" w:color="auto" w:fill="auto"/>
              <w:tabs>
                <w:tab w:val="left" w:pos="1598"/>
              </w:tabs>
              <w:bidi w:val="0"/>
              <w:spacing w:before="0" w:beforeLines="0" w:after="0" w:afterLines="0" w:line="630" w:lineRule="exact"/>
              <w:ind w:left="0" w:leftChars="0" w:right="0" w:firstLine="0" w:firstLineChars="0"/>
              <w:jc w:val="left"/>
              <w:rPr>
                <w:rFonts w:hint="eastAsia" w:ascii="宋体" w:hAnsi="宋体" w:eastAsia="宋体" w:cs="宋体"/>
                <w:i w:val="0"/>
                <w:iCs w:val="0"/>
                <w:color w:val="000000"/>
                <w:kern w:val="0"/>
                <w:sz w:val="18"/>
                <w:szCs w:val="18"/>
                <w:u w:val="none"/>
                <w:shd w:val="clear"/>
                <w:lang w:val="en-US" w:eastAsia="zh-CN" w:bidi="ar"/>
              </w:rPr>
            </w:pPr>
            <w:r>
              <w:rPr>
                <w:rFonts w:hint="eastAsia" w:ascii="宋体" w:hAnsi="宋体" w:eastAsia="宋体" w:cs="宋体"/>
                <w:i w:val="0"/>
                <w:iCs w:val="0"/>
                <w:color w:val="000000"/>
                <w:kern w:val="0"/>
                <w:sz w:val="18"/>
                <w:szCs w:val="18"/>
                <w:u w:val="none"/>
                <w:shd w:val="clear"/>
                <w:lang w:val="en-US" w:eastAsia="zh-CN" w:bidi="ar"/>
              </w:rPr>
              <w:t>由于我州幅员辽阔，点多面光，仅有的工作人员和经费很有效提高社区矫正工作，更多地只能开展基础性工作，不利于高质量推动社区矫正工作。</w:t>
            </w:r>
          </w:p>
          <w:p w14:paraId="06CC20A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shd w:val="clear"/>
                <w:lang w:val="en-US" w:eastAsia="zh-CN" w:bidi="ar"/>
              </w:rPr>
            </w:pPr>
          </w:p>
        </w:tc>
      </w:tr>
      <w:tr w14:paraId="21D4E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06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A2FE27">
            <w:pPr>
              <w:pStyle w:val="38"/>
              <w:keepNext w:val="0"/>
              <w:keepLines w:val="0"/>
              <w:widowControl w:val="0"/>
              <w:shd w:val="clear" w:color="auto" w:fill="auto"/>
              <w:tabs>
                <w:tab w:val="left" w:pos="1598"/>
              </w:tabs>
              <w:bidi w:val="0"/>
              <w:spacing w:before="0" w:beforeLines="0" w:after="0" w:afterLines="0" w:line="630" w:lineRule="exact"/>
              <w:ind w:left="0" w:leftChars="0" w:right="0" w:firstLine="0" w:firstLineChars="0"/>
              <w:jc w:val="left"/>
              <w:rPr>
                <w:rFonts w:hint="eastAsia" w:ascii="宋体" w:hAnsi="宋体" w:eastAsia="宋体" w:cs="宋体"/>
                <w:i w:val="0"/>
                <w:iCs w:val="0"/>
                <w:color w:val="000000"/>
                <w:kern w:val="0"/>
                <w:sz w:val="18"/>
                <w:szCs w:val="18"/>
                <w:u w:val="none"/>
                <w:shd w:val="clear"/>
                <w:lang w:val="en-US" w:eastAsia="zh-CN" w:bidi="ar"/>
              </w:rPr>
            </w:pPr>
            <w:r>
              <w:rPr>
                <w:rFonts w:hint="eastAsia" w:ascii="宋体" w:hAnsi="宋体" w:eastAsia="宋体" w:cs="宋体"/>
                <w:i w:val="0"/>
                <w:iCs w:val="0"/>
                <w:color w:val="000000"/>
                <w:kern w:val="0"/>
                <w:sz w:val="18"/>
                <w:szCs w:val="18"/>
                <w:u w:val="none"/>
                <w:shd w:val="clear"/>
                <w:lang w:val="en-US" w:eastAsia="zh-CN" w:bidi="ar"/>
              </w:rPr>
              <w:t>根据绩效评价结果，适当增加相关人员及经费，强有效推动工作，充分发挥社区矫正工作质量，促进社会稳定和谐。</w:t>
            </w:r>
          </w:p>
          <w:p w14:paraId="057FF33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shd w:val="clear"/>
                <w:lang w:val="en-US" w:eastAsia="zh-CN" w:bidi="ar"/>
              </w:rPr>
            </w:pPr>
          </w:p>
        </w:tc>
      </w:tr>
      <w:tr w14:paraId="043FC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44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3D477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4E5D1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9877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576" w:type="dxa"/>
            <w:tcBorders>
              <w:top w:val="nil"/>
              <w:left w:val="nil"/>
              <w:bottom w:val="nil"/>
              <w:right w:val="nil"/>
            </w:tcBorders>
            <w:shd w:val="clear" w:color="auto" w:fill="auto"/>
            <w:vAlign w:val="center"/>
          </w:tcPr>
          <w:p w14:paraId="7FAF9044">
            <w:pPr>
              <w:rPr>
                <w:rFonts w:hint="eastAsia" w:ascii="宋体" w:hAnsi="宋体" w:eastAsia="宋体" w:cs="宋体"/>
                <w:i w:val="0"/>
                <w:iCs w:val="0"/>
                <w:color w:val="000000"/>
                <w:sz w:val="18"/>
                <w:szCs w:val="18"/>
                <w:u w:val="none"/>
              </w:rPr>
            </w:pPr>
          </w:p>
        </w:tc>
        <w:tc>
          <w:tcPr>
            <w:tcW w:w="1052" w:type="dxa"/>
            <w:tcBorders>
              <w:top w:val="nil"/>
              <w:left w:val="nil"/>
              <w:bottom w:val="nil"/>
              <w:right w:val="nil"/>
            </w:tcBorders>
            <w:shd w:val="clear" w:color="auto" w:fill="auto"/>
            <w:vAlign w:val="center"/>
          </w:tcPr>
          <w:p w14:paraId="2EA76620">
            <w:pPr>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auto"/>
            <w:vAlign w:val="center"/>
          </w:tcPr>
          <w:p w14:paraId="2313C8A3">
            <w:pPr>
              <w:rPr>
                <w:rFonts w:hint="eastAsia" w:ascii="宋体" w:hAnsi="宋体" w:eastAsia="宋体" w:cs="宋体"/>
                <w:i w:val="0"/>
                <w:iCs w:val="0"/>
                <w:color w:val="000000"/>
                <w:sz w:val="18"/>
                <w:szCs w:val="18"/>
                <w:u w:val="none"/>
              </w:rPr>
            </w:pPr>
          </w:p>
        </w:tc>
        <w:tc>
          <w:tcPr>
            <w:tcW w:w="1408" w:type="dxa"/>
            <w:tcBorders>
              <w:top w:val="nil"/>
              <w:left w:val="nil"/>
              <w:bottom w:val="nil"/>
              <w:right w:val="nil"/>
            </w:tcBorders>
            <w:shd w:val="clear" w:color="auto" w:fill="auto"/>
            <w:vAlign w:val="center"/>
          </w:tcPr>
          <w:p w14:paraId="31881796">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2CCB048F">
            <w:pPr>
              <w:rPr>
                <w:rFonts w:hint="eastAsia" w:ascii="宋体" w:hAnsi="宋体" w:eastAsia="宋体" w:cs="宋体"/>
                <w:i w:val="0"/>
                <w:iCs w:val="0"/>
                <w:color w:val="000000"/>
                <w:sz w:val="18"/>
                <w:szCs w:val="18"/>
                <w:u w:val="none"/>
              </w:rPr>
            </w:pPr>
          </w:p>
        </w:tc>
        <w:tc>
          <w:tcPr>
            <w:tcW w:w="967" w:type="dxa"/>
            <w:tcBorders>
              <w:top w:val="nil"/>
              <w:left w:val="nil"/>
              <w:bottom w:val="nil"/>
              <w:right w:val="nil"/>
            </w:tcBorders>
            <w:shd w:val="clear" w:color="auto" w:fill="auto"/>
            <w:vAlign w:val="center"/>
          </w:tcPr>
          <w:p w14:paraId="29D3B0CE">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14:paraId="7E5393E8">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0A46D0D8">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2AED4F56">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340F9E06">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14:paraId="45AACB3B">
            <w:pPr>
              <w:rPr>
                <w:rFonts w:hint="eastAsia" w:ascii="宋体" w:hAnsi="宋体" w:eastAsia="宋体" w:cs="宋体"/>
                <w:i w:val="0"/>
                <w:iCs w:val="0"/>
                <w:color w:val="000000"/>
                <w:sz w:val="18"/>
                <w:szCs w:val="18"/>
                <w:u w:val="none"/>
              </w:rPr>
            </w:pPr>
          </w:p>
        </w:tc>
      </w:tr>
      <w:tr w14:paraId="34D58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9" w:hRule="atLeast"/>
        </w:trPr>
        <w:tc>
          <w:tcPr>
            <w:tcW w:w="9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F0020A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6E52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EFD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4E798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51330022T000000388690-州政府法律顾问经费</w:t>
            </w:r>
          </w:p>
        </w:tc>
      </w:tr>
      <w:tr w14:paraId="4D44A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935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3A01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甘孜州司法局部门</w:t>
            </w:r>
          </w:p>
        </w:tc>
        <w:tc>
          <w:tcPr>
            <w:tcW w:w="846" w:type="dxa"/>
            <w:tcBorders>
              <w:top w:val="nil"/>
              <w:left w:val="nil"/>
              <w:bottom w:val="nil"/>
              <w:right w:val="nil"/>
            </w:tcBorders>
            <w:shd w:val="clear" w:color="auto" w:fill="auto"/>
            <w:vAlign w:val="center"/>
          </w:tcPr>
          <w:p w14:paraId="007E8E3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7C43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州司法局机关</w:t>
            </w:r>
          </w:p>
        </w:tc>
      </w:tr>
      <w:tr w14:paraId="3ECD3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83D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997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D6FF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AD791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C204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59FC8">
            <w:pP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150A7">
            <w:pPr>
              <w:rPr>
                <w:rFonts w:hint="eastAsia" w:ascii="宋体" w:hAnsi="宋体" w:eastAsia="宋体" w:cs="宋体"/>
                <w:i w:val="0"/>
                <w:iCs w:val="0"/>
                <w:color w:val="000000"/>
                <w:sz w:val="18"/>
                <w:szCs w:val="18"/>
                <w:u w:val="none"/>
              </w:rPr>
            </w:pP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834C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州委州政府法律顾问积极建言献策，增强州委州政府依法行政、依法决策，助推法治政府建设。</w:t>
            </w: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7C85E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3EDA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4A31C">
            <w:pP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99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9851F50">
            <w:pPr>
              <w:rPr>
                <w:rFonts w:hint="eastAsia" w:ascii="宋体" w:hAnsi="宋体" w:eastAsia="宋体" w:cs="宋体"/>
                <w:i w:val="0"/>
                <w:iCs w:val="0"/>
                <w:color w:val="000000"/>
                <w:sz w:val="18"/>
                <w:szCs w:val="18"/>
                <w:u w:val="none"/>
              </w:rPr>
            </w:pPr>
          </w:p>
        </w:tc>
      </w:tr>
      <w:tr w14:paraId="389B7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628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5D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F9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C7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1361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DD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B9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83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E5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FB1C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6D3F3">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A5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24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27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7145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EB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6D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FF97">
            <w:pPr>
              <w:jc w:val="center"/>
              <w:rPr>
                <w:rFonts w:hint="eastAsia" w:ascii="宋体" w:hAnsi="宋体" w:eastAsia="宋体" w:cs="宋体"/>
                <w:i w:val="0"/>
                <w:iCs w:val="0"/>
                <w:color w:val="000000"/>
                <w:sz w:val="18"/>
                <w:szCs w:val="18"/>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B2223D">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30FC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59196">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15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18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24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0273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A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34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9B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6ABD0">
            <w:pPr>
              <w:rPr>
                <w:rFonts w:hint="eastAsia" w:ascii="黑体" w:hAnsi="黑体" w:eastAsia="黑体" w:cs="黑体"/>
                <w:i/>
                <w:iCs/>
                <w:color w:val="000000"/>
                <w:sz w:val="18"/>
                <w:szCs w:val="18"/>
                <w:u w:val="none"/>
              </w:rPr>
            </w:pPr>
          </w:p>
        </w:tc>
      </w:tr>
      <w:tr w14:paraId="53509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949ED">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D2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9C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44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795B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D4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55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DE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0122D">
            <w:pPr>
              <w:rPr>
                <w:rFonts w:hint="eastAsia" w:ascii="黑体" w:hAnsi="黑体" w:eastAsia="黑体" w:cs="黑体"/>
                <w:i/>
                <w:iCs/>
                <w:color w:val="000000"/>
                <w:sz w:val="18"/>
                <w:szCs w:val="18"/>
                <w:u w:val="none"/>
              </w:rPr>
            </w:pPr>
          </w:p>
        </w:tc>
      </w:tr>
      <w:tr w14:paraId="2E3D3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B8653">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8D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7E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2B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8BB5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4C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79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B5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56278">
            <w:pPr>
              <w:rPr>
                <w:rFonts w:hint="eastAsia" w:ascii="黑体" w:hAnsi="黑体" w:eastAsia="黑体" w:cs="黑体"/>
                <w:i/>
                <w:iCs/>
                <w:color w:val="000000"/>
                <w:sz w:val="18"/>
                <w:szCs w:val="18"/>
                <w:u w:val="none"/>
              </w:rPr>
            </w:pPr>
          </w:p>
        </w:tc>
      </w:tr>
      <w:tr w14:paraId="3BFF2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37626">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39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3872">
            <w:pPr>
              <w:jc w:val="center"/>
              <w:rPr>
                <w:rFonts w:hint="eastAsia" w:ascii="微软雅黑" w:hAnsi="微软雅黑" w:eastAsia="微软雅黑" w:cs="微软雅黑"/>
                <w:i/>
                <w:iCs/>
                <w:color w:val="000000"/>
                <w:sz w:val="16"/>
                <w:szCs w:val="16"/>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8A10">
            <w:pPr>
              <w:jc w:val="center"/>
              <w:rPr>
                <w:rFonts w:hint="eastAsia" w:ascii="微软雅黑" w:hAnsi="微软雅黑" w:eastAsia="微软雅黑" w:cs="微软雅黑"/>
                <w:i/>
                <w:iCs/>
                <w:color w:val="000000"/>
                <w:sz w:val="16"/>
                <w:szCs w:val="16"/>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344DD5">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4A27">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F3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CA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562DF">
            <w:pPr>
              <w:rPr>
                <w:rFonts w:hint="eastAsia" w:ascii="黑体" w:hAnsi="黑体" w:eastAsia="黑体" w:cs="黑体"/>
                <w:i/>
                <w:iCs/>
                <w:color w:val="000000"/>
                <w:sz w:val="18"/>
                <w:szCs w:val="18"/>
                <w:u w:val="none"/>
              </w:rPr>
            </w:pPr>
          </w:p>
        </w:tc>
      </w:tr>
      <w:tr w14:paraId="0B4DA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1CF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B0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7A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84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55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27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2A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2D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9F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E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28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B544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917E2">
            <w:pPr>
              <w:jc w:val="center"/>
              <w:rPr>
                <w:rFonts w:hint="eastAsia" w:ascii="宋体" w:hAnsi="宋体" w:eastAsia="宋体" w:cs="宋体"/>
                <w:i w:val="0"/>
                <w:iCs w:val="0"/>
                <w:color w:val="000000"/>
                <w:sz w:val="18"/>
                <w:szCs w:val="18"/>
                <w:u w:val="none"/>
              </w:rPr>
            </w:pP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A32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2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78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州政府法律顾问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5A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4F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D5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30FA">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52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772A">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C6B0">
            <w:pPr>
              <w:jc w:val="center"/>
              <w:rPr>
                <w:rFonts w:hint="eastAsia" w:ascii="微软雅黑" w:hAnsi="微软雅黑" w:eastAsia="微软雅黑" w:cs="微软雅黑"/>
                <w:i/>
                <w:iCs/>
                <w:color w:val="000000"/>
                <w:sz w:val="16"/>
                <w:szCs w:val="16"/>
                <w:u w:val="none"/>
              </w:rPr>
            </w:pPr>
          </w:p>
        </w:tc>
      </w:tr>
      <w:tr w14:paraId="396D7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BBA5C">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40B5A">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4C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FD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8F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71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D95C">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B4BA">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A5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4059">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F2B4">
            <w:pPr>
              <w:jc w:val="center"/>
              <w:rPr>
                <w:rFonts w:hint="eastAsia" w:ascii="微软雅黑" w:hAnsi="微软雅黑" w:eastAsia="微软雅黑" w:cs="微软雅黑"/>
                <w:i/>
                <w:iCs/>
                <w:color w:val="000000"/>
                <w:sz w:val="16"/>
                <w:szCs w:val="16"/>
                <w:u w:val="none"/>
              </w:rPr>
            </w:pPr>
          </w:p>
        </w:tc>
      </w:tr>
      <w:tr w14:paraId="4F285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6D456">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B1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2D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9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促进州委州政府依法行政、依法决策</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AE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E5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67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4B5D">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E4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56F2">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BE2F">
            <w:pPr>
              <w:jc w:val="center"/>
              <w:rPr>
                <w:rFonts w:hint="eastAsia" w:ascii="微软雅黑" w:hAnsi="微软雅黑" w:eastAsia="微软雅黑" w:cs="微软雅黑"/>
                <w:i/>
                <w:iCs/>
                <w:color w:val="000000"/>
                <w:sz w:val="16"/>
                <w:szCs w:val="16"/>
                <w:u w:val="none"/>
              </w:rPr>
            </w:pPr>
          </w:p>
        </w:tc>
      </w:tr>
      <w:tr w14:paraId="7E072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B5831">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3C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6C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82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47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E6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05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D0C8">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D4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335E">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CD8A">
            <w:pPr>
              <w:jc w:val="center"/>
              <w:rPr>
                <w:rFonts w:hint="eastAsia" w:ascii="微软雅黑" w:hAnsi="微软雅黑" w:eastAsia="微软雅黑" w:cs="微软雅黑"/>
                <w:i/>
                <w:iCs/>
                <w:color w:val="000000"/>
                <w:sz w:val="16"/>
                <w:szCs w:val="16"/>
                <w:u w:val="none"/>
              </w:rPr>
            </w:pPr>
          </w:p>
        </w:tc>
      </w:tr>
      <w:tr w14:paraId="0B9DA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9094F">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02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1B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0B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州政府法律顾问费</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8B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46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9B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229E">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1D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552F">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820B">
            <w:pPr>
              <w:jc w:val="center"/>
              <w:rPr>
                <w:rFonts w:hint="eastAsia" w:ascii="微软雅黑" w:hAnsi="微软雅黑" w:eastAsia="微软雅黑" w:cs="微软雅黑"/>
                <w:i/>
                <w:iCs/>
                <w:color w:val="000000"/>
                <w:sz w:val="16"/>
                <w:szCs w:val="16"/>
                <w:u w:val="none"/>
              </w:rPr>
            </w:pPr>
          </w:p>
        </w:tc>
      </w:tr>
      <w:tr w14:paraId="233E3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0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1EB9B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5D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F392">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4A33">
            <w:pPr>
              <w:rPr>
                <w:rFonts w:hint="eastAsia" w:ascii="宋体" w:hAnsi="宋体" w:eastAsia="宋体" w:cs="宋体"/>
                <w:i w:val="0"/>
                <w:iCs w:val="0"/>
                <w:color w:val="000000"/>
                <w:sz w:val="18"/>
                <w:szCs w:val="18"/>
                <w:u w:val="none"/>
              </w:rPr>
            </w:pPr>
          </w:p>
        </w:tc>
      </w:tr>
      <w:tr w14:paraId="6C387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06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4F56BAF">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法律顾问积极发挥职能作用，参加协调会、论证会、座谈会或者专题研究论证等会议，参与政府重要规范性文件草案的论证、评审，对经济合同、合作协议等合法性、可行性论证。</w:t>
            </w:r>
          </w:p>
          <w:p w14:paraId="46E0E2B7">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tc>
      </w:tr>
      <w:tr w14:paraId="24287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27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366F08">
            <w:pPr>
              <w:pStyle w:val="38"/>
              <w:keepNext w:val="0"/>
              <w:keepLines w:val="0"/>
              <w:widowControl w:val="0"/>
              <w:shd w:val="clear" w:color="auto" w:fill="auto"/>
              <w:tabs>
                <w:tab w:val="left" w:pos="1598"/>
              </w:tabs>
              <w:bidi w:val="0"/>
              <w:spacing w:before="0" w:beforeLines="0" w:after="0" w:afterLines="0" w:line="630" w:lineRule="exact"/>
              <w:ind w:left="0" w:leftChars="0" w:right="0" w:firstLine="0" w:firstLineChars="0"/>
              <w:jc w:val="both"/>
              <w:rPr>
                <w:rFonts w:hint="eastAsia" w:ascii="宋体" w:hAnsi="宋体" w:eastAsia="宋体" w:cs="宋体"/>
                <w:i w:val="0"/>
                <w:iCs w:val="0"/>
                <w:color w:val="000000"/>
                <w:kern w:val="0"/>
                <w:sz w:val="18"/>
                <w:szCs w:val="18"/>
                <w:u w:val="none"/>
                <w:shd w:val="clear"/>
                <w:lang w:val="en-US" w:eastAsia="zh-CN" w:bidi="ar"/>
              </w:rPr>
            </w:pPr>
            <w:r>
              <w:rPr>
                <w:rFonts w:hint="eastAsia" w:ascii="宋体" w:hAnsi="宋体" w:eastAsia="宋体" w:cs="宋体"/>
                <w:i w:val="0"/>
                <w:iCs w:val="0"/>
                <w:color w:val="000000"/>
                <w:kern w:val="0"/>
                <w:sz w:val="18"/>
                <w:szCs w:val="18"/>
                <w:u w:val="none"/>
                <w:shd w:val="clear"/>
                <w:lang w:val="en-US" w:eastAsia="zh-CN" w:bidi="ar"/>
              </w:rPr>
              <w:t>预算绩效观念不强，工作质量待提高。</w:t>
            </w:r>
          </w:p>
          <w:p w14:paraId="05B9FBA6">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shd w:val="clear"/>
                <w:lang w:val="en-US" w:eastAsia="zh-CN" w:bidi="ar"/>
              </w:rPr>
            </w:pPr>
          </w:p>
        </w:tc>
      </w:tr>
      <w:tr w14:paraId="2466B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6D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5422B3">
            <w:pPr>
              <w:pStyle w:val="38"/>
              <w:keepNext w:val="0"/>
              <w:keepLines w:val="0"/>
              <w:widowControl w:val="0"/>
              <w:shd w:val="clear" w:color="auto" w:fill="auto"/>
              <w:tabs>
                <w:tab w:val="left" w:pos="1598"/>
              </w:tabs>
              <w:bidi w:val="0"/>
              <w:spacing w:before="0" w:beforeLines="0" w:after="0" w:afterLines="0" w:line="630" w:lineRule="exact"/>
              <w:ind w:left="0" w:leftChars="0" w:right="0" w:firstLine="0" w:firstLineChars="0"/>
              <w:jc w:val="both"/>
              <w:rPr>
                <w:rFonts w:hint="eastAsia" w:ascii="宋体" w:hAnsi="宋体" w:eastAsia="宋体" w:cs="宋体"/>
                <w:i w:val="0"/>
                <w:iCs w:val="0"/>
                <w:color w:val="000000"/>
                <w:kern w:val="0"/>
                <w:sz w:val="18"/>
                <w:szCs w:val="18"/>
                <w:u w:val="none"/>
                <w:shd w:val="clear"/>
                <w:lang w:val="en-US" w:eastAsia="zh-CN" w:bidi="ar"/>
              </w:rPr>
            </w:pPr>
            <w:r>
              <w:rPr>
                <w:rFonts w:hint="eastAsia" w:ascii="宋体" w:hAnsi="宋体" w:eastAsia="宋体" w:cs="宋体"/>
                <w:i w:val="0"/>
                <w:iCs w:val="0"/>
                <w:color w:val="000000"/>
                <w:kern w:val="0"/>
                <w:sz w:val="18"/>
                <w:szCs w:val="18"/>
                <w:u w:val="none"/>
                <w:shd w:val="clear"/>
                <w:lang w:val="en-US" w:eastAsia="zh-CN" w:bidi="ar"/>
              </w:rPr>
              <w:t>根据绩效评价结果，</w:t>
            </w:r>
            <w:r>
              <w:rPr>
                <w:rFonts w:hint="default" w:ascii="宋体" w:hAnsi="宋体" w:eastAsia="宋体" w:cs="宋体"/>
                <w:i w:val="0"/>
                <w:iCs w:val="0"/>
                <w:color w:val="000000"/>
                <w:kern w:val="0"/>
                <w:sz w:val="18"/>
                <w:szCs w:val="18"/>
                <w:u w:val="none"/>
                <w:shd w:val="clear"/>
                <w:lang w:val="en-US" w:eastAsia="zh-CN" w:bidi="ar"/>
              </w:rPr>
              <w:t>进一步扩大预算绩效管理工作的覆盖面，多熟悉预算绩效管理的内容和要求，不断提升预算绩效意识</w:t>
            </w:r>
            <w:r>
              <w:rPr>
                <w:rFonts w:hint="eastAsia" w:ascii="宋体" w:hAnsi="宋体" w:eastAsia="宋体" w:cs="宋体"/>
                <w:i w:val="0"/>
                <w:iCs w:val="0"/>
                <w:color w:val="000000"/>
                <w:kern w:val="0"/>
                <w:sz w:val="18"/>
                <w:szCs w:val="18"/>
                <w:u w:val="none"/>
                <w:shd w:val="clear"/>
                <w:lang w:val="en-US" w:eastAsia="zh-CN" w:bidi="ar"/>
              </w:rPr>
              <w:t>,适当增加法律顾问工作经费，强有效推动工作，为党委政府依法行政、依法决策建言献策，助推法治政府建设。</w:t>
            </w:r>
          </w:p>
          <w:p w14:paraId="4A4A7C53">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shd w:val="clear"/>
                <w:lang w:val="en-US" w:eastAsia="zh-CN" w:bidi="ar"/>
              </w:rPr>
            </w:pPr>
          </w:p>
        </w:tc>
      </w:tr>
      <w:tr w14:paraId="73775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44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BA227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14E74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8CD1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76" w:type="dxa"/>
            <w:tcBorders>
              <w:top w:val="nil"/>
              <w:left w:val="nil"/>
              <w:bottom w:val="nil"/>
              <w:right w:val="nil"/>
            </w:tcBorders>
            <w:shd w:val="clear" w:color="auto" w:fill="auto"/>
            <w:vAlign w:val="center"/>
          </w:tcPr>
          <w:p w14:paraId="0592A5EE">
            <w:pPr>
              <w:rPr>
                <w:rFonts w:hint="eastAsia" w:ascii="宋体" w:hAnsi="宋体" w:eastAsia="宋体" w:cs="宋体"/>
                <w:i w:val="0"/>
                <w:iCs w:val="0"/>
                <w:color w:val="000000"/>
                <w:sz w:val="18"/>
                <w:szCs w:val="18"/>
                <w:u w:val="none"/>
              </w:rPr>
            </w:pPr>
          </w:p>
        </w:tc>
        <w:tc>
          <w:tcPr>
            <w:tcW w:w="1052" w:type="dxa"/>
            <w:tcBorders>
              <w:top w:val="nil"/>
              <w:left w:val="nil"/>
              <w:bottom w:val="nil"/>
              <w:right w:val="nil"/>
            </w:tcBorders>
            <w:shd w:val="clear" w:color="auto" w:fill="auto"/>
            <w:vAlign w:val="center"/>
          </w:tcPr>
          <w:p w14:paraId="6131BAC2">
            <w:pPr>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auto"/>
            <w:vAlign w:val="center"/>
          </w:tcPr>
          <w:p w14:paraId="6A756274">
            <w:pPr>
              <w:rPr>
                <w:rFonts w:hint="eastAsia" w:ascii="宋体" w:hAnsi="宋体" w:eastAsia="宋体" w:cs="宋体"/>
                <w:i w:val="0"/>
                <w:iCs w:val="0"/>
                <w:color w:val="000000"/>
                <w:sz w:val="18"/>
                <w:szCs w:val="18"/>
                <w:u w:val="none"/>
              </w:rPr>
            </w:pPr>
          </w:p>
        </w:tc>
        <w:tc>
          <w:tcPr>
            <w:tcW w:w="1408" w:type="dxa"/>
            <w:tcBorders>
              <w:top w:val="nil"/>
              <w:left w:val="nil"/>
              <w:bottom w:val="nil"/>
              <w:right w:val="nil"/>
            </w:tcBorders>
            <w:shd w:val="clear" w:color="auto" w:fill="auto"/>
            <w:vAlign w:val="center"/>
          </w:tcPr>
          <w:p w14:paraId="6AD92B73">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00E1FAE1">
            <w:pPr>
              <w:rPr>
                <w:rFonts w:hint="eastAsia" w:ascii="宋体" w:hAnsi="宋体" w:eastAsia="宋体" w:cs="宋体"/>
                <w:i w:val="0"/>
                <w:iCs w:val="0"/>
                <w:color w:val="000000"/>
                <w:sz w:val="18"/>
                <w:szCs w:val="18"/>
                <w:u w:val="none"/>
              </w:rPr>
            </w:pPr>
          </w:p>
        </w:tc>
        <w:tc>
          <w:tcPr>
            <w:tcW w:w="967" w:type="dxa"/>
            <w:tcBorders>
              <w:top w:val="nil"/>
              <w:left w:val="nil"/>
              <w:bottom w:val="nil"/>
              <w:right w:val="nil"/>
            </w:tcBorders>
            <w:shd w:val="clear" w:color="auto" w:fill="auto"/>
            <w:vAlign w:val="center"/>
          </w:tcPr>
          <w:p w14:paraId="269F6ABE">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14:paraId="7AEE28D2">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41DF0C77">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6D65C606">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306ABDC0">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14:paraId="4A0E9F5D">
            <w:pPr>
              <w:rPr>
                <w:rFonts w:hint="eastAsia" w:ascii="宋体" w:hAnsi="宋体" w:eastAsia="宋体" w:cs="宋体"/>
                <w:i w:val="0"/>
                <w:iCs w:val="0"/>
                <w:color w:val="000000"/>
                <w:sz w:val="18"/>
                <w:szCs w:val="18"/>
                <w:u w:val="none"/>
              </w:rPr>
            </w:pPr>
          </w:p>
        </w:tc>
      </w:tr>
      <w:tr w14:paraId="3551A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9" w:hRule="atLeast"/>
        </w:trPr>
        <w:tc>
          <w:tcPr>
            <w:tcW w:w="9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F828E2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18DF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F40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0953F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51330022T000000388723-维稳工作经费</w:t>
            </w:r>
          </w:p>
        </w:tc>
      </w:tr>
      <w:tr w14:paraId="033C8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9C9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C96C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甘孜州司法局部门</w:t>
            </w:r>
          </w:p>
        </w:tc>
        <w:tc>
          <w:tcPr>
            <w:tcW w:w="846" w:type="dxa"/>
            <w:tcBorders>
              <w:top w:val="nil"/>
              <w:left w:val="nil"/>
              <w:bottom w:val="nil"/>
              <w:right w:val="nil"/>
            </w:tcBorders>
            <w:shd w:val="clear" w:color="auto" w:fill="auto"/>
            <w:vAlign w:val="center"/>
          </w:tcPr>
          <w:p w14:paraId="1A0714B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C0FF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州司法局机关</w:t>
            </w:r>
          </w:p>
        </w:tc>
      </w:tr>
      <w:tr w14:paraId="7417D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2EE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550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B2DF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FC8E9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ECED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599E0">
            <w:pP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31363">
            <w:pPr>
              <w:rPr>
                <w:rFonts w:hint="eastAsia" w:ascii="宋体" w:hAnsi="宋体" w:eastAsia="宋体" w:cs="宋体"/>
                <w:i w:val="0"/>
                <w:iCs w:val="0"/>
                <w:color w:val="000000"/>
                <w:sz w:val="18"/>
                <w:szCs w:val="18"/>
                <w:u w:val="none"/>
              </w:rPr>
            </w:pP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3983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贯彻执行上级有关社会治安综合治理，维护社会稳定的方针、政策和总体部署，研究制定组织实施年度工作目标和阶段性工作计划。</w:t>
            </w: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F019C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9AA0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31CB0">
            <w:pP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1B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F8405CF">
            <w:pPr>
              <w:rPr>
                <w:rFonts w:hint="eastAsia" w:ascii="宋体" w:hAnsi="宋体" w:eastAsia="宋体" w:cs="宋体"/>
                <w:i w:val="0"/>
                <w:iCs w:val="0"/>
                <w:color w:val="000000"/>
                <w:sz w:val="18"/>
                <w:szCs w:val="18"/>
                <w:u w:val="none"/>
              </w:rPr>
            </w:pPr>
          </w:p>
        </w:tc>
      </w:tr>
      <w:tr w14:paraId="2F470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8CC4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BF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31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ED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10F3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A3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62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2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D2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6224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B4B67">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72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16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0F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3131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65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2B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A300">
            <w:pPr>
              <w:jc w:val="center"/>
              <w:rPr>
                <w:rFonts w:hint="eastAsia" w:ascii="宋体" w:hAnsi="宋体" w:eastAsia="宋体" w:cs="宋体"/>
                <w:i w:val="0"/>
                <w:iCs w:val="0"/>
                <w:color w:val="000000"/>
                <w:sz w:val="18"/>
                <w:szCs w:val="18"/>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1605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9D7C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32E1B">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6C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FB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94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B0FB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A2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C0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18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6358B">
            <w:pPr>
              <w:rPr>
                <w:rFonts w:hint="eastAsia" w:ascii="黑体" w:hAnsi="黑体" w:eastAsia="黑体" w:cs="黑体"/>
                <w:i/>
                <w:iCs/>
                <w:color w:val="000000"/>
                <w:sz w:val="18"/>
                <w:szCs w:val="18"/>
                <w:u w:val="none"/>
              </w:rPr>
            </w:pPr>
          </w:p>
        </w:tc>
      </w:tr>
      <w:tr w14:paraId="3043F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293C0">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8C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0E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13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7053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94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85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DA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A19BF">
            <w:pPr>
              <w:rPr>
                <w:rFonts w:hint="eastAsia" w:ascii="黑体" w:hAnsi="黑体" w:eastAsia="黑体" w:cs="黑体"/>
                <w:i/>
                <w:iCs/>
                <w:color w:val="000000"/>
                <w:sz w:val="18"/>
                <w:szCs w:val="18"/>
                <w:u w:val="none"/>
              </w:rPr>
            </w:pPr>
          </w:p>
        </w:tc>
      </w:tr>
      <w:tr w14:paraId="65931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E754C">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86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91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3F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35D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C7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41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AF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93A22">
            <w:pPr>
              <w:rPr>
                <w:rFonts w:hint="eastAsia" w:ascii="黑体" w:hAnsi="黑体" w:eastAsia="黑体" w:cs="黑体"/>
                <w:i/>
                <w:iCs/>
                <w:color w:val="000000"/>
                <w:sz w:val="18"/>
                <w:szCs w:val="18"/>
                <w:u w:val="none"/>
              </w:rPr>
            </w:pPr>
          </w:p>
        </w:tc>
      </w:tr>
      <w:tr w14:paraId="026F7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2F909">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19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AD70">
            <w:pPr>
              <w:jc w:val="center"/>
              <w:rPr>
                <w:rFonts w:hint="eastAsia" w:ascii="微软雅黑" w:hAnsi="微软雅黑" w:eastAsia="微软雅黑" w:cs="微软雅黑"/>
                <w:i/>
                <w:iCs/>
                <w:color w:val="000000"/>
                <w:sz w:val="16"/>
                <w:szCs w:val="16"/>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AD28">
            <w:pPr>
              <w:jc w:val="center"/>
              <w:rPr>
                <w:rFonts w:hint="eastAsia" w:ascii="微软雅黑" w:hAnsi="微软雅黑" w:eastAsia="微软雅黑" w:cs="微软雅黑"/>
                <w:i/>
                <w:iCs/>
                <w:color w:val="000000"/>
                <w:sz w:val="16"/>
                <w:szCs w:val="16"/>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9DF314">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26C4">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78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40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59476">
            <w:pPr>
              <w:rPr>
                <w:rFonts w:hint="eastAsia" w:ascii="黑体" w:hAnsi="黑体" w:eastAsia="黑体" w:cs="黑体"/>
                <w:i/>
                <w:iCs/>
                <w:color w:val="000000"/>
                <w:sz w:val="18"/>
                <w:szCs w:val="18"/>
                <w:u w:val="none"/>
              </w:rPr>
            </w:pPr>
          </w:p>
        </w:tc>
      </w:tr>
      <w:tr w14:paraId="44FCC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11E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AA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93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94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FE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8F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80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B7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56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51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E3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306B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43CD9">
            <w:pPr>
              <w:jc w:val="center"/>
              <w:rPr>
                <w:rFonts w:hint="eastAsia" w:ascii="宋体" w:hAnsi="宋体" w:eastAsia="宋体" w:cs="宋体"/>
                <w:i w:val="0"/>
                <w:iCs w:val="0"/>
                <w:color w:val="000000"/>
                <w:sz w:val="18"/>
                <w:szCs w:val="18"/>
                <w:u w:val="none"/>
              </w:rPr>
            </w:pP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7D6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1B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02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完成敏感时期维稳工作</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AA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C1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A6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9560">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30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2262">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57C9">
            <w:pPr>
              <w:jc w:val="center"/>
              <w:rPr>
                <w:rFonts w:hint="eastAsia" w:ascii="微软雅黑" w:hAnsi="微软雅黑" w:eastAsia="微软雅黑" w:cs="微软雅黑"/>
                <w:i/>
                <w:iCs/>
                <w:color w:val="000000"/>
                <w:sz w:val="16"/>
                <w:szCs w:val="16"/>
                <w:u w:val="none"/>
              </w:rPr>
            </w:pPr>
          </w:p>
        </w:tc>
      </w:tr>
      <w:tr w14:paraId="02548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5FBFF">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11969">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DB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FE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9D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F7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23B2">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C7EE">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FE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3F2F">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8A0F">
            <w:pPr>
              <w:jc w:val="center"/>
              <w:rPr>
                <w:rFonts w:hint="eastAsia" w:ascii="微软雅黑" w:hAnsi="微软雅黑" w:eastAsia="微软雅黑" w:cs="微软雅黑"/>
                <w:i/>
                <w:iCs/>
                <w:color w:val="000000"/>
                <w:sz w:val="16"/>
                <w:szCs w:val="16"/>
                <w:u w:val="none"/>
              </w:rPr>
            </w:pPr>
          </w:p>
        </w:tc>
      </w:tr>
      <w:tr w14:paraId="10CBE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98829">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B0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EA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F1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持续维护社会安全稳定</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B2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4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1D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D204">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C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6C11">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7A2B">
            <w:pPr>
              <w:jc w:val="center"/>
              <w:rPr>
                <w:rFonts w:hint="eastAsia" w:ascii="微软雅黑" w:hAnsi="微软雅黑" w:eastAsia="微软雅黑" w:cs="微软雅黑"/>
                <w:i/>
                <w:iCs/>
                <w:color w:val="000000"/>
                <w:sz w:val="16"/>
                <w:szCs w:val="16"/>
                <w:u w:val="none"/>
              </w:rPr>
            </w:pPr>
          </w:p>
        </w:tc>
      </w:tr>
      <w:tr w14:paraId="7C2BB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5CDB8">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E5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A6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C5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BC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0B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4C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399D">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A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4B64">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B192">
            <w:pPr>
              <w:jc w:val="center"/>
              <w:rPr>
                <w:rFonts w:hint="eastAsia" w:ascii="微软雅黑" w:hAnsi="微软雅黑" w:eastAsia="微软雅黑" w:cs="微软雅黑"/>
                <w:i/>
                <w:iCs/>
                <w:color w:val="000000"/>
                <w:sz w:val="16"/>
                <w:szCs w:val="16"/>
                <w:u w:val="none"/>
              </w:rPr>
            </w:pPr>
          </w:p>
        </w:tc>
      </w:tr>
      <w:tr w14:paraId="38390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AC622">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E9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FD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37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2023年敏感时期维稳工作</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4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51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98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48EB">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51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5280">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2462">
            <w:pPr>
              <w:jc w:val="center"/>
              <w:rPr>
                <w:rFonts w:hint="eastAsia" w:ascii="微软雅黑" w:hAnsi="微软雅黑" w:eastAsia="微软雅黑" w:cs="微软雅黑"/>
                <w:i/>
                <w:iCs/>
                <w:color w:val="000000"/>
                <w:sz w:val="16"/>
                <w:szCs w:val="16"/>
                <w:u w:val="none"/>
              </w:rPr>
            </w:pPr>
          </w:p>
        </w:tc>
      </w:tr>
      <w:tr w14:paraId="5E865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8E36B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7F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CE91">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C19B">
            <w:pPr>
              <w:rPr>
                <w:rFonts w:hint="eastAsia" w:ascii="宋体" w:hAnsi="宋体" w:eastAsia="宋体" w:cs="宋体"/>
                <w:i w:val="0"/>
                <w:iCs w:val="0"/>
                <w:color w:val="000000"/>
                <w:sz w:val="18"/>
                <w:szCs w:val="18"/>
                <w:u w:val="none"/>
              </w:rPr>
            </w:pPr>
          </w:p>
        </w:tc>
      </w:tr>
      <w:tr w14:paraId="36A57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B5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EA9E7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执行上级有关社会治安综合治理，维护社会稳定的方针、政策和总体部署，研究制定组织实施年度工作目标和阶段性工作计划。</w:t>
            </w:r>
          </w:p>
        </w:tc>
      </w:tr>
      <w:tr w14:paraId="52FCE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7C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6F052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F961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40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BD4DA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E0A4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44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C8BBC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88D41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3DAD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76" w:type="dxa"/>
            <w:tcBorders>
              <w:top w:val="nil"/>
              <w:left w:val="nil"/>
              <w:bottom w:val="nil"/>
              <w:right w:val="nil"/>
            </w:tcBorders>
            <w:shd w:val="clear" w:color="auto" w:fill="auto"/>
            <w:vAlign w:val="center"/>
          </w:tcPr>
          <w:p w14:paraId="3D48FBA5">
            <w:pPr>
              <w:rPr>
                <w:rFonts w:hint="eastAsia" w:ascii="宋体" w:hAnsi="宋体" w:eastAsia="宋体" w:cs="宋体"/>
                <w:i w:val="0"/>
                <w:iCs w:val="0"/>
                <w:color w:val="000000"/>
                <w:sz w:val="18"/>
                <w:szCs w:val="18"/>
                <w:u w:val="none"/>
              </w:rPr>
            </w:pPr>
          </w:p>
        </w:tc>
        <w:tc>
          <w:tcPr>
            <w:tcW w:w="1052" w:type="dxa"/>
            <w:tcBorders>
              <w:top w:val="nil"/>
              <w:left w:val="nil"/>
              <w:bottom w:val="nil"/>
              <w:right w:val="nil"/>
            </w:tcBorders>
            <w:shd w:val="clear" w:color="auto" w:fill="auto"/>
            <w:vAlign w:val="center"/>
          </w:tcPr>
          <w:p w14:paraId="77663C76">
            <w:pPr>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auto"/>
            <w:vAlign w:val="center"/>
          </w:tcPr>
          <w:p w14:paraId="1CCD1590">
            <w:pPr>
              <w:rPr>
                <w:rFonts w:hint="eastAsia" w:ascii="宋体" w:hAnsi="宋体" w:eastAsia="宋体" w:cs="宋体"/>
                <w:i w:val="0"/>
                <w:iCs w:val="0"/>
                <w:color w:val="000000"/>
                <w:sz w:val="18"/>
                <w:szCs w:val="18"/>
                <w:u w:val="none"/>
              </w:rPr>
            </w:pPr>
          </w:p>
        </w:tc>
        <w:tc>
          <w:tcPr>
            <w:tcW w:w="1408" w:type="dxa"/>
            <w:tcBorders>
              <w:top w:val="nil"/>
              <w:left w:val="nil"/>
              <w:bottom w:val="nil"/>
              <w:right w:val="nil"/>
            </w:tcBorders>
            <w:shd w:val="clear" w:color="auto" w:fill="auto"/>
            <w:vAlign w:val="center"/>
          </w:tcPr>
          <w:p w14:paraId="731908E4">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0C981B5A">
            <w:pPr>
              <w:rPr>
                <w:rFonts w:hint="eastAsia" w:ascii="宋体" w:hAnsi="宋体" w:eastAsia="宋体" w:cs="宋体"/>
                <w:i w:val="0"/>
                <w:iCs w:val="0"/>
                <w:color w:val="000000"/>
                <w:sz w:val="18"/>
                <w:szCs w:val="18"/>
                <w:u w:val="none"/>
              </w:rPr>
            </w:pPr>
          </w:p>
        </w:tc>
        <w:tc>
          <w:tcPr>
            <w:tcW w:w="967" w:type="dxa"/>
            <w:tcBorders>
              <w:top w:val="nil"/>
              <w:left w:val="nil"/>
              <w:bottom w:val="nil"/>
              <w:right w:val="nil"/>
            </w:tcBorders>
            <w:shd w:val="clear" w:color="auto" w:fill="auto"/>
            <w:vAlign w:val="center"/>
          </w:tcPr>
          <w:p w14:paraId="370433D3">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14:paraId="17C741EC">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21AD03A3">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45E81E07">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77FB18F3">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14:paraId="7C1CC2D8">
            <w:pPr>
              <w:rPr>
                <w:rFonts w:hint="eastAsia" w:ascii="宋体" w:hAnsi="宋体" w:eastAsia="宋体" w:cs="宋体"/>
                <w:i w:val="0"/>
                <w:iCs w:val="0"/>
                <w:color w:val="000000"/>
                <w:sz w:val="18"/>
                <w:szCs w:val="18"/>
                <w:u w:val="none"/>
              </w:rPr>
            </w:pPr>
          </w:p>
        </w:tc>
      </w:tr>
      <w:tr w14:paraId="76D2A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9" w:hRule="atLeast"/>
        </w:trPr>
        <w:tc>
          <w:tcPr>
            <w:tcW w:w="9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118CBF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FA9D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71B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AA898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51330022T000000388744-依法治州工作经费</w:t>
            </w:r>
          </w:p>
        </w:tc>
      </w:tr>
      <w:tr w14:paraId="5C883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8D2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87C4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甘孜州司法局部门</w:t>
            </w:r>
          </w:p>
        </w:tc>
        <w:tc>
          <w:tcPr>
            <w:tcW w:w="846" w:type="dxa"/>
            <w:tcBorders>
              <w:top w:val="nil"/>
              <w:left w:val="nil"/>
              <w:bottom w:val="nil"/>
              <w:right w:val="nil"/>
            </w:tcBorders>
            <w:shd w:val="clear" w:color="auto" w:fill="auto"/>
            <w:vAlign w:val="center"/>
          </w:tcPr>
          <w:p w14:paraId="5B4F3DE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14F4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州司法局机关</w:t>
            </w:r>
          </w:p>
        </w:tc>
      </w:tr>
      <w:tr w14:paraId="15D50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046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1AE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52E3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505DC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3BE5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3F433">
            <w:pP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3E167">
            <w:pPr>
              <w:rPr>
                <w:rFonts w:hint="eastAsia" w:ascii="宋体" w:hAnsi="宋体" w:eastAsia="宋体" w:cs="宋体"/>
                <w:i w:val="0"/>
                <w:iCs w:val="0"/>
                <w:color w:val="000000"/>
                <w:sz w:val="18"/>
                <w:szCs w:val="18"/>
                <w:u w:val="none"/>
              </w:rPr>
            </w:pP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426F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开展依法治理工作，夯实依法治州的基层基础，提升行政立法、行政执法、刑事执行、公共法律服务水平，推进科学立法，加强法治政府建设，深化司法体制改革，推进法治社会建设，全面开展市域治理工作，不断提高干部群众法律意识，全方位营造良好的法治氛围，维护社会稳定和谐。</w:t>
            </w: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64000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3FFD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916E1">
            <w:pP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99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AD230C9">
            <w:pPr>
              <w:rPr>
                <w:rFonts w:hint="eastAsia" w:ascii="宋体" w:hAnsi="宋体" w:eastAsia="宋体" w:cs="宋体"/>
                <w:i w:val="0"/>
                <w:iCs w:val="0"/>
                <w:color w:val="000000"/>
                <w:sz w:val="18"/>
                <w:szCs w:val="18"/>
                <w:u w:val="none"/>
              </w:rPr>
            </w:pPr>
          </w:p>
        </w:tc>
      </w:tr>
      <w:tr w14:paraId="56F80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717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F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3C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AC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711E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BF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10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12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01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9AC0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6E1E8">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79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5E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F0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F873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2A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12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D242">
            <w:pPr>
              <w:jc w:val="center"/>
              <w:rPr>
                <w:rFonts w:hint="eastAsia" w:ascii="宋体" w:hAnsi="宋体" w:eastAsia="宋体" w:cs="宋体"/>
                <w:i w:val="0"/>
                <w:iCs w:val="0"/>
                <w:color w:val="000000"/>
                <w:sz w:val="18"/>
                <w:szCs w:val="18"/>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3102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05D7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49109">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F0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7F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D2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CE2A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DE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A4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D4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71381">
            <w:pPr>
              <w:rPr>
                <w:rFonts w:hint="eastAsia" w:ascii="黑体" w:hAnsi="黑体" w:eastAsia="黑体" w:cs="黑体"/>
                <w:i/>
                <w:iCs/>
                <w:color w:val="000000"/>
                <w:sz w:val="18"/>
                <w:szCs w:val="18"/>
                <w:u w:val="none"/>
              </w:rPr>
            </w:pPr>
          </w:p>
        </w:tc>
      </w:tr>
      <w:tr w14:paraId="4CD1C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285EE">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07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F9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3D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C7A5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CA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F8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61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D3169">
            <w:pPr>
              <w:rPr>
                <w:rFonts w:hint="eastAsia" w:ascii="黑体" w:hAnsi="黑体" w:eastAsia="黑体" w:cs="黑体"/>
                <w:i/>
                <w:iCs/>
                <w:color w:val="000000"/>
                <w:sz w:val="18"/>
                <w:szCs w:val="18"/>
                <w:u w:val="none"/>
              </w:rPr>
            </w:pPr>
          </w:p>
        </w:tc>
      </w:tr>
      <w:tr w14:paraId="2E02D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49D02">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49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E2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BE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DB17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83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F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6A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29BF1">
            <w:pPr>
              <w:rPr>
                <w:rFonts w:hint="eastAsia" w:ascii="黑体" w:hAnsi="黑体" w:eastAsia="黑体" w:cs="黑体"/>
                <w:i/>
                <w:iCs/>
                <w:color w:val="000000"/>
                <w:sz w:val="18"/>
                <w:szCs w:val="18"/>
                <w:u w:val="none"/>
              </w:rPr>
            </w:pPr>
          </w:p>
        </w:tc>
      </w:tr>
      <w:tr w14:paraId="1EDA1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D8EB5">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85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E40C">
            <w:pPr>
              <w:jc w:val="center"/>
              <w:rPr>
                <w:rFonts w:hint="eastAsia" w:ascii="微软雅黑" w:hAnsi="微软雅黑" w:eastAsia="微软雅黑" w:cs="微软雅黑"/>
                <w:i/>
                <w:iCs/>
                <w:color w:val="000000"/>
                <w:sz w:val="16"/>
                <w:szCs w:val="16"/>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EEFF">
            <w:pPr>
              <w:jc w:val="center"/>
              <w:rPr>
                <w:rFonts w:hint="eastAsia" w:ascii="微软雅黑" w:hAnsi="微软雅黑" w:eastAsia="微软雅黑" w:cs="微软雅黑"/>
                <w:i/>
                <w:iCs/>
                <w:color w:val="000000"/>
                <w:sz w:val="16"/>
                <w:szCs w:val="16"/>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2881B4">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5D54">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AA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56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E816A">
            <w:pPr>
              <w:rPr>
                <w:rFonts w:hint="eastAsia" w:ascii="黑体" w:hAnsi="黑体" w:eastAsia="黑体" w:cs="黑体"/>
                <w:i/>
                <w:iCs/>
                <w:color w:val="000000"/>
                <w:sz w:val="18"/>
                <w:szCs w:val="18"/>
                <w:u w:val="none"/>
              </w:rPr>
            </w:pPr>
          </w:p>
        </w:tc>
      </w:tr>
      <w:tr w14:paraId="6CF31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9487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DC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5A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4B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43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AA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6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A0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47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0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D4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B219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2C3F1">
            <w:pPr>
              <w:jc w:val="center"/>
              <w:rPr>
                <w:rFonts w:hint="eastAsia" w:ascii="宋体" w:hAnsi="宋体" w:eastAsia="宋体" w:cs="宋体"/>
                <w:i w:val="0"/>
                <w:iCs w:val="0"/>
                <w:color w:val="000000"/>
                <w:sz w:val="18"/>
                <w:szCs w:val="18"/>
                <w:u w:val="none"/>
              </w:rPr>
            </w:pP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C53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B1F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99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依法治州工作培训会</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2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0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90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A5B4">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0D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BE6F">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5B1A">
            <w:pPr>
              <w:jc w:val="center"/>
              <w:rPr>
                <w:rFonts w:hint="eastAsia" w:ascii="微软雅黑" w:hAnsi="微软雅黑" w:eastAsia="微软雅黑" w:cs="微软雅黑"/>
                <w:i/>
                <w:iCs/>
                <w:color w:val="000000"/>
                <w:sz w:val="16"/>
                <w:szCs w:val="16"/>
                <w:u w:val="none"/>
              </w:rPr>
            </w:pPr>
          </w:p>
        </w:tc>
      </w:tr>
      <w:tr w14:paraId="4CD51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A1213">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66697">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E1905">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87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依法治州工作调研督查</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E2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1A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A7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4945">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73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85AE">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9C8A">
            <w:pPr>
              <w:jc w:val="center"/>
              <w:rPr>
                <w:rFonts w:hint="eastAsia" w:ascii="微软雅黑" w:hAnsi="微软雅黑" w:eastAsia="微软雅黑" w:cs="微软雅黑"/>
                <w:i/>
                <w:iCs/>
                <w:color w:val="000000"/>
                <w:sz w:val="16"/>
                <w:szCs w:val="16"/>
                <w:u w:val="none"/>
              </w:rPr>
            </w:pPr>
          </w:p>
        </w:tc>
      </w:tr>
      <w:tr w14:paraId="3C887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9DAE8">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74210">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00034">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6F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举办依法治州工作会议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74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96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C0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2B2F">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FD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21A3">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01D9">
            <w:pPr>
              <w:jc w:val="center"/>
              <w:rPr>
                <w:rFonts w:hint="eastAsia" w:ascii="微软雅黑" w:hAnsi="微软雅黑" w:eastAsia="微软雅黑" w:cs="微软雅黑"/>
                <w:i/>
                <w:iCs/>
                <w:color w:val="000000"/>
                <w:sz w:val="16"/>
                <w:szCs w:val="16"/>
                <w:u w:val="none"/>
              </w:rPr>
            </w:pPr>
          </w:p>
        </w:tc>
      </w:tr>
      <w:tr w14:paraId="1F1C8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DCC2C">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045C8">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37588">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81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学术研究</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44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5F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9E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26AE">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17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C68B">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20AE">
            <w:pPr>
              <w:jc w:val="center"/>
              <w:rPr>
                <w:rFonts w:hint="eastAsia" w:ascii="微软雅黑" w:hAnsi="微软雅黑" w:eastAsia="微软雅黑" w:cs="微软雅黑"/>
                <w:i/>
                <w:iCs/>
                <w:color w:val="000000"/>
                <w:sz w:val="16"/>
                <w:szCs w:val="16"/>
                <w:u w:val="none"/>
              </w:rPr>
            </w:pPr>
          </w:p>
        </w:tc>
      </w:tr>
      <w:tr w14:paraId="51989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3C19F">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13B0C">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E6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2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08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3C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9FDF">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79EE">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EA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CDA0">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D30C">
            <w:pPr>
              <w:jc w:val="center"/>
              <w:rPr>
                <w:rFonts w:hint="eastAsia" w:ascii="微软雅黑" w:hAnsi="微软雅黑" w:eastAsia="微软雅黑" w:cs="微软雅黑"/>
                <w:i/>
                <w:iCs/>
                <w:color w:val="000000"/>
                <w:sz w:val="16"/>
                <w:szCs w:val="16"/>
                <w:u w:val="none"/>
              </w:rPr>
            </w:pPr>
          </w:p>
        </w:tc>
      </w:tr>
      <w:tr w14:paraId="05AE0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7B817">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2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A3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4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对工作的促进作用</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C0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8B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E0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E554">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96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C093">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0C9D">
            <w:pPr>
              <w:jc w:val="center"/>
              <w:rPr>
                <w:rFonts w:hint="eastAsia" w:ascii="微软雅黑" w:hAnsi="微软雅黑" w:eastAsia="微软雅黑" w:cs="微软雅黑"/>
                <w:i/>
                <w:iCs/>
                <w:color w:val="000000"/>
                <w:sz w:val="16"/>
                <w:szCs w:val="16"/>
                <w:u w:val="none"/>
              </w:rPr>
            </w:pPr>
          </w:p>
        </w:tc>
      </w:tr>
      <w:tr w14:paraId="19F73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1857E">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37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68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E1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68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A0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93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F804">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CA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3EB9">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369A">
            <w:pPr>
              <w:jc w:val="center"/>
              <w:rPr>
                <w:rFonts w:hint="eastAsia" w:ascii="微软雅黑" w:hAnsi="微软雅黑" w:eastAsia="微软雅黑" w:cs="微软雅黑"/>
                <w:i/>
                <w:iCs/>
                <w:color w:val="000000"/>
                <w:sz w:val="16"/>
                <w:szCs w:val="16"/>
                <w:u w:val="none"/>
              </w:rPr>
            </w:pPr>
          </w:p>
        </w:tc>
      </w:tr>
      <w:tr w14:paraId="28F52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7C14E">
            <w:pPr>
              <w:jc w:val="center"/>
              <w:rPr>
                <w:rFonts w:hint="eastAsia" w:ascii="宋体" w:hAnsi="宋体" w:eastAsia="宋体" w:cs="宋体"/>
                <w:i w:val="0"/>
                <w:iCs w:val="0"/>
                <w:color w:val="000000"/>
                <w:sz w:val="18"/>
                <w:szCs w:val="18"/>
                <w:u w:val="none"/>
              </w:rPr>
            </w:pP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842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39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3C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依法治州工作调研督查</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4E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AD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7E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47DF">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41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69FD">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24EB">
            <w:pPr>
              <w:jc w:val="center"/>
              <w:rPr>
                <w:rFonts w:hint="eastAsia" w:ascii="微软雅黑" w:hAnsi="微软雅黑" w:eastAsia="微软雅黑" w:cs="微软雅黑"/>
                <w:i/>
                <w:iCs/>
                <w:color w:val="000000"/>
                <w:sz w:val="16"/>
                <w:szCs w:val="16"/>
                <w:u w:val="none"/>
              </w:rPr>
            </w:pPr>
          </w:p>
        </w:tc>
      </w:tr>
      <w:tr w14:paraId="06785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C592B">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9773B">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BE202">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B9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依法治州工作培训会</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35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0F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5A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9DE1">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EE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5DB2">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1B4E">
            <w:pPr>
              <w:jc w:val="center"/>
              <w:rPr>
                <w:rFonts w:hint="eastAsia" w:ascii="微软雅黑" w:hAnsi="微软雅黑" w:eastAsia="微软雅黑" w:cs="微软雅黑"/>
                <w:i/>
                <w:iCs/>
                <w:color w:val="000000"/>
                <w:sz w:val="16"/>
                <w:szCs w:val="16"/>
                <w:u w:val="none"/>
              </w:rPr>
            </w:pPr>
          </w:p>
        </w:tc>
      </w:tr>
      <w:tr w14:paraId="4AA13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19332">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DB0AD">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8583F">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73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学术研究</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BE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48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78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CE96">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C9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CD75">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FA87">
            <w:pPr>
              <w:jc w:val="center"/>
              <w:rPr>
                <w:rFonts w:hint="eastAsia" w:ascii="微软雅黑" w:hAnsi="微软雅黑" w:eastAsia="微软雅黑" w:cs="微软雅黑"/>
                <w:i/>
                <w:iCs/>
                <w:color w:val="000000"/>
                <w:sz w:val="16"/>
                <w:szCs w:val="16"/>
                <w:u w:val="none"/>
              </w:rPr>
            </w:pPr>
          </w:p>
        </w:tc>
      </w:tr>
      <w:tr w14:paraId="6F422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10F8F">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0B792">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1C169">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89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依法治州工作会议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DB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94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F4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4362">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C9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9789">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8AAA">
            <w:pPr>
              <w:jc w:val="center"/>
              <w:rPr>
                <w:rFonts w:hint="eastAsia" w:ascii="微软雅黑" w:hAnsi="微软雅黑" w:eastAsia="微软雅黑" w:cs="微软雅黑"/>
                <w:i/>
                <w:iCs/>
                <w:color w:val="000000"/>
                <w:sz w:val="16"/>
                <w:szCs w:val="16"/>
                <w:u w:val="none"/>
              </w:rPr>
            </w:pPr>
          </w:p>
        </w:tc>
      </w:tr>
      <w:tr w14:paraId="23653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0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F4FB2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E8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E689">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D16E">
            <w:pPr>
              <w:rPr>
                <w:rFonts w:hint="eastAsia" w:ascii="宋体" w:hAnsi="宋体" w:eastAsia="宋体" w:cs="宋体"/>
                <w:i w:val="0"/>
                <w:iCs w:val="0"/>
                <w:color w:val="000000"/>
                <w:sz w:val="18"/>
                <w:szCs w:val="18"/>
                <w:u w:val="none"/>
              </w:rPr>
            </w:pPr>
          </w:p>
        </w:tc>
      </w:tr>
      <w:tr w14:paraId="50246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AE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FD08EA">
            <w:pPr>
              <w:pStyle w:val="38"/>
              <w:keepNext w:val="0"/>
              <w:keepLines w:val="0"/>
              <w:widowControl w:val="0"/>
              <w:shd w:val="clear" w:color="auto" w:fill="auto"/>
              <w:tabs>
                <w:tab w:val="left" w:pos="1621"/>
              </w:tabs>
              <w:bidi w:val="0"/>
              <w:spacing w:before="0" w:beforeLines="0" w:after="0" w:afterLines="0" w:line="626" w:lineRule="exact"/>
              <w:ind w:left="0" w:leftChars="0" w:right="0" w:firstLine="0" w:firstLineChars="0"/>
              <w:jc w:val="both"/>
              <w:rPr>
                <w:rFonts w:hint="eastAsia" w:ascii="宋体" w:hAnsi="宋体" w:eastAsia="宋体" w:cs="宋体"/>
                <w:i w:val="0"/>
                <w:iCs w:val="0"/>
                <w:color w:val="000000"/>
                <w:kern w:val="0"/>
                <w:sz w:val="18"/>
                <w:szCs w:val="18"/>
                <w:u w:val="none"/>
                <w:shd w:val="clear"/>
                <w:lang w:val="en-US" w:eastAsia="zh-CN" w:bidi="ar"/>
              </w:rPr>
            </w:pPr>
            <w:r>
              <w:rPr>
                <w:rFonts w:hint="eastAsia" w:ascii="宋体" w:hAnsi="宋体" w:eastAsia="宋体" w:cs="宋体"/>
                <w:i w:val="0"/>
                <w:iCs w:val="0"/>
                <w:color w:val="000000"/>
                <w:kern w:val="0"/>
                <w:sz w:val="18"/>
                <w:szCs w:val="18"/>
                <w:u w:val="none"/>
                <w:shd w:val="clear"/>
                <w:lang w:val="en-US" w:eastAsia="zh-CN" w:bidi="ar"/>
              </w:rPr>
              <w:t>通过开展依法治理工作，夯实了依法治州的基层基础，提升了行政立法、行政执法、刑事执行、公共法律服务水平，有力推进科学立法，加强法治政府建设，深化司法体制改革，推进法治社会建设，提高了干部群众法律意识，营造了良好的法治氛围，维护社会稳定和谐。</w:t>
            </w:r>
          </w:p>
          <w:p w14:paraId="6F2195E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shd w:val="clear"/>
                <w:lang w:val="en-US" w:eastAsia="zh-CN" w:bidi="ar"/>
              </w:rPr>
            </w:pPr>
          </w:p>
        </w:tc>
      </w:tr>
      <w:tr w14:paraId="3B3AA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04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91D6E2">
            <w:pPr>
              <w:pStyle w:val="38"/>
              <w:keepNext w:val="0"/>
              <w:keepLines w:val="0"/>
              <w:widowControl w:val="0"/>
              <w:shd w:val="clear" w:color="auto" w:fill="auto"/>
              <w:tabs>
                <w:tab w:val="left" w:pos="1598"/>
              </w:tabs>
              <w:bidi w:val="0"/>
              <w:spacing w:before="0" w:beforeLines="0" w:after="0" w:afterLines="0" w:line="630" w:lineRule="exact"/>
              <w:ind w:left="0" w:leftChars="0" w:right="0" w:firstLine="0" w:firstLineChars="0"/>
              <w:jc w:val="left"/>
              <w:rPr>
                <w:rFonts w:hint="eastAsia" w:ascii="宋体" w:hAnsi="宋体" w:eastAsia="宋体" w:cs="宋体"/>
                <w:i w:val="0"/>
                <w:iCs w:val="0"/>
                <w:color w:val="000000"/>
                <w:kern w:val="0"/>
                <w:sz w:val="18"/>
                <w:szCs w:val="18"/>
                <w:u w:val="none"/>
                <w:shd w:val="clear"/>
                <w:lang w:val="en-US" w:eastAsia="zh-CN" w:bidi="ar"/>
              </w:rPr>
            </w:pPr>
            <w:r>
              <w:rPr>
                <w:rFonts w:hint="eastAsia" w:ascii="宋体" w:hAnsi="宋体" w:eastAsia="宋体" w:cs="宋体"/>
                <w:i w:val="0"/>
                <w:iCs w:val="0"/>
                <w:color w:val="000000"/>
                <w:kern w:val="0"/>
                <w:sz w:val="18"/>
                <w:szCs w:val="18"/>
                <w:u w:val="none"/>
                <w:shd w:val="clear"/>
                <w:lang w:val="en-US" w:eastAsia="zh-CN" w:bidi="ar"/>
              </w:rPr>
              <w:t>按照州、县（市）委员会工作规则的要求，委员会机构运转经费由财政部门保障，但州、县（市）财政部门均未将运转经费单独预算、拨付，造成工作推进不足；依法治州、县（市）工作仅依靠个别科室、人员落实，工作实效打折扣，整体推进不足，未形成齐抓共管的整体合力。</w:t>
            </w:r>
          </w:p>
          <w:p w14:paraId="0947A1D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shd w:val="clear"/>
                <w:lang w:val="en-US" w:eastAsia="zh-CN" w:bidi="ar"/>
              </w:rPr>
            </w:pPr>
          </w:p>
        </w:tc>
      </w:tr>
      <w:tr w14:paraId="6E265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D1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79B09C9">
            <w:pPr>
              <w:pStyle w:val="38"/>
              <w:keepNext w:val="0"/>
              <w:keepLines w:val="0"/>
              <w:widowControl w:val="0"/>
              <w:shd w:val="clear" w:color="auto" w:fill="auto"/>
              <w:tabs>
                <w:tab w:val="left" w:pos="1598"/>
              </w:tabs>
              <w:bidi w:val="0"/>
              <w:spacing w:before="0" w:beforeLines="0" w:after="0" w:afterLines="0" w:line="630" w:lineRule="exact"/>
              <w:ind w:left="0" w:leftChars="0" w:right="0" w:firstLine="0" w:firstLineChars="0"/>
              <w:jc w:val="left"/>
              <w:rPr>
                <w:rFonts w:hint="eastAsia" w:ascii="宋体" w:hAnsi="宋体" w:eastAsia="宋体" w:cs="宋体"/>
                <w:i w:val="0"/>
                <w:iCs w:val="0"/>
                <w:color w:val="000000"/>
                <w:kern w:val="0"/>
                <w:sz w:val="18"/>
                <w:szCs w:val="18"/>
                <w:u w:val="none"/>
                <w:shd w:val="clear"/>
                <w:lang w:val="en-US" w:eastAsia="zh-CN" w:bidi="ar"/>
              </w:rPr>
            </w:pPr>
            <w:r>
              <w:rPr>
                <w:rFonts w:hint="eastAsia" w:ascii="宋体" w:hAnsi="宋体" w:eastAsia="宋体" w:cs="宋体"/>
                <w:i w:val="0"/>
                <w:iCs w:val="0"/>
                <w:color w:val="000000"/>
                <w:kern w:val="0"/>
                <w:sz w:val="18"/>
                <w:szCs w:val="18"/>
                <w:u w:val="none"/>
                <w:shd w:val="clear"/>
                <w:lang w:val="en-US" w:eastAsia="zh-CN" w:bidi="ar"/>
              </w:rPr>
              <w:t>根据绩效评价结果，适当增加依法治州相关人员及经费，强有效推动工作，充分发挥依法治州统领协调作用。</w:t>
            </w:r>
          </w:p>
          <w:p w14:paraId="452A6F7A">
            <w:pPr>
              <w:rPr>
                <w:rFonts w:ascii="宋体" w:hAnsi="宋体" w:eastAsia="宋体" w:cs="宋体"/>
                <w:i w:val="0"/>
                <w:iCs w:val="0"/>
                <w:color w:val="000000"/>
                <w:kern w:val="0"/>
                <w:sz w:val="18"/>
                <w:szCs w:val="18"/>
                <w:u w:val="none"/>
                <w:shd w:val="clear"/>
                <w:lang w:val="en-US" w:eastAsia="zh-CN" w:bidi="ar"/>
              </w:rPr>
            </w:pPr>
          </w:p>
          <w:p w14:paraId="6E565B0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shd w:val="clear"/>
                <w:lang w:val="en-US" w:eastAsia="zh-CN" w:bidi="ar"/>
              </w:rPr>
            </w:pPr>
          </w:p>
        </w:tc>
      </w:tr>
      <w:tr w14:paraId="018AD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44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AA71A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FC3A7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370C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76" w:type="dxa"/>
            <w:tcBorders>
              <w:top w:val="nil"/>
              <w:left w:val="nil"/>
              <w:bottom w:val="nil"/>
              <w:right w:val="nil"/>
            </w:tcBorders>
            <w:shd w:val="clear" w:color="auto" w:fill="auto"/>
            <w:vAlign w:val="center"/>
          </w:tcPr>
          <w:p w14:paraId="5171364F">
            <w:pPr>
              <w:rPr>
                <w:rFonts w:hint="eastAsia" w:ascii="宋体" w:hAnsi="宋体" w:eastAsia="宋体" w:cs="宋体"/>
                <w:i w:val="0"/>
                <w:iCs w:val="0"/>
                <w:color w:val="000000"/>
                <w:sz w:val="18"/>
                <w:szCs w:val="18"/>
                <w:u w:val="none"/>
              </w:rPr>
            </w:pPr>
          </w:p>
        </w:tc>
        <w:tc>
          <w:tcPr>
            <w:tcW w:w="1052" w:type="dxa"/>
            <w:tcBorders>
              <w:top w:val="nil"/>
              <w:left w:val="nil"/>
              <w:bottom w:val="nil"/>
              <w:right w:val="nil"/>
            </w:tcBorders>
            <w:shd w:val="clear" w:color="auto" w:fill="auto"/>
            <w:vAlign w:val="center"/>
          </w:tcPr>
          <w:p w14:paraId="5F5C3BF7">
            <w:pPr>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auto"/>
            <w:vAlign w:val="center"/>
          </w:tcPr>
          <w:p w14:paraId="2B9CFBF4">
            <w:pPr>
              <w:rPr>
                <w:rFonts w:hint="eastAsia" w:ascii="宋体" w:hAnsi="宋体" w:eastAsia="宋体" w:cs="宋体"/>
                <w:i w:val="0"/>
                <w:iCs w:val="0"/>
                <w:color w:val="000000"/>
                <w:sz w:val="18"/>
                <w:szCs w:val="18"/>
                <w:u w:val="none"/>
              </w:rPr>
            </w:pPr>
          </w:p>
        </w:tc>
        <w:tc>
          <w:tcPr>
            <w:tcW w:w="1408" w:type="dxa"/>
            <w:tcBorders>
              <w:top w:val="nil"/>
              <w:left w:val="nil"/>
              <w:bottom w:val="nil"/>
              <w:right w:val="nil"/>
            </w:tcBorders>
            <w:shd w:val="clear" w:color="auto" w:fill="auto"/>
            <w:vAlign w:val="center"/>
          </w:tcPr>
          <w:p w14:paraId="09FD885C">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7338B29F">
            <w:pPr>
              <w:rPr>
                <w:rFonts w:hint="eastAsia" w:ascii="宋体" w:hAnsi="宋体" w:eastAsia="宋体" w:cs="宋体"/>
                <w:i w:val="0"/>
                <w:iCs w:val="0"/>
                <w:color w:val="000000"/>
                <w:sz w:val="18"/>
                <w:szCs w:val="18"/>
                <w:u w:val="none"/>
              </w:rPr>
            </w:pPr>
          </w:p>
        </w:tc>
        <w:tc>
          <w:tcPr>
            <w:tcW w:w="967" w:type="dxa"/>
            <w:tcBorders>
              <w:top w:val="nil"/>
              <w:left w:val="nil"/>
              <w:bottom w:val="nil"/>
              <w:right w:val="nil"/>
            </w:tcBorders>
            <w:shd w:val="clear" w:color="auto" w:fill="auto"/>
            <w:vAlign w:val="center"/>
          </w:tcPr>
          <w:p w14:paraId="619D5411">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14:paraId="62F2E1D5">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63FAA713">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31E42816">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1C97EE74">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14:paraId="668059B6">
            <w:pPr>
              <w:rPr>
                <w:rFonts w:hint="eastAsia" w:ascii="宋体" w:hAnsi="宋体" w:eastAsia="宋体" w:cs="宋体"/>
                <w:i w:val="0"/>
                <w:iCs w:val="0"/>
                <w:color w:val="000000"/>
                <w:sz w:val="18"/>
                <w:szCs w:val="18"/>
                <w:u w:val="none"/>
              </w:rPr>
            </w:pPr>
          </w:p>
          <w:p w14:paraId="4FB40379">
            <w:pPr>
              <w:rPr>
                <w:rFonts w:hint="eastAsia" w:ascii="宋体" w:hAnsi="宋体" w:eastAsia="宋体" w:cs="宋体"/>
                <w:i w:val="0"/>
                <w:iCs w:val="0"/>
                <w:color w:val="000000"/>
                <w:sz w:val="18"/>
                <w:szCs w:val="18"/>
                <w:u w:val="none"/>
              </w:rPr>
            </w:pPr>
          </w:p>
          <w:p w14:paraId="4CFEF3B0">
            <w:pPr>
              <w:rPr>
                <w:rFonts w:hint="eastAsia" w:ascii="宋体" w:hAnsi="宋体" w:eastAsia="宋体" w:cs="宋体"/>
                <w:i w:val="0"/>
                <w:iCs w:val="0"/>
                <w:color w:val="000000"/>
                <w:sz w:val="18"/>
                <w:szCs w:val="18"/>
                <w:u w:val="none"/>
              </w:rPr>
            </w:pPr>
          </w:p>
          <w:p w14:paraId="4D5F8D1E">
            <w:pPr>
              <w:rPr>
                <w:rFonts w:hint="eastAsia" w:ascii="宋体" w:hAnsi="宋体" w:eastAsia="宋体" w:cs="宋体"/>
                <w:i w:val="0"/>
                <w:iCs w:val="0"/>
                <w:color w:val="000000"/>
                <w:sz w:val="18"/>
                <w:szCs w:val="18"/>
                <w:u w:val="none"/>
              </w:rPr>
            </w:pPr>
          </w:p>
          <w:p w14:paraId="08EEE366">
            <w:pPr>
              <w:rPr>
                <w:rFonts w:hint="eastAsia" w:ascii="宋体" w:hAnsi="宋体" w:eastAsia="宋体" w:cs="宋体"/>
                <w:i w:val="0"/>
                <w:iCs w:val="0"/>
                <w:color w:val="000000"/>
                <w:sz w:val="18"/>
                <w:szCs w:val="18"/>
                <w:u w:val="none"/>
              </w:rPr>
            </w:pPr>
          </w:p>
          <w:p w14:paraId="52D0E1D9">
            <w:pPr>
              <w:rPr>
                <w:rFonts w:hint="eastAsia" w:ascii="宋体" w:hAnsi="宋体" w:eastAsia="宋体" w:cs="宋体"/>
                <w:i w:val="0"/>
                <w:iCs w:val="0"/>
                <w:color w:val="000000"/>
                <w:sz w:val="18"/>
                <w:szCs w:val="18"/>
                <w:u w:val="none"/>
              </w:rPr>
            </w:pPr>
          </w:p>
        </w:tc>
      </w:tr>
      <w:tr w14:paraId="0D096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9" w:hRule="atLeast"/>
        </w:trPr>
        <w:tc>
          <w:tcPr>
            <w:tcW w:w="9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7D8C48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04D5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359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D7519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51330022T000000388924-公共法律服务工作经费</w:t>
            </w:r>
          </w:p>
        </w:tc>
      </w:tr>
      <w:tr w14:paraId="21C62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270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1B7C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甘孜州司法局部门</w:t>
            </w:r>
          </w:p>
        </w:tc>
        <w:tc>
          <w:tcPr>
            <w:tcW w:w="846" w:type="dxa"/>
            <w:tcBorders>
              <w:top w:val="nil"/>
              <w:left w:val="nil"/>
              <w:bottom w:val="nil"/>
              <w:right w:val="nil"/>
            </w:tcBorders>
            <w:shd w:val="clear" w:color="auto" w:fill="auto"/>
            <w:vAlign w:val="center"/>
          </w:tcPr>
          <w:p w14:paraId="275583A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B49E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州司法局机关</w:t>
            </w:r>
          </w:p>
        </w:tc>
      </w:tr>
      <w:tr w14:paraId="64338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634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120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9433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94226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AAD2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98152">
            <w:pP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996B3">
            <w:pPr>
              <w:rPr>
                <w:rFonts w:hint="eastAsia" w:ascii="宋体" w:hAnsi="宋体" w:eastAsia="宋体" w:cs="宋体"/>
                <w:i w:val="0"/>
                <w:iCs w:val="0"/>
                <w:color w:val="000000"/>
                <w:sz w:val="18"/>
                <w:szCs w:val="18"/>
                <w:u w:val="none"/>
              </w:rPr>
            </w:pP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06C9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推进公共法律服务体系建设，更好满足广大人民群众日益增长的美好生活需求，提高国家治理体系和治理能力现代化水平具有重要意义。</w:t>
            </w: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B111D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CB98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97F6D">
            <w:pP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FB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6FDC981">
            <w:pPr>
              <w:rPr>
                <w:rFonts w:hint="eastAsia" w:ascii="宋体" w:hAnsi="宋体" w:eastAsia="宋体" w:cs="宋体"/>
                <w:i w:val="0"/>
                <w:iCs w:val="0"/>
                <w:color w:val="000000"/>
                <w:sz w:val="18"/>
                <w:szCs w:val="18"/>
                <w:u w:val="none"/>
              </w:rPr>
            </w:pPr>
          </w:p>
        </w:tc>
      </w:tr>
      <w:tr w14:paraId="12F05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93F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AB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02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DC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3D73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C1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AD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B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3A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4BFD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D2765">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E6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E3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FC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36A6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F6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25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90E8">
            <w:pPr>
              <w:jc w:val="center"/>
              <w:rPr>
                <w:rFonts w:hint="eastAsia" w:ascii="宋体" w:hAnsi="宋体" w:eastAsia="宋体" w:cs="宋体"/>
                <w:i w:val="0"/>
                <w:iCs w:val="0"/>
                <w:color w:val="000000"/>
                <w:sz w:val="18"/>
                <w:szCs w:val="18"/>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1AF5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9D71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5BA29">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DF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E0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6E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4AE4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F2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1A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1A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AF557">
            <w:pPr>
              <w:rPr>
                <w:rFonts w:hint="eastAsia" w:ascii="黑体" w:hAnsi="黑体" w:eastAsia="黑体" w:cs="黑体"/>
                <w:i/>
                <w:iCs/>
                <w:color w:val="000000"/>
                <w:sz w:val="18"/>
                <w:szCs w:val="18"/>
                <w:u w:val="none"/>
              </w:rPr>
            </w:pPr>
          </w:p>
        </w:tc>
      </w:tr>
      <w:tr w14:paraId="53368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B20E5">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E1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73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B2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E31F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A8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96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C9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DDFEC">
            <w:pPr>
              <w:rPr>
                <w:rFonts w:hint="eastAsia" w:ascii="黑体" w:hAnsi="黑体" w:eastAsia="黑体" w:cs="黑体"/>
                <w:i/>
                <w:iCs/>
                <w:color w:val="000000"/>
                <w:sz w:val="18"/>
                <w:szCs w:val="18"/>
                <w:u w:val="none"/>
              </w:rPr>
            </w:pPr>
          </w:p>
        </w:tc>
      </w:tr>
      <w:tr w14:paraId="66016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9B126">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21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9F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0A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E547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F3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7A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9C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72C84">
            <w:pPr>
              <w:rPr>
                <w:rFonts w:hint="eastAsia" w:ascii="黑体" w:hAnsi="黑体" w:eastAsia="黑体" w:cs="黑体"/>
                <w:i/>
                <w:iCs/>
                <w:color w:val="000000"/>
                <w:sz w:val="18"/>
                <w:szCs w:val="18"/>
                <w:u w:val="none"/>
              </w:rPr>
            </w:pPr>
          </w:p>
        </w:tc>
      </w:tr>
      <w:tr w14:paraId="29252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C05E0">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AF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8DA2">
            <w:pPr>
              <w:jc w:val="center"/>
              <w:rPr>
                <w:rFonts w:hint="eastAsia" w:ascii="微软雅黑" w:hAnsi="微软雅黑" w:eastAsia="微软雅黑" w:cs="微软雅黑"/>
                <w:i/>
                <w:iCs/>
                <w:color w:val="000000"/>
                <w:sz w:val="16"/>
                <w:szCs w:val="16"/>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671B">
            <w:pPr>
              <w:jc w:val="center"/>
              <w:rPr>
                <w:rFonts w:hint="eastAsia" w:ascii="微软雅黑" w:hAnsi="微软雅黑" w:eastAsia="微软雅黑" w:cs="微软雅黑"/>
                <w:i/>
                <w:iCs/>
                <w:color w:val="000000"/>
                <w:sz w:val="16"/>
                <w:szCs w:val="16"/>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C5D635">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B1AC">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52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5E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23DCD">
            <w:pPr>
              <w:rPr>
                <w:rFonts w:hint="eastAsia" w:ascii="黑体" w:hAnsi="黑体" w:eastAsia="黑体" w:cs="黑体"/>
                <w:i/>
                <w:iCs/>
                <w:color w:val="000000"/>
                <w:sz w:val="18"/>
                <w:szCs w:val="18"/>
                <w:u w:val="none"/>
              </w:rPr>
            </w:pPr>
          </w:p>
        </w:tc>
      </w:tr>
      <w:tr w14:paraId="1D9CF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44B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86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01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B9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BD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BA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BC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A0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2E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EE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47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0C3D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7FEB9">
            <w:pPr>
              <w:jc w:val="center"/>
              <w:rPr>
                <w:rFonts w:hint="eastAsia" w:ascii="宋体" w:hAnsi="宋体" w:eastAsia="宋体" w:cs="宋体"/>
                <w:i w:val="0"/>
                <w:iCs w:val="0"/>
                <w:color w:val="000000"/>
                <w:sz w:val="18"/>
                <w:szCs w:val="18"/>
                <w:u w:val="none"/>
              </w:rPr>
            </w:pP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D2A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303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28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12345律师窗口值班费用</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22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6C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58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D162">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20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7D07">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D118">
            <w:pPr>
              <w:jc w:val="center"/>
              <w:rPr>
                <w:rFonts w:hint="eastAsia" w:ascii="微软雅黑" w:hAnsi="微软雅黑" w:eastAsia="微软雅黑" w:cs="微软雅黑"/>
                <w:i/>
                <w:iCs/>
                <w:color w:val="000000"/>
                <w:sz w:val="16"/>
                <w:szCs w:val="16"/>
                <w:u w:val="none"/>
              </w:rPr>
            </w:pPr>
          </w:p>
        </w:tc>
      </w:tr>
      <w:tr w14:paraId="1AA69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4ADBF">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24312">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57E6D">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31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法治文化阵地建设</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08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74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0A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4D67">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8F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B46E">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0F31">
            <w:pPr>
              <w:jc w:val="center"/>
              <w:rPr>
                <w:rFonts w:hint="eastAsia" w:ascii="微软雅黑" w:hAnsi="微软雅黑" w:eastAsia="微软雅黑" w:cs="微软雅黑"/>
                <w:i/>
                <w:iCs/>
                <w:color w:val="000000"/>
                <w:sz w:val="16"/>
                <w:szCs w:val="16"/>
                <w:u w:val="none"/>
              </w:rPr>
            </w:pPr>
          </w:p>
        </w:tc>
      </w:tr>
      <w:tr w14:paraId="5EB18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54D29">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2F2C4">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F980C">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0A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制作法治宣传制品</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B2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E4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E8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3010">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9F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6D6C">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454E">
            <w:pPr>
              <w:jc w:val="center"/>
              <w:rPr>
                <w:rFonts w:hint="eastAsia" w:ascii="微软雅黑" w:hAnsi="微软雅黑" w:eastAsia="微软雅黑" w:cs="微软雅黑"/>
                <w:i/>
                <w:iCs/>
                <w:color w:val="000000"/>
                <w:sz w:val="16"/>
                <w:szCs w:val="16"/>
                <w:u w:val="none"/>
              </w:rPr>
            </w:pPr>
          </w:p>
        </w:tc>
      </w:tr>
      <w:tr w14:paraId="367FE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C761C">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B50FD">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F86F0">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7D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开展人民监督员工作</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75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E6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02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66CB">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84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573A">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61C4">
            <w:pPr>
              <w:jc w:val="center"/>
              <w:rPr>
                <w:rFonts w:hint="eastAsia" w:ascii="微软雅黑" w:hAnsi="微软雅黑" w:eastAsia="微软雅黑" w:cs="微软雅黑"/>
                <w:i/>
                <w:iCs/>
                <w:color w:val="000000"/>
                <w:sz w:val="16"/>
                <w:szCs w:val="16"/>
                <w:u w:val="none"/>
              </w:rPr>
            </w:pPr>
          </w:p>
        </w:tc>
      </w:tr>
      <w:tr w14:paraId="54509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C84C2">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6B049">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7213A">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07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业务培训</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1A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3F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A5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8FA1">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E6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1D0F">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DDE0">
            <w:pPr>
              <w:jc w:val="center"/>
              <w:rPr>
                <w:rFonts w:hint="eastAsia" w:ascii="微软雅黑" w:hAnsi="微软雅黑" w:eastAsia="微软雅黑" w:cs="微软雅黑"/>
                <w:i/>
                <w:iCs/>
                <w:color w:val="000000"/>
                <w:sz w:val="16"/>
                <w:szCs w:val="16"/>
                <w:u w:val="none"/>
              </w:rPr>
            </w:pPr>
          </w:p>
        </w:tc>
      </w:tr>
      <w:tr w14:paraId="6C771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24247">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3A1D5">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27FAD">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D4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办理法律援助案件</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BD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DD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51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案件数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76DB">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A1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F44D">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F92C">
            <w:pPr>
              <w:jc w:val="center"/>
              <w:rPr>
                <w:rFonts w:hint="eastAsia" w:ascii="微软雅黑" w:hAnsi="微软雅黑" w:eastAsia="微软雅黑" w:cs="微软雅黑"/>
                <w:i/>
                <w:iCs/>
                <w:color w:val="000000"/>
                <w:sz w:val="16"/>
                <w:szCs w:val="16"/>
                <w:u w:val="none"/>
              </w:rPr>
            </w:pPr>
          </w:p>
        </w:tc>
      </w:tr>
      <w:tr w14:paraId="1486E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4156B">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301E6">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D7653">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3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完成2023年甘孜州考区国家统一法律职业资格考试客观题和主观题的组织实施工作</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FD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40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E9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EE77">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07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1646">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4CBC">
            <w:pPr>
              <w:jc w:val="center"/>
              <w:rPr>
                <w:rFonts w:hint="eastAsia" w:ascii="微软雅黑" w:hAnsi="微软雅黑" w:eastAsia="微软雅黑" w:cs="微软雅黑"/>
                <w:i/>
                <w:iCs/>
                <w:color w:val="000000"/>
                <w:sz w:val="16"/>
                <w:szCs w:val="16"/>
                <w:u w:val="none"/>
              </w:rPr>
            </w:pPr>
          </w:p>
        </w:tc>
      </w:tr>
      <w:tr w14:paraId="2BA1E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95E60">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00801">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1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6F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51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A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6D58">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2190">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D2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A23C">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7ACF">
            <w:pPr>
              <w:jc w:val="center"/>
              <w:rPr>
                <w:rFonts w:hint="eastAsia" w:ascii="微软雅黑" w:hAnsi="微软雅黑" w:eastAsia="微软雅黑" w:cs="微软雅黑"/>
                <w:i/>
                <w:iCs/>
                <w:color w:val="000000"/>
                <w:sz w:val="16"/>
                <w:szCs w:val="16"/>
                <w:u w:val="none"/>
              </w:rPr>
            </w:pPr>
          </w:p>
        </w:tc>
      </w:tr>
      <w:tr w14:paraId="5AD42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E3F97">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20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85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E1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加力推动形成全州办事依法、遇事找法、解决问题用法、化解矛盾靠法的法治良序。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9A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45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CA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A7F4">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B5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AB50">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3BD8">
            <w:pPr>
              <w:jc w:val="center"/>
              <w:rPr>
                <w:rFonts w:hint="eastAsia" w:ascii="微软雅黑" w:hAnsi="微软雅黑" w:eastAsia="微软雅黑" w:cs="微软雅黑"/>
                <w:i/>
                <w:iCs/>
                <w:color w:val="000000"/>
                <w:sz w:val="16"/>
                <w:szCs w:val="16"/>
                <w:u w:val="none"/>
              </w:rPr>
            </w:pPr>
          </w:p>
        </w:tc>
      </w:tr>
      <w:tr w14:paraId="7CA6C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81FF2">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C8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19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27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FF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7B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BE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01EE">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AE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3F05">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0745">
            <w:pPr>
              <w:jc w:val="center"/>
              <w:rPr>
                <w:rFonts w:hint="eastAsia" w:ascii="微软雅黑" w:hAnsi="微软雅黑" w:eastAsia="微软雅黑" w:cs="微软雅黑"/>
                <w:i/>
                <w:iCs/>
                <w:color w:val="000000"/>
                <w:sz w:val="16"/>
                <w:szCs w:val="16"/>
                <w:u w:val="none"/>
              </w:rPr>
            </w:pPr>
          </w:p>
        </w:tc>
      </w:tr>
      <w:tr w14:paraId="4AE52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02DF9">
            <w:pPr>
              <w:jc w:val="center"/>
              <w:rPr>
                <w:rFonts w:hint="eastAsia" w:ascii="宋体" w:hAnsi="宋体" w:eastAsia="宋体" w:cs="宋体"/>
                <w:i w:val="0"/>
                <w:iCs w:val="0"/>
                <w:color w:val="000000"/>
                <w:sz w:val="18"/>
                <w:szCs w:val="18"/>
                <w:u w:val="none"/>
              </w:rPr>
            </w:pP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A4F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5A6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71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业务培训</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D6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B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9E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B1B9">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ED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C2E5">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4CBE">
            <w:pPr>
              <w:jc w:val="center"/>
              <w:rPr>
                <w:rFonts w:hint="eastAsia" w:ascii="微软雅黑" w:hAnsi="微软雅黑" w:eastAsia="微软雅黑" w:cs="微软雅黑"/>
                <w:i/>
                <w:iCs/>
                <w:color w:val="000000"/>
                <w:sz w:val="16"/>
                <w:szCs w:val="16"/>
                <w:u w:val="none"/>
              </w:rPr>
            </w:pPr>
          </w:p>
        </w:tc>
      </w:tr>
      <w:tr w14:paraId="7E513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84C5F">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A8EBD">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505F1">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A3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制作法治宣传制品</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DA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4B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78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32EF">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66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3B8F">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1BBA">
            <w:pPr>
              <w:jc w:val="center"/>
              <w:rPr>
                <w:rFonts w:hint="eastAsia" w:ascii="微软雅黑" w:hAnsi="微软雅黑" w:eastAsia="微软雅黑" w:cs="微软雅黑"/>
                <w:i/>
                <w:iCs/>
                <w:color w:val="000000"/>
                <w:sz w:val="16"/>
                <w:szCs w:val="16"/>
                <w:u w:val="none"/>
              </w:rPr>
            </w:pPr>
          </w:p>
        </w:tc>
      </w:tr>
      <w:tr w14:paraId="3A5D0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70A28">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2E462">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20BB1">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9C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开展人民监督员工作</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5D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27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22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1877">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B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8AA1">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937C">
            <w:pPr>
              <w:jc w:val="center"/>
              <w:rPr>
                <w:rFonts w:hint="eastAsia" w:ascii="微软雅黑" w:hAnsi="微软雅黑" w:eastAsia="微软雅黑" w:cs="微软雅黑"/>
                <w:i/>
                <w:iCs/>
                <w:color w:val="000000"/>
                <w:sz w:val="16"/>
                <w:szCs w:val="16"/>
                <w:u w:val="none"/>
              </w:rPr>
            </w:pPr>
          </w:p>
        </w:tc>
      </w:tr>
      <w:tr w14:paraId="31306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E7BC1">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94D7D">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25B3B">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38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办理法律援助案件</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8A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CE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39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702D">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DF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E47F">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4754">
            <w:pPr>
              <w:jc w:val="center"/>
              <w:rPr>
                <w:rFonts w:hint="eastAsia" w:ascii="微软雅黑" w:hAnsi="微软雅黑" w:eastAsia="微软雅黑" w:cs="微软雅黑"/>
                <w:i/>
                <w:iCs/>
                <w:color w:val="000000"/>
                <w:sz w:val="16"/>
                <w:szCs w:val="16"/>
                <w:u w:val="none"/>
              </w:rPr>
            </w:pPr>
          </w:p>
        </w:tc>
      </w:tr>
      <w:tr w14:paraId="3E8D8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70982">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FCB8B">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3A061">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08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12345律师窗口值班费用</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F8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9B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E3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1B8B">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F4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72FD">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A5DA">
            <w:pPr>
              <w:jc w:val="center"/>
              <w:rPr>
                <w:rFonts w:hint="eastAsia" w:ascii="微软雅黑" w:hAnsi="微软雅黑" w:eastAsia="微软雅黑" w:cs="微软雅黑"/>
                <w:i/>
                <w:iCs/>
                <w:color w:val="000000"/>
                <w:sz w:val="16"/>
                <w:szCs w:val="16"/>
                <w:u w:val="none"/>
              </w:rPr>
            </w:pPr>
          </w:p>
        </w:tc>
      </w:tr>
      <w:tr w14:paraId="28A20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17CBC">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F861F">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A0BA4">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F6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2023年甘孜州考区国家统一法律职业资格考试客观题和主观题的组织实施工作</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F0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45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6F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41D1">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3B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DC5F">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07C6">
            <w:pPr>
              <w:jc w:val="center"/>
              <w:rPr>
                <w:rFonts w:hint="eastAsia" w:ascii="微软雅黑" w:hAnsi="微软雅黑" w:eastAsia="微软雅黑" w:cs="微软雅黑"/>
                <w:i/>
                <w:iCs/>
                <w:color w:val="000000"/>
                <w:sz w:val="16"/>
                <w:szCs w:val="16"/>
                <w:u w:val="none"/>
              </w:rPr>
            </w:pPr>
          </w:p>
        </w:tc>
      </w:tr>
      <w:tr w14:paraId="679A4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2701F">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807A1">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7F837">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D0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法治文化阵地建设</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03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B0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64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15F0">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12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5DD4">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A8E1">
            <w:pPr>
              <w:jc w:val="center"/>
              <w:rPr>
                <w:rFonts w:hint="eastAsia" w:ascii="微软雅黑" w:hAnsi="微软雅黑" w:eastAsia="微软雅黑" w:cs="微软雅黑"/>
                <w:i/>
                <w:iCs/>
                <w:color w:val="000000"/>
                <w:sz w:val="16"/>
                <w:szCs w:val="16"/>
                <w:u w:val="none"/>
              </w:rPr>
            </w:pPr>
          </w:p>
        </w:tc>
      </w:tr>
      <w:tr w14:paraId="1D401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5B1F6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A0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FE7B">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2A83">
            <w:pPr>
              <w:rPr>
                <w:rFonts w:hint="eastAsia" w:ascii="宋体" w:hAnsi="宋体" w:eastAsia="宋体" w:cs="宋体"/>
                <w:i w:val="0"/>
                <w:iCs w:val="0"/>
                <w:color w:val="000000"/>
                <w:sz w:val="18"/>
                <w:szCs w:val="18"/>
                <w:u w:val="none"/>
              </w:rPr>
            </w:pPr>
          </w:p>
        </w:tc>
      </w:tr>
      <w:tr w14:paraId="7C973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74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FDBCC5">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过开展法律服务工作，有效为群众解决法律问题，增强群众法律意识，促进了社会公平正义、夯实了法治甘孜的基层基础，推进法治社会建设，提高了干部群众法律意识，营造了良好的法治氛围，维护社会稳定和谐。</w:t>
            </w:r>
          </w:p>
          <w:p w14:paraId="0A25B9A6">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tc>
      </w:tr>
      <w:tr w14:paraId="18FF9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16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703A07B">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zh-TW" w:eastAsia="zh-TW" w:bidi="ar"/>
              </w:rPr>
            </w:pPr>
            <w:r>
              <w:rPr>
                <w:rFonts w:hint="eastAsia" w:ascii="宋体" w:hAnsi="宋体" w:eastAsia="宋体" w:cs="宋体"/>
                <w:i w:val="0"/>
                <w:iCs w:val="0"/>
                <w:color w:val="000000"/>
                <w:kern w:val="0"/>
                <w:sz w:val="18"/>
                <w:szCs w:val="18"/>
                <w:u w:val="none"/>
                <w:lang w:val="en-US" w:eastAsia="zh-CN" w:bidi="ar"/>
              </w:rPr>
              <w:t>由于地缘和基础条件限制，群众法律意识普遍偏低，法律服务工作还需大力加强；由于从业条件要求较高，各地普遍存在专业从业人员紧缺问题。</w:t>
            </w:r>
          </w:p>
          <w:p w14:paraId="5BD503CC">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tc>
      </w:tr>
      <w:tr w14:paraId="285A1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8A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9B2DA0C">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根据绩效评价结果，适当增加专业从业人员及相关工作经费，扩大法律服务宽度和深度，充分发挥法律服务建设促社会发展的助推作用。</w:t>
            </w:r>
          </w:p>
          <w:p w14:paraId="13A2E5ED">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tc>
      </w:tr>
      <w:tr w14:paraId="42BAA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44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FB49D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0E07A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27F9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76" w:type="dxa"/>
            <w:tcBorders>
              <w:top w:val="nil"/>
              <w:left w:val="nil"/>
              <w:bottom w:val="nil"/>
              <w:right w:val="nil"/>
            </w:tcBorders>
            <w:shd w:val="clear" w:color="auto" w:fill="auto"/>
            <w:vAlign w:val="center"/>
          </w:tcPr>
          <w:p w14:paraId="40525AAD">
            <w:pPr>
              <w:rPr>
                <w:rFonts w:hint="eastAsia" w:ascii="宋体" w:hAnsi="宋体" w:eastAsia="宋体" w:cs="宋体"/>
                <w:i w:val="0"/>
                <w:iCs w:val="0"/>
                <w:color w:val="000000"/>
                <w:sz w:val="18"/>
                <w:szCs w:val="18"/>
                <w:u w:val="none"/>
              </w:rPr>
            </w:pPr>
          </w:p>
        </w:tc>
        <w:tc>
          <w:tcPr>
            <w:tcW w:w="1052" w:type="dxa"/>
            <w:tcBorders>
              <w:top w:val="nil"/>
              <w:left w:val="nil"/>
              <w:bottom w:val="nil"/>
              <w:right w:val="nil"/>
            </w:tcBorders>
            <w:shd w:val="clear" w:color="auto" w:fill="auto"/>
            <w:vAlign w:val="center"/>
          </w:tcPr>
          <w:p w14:paraId="0963808E">
            <w:pPr>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auto"/>
            <w:vAlign w:val="center"/>
          </w:tcPr>
          <w:p w14:paraId="6C6C9B19">
            <w:pPr>
              <w:rPr>
                <w:rFonts w:hint="eastAsia" w:ascii="宋体" w:hAnsi="宋体" w:eastAsia="宋体" w:cs="宋体"/>
                <w:i w:val="0"/>
                <w:iCs w:val="0"/>
                <w:color w:val="000000"/>
                <w:sz w:val="18"/>
                <w:szCs w:val="18"/>
                <w:u w:val="none"/>
              </w:rPr>
            </w:pPr>
          </w:p>
        </w:tc>
        <w:tc>
          <w:tcPr>
            <w:tcW w:w="1408" w:type="dxa"/>
            <w:tcBorders>
              <w:top w:val="nil"/>
              <w:left w:val="nil"/>
              <w:bottom w:val="nil"/>
              <w:right w:val="nil"/>
            </w:tcBorders>
            <w:shd w:val="clear" w:color="auto" w:fill="auto"/>
            <w:vAlign w:val="center"/>
          </w:tcPr>
          <w:p w14:paraId="3FDB90A2">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58288D77">
            <w:pPr>
              <w:rPr>
                <w:rFonts w:hint="eastAsia" w:ascii="宋体" w:hAnsi="宋体" w:eastAsia="宋体" w:cs="宋体"/>
                <w:i w:val="0"/>
                <w:iCs w:val="0"/>
                <w:color w:val="000000"/>
                <w:sz w:val="18"/>
                <w:szCs w:val="18"/>
                <w:u w:val="none"/>
              </w:rPr>
            </w:pPr>
          </w:p>
        </w:tc>
        <w:tc>
          <w:tcPr>
            <w:tcW w:w="967" w:type="dxa"/>
            <w:tcBorders>
              <w:top w:val="nil"/>
              <w:left w:val="nil"/>
              <w:bottom w:val="nil"/>
              <w:right w:val="nil"/>
            </w:tcBorders>
            <w:shd w:val="clear" w:color="auto" w:fill="auto"/>
            <w:vAlign w:val="center"/>
          </w:tcPr>
          <w:p w14:paraId="3285110C">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14:paraId="6C6B4EFF">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79DF0AFA">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104F37A2">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3BF2C659">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14:paraId="07809658">
            <w:pPr>
              <w:rPr>
                <w:rFonts w:hint="eastAsia" w:ascii="宋体" w:hAnsi="宋体" w:eastAsia="宋体" w:cs="宋体"/>
                <w:i w:val="0"/>
                <w:iCs w:val="0"/>
                <w:color w:val="000000"/>
                <w:sz w:val="18"/>
                <w:szCs w:val="18"/>
                <w:u w:val="none"/>
              </w:rPr>
            </w:pPr>
          </w:p>
        </w:tc>
      </w:tr>
      <w:tr w14:paraId="61C7E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9" w:hRule="atLeast"/>
        </w:trPr>
        <w:tc>
          <w:tcPr>
            <w:tcW w:w="9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3B962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0F49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B87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E4EE0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51330022T000000388934-科技信息工作经费</w:t>
            </w:r>
          </w:p>
        </w:tc>
      </w:tr>
      <w:tr w14:paraId="613B3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99E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123D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甘孜州司法局部门</w:t>
            </w:r>
          </w:p>
        </w:tc>
        <w:tc>
          <w:tcPr>
            <w:tcW w:w="846" w:type="dxa"/>
            <w:tcBorders>
              <w:top w:val="nil"/>
              <w:left w:val="nil"/>
              <w:bottom w:val="nil"/>
              <w:right w:val="nil"/>
            </w:tcBorders>
            <w:shd w:val="clear" w:color="auto" w:fill="auto"/>
            <w:vAlign w:val="center"/>
          </w:tcPr>
          <w:p w14:paraId="3254CD8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FBF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州司法局机关</w:t>
            </w:r>
          </w:p>
        </w:tc>
      </w:tr>
      <w:tr w14:paraId="474AB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049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734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2CA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CD3BD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1099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EE089">
            <w:pP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2B815">
            <w:pPr>
              <w:rPr>
                <w:rFonts w:hint="eastAsia" w:ascii="宋体" w:hAnsi="宋体" w:eastAsia="宋体" w:cs="宋体"/>
                <w:i w:val="0"/>
                <w:iCs w:val="0"/>
                <w:color w:val="000000"/>
                <w:sz w:val="18"/>
                <w:szCs w:val="18"/>
                <w:u w:val="none"/>
              </w:rPr>
            </w:pP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95E8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1.开展数字集群通信建设和州、县指挥中心规范化、集成化改造，加强司法行政指挥平台与狱所两级指挥平台对接，推进指挥平台在州级全面部署，在县、乡两级全面应用。</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2.采购信息化工作需用到的设备及法律职业资格考试相关设备。                                                              3.指挥中心及视频会议室设备、各类信息化设备及门户网站的日常运维。 </w:t>
            </w: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12150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2772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C6ADB">
            <w:pP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87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AA7A826">
            <w:pPr>
              <w:rPr>
                <w:rFonts w:hint="eastAsia" w:ascii="宋体" w:hAnsi="宋体" w:eastAsia="宋体" w:cs="宋体"/>
                <w:i w:val="0"/>
                <w:iCs w:val="0"/>
                <w:color w:val="000000"/>
                <w:sz w:val="18"/>
                <w:szCs w:val="18"/>
                <w:u w:val="none"/>
              </w:rPr>
            </w:pPr>
          </w:p>
        </w:tc>
      </w:tr>
      <w:tr w14:paraId="3C7A8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333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8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BC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C3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516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9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4D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32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01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E8F3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896B7">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28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D7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CF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DB3D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8F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63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94EE">
            <w:pPr>
              <w:jc w:val="center"/>
              <w:rPr>
                <w:rFonts w:hint="eastAsia" w:ascii="宋体" w:hAnsi="宋体" w:eastAsia="宋体" w:cs="宋体"/>
                <w:i w:val="0"/>
                <w:iCs w:val="0"/>
                <w:color w:val="000000"/>
                <w:sz w:val="18"/>
                <w:szCs w:val="18"/>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2AA1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BC27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D53B1">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90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3B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B0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4A1E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8D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18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90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36F8F">
            <w:pPr>
              <w:rPr>
                <w:rFonts w:hint="eastAsia" w:ascii="黑体" w:hAnsi="黑体" w:eastAsia="黑体" w:cs="黑体"/>
                <w:i/>
                <w:iCs/>
                <w:color w:val="000000"/>
                <w:sz w:val="18"/>
                <w:szCs w:val="18"/>
                <w:u w:val="none"/>
              </w:rPr>
            </w:pPr>
          </w:p>
        </w:tc>
      </w:tr>
      <w:tr w14:paraId="39F0D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CD4FF">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43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A0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A7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E622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32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0A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4E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1FF35">
            <w:pPr>
              <w:rPr>
                <w:rFonts w:hint="eastAsia" w:ascii="黑体" w:hAnsi="黑体" w:eastAsia="黑体" w:cs="黑体"/>
                <w:i/>
                <w:iCs/>
                <w:color w:val="000000"/>
                <w:sz w:val="18"/>
                <w:szCs w:val="18"/>
                <w:u w:val="none"/>
              </w:rPr>
            </w:pPr>
          </w:p>
        </w:tc>
      </w:tr>
      <w:tr w14:paraId="48900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62080">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32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EB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BF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F411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A7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8A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36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4E5B3">
            <w:pPr>
              <w:rPr>
                <w:rFonts w:hint="eastAsia" w:ascii="黑体" w:hAnsi="黑体" w:eastAsia="黑体" w:cs="黑体"/>
                <w:i/>
                <w:iCs/>
                <w:color w:val="000000"/>
                <w:sz w:val="18"/>
                <w:szCs w:val="18"/>
                <w:u w:val="none"/>
              </w:rPr>
            </w:pPr>
          </w:p>
        </w:tc>
      </w:tr>
      <w:tr w14:paraId="0319C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00D9C">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03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6B8E">
            <w:pPr>
              <w:jc w:val="center"/>
              <w:rPr>
                <w:rFonts w:hint="eastAsia" w:ascii="微软雅黑" w:hAnsi="微软雅黑" w:eastAsia="微软雅黑" w:cs="微软雅黑"/>
                <w:i/>
                <w:iCs/>
                <w:color w:val="000000"/>
                <w:sz w:val="16"/>
                <w:szCs w:val="16"/>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9E88">
            <w:pPr>
              <w:jc w:val="center"/>
              <w:rPr>
                <w:rFonts w:hint="eastAsia" w:ascii="微软雅黑" w:hAnsi="微软雅黑" w:eastAsia="微软雅黑" w:cs="微软雅黑"/>
                <w:i/>
                <w:iCs/>
                <w:color w:val="000000"/>
                <w:sz w:val="16"/>
                <w:szCs w:val="16"/>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5C5AAB">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B68C">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62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61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DB1DF">
            <w:pPr>
              <w:rPr>
                <w:rFonts w:hint="eastAsia" w:ascii="黑体" w:hAnsi="黑体" w:eastAsia="黑体" w:cs="黑体"/>
                <w:i/>
                <w:iCs/>
                <w:color w:val="000000"/>
                <w:sz w:val="18"/>
                <w:szCs w:val="18"/>
                <w:u w:val="none"/>
              </w:rPr>
            </w:pPr>
          </w:p>
        </w:tc>
      </w:tr>
      <w:tr w14:paraId="19F90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989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5B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9F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BC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25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1D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3D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26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11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15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7A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32DE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33C1F">
            <w:pPr>
              <w:jc w:val="center"/>
              <w:rPr>
                <w:rFonts w:hint="eastAsia" w:ascii="宋体" w:hAnsi="宋体" w:eastAsia="宋体" w:cs="宋体"/>
                <w:i w:val="0"/>
                <w:iCs w:val="0"/>
                <w:color w:val="000000"/>
                <w:sz w:val="18"/>
                <w:szCs w:val="18"/>
                <w:u w:val="none"/>
              </w:rPr>
            </w:pP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F0F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776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1E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采购信息化设备及法考信息技术服务费。</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68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0C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81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7BB0">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FA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3679">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0C6E">
            <w:pPr>
              <w:jc w:val="center"/>
              <w:rPr>
                <w:rFonts w:hint="eastAsia" w:ascii="微软雅黑" w:hAnsi="微软雅黑" w:eastAsia="微软雅黑" w:cs="微软雅黑"/>
                <w:i/>
                <w:iCs/>
                <w:color w:val="000000"/>
                <w:sz w:val="16"/>
                <w:szCs w:val="16"/>
                <w:u w:val="none"/>
              </w:rPr>
            </w:pPr>
          </w:p>
        </w:tc>
      </w:tr>
      <w:tr w14:paraId="3E2DD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528AD">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B556B">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5E859">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38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州县指挥中心规范化、集成化改造。</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28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13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49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207B">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D2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B319">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B6AD">
            <w:pPr>
              <w:jc w:val="center"/>
              <w:rPr>
                <w:rFonts w:hint="eastAsia" w:ascii="微软雅黑" w:hAnsi="微软雅黑" w:eastAsia="微软雅黑" w:cs="微软雅黑"/>
                <w:i/>
                <w:iCs/>
                <w:color w:val="000000"/>
                <w:sz w:val="16"/>
                <w:szCs w:val="16"/>
                <w:u w:val="none"/>
              </w:rPr>
            </w:pPr>
          </w:p>
        </w:tc>
      </w:tr>
      <w:tr w14:paraId="63BA1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163C0">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DF973">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4DC63">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AD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指挥中心及信息化设备、门户网站的日常运维。 </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1E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1B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46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0637">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BA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256C">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9459">
            <w:pPr>
              <w:jc w:val="center"/>
              <w:rPr>
                <w:rFonts w:hint="eastAsia" w:ascii="微软雅黑" w:hAnsi="微软雅黑" w:eastAsia="微软雅黑" w:cs="微软雅黑"/>
                <w:i/>
                <w:iCs/>
                <w:color w:val="000000"/>
                <w:sz w:val="16"/>
                <w:szCs w:val="16"/>
                <w:u w:val="none"/>
              </w:rPr>
            </w:pPr>
          </w:p>
        </w:tc>
      </w:tr>
      <w:tr w14:paraId="2F51A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B8CB8">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4F87A">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46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CD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A1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5D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2B03">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A75B">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9F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FA94">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C237">
            <w:pPr>
              <w:jc w:val="center"/>
              <w:rPr>
                <w:rFonts w:hint="eastAsia" w:ascii="微软雅黑" w:hAnsi="微软雅黑" w:eastAsia="微软雅黑" w:cs="微软雅黑"/>
                <w:i/>
                <w:iCs/>
                <w:color w:val="000000"/>
                <w:sz w:val="16"/>
                <w:szCs w:val="16"/>
                <w:u w:val="none"/>
              </w:rPr>
            </w:pPr>
          </w:p>
        </w:tc>
      </w:tr>
      <w:tr w14:paraId="558CD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3EF5D">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D9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71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93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对工作的促进作用。</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A5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3A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15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7827">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E3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915B">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42B2">
            <w:pPr>
              <w:jc w:val="center"/>
              <w:rPr>
                <w:rFonts w:hint="eastAsia" w:ascii="微软雅黑" w:hAnsi="微软雅黑" w:eastAsia="微软雅黑" w:cs="微软雅黑"/>
                <w:i/>
                <w:iCs/>
                <w:color w:val="000000"/>
                <w:sz w:val="16"/>
                <w:szCs w:val="16"/>
                <w:u w:val="none"/>
              </w:rPr>
            </w:pPr>
          </w:p>
        </w:tc>
      </w:tr>
      <w:tr w14:paraId="56F6B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3F307">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EA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FB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2B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信息化工作管理部门满意度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08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76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8E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3008">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EE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CB62">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C156">
            <w:pPr>
              <w:jc w:val="center"/>
              <w:rPr>
                <w:rFonts w:hint="eastAsia" w:ascii="微软雅黑" w:hAnsi="微软雅黑" w:eastAsia="微软雅黑" w:cs="微软雅黑"/>
                <w:i/>
                <w:iCs/>
                <w:color w:val="000000"/>
                <w:sz w:val="16"/>
                <w:szCs w:val="16"/>
                <w:u w:val="none"/>
              </w:rPr>
            </w:pPr>
          </w:p>
        </w:tc>
      </w:tr>
      <w:tr w14:paraId="269FC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851DF">
            <w:pPr>
              <w:jc w:val="center"/>
              <w:rPr>
                <w:rFonts w:hint="eastAsia" w:ascii="宋体" w:hAnsi="宋体" w:eastAsia="宋体" w:cs="宋体"/>
                <w:i w:val="0"/>
                <w:iCs w:val="0"/>
                <w:color w:val="000000"/>
                <w:sz w:val="18"/>
                <w:szCs w:val="18"/>
                <w:u w:val="none"/>
              </w:rPr>
            </w:pP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04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42FE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B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指挥中心及信息化设备、门户网站的日常运维。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24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E2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70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0A8E">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4A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6F58">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7279">
            <w:pPr>
              <w:jc w:val="center"/>
              <w:rPr>
                <w:rFonts w:hint="eastAsia" w:ascii="微软雅黑" w:hAnsi="微软雅黑" w:eastAsia="微软雅黑" w:cs="微软雅黑"/>
                <w:i/>
                <w:iCs/>
                <w:color w:val="000000"/>
                <w:sz w:val="16"/>
                <w:szCs w:val="16"/>
                <w:u w:val="none"/>
              </w:rPr>
            </w:pPr>
          </w:p>
        </w:tc>
      </w:tr>
      <w:tr w14:paraId="2D05E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E0918">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748A8">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EECA2">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98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采购信息化设备及法考信息技术服务费。</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B7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6B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2A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2667">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7A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DAD0">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31BA">
            <w:pPr>
              <w:jc w:val="center"/>
              <w:rPr>
                <w:rFonts w:hint="eastAsia" w:ascii="微软雅黑" w:hAnsi="微软雅黑" w:eastAsia="微软雅黑" w:cs="微软雅黑"/>
                <w:i/>
                <w:iCs/>
                <w:color w:val="000000"/>
                <w:sz w:val="16"/>
                <w:szCs w:val="16"/>
                <w:u w:val="none"/>
              </w:rPr>
            </w:pPr>
          </w:p>
        </w:tc>
      </w:tr>
      <w:tr w14:paraId="198E1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173CC">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1FD78">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6DCE9">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BC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州县指挥中心规范化、集成化改造。</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FA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99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C5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EC0C">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9E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D58B">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ABE2">
            <w:pPr>
              <w:jc w:val="center"/>
              <w:rPr>
                <w:rFonts w:hint="eastAsia" w:ascii="微软雅黑" w:hAnsi="微软雅黑" w:eastAsia="微软雅黑" w:cs="微软雅黑"/>
                <w:i/>
                <w:iCs/>
                <w:color w:val="000000"/>
                <w:sz w:val="16"/>
                <w:szCs w:val="16"/>
                <w:u w:val="none"/>
              </w:rPr>
            </w:pPr>
          </w:p>
        </w:tc>
      </w:tr>
      <w:tr w14:paraId="54458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11526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EE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B6E0">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1737">
            <w:pPr>
              <w:rPr>
                <w:rFonts w:hint="eastAsia" w:ascii="宋体" w:hAnsi="宋体" w:eastAsia="宋体" w:cs="宋体"/>
                <w:i w:val="0"/>
                <w:iCs w:val="0"/>
                <w:color w:val="000000"/>
                <w:sz w:val="18"/>
                <w:szCs w:val="18"/>
                <w:u w:val="none"/>
              </w:rPr>
            </w:pPr>
          </w:p>
        </w:tc>
      </w:tr>
      <w:tr w14:paraId="0033B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46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AA79F7E">
            <w:pPr>
              <w:pStyle w:val="38"/>
              <w:keepNext w:val="0"/>
              <w:keepLines w:val="0"/>
              <w:widowControl w:val="0"/>
              <w:numPr>
                <w:ilvl w:val="0"/>
                <w:numId w:val="0"/>
              </w:numPr>
              <w:shd w:val="clear" w:color="auto" w:fill="auto"/>
              <w:bidi w:val="0"/>
              <w:spacing w:before="0" w:beforeLines="0" w:after="0" w:afterLines="0" w:line="626" w:lineRule="exact"/>
              <w:ind w:right="0" w:rightChars="0"/>
              <w:jc w:val="both"/>
              <w:rPr>
                <w:rFonts w:hint="eastAsia" w:ascii="宋体" w:hAnsi="宋体" w:eastAsia="宋体" w:cs="宋体"/>
                <w:i w:val="0"/>
                <w:iCs w:val="0"/>
                <w:color w:val="000000"/>
                <w:kern w:val="0"/>
                <w:sz w:val="18"/>
                <w:szCs w:val="18"/>
                <w:u w:val="none"/>
                <w:shd w:val="clear"/>
                <w:lang w:val="en-US" w:eastAsia="zh-CN" w:bidi="ar"/>
              </w:rPr>
            </w:pPr>
            <w:r>
              <w:rPr>
                <w:rFonts w:hint="eastAsia" w:ascii="宋体" w:hAnsi="宋体" w:eastAsia="宋体" w:cs="宋体"/>
                <w:i w:val="0"/>
                <w:iCs w:val="0"/>
                <w:color w:val="000000"/>
                <w:kern w:val="0"/>
                <w:sz w:val="18"/>
                <w:szCs w:val="18"/>
                <w:u w:val="none"/>
                <w:shd w:val="clear"/>
                <w:lang w:val="en-US" w:eastAsia="zh-CN" w:bidi="ar"/>
              </w:rPr>
              <w:t>督导县局建设中心司法所远程视频会见（探视）系统。完成指挥中心（公共法律服务、社区矫正指挥中心）视讯系统升级改造；完成门户网站管理维护和内容板块更新；政务信息公开工作，全国法律执业资格考试甘孜考区视频巡查系统和远程巡查指挥系统的部署；维护单位日常网络正常使用和安全。视频会议系统设备维修及其他信息化设备维修。</w:t>
            </w:r>
          </w:p>
          <w:p w14:paraId="084BFA3C">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shd w:val="clear"/>
                <w:lang w:val="en-US" w:eastAsia="zh-CN" w:bidi="ar"/>
              </w:rPr>
            </w:pPr>
          </w:p>
        </w:tc>
      </w:tr>
      <w:tr w14:paraId="177EB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B6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CFAA69">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shd w:val="clear"/>
                <w:lang w:val="en-US" w:eastAsia="zh-CN" w:bidi="ar"/>
              </w:rPr>
            </w:pPr>
            <w:r>
              <w:rPr>
                <w:rFonts w:hint="eastAsia" w:ascii="宋体" w:hAnsi="宋体" w:eastAsia="宋体" w:cs="宋体"/>
                <w:i w:val="0"/>
                <w:iCs w:val="0"/>
                <w:color w:val="000000"/>
                <w:kern w:val="0"/>
                <w:sz w:val="18"/>
                <w:szCs w:val="18"/>
                <w:u w:val="none"/>
                <w:shd w:val="clear"/>
                <w:lang w:val="en-US" w:eastAsia="zh-CN" w:bidi="ar"/>
              </w:rPr>
              <w:t>由于信息化建设要求相对专业，专业技术人员缺乏，较省上级要求存在一定差距；在系统开发、维护、网络安全等方面还有待进一步加强。</w:t>
            </w:r>
          </w:p>
          <w:p w14:paraId="1E2BEE71">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shd w:val="clear"/>
                <w:lang w:val="en-US" w:eastAsia="zh-CN" w:bidi="ar"/>
              </w:rPr>
            </w:pPr>
          </w:p>
        </w:tc>
      </w:tr>
      <w:tr w14:paraId="52911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E7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05C1D1">
            <w:pPr>
              <w:pStyle w:val="38"/>
              <w:keepNext w:val="0"/>
              <w:keepLines w:val="0"/>
              <w:widowControl w:val="0"/>
              <w:shd w:val="clear" w:color="auto" w:fill="auto"/>
              <w:tabs>
                <w:tab w:val="left" w:pos="1598"/>
              </w:tabs>
              <w:bidi w:val="0"/>
              <w:spacing w:before="0" w:beforeLines="0" w:after="0" w:afterLines="0" w:line="630" w:lineRule="exact"/>
              <w:ind w:left="0" w:leftChars="0" w:right="0" w:firstLine="0" w:firstLineChars="0"/>
              <w:jc w:val="both"/>
              <w:rPr>
                <w:rFonts w:hint="eastAsia" w:ascii="宋体" w:hAnsi="宋体" w:eastAsia="宋体" w:cs="宋体"/>
                <w:i w:val="0"/>
                <w:iCs w:val="0"/>
                <w:color w:val="000000"/>
                <w:kern w:val="0"/>
                <w:sz w:val="18"/>
                <w:szCs w:val="18"/>
                <w:u w:val="none"/>
                <w:shd w:val="clear"/>
                <w:lang w:val="en-US" w:eastAsia="zh-CN" w:bidi="ar"/>
              </w:rPr>
            </w:pPr>
            <w:r>
              <w:rPr>
                <w:rFonts w:hint="eastAsia" w:ascii="宋体" w:hAnsi="宋体" w:eastAsia="宋体" w:cs="宋体"/>
                <w:i w:val="0"/>
                <w:iCs w:val="0"/>
                <w:color w:val="000000"/>
                <w:kern w:val="0"/>
                <w:sz w:val="18"/>
                <w:szCs w:val="18"/>
                <w:u w:val="none"/>
                <w:shd w:val="clear"/>
                <w:lang w:val="en-US" w:eastAsia="zh-CN" w:bidi="ar"/>
              </w:rPr>
              <w:t>根据绩效评价结果，加强资金投入；进一步加强人员培训及管理，夯实信息化建设工作。</w:t>
            </w:r>
          </w:p>
          <w:p w14:paraId="6DBC63D6">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shd w:val="clear"/>
                <w:lang w:val="en-US" w:eastAsia="zh-CN" w:bidi="ar"/>
              </w:rPr>
            </w:pPr>
          </w:p>
        </w:tc>
      </w:tr>
      <w:tr w14:paraId="01D3D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44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9E51F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D0DBE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4150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76" w:type="dxa"/>
            <w:tcBorders>
              <w:top w:val="nil"/>
              <w:left w:val="nil"/>
              <w:bottom w:val="nil"/>
              <w:right w:val="nil"/>
            </w:tcBorders>
            <w:shd w:val="clear" w:color="auto" w:fill="auto"/>
            <w:vAlign w:val="center"/>
          </w:tcPr>
          <w:p w14:paraId="1DAC5FB9">
            <w:pPr>
              <w:rPr>
                <w:rFonts w:hint="eastAsia" w:ascii="宋体" w:hAnsi="宋体" w:eastAsia="宋体" w:cs="宋体"/>
                <w:i w:val="0"/>
                <w:iCs w:val="0"/>
                <w:color w:val="000000"/>
                <w:sz w:val="18"/>
                <w:szCs w:val="18"/>
                <w:u w:val="none"/>
              </w:rPr>
            </w:pPr>
          </w:p>
        </w:tc>
        <w:tc>
          <w:tcPr>
            <w:tcW w:w="1052" w:type="dxa"/>
            <w:tcBorders>
              <w:top w:val="nil"/>
              <w:left w:val="nil"/>
              <w:bottom w:val="nil"/>
              <w:right w:val="nil"/>
            </w:tcBorders>
            <w:shd w:val="clear" w:color="auto" w:fill="auto"/>
            <w:vAlign w:val="center"/>
          </w:tcPr>
          <w:p w14:paraId="048C5085">
            <w:pPr>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auto"/>
            <w:vAlign w:val="center"/>
          </w:tcPr>
          <w:p w14:paraId="4C37493E">
            <w:pPr>
              <w:rPr>
                <w:rFonts w:hint="eastAsia" w:ascii="宋体" w:hAnsi="宋体" w:eastAsia="宋体" w:cs="宋体"/>
                <w:i w:val="0"/>
                <w:iCs w:val="0"/>
                <w:color w:val="000000"/>
                <w:sz w:val="18"/>
                <w:szCs w:val="18"/>
                <w:u w:val="none"/>
              </w:rPr>
            </w:pPr>
          </w:p>
        </w:tc>
        <w:tc>
          <w:tcPr>
            <w:tcW w:w="1408" w:type="dxa"/>
            <w:tcBorders>
              <w:top w:val="nil"/>
              <w:left w:val="nil"/>
              <w:bottom w:val="nil"/>
              <w:right w:val="nil"/>
            </w:tcBorders>
            <w:shd w:val="clear" w:color="auto" w:fill="auto"/>
            <w:vAlign w:val="center"/>
          </w:tcPr>
          <w:p w14:paraId="35A322F9">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281D4632">
            <w:pPr>
              <w:rPr>
                <w:rFonts w:hint="eastAsia" w:ascii="宋体" w:hAnsi="宋体" w:eastAsia="宋体" w:cs="宋体"/>
                <w:i w:val="0"/>
                <w:iCs w:val="0"/>
                <w:color w:val="000000"/>
                <w:sz w:val="18"/>
                <w:szCs w:val="18"/>
                <w:u w:val="none"/>
              </w:rPr>
            </w:pPr>
          </w:p>
        </w:tc>
        <w:tc>
          <w:tcPr>
            <w:tcW w:w="967" w:type="dxa"/>
            <w:tcBorders>
              <w:top w:val="nil"/>
              <w:left w:val="nil"/>
              <w:bottom w:val="nil"/>
              <w:right w:val="nil"/>
            </w:tcBorders>
            <w:shd w:val="clear" w:color="auto" w:fill="auto"/>
            <w:vAlign w:val="center"/>
          </w:tcPr>
          <w:p w14:paraId="07854BCA">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14:paraId="7D6644C3">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782DF6F4">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3CCD868C">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76040E18">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14:paraId="78A44C04">
            <w:pPr>
              <w:rPr>
                <w:rFonts w:hint="eastAsia" w:ascii="宋体" w:hAnsi="宋体" w:eastAsia="宋体" w:cs="宋体"/>
                <w:i w:val="0"/>
                <w:iCs w:val="0"/>
                <w:color w:val="000000"/>
                <w:sz w:val="18"/>
                <w:szCs w:val="18"/>
                <w:u w:val="none"/>
              </w:rPr>
            </w:pPr>
          </w:p>
        </w:tc>
      </w:tr>
      <w:tr w14:paraId="66B16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9" w:hRule="atLeast"/>
        </w:trPr>
        <w:tc>
          <w:tcPr>
            <w:tcW w:w="9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EB714E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8512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A33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C7526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51330022T000007012921-2022年转移支付资金</w:t>
            </w:r>
          </w:p>
        </w:tc>
      </w:tr>
      <w:tr w14:paraId="3BAF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D56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69A0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甘孜州司法局部门</w:t>
            </w:r>
          </w:p>
        </w:tc>
        <w:tc>
          <w:tcPr>
            <w:tcW w:w="846" w:type="dxa"/>
            <w:tcBorders>
              <w:top w:val="nil"/>
              <w:left w:val="nil"/>
              <w:bottom w:val="nil"/>
              <w:right w:val="nil"/>
            </w:tcBorders>
            <w:shd w:val="clear" w:color="auto" w:fill="auto"/>
            <w:vAlign w:val="center"/>
          </w:tcPr>
          <w:p w14:paraId="58AE9D7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1D15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州司法局机关</w:t>
            </w:r>
          </w:p>
        </w:tc>
      </w:tr>
      <w:tr w14:paraId="605E0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060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DBC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843A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4822C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FF8D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6F7C9">
            <w:pP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3AB3D">
            <w:pPr>
              <w:rPr>
                <w:rFonts w:hint="eastAsia" w:ascii="宋体" w:hAnsi="宋体" w:eastAsia="宋体" w:cs="宋体"/>
                <w:i w:val="0"/>
                <w:iCs w:val="0"/>
                <w:color w:val="000000"/>
                <w:sz w:val="18"/>
                <w:szCs w:val="18"/>
                <w:u w:val="none"/>
              </w:rPr>
            </w:pP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10463D">
            <w:pPr>
              <w:rPr>
                <w:rFonts w:hint="eastAsia" w:ascii="宋体" w:hAnsi="宋体" w:eastAsia="宋体" w:cs="宋体"/>
                <w:i w:val="0"/>
                <w:iCs w:val="0"/>
                <w:color w:val="000000"/>
                <w:sz w:val="18"/>
                <w:szCs w:val="18"/>
                <w:u w:val="none"/>
              </w:rPr>
            </w:pP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373C8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DAF3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CD72D">
            <w:pP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AB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410AD83">
            <w:pPr>
              <w:rPr>
                <w:rFonts w:hint="eastAsia" w:ascii="宋体" w:hAnsi="宋体" w:eastAsia="宋体" w:cs="宋体"/>
                <w:i w:val="0"/>
                <w:iCs w:val="0"/>
                <w:color w:val="000000"/>
                <w:sz w:val="18"/>
                <w:szCs w:val="18"/>
                <w:u w:val="none"/>
              </w:rPr>
            </w:pPr>
          </w:p>
        </w:tc>
      </w:tr>
      <w:tr w14:paraId="07AAB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1E3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1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F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AF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031F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83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4E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A3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BD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1464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887E9">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33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2A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124.33</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94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124.25</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7E47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124.25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17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46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FB09">
            <w:pPr>
              <w:jc w:val="center"/>
              <w:rPr>
                <w:rFonts w:hint="eastAsia" w:ascii="宋体" w:hAnsi="宋体" w:eastAsia="宋体" w:cs="宋体"/>
                <w:i w:val="0"/>
                <w:iCs w:val="0"/>
                <w:color w:val="000000"/>
                <w:sz w:val="18"/>
                <w:szCs w:val="18"/>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1233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18BB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0A70E">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8B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78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124.33</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16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124.25</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574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124.25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99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6C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1B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94785">
            <w:pPr>
              <w:rPr>
                <w:rFonts w:hint="eastAsia" w:ascii="黑体" w:hAnsi="黑体" w:eastAsia="黑体" w:cs="黑体"/>
                <w:i/>
                <w:iCs/>
                <w:color w:val="000000"/>
                <w:sz w:val="18"/>
                <w:szCs w:val="18"/>
                <w:u w:val="none"/>
              </w:rPr>
            </w:pPr>
          </w:p>
        </w:tc>
      </w:tr>
      <w:tr w14:paraId="2DC65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F501A">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89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BB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C6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E15A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37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7A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50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7D721">
            <w:pPr>
              <w:rPr>
                <w:rFonts w:hint="eastAsia" w:ascii="黑体" w:hAnsi="黑体" w:eastAsia="黑体" w:cs="黑体"/>
                <w:i/>
                <w:iCs/>
                <w:color w:val="000000"/>
                <w:sz w:val="18"/>
                <w:szCs w:val="18"/>
                <w:u w:val="none"/>
              </w:rPr>
            </w:pPr>
          </w:p>
        </w:tc>
      </w:tr>
      <w:tr w14:paraId="19415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65A04">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9A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71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E0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518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1D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9C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7E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F4D2D">
            <w:pPr>
              <w:rPr>
                <w:rFonts w:hint="eastAsia" w:ascii="黑体" w:hAnsi="黑体" w:eastAsia="黑体" w:cs="黑体"/>
                <w:i/>
                <w:iCs/>
                <w:color w:val="000000"/>
                <w:sz w:val="18"/>
                <w:szCs w:val="18"/>
                <w:u w:val="none"/>
              </w:rPr>
            </w:pPr>
          </w:p>
        </w:tc>
      </w:tr>
      <w:tr w14:paraId="0108B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0CF0F">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C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3E03">
            <w:pPr>
              <w:jc w:val="center"/>
              <w:rPr>
                <w:rFonts w:hint="eastAsia" w:ascii="微软雅黑" w:hAnsi="微软雅黑" w:eastAsia="微软雅黑" w:cs="微软雅黑"/>
                <w:i/>
                <w:iCs/>
                <w:color w:val="000000"/>
                <w:sz w:val="16"/>
                <w:szCs w:val="16"/>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C464">
            <w:pPr>
              <w:jc w:val="center"/>
              <w:rPr>
                <w:rFonts w:hint="eastAsia" w:ascii="微软雅黑" w:hAnsi="微软雅黑" w:eastAsia="微软雅黑" w:cs="微软雅黑"/>
                <w:i/>
                <w:iCs/>
                <w:color w:val="000000"/>
                <w:sz w:val="16"/>
                <w:szCs w:val="16"/>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D2D8C6">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9959">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80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D1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81196">
            <w:pPr>
              <w:rPr>
                <w:rFonts w:hint="eastAsia" w:ascii="黑体" w:hAnsi="黑体" w:eastAsia="黑体" w:cs="黑体"/>
                <w:i/>
                <w:iCs/>
                <w:color w:val="000000"/>
                <w:sz w:val="18"/>
                <w:szCs w:val="18"/>
                <w:u w:val="none"/>
              </w:rPr>
            </w:pPr>
          </w:p>
        </w:tc>
      </w:tr>
      <w:tr w14:paraId="4D22A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3C5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59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D3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79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5A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F5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AE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F8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DA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4B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C2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C078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ECFAD">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082C">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9F7F">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F3F0">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6588">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BE27">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AA76">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03FF">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AC97">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E972">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C0E2">
            <w:pPr>
              <w:jc w:val="center"/>
              <w:rPr>
                <w:rFonts w:hint="eastAsia" w:ascii="微软雅黑" w:hAnsi="微软雅黑" w:eastAsia="微软雅黑" w:cs="微软雅黑"/>
                <w:i/>
                <w:iCs/>
                <w:color w:val="000000"/>
                <w:sz w:val="16"/>
                <w:szCs w:val="16"/>
                <w:u w:val="none"/>
              </w:rPr>
            </w:pPr>
          </w:p>
        </w:tc>
      </w:tr>
      <w:tr w14:paraId="73162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EC4F0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A5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FDEA">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F063">
            <w:pPr>
              <w:rPr>
                <w:rFonts w:hint="eastAsia" w:ascii="宋体" w:hAnsi="宋体" w:eastAsia="宋体" w:cs="宋体"/>
                <w:i w:val="0"/>
                <w:iCs w:val="0"/>
                <w:color w:val="000000"/>
                <w:sz w:val="18"/>
                <w:szCs w:val="18"/>
                <w:u w:val="none"/>
              </w:rPr>
            </w:pPr>
          </w:p>
        </w:tc>
      </w:tr>
      <w:tr w14:paraId="77C98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C8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95A7B4">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kern w:val="0"/>
                <w:sz w:val="16"/>
                <w:szCs w:val="16"/>
                <w:u w:val="none"/>
                <w:lang w:val="en-US" w:eastAsia="zh-CN" w:bidi="ar"/>
              </w:rPr>
              <w:t>完成各项司法工作，取得一定的成效。</w:t>
            </w:r>
          </w:p>
        </w:tc>
      </w:tr>
      <w:tr w14:paraId="43CA0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F5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6AC1A0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191D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E2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54305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8041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44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340D4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DCF26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6B41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76" w:type="dxa"/>
            <w:tcBorders>
              <w:top w:val="nil"/>
              <w:left w:val="nil"/>
              <w:bottom w:val="nil"/>
              <w:right w:val="nil"/>
            </w:tcBorders>
            <w:shd w:val="clear" w:color="auto" w:fill="auto"/>
            <w:vAlign w:val="center"/>
          </w:tcPr>
          <w:p w14:paraId="7E09AD45">
            <w:pPr>
              <w:rPr>
                <w:rFonts w:hint="eastAsia" w:ascii="宋体" w:hAnsi="宋体" w:eastAsia="宋体" w:cs="宋体"/>
                <w:i w:val="0"/>
                <w:iCs w:val="0"/>
                <w:color w:val="000000"/>
                <w:sz w:val="18"/>
                <w:szCs w:val="18"/>
                <w:u w:val="none"/>
              </w:rPr>
            </w:pPr>
          </w:p>
        </w:tc>
        <w:tc>
          <w:tcPr>
            <w:tcW w:w="1052" w:type="dxa"/>
            <w:tcBorders>
              <w:top w:val="nil"/>
              <w:left w:val="nil"/>
              <w:bottom w:val="nil"/>
              <w:right w:val="nil"/>
            </w:tcBorders>
            <w:shd w:val="clear" w:color="auto" w:fill="auto"/>
            <w:vAlign w:val="center"/>
          </w:tcPr>
          <w:p w14:paraId="025C6670">
            <w:pPr>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auto"/>
            <w:vAlign w:val="center"/>
          </w:tcPr>
          <w:p w14:paraId="21820709">
            <w:pPr>
              <w:rPr>
                <w:rFonts w:hint="eastAsia" w:ascii="宋体" w:hAnsi="宋体" w:eastAsia="宋体" w:cs="宋体"/>
                <w:i w:val="0"/>
                <w:iCs w:val="0"/>
                <w:color w:val="000000"/>
                <w:sz w:val="18"/>
                <w:szCs w:val="18"/>
                <w:u w:val="none"/>
              </w:rPr>
            </w:pPr>
          </w:p>
        </w:tc>
        <w:tc>
          <w:tcPr>
            <w:tcW w:w="1408" w:type="dxa"/>
            <w:tcBorders>
              <w:top w:val="nil"/>
              <w:left w:val="nil"/>
              <w:bottom w:val="nil"/>
              <w:right w:val="nil"/>
            </w:tcBorders>
            <w:shd w:val="clear" w:color="auto" w:fill="auto"/>
            <w:vAlign w:val="center"/>
          </w:tcPr>
          <w:p w14:paraId="73564F7F">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59D18395">
            <w:pPr>
              <w:rPr>
                <w:rFonts w:hint="eastAsia" w:ascii="宋体" w:hAnsi="宋体" w:eastAsia="宋体" w:cs="宋体"/>
                <w:i w:val="0"/>
                <w:iCs w:val="0"/>
                <w:color w:val="000000"/>
                <w:sz w:val="18"/>
                <w:szCs w:val="18"/>
                <w:u w:val="none"/>
              </w:rPr>
            </w:pPr>
          </w:p>
        </w:tc>
        <w:tc>
          <w:tcPr>
            <w:tcW w:w="967" w:type="dxa"/>
            <w:tcBorders>
              <w:top w:val="nil"/>
              <w:left w:val="nil"/>
              <w:bottom w:val="nil"/>
              <w:right w:val="nil"/>
            </w:tcBorders>
            <w:shd w:val="clear" w:color="auto" w:fill="auto"/>
            <w:vAlign w:val="center"/>
          </w:tcPr>
          <w:p w14:paraId="29FBEEC3">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14:paraId="583DF116">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1C36AC62">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2A1C6067">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68A73F90">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14:paraId="09F03E67">
            <w:pPr>
              <w:rPr>
                <w:rFonts w:hint="eastAsia" w:ascii="宋体" w:hAnsi="宋体" w:eastAsia="宋体" w:cs="宋体"/>
                <w:i w:val="0"/>
                <w:iCs w:val="0"/>
                <w:color w:val="000000"/>
                <w:sz w:val="18"/>
                <w:szCs w:val="18"/>
                <w:u w:val="none"/>
              </w:rPr>
            </w:pPr>
          </w:p>
        </w:tc>
      </w:tr>
      <w:tr w14:paraId="37520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76" w:type="dxa"/>
            <w:tcBorders>
              <w:top w:val="nil"/>
              <w:left w:val="nil"/>
              <w:bottom w:val="nil"/>
              <w:right w:val="nil"/>
            </w:tcBorders>
            <w:shd w:val="clear" w:color="auto" w:fill="auto"/>
            <w:vAlign w:val="center"/>
          </w:tcPr>
          <w:p w14:paraId="5679A004">
            <w:pPr>
              <w:rPr>
                <w:rFonts w:hint="eastAsia" w:ascii="宋体" w:hAnsi="宋体" w:eastAsia="宋体" w:cs="宋体"/>
                <w:i w:val="0"/>
                <w:iCs w:val="0"/>
                <w:color w:val="000000"/>
                <w:sz w:val="18"/>
                <w:szCs w:val="18"/>
                <w:u w:val="none"/>
              </w:rPr>
            </w:pPr>
          </w:p>
        </w:tc>
        <w:tc>
          <w:tcPr>
            <w:tcW w:w="1052" w:type="dxa"/>
            <w:tcBorders>
              <w:top w:val="nil"/>
              <w:left w:val="nil"/>
              <w:bottom w:val="nil"/>
              <w:right w:val="nil"/>
            </w:tcBorders>
            <w:shd w:val="clear" w:color="auto" w:fill="auto"/>
            <w:vAlign w:val="center"/>
          </w:tcPr>
          <w:p w14:paraId="24F2CBE5">
            <w:pPr>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auto"/>
            <w:vAlign w:val="center"/>
          </w:tcPr>
          <w:p w14:paraId="58106EC0">
            <w:pPr>
              <w:rPr>
                <w:rFonts w:hint="eastAsia" w:ascii="宋体" w:hAnsi="宋体" w:eastAsia="宋体" w:cs="宋体"/>
                <w:i w:val="0"/>
                <w:iCs w:val="0"/>
                <w:color w:val="000000"/>
                <w:sz w:val="18"/>
                <w:szCs w:val="18"/>
                <w:u w:val="none"/>
              </w:rPr>
            </w:pPr>
          </w:p>
        </w:tc>
        <w:tc>
          <w:tcPr>
            <w:tcW w:w="1408" w:type="dxa"/>
            <w:tcBorders>
              <w:top w:val="nil"/>
              <w:left w:val="nil"/>
              <w:bottom w:val="nil"/>
              <w:right w:val="nil"/>
            </w:tcBorders>
            <w:shd w:val="clear" w:color="auto" w:fill="auto"/>
            <w:vAlign w:val="center"/>
          </w:tcPr>
          <w:p w14:paraId="50CE83CF">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6E0F111D">
            <w:pPr>
              <w:rPr>
                <w:rFonts w:hint="eastAsia" w:ascii="宋体" w:hAnsi="宋体" w:eastAsia="宋体" w:cs="宋体"/>
                <w:i w:val="0"/>
                <w:iCs w:val="0"/>
                <w:color w:val="000000"/>
                <w:sz w:val="18"/>
                <w:szCs w:val="18"/>
                <w:u w:val="none"/>
              </w:rPr>
            </w:pPr>
          </w:p>
        </w:tc>
        <w:tc>
          <w:tcPr>
            <w:tcW w:w="967" w:type="dxa"/>
            <w:tcBorders>
              <w:top w:val="nil"/>
              <w:left w:val="nil"/>
              <w:bottom w:val="nil"/>
              <w:right w:val="nil"/>
            </w:tcBorders>
            <w:shd w:val="clear" w:color="auto" w:fill="auto"/>
            <w:vAlign w:val="center"/>
          </w:tcPr>
          <w:p w14:paraId="4F7617E5">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14:paraId="623F68FB">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3C452660">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4F715F9E">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14789CA4">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14:paraId="5BCF0483">
            <w:pPr>
              <w:rPr>
                <w:rFonts w:hint="eastAsia" w:ascii="宋体" w:hAnsi="宋体" w:eastAsia="宋体" w:cs="宋体"/>
                <w:i w:val="0"/>
                <w:iCs w:val="0"/>
                <w:color w:val="000000"/>
                <w:sz w:val="18"/>
                <w:szCs w:val="18"/>
                <w:u w:val="none"/>
              </w:rPr>
            </w:pPr>
          </w:p>
        </w:tc>
      </w:tr>
      <w:tr w14:paraId="3D58D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76" w:type="dxa"/>
            <w:tcBorders>
              <w:top w:val="nil"/>
              <w:left w:val="nil"/>
              <w:bottom w:val="nil"/>
              <w:right w:val="nil"/>
            </w:tcBorders>
            <w:shd w:val="clear" w:color="auto" w:fill="auto"/>
            <w:vAlign w:val="center"/>
          </w:tcPr>
          <w:p w14:paraId="0BEDFA24">
            <w:pPr>
              <w:rPr>
                <w:rFonts w:hint="eastAsia" w:ascii="宋体" w:hAnsi="宋体" w:eastAsia="宋体" w:cs="宋体"/>
                <w:i w:val="0"/>
                <w:iCs w:val="0"/>
                <w:color w:val="000000"/>
                <w:sz w:val="18"/>
                <w:szCs w:val="18"/>
                <w:u w:val="none"/>
              </w:rPr>
            </w:pPr>
          </w:p>
        </w:tc>
        <w:tc>
          <w:tcPr>
            <w:tcW w:w="1052" w:type="dxa"/>
            <w:tcBorders>
              <w:top w:val="nil"/>
              <w:left w:val="nil"/>
              <w:bottom w:val="nil"/>
              <w:right w:val="nil"/>
            </w:tcBorders>
            <w:shd w:val="clear" w:color="auto" w:fill="auto"/>
            <w:vAlign w:val="center"/>
          </w:tcPr>
          <w:p w14:paraId="48E27C76">
            <w:pPr>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auto"/>
            <w:vAlign w:val="center"/>
          </w:tcPr>
          <w:p w14:paraId="4D356C81">
            <w:pPr>
              <w:rPr>
                <w:rFonts w:hint="eastAsia" w:ascii="宋体" w:hAnsi="宋体" w:eastAsia="宋体" w:cs="宋体"/>
                <w:i w:val="0"/>
                <w:iCs w:val="0"/>
                <w:color w:val="000000"/>
                <w:sz w:val="18"/>
                <w:szCs w:val="18"/>
                <w:u w:val="none"/>
              </w:rPr>
            </w:pPr>
          </w:p>
        </w:tc>
        <w:tc>
          <w:tcPr>
            <w:tcW w:w="1408" w:type="dxa"/>
            <w:tcBorders>
              <w:top w:val="nil"/>
              <w:left w:val="nil"/>
              <w:bottom w:val="nil"/>
              <w:right w:val="nil"/>
            </w:tcBorders>
            <w:shd w:val="clear" w:color="auto" w:fill="auto"/>
            <w:vAlign w:val="center"/>
          </w:tcPr>
          <w:p w14:paraId="660B28C2">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121D5166">
            <w:pPr>
              <w:rPr>
                <w:rFonts w:hint="eastAsia" w:ascii="宋体" w:hAnsi="宋体" w:eastAsia="宋体" w:cs="宋体"/>
                <w:i w:val="0"/>
                <w:iCs w:val="0"/>
                <w:color w:val="000000"/>
                <w:sz w:val="18"/>
                <w:szCs w:val="18"/>
                <w:u w:val="none"/>
              </w:rPr>
            </w:pPr>
          </w:p>
        </w:tc>
        <w:tc>
          <w:tcPr>
            <w:tcW w:w="967" w:type="dxa"/>
            <w:tcBorders>
              <w:top w:val="nil"/>
              <w:left w:val="nil"/>
              <w:bottom w:val="nil"/>
              <w:right w:val="nil"/>
            </w:tcBorders>
            <w:shd w:val="clear" w:color="auto" w:fill="auto"/>
            <w:vAlign w:val="center"/>
          </w:tcPr>
          <w:p w14:paraId="73012667">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14:paraId="5D103E41">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2F59B5E2">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1FE0669A">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6DC4DC13">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14:paraId="7AEACAD0">
            <w:pPr>
              <w:rPr>
                <w:rFonts w:hint="eastAsia" w:ascii="宋体" w:hAnsi="宋体" w:eastAsia="宋体" w:cs="宋体"/>
                <w:i w:val="0"/>
                <w:iCs w:val="0"/>
                <w:color w:val="000000"/>
                <w:sz w:val="18"/>
                <w:szCs w:val="18"/>
                <w:u w:val="none"/>
              </w:rPr>
            </w:pPr>
          </w:p>
        </w:tc>
      </w:tr>
      <w:tr w14:paraId="43832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76" w:type="dxa"/>
            <w:tcBorders>
              <w:top w:val="nil"/>
              <w:left w:val="nil"/>
              <w:bottom w:val="nil"/>
              <w:right w:val="nil"/>
            </w:tcBorders>
            <w:shd w:val="clear" w:color="auto" w:fill="auto"/>
            <w:vAlign w:val="center"/>
          </w:tcPr>
          <w:p w14:paraId="25B9AFB3">
            <w:pPr>
              <w:rPr>
                <w:rFonts w:hint="eastAsia" w:ascii="宋体" w:hAnsi="宋体" w:eastAsia="宋体" w:cs="宋体"/>
                <w:i w:val="0"/>
                <w:iCs w:val="0"/>
                <w:color w:val="000000"/>
                <w:sz w:val="18"/>
                <w:szCs w:val="18"/>
                <w:u w:val="none"/>
              </w:rPr>
            </w:pPr>
          </w:p>
        </w:tc>
        <w:tc>
          <w:tcPr>
            <w:tcW w:w="1052" w:type="dxa"/>
            <w:tcBorders>
              <w:top w:val="nil"/>
              <w:left w:val="nil"/>
              <w:bottom w:val="nil"/>
              <w:right w:val="nil"/>
            </w:tcBorders>
            <w:shd w:val="clear" w:color="auto" w:fill="auto"/>
            <w:vAlign w:val="center"/>
          </w:tcPr>
          <w:p w14:paraId="082502D5">
            <w:pPr>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auto"/>
            <w:vAlign w:val="center"/>
          </w:tcPr>
          <w:p w14:paraId="575E2E33">
            <w:pPr>
              <w:rPr>
                <w:rFonts w:hint="eastAsia" w:ascii="宋体" w:hAnsi="宋体" w:eastAsia="宋体" w:cs="宋体"/>
                <w:i w:val="0"/>
                <w:iCs w:val="0"/>
                <w:color w:val="000000"/>
                <w:sz w:val="18"/>
                <w:szCs w:val="18"/>
                <w:u w:val="none"/>
              </w:rPr>
            </w:pPr>
          </w:p>
        </w:tc>
        <w:tc>
          <w:tcPr>
            <w:tcW w:w="1408" w:type="dxa"/>
            <w:tcBorders>
              <w:top w:val="nil"/>
              <w:left w:val="nil"/>
              <w:bottom w:val="nil"/>
              <w:right w:val="nil"/>
            </w:tcBorders>
            <w:shd w:val="clear" w:color="auto" w:fill="auto"/>
            <w:vAlign w:val="center"/>
          </w:tcPr>
          <w:p w14:paraId="27A86259">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34D22964">
            <w:pPr>
              <w:rPr>
                <w:rFonts w:hint="eastAsia" w:ascii="宋体" w:hAnsi="宋体" w:eastAsia="宋体" w:cs="宋体"/>
                <w:i w:val="0"/>
                <w:iCs w:val="0"/>
                <w:color w:val="000000"/>
                <w:sz w:val="18"/>
                <w:szCs w:val="18"/>
                <w:u w:val="none"/>
              </w:rPr>
            </w:pPr>
          </w:p>
        </w:tc>
        <w:tc>
          <w:tcPr>
            <w:tcW w:w="967" w:type="dxa"/>
            <w:tcBorders>
              <w:top w:val="nil"/>
              <w:left w:val="nil"/>
              <w:bottom w:val="nil"/>
              <w:right w:val="nil"/>
            </w:tcBorders>
            <w:shd w:val="clear" w:color="auto" w:fill="auto"/>
            <w:vAlign w:val="center"/>
          </w:tcPr>
          <w:p w14:paraId="2D4F5CDC">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14:paraId="0EB110B6">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1CCA2D44">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75766E6B">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7FFA8544">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14:paraId="2B08DC42">
            <w:pPr>
              <w:rPr>
                <w:rFonts w:hint="eastAsia" w:ascii="宋体" w:hAnsi="宋体" w:eastAsia="宋体" w:cs="宋体"/>
                <w:i w:val="0"/>
                <w:iCs w:val="0"/>
                <w:color w:val="000000"/>
                <w:sz w:val="18"/>
                <w:szCs w:val="18"/>
                <w:u w:val="none"/>
              </w:rPr>
            </w:pPr>
          </w:p>
        </w:tc>
      </w:tr>
      <w:tr w14:paraId="5F23D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76" w:type="dxa"/>
            <w:tcBorders>
              <w:top w:val="nil"/>
              <w:left w:val="nil"/>
              <w:bottom w:val="nil"/>
              <w:right w:val="nil"/>
            </w:tcBorders>
            <w:shd w:val="clear" w:color="auto" w:fill="auto"/>
            <w:vAlign w:val="center"/>
          </w:tcPr>
          <w:p w14:paraId="1042BE7E">
            <w:pPr>
              <w:rPr>
                <w:rFonts w:hint="eastAsia" w:ascii="宋体" w:hAnsi="宋体" w:eastAsia="宋体" w:cs="宋体"/>
                <w:i w:val="0"/>
                <w:iCs w:val="0"/>
                <w:color w:val="000000"/>
                <w:sz w:val="18"/>
                <w:szCs w:val="18"/>
                <w:u w:val="none"/>
              </w:rPr>
            </w:pPr>
          </w:p>
        </w:tc>
        <w:tc>
          <w:tcPr>
            <w:tcW w:w="1052" w:type="dxa"/>
            <w:tcBorders>
              <w:top w:val="nil"/>
              <w:left w:val="nil"/>
              <w:bottom w:val="nil"/>
              <w:right w:val="nil"/>
            </w:tcBorders>
            <w:shd w:val="clear" w:color="auto" w:fill="auto"/>
            <w:vAlign w:val="center"/>
          </w:tcPr>
          <w:p w14:paraId="17649D3F">
            <w:pPr>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auto"/>
            <w:vAlign w:val="center"/>
          </w:tcPr>
          <w:p w14:paraId="5A7CE95D">
            <w:pPr>
              <w:rPr>
                <w:rFonts w:hint="eastAsia" w:ascii="宋体" w:hAnsi="宋体" w:eastAsia="宋体" w:cs="宋体"/>
                <w:i w:val="0"/>
                <w:iCs w:val="0"/>
                <w:color w:val="000000"/>
                <w:sz w:val="18"/>
                <w:szCs w:val="18"/>
                <w:u w:val="none"/>
              </w:rPr>
            </w:pPr>
          </w:p>
        </w:tc>
        <w:tc>
          <w:tcPr>
            <w:tcW w:w="1408" w:type="dxa"/>
            <w:tcBorders>
              <w:top w:val="nil"/>
              <w:left w:val="nil"/>
              <w:bottom w:val="nil"/>
              <w:right w:val="nil"/>
            </w:tcBorders>
            <w:shd w:val="clear" w:color="auto" w:fill="auto"/>
            <w:vAlign w:val="center"/>
          </w:tcPr>
          <w:p w14:paraId="45CCCA75">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1CB969D8">
            <w:pPr>
              <w:rPr>
                <w:rFonts w:hint="eastAsia" w:ascii="宋体" w:hAnsi="宋体" w:eastAsia="宋体" w:cs="宋体"/>
                <w:i w:val="0"/>
                <w:iCs w:val="0"/>
                <w:color w:val="000000"/>
                <w:sz w:val="18"/>
                <w:szCs w:val="18"/>
                <w:u w:val="none"/>
              </w:rPr>
            </w:pPr>
          </w:p>
        </w:tc>
        <w:tc>
          <w:tcPr>
            <w:tcW w:w="967" w:type="dxa"/>
            <w:tcBorders>
              <w:top w:val="nil"/>
              <w:left w:val="nil"/>
              <w:bottom w:val="nil"/>
              <w:right w:val="nil"/>
            </w:tcBorders>
            <w:shd w:val="clear" w:color="auto" w:fill="auto"/>
            <w:vAlign w:val="center"/>
          </w:tcPr>
          <w:p w14:paraId="36E6C82A">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14:paraId="7F35B2B0">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31E1878B">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7ADB9EBA">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420892C8">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14:paraId="7DDF6704">
            <w:pPr>
              <w:rPr>
                <w:rFonts w:hint="eastAsia" w:ascii="宋体" w:hAnsi="宋体" w:eastAsia="宋体" w:cs="宋体"/>
                <w:i w:val="0"/>
                <w:iCs w:val="0"/>
                <w:color w:val="000000"/>
                <w:sz w:val="18"/>
                <w:szCs w:val="18"/>
                <w:u w:val="none"/>
              </w:rPr>
            </w:pPr>
          </w:p>
        </w:tc>
      </w:tr>
      <w:tr w14:paraId="702B7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9" w:hRule="atLeast"/>
        </w:trPr>
        <w:tc>
          <w:tcPr>
            <w:tcW w:w="9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BB0D71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13E3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D98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68D80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51330023T000008397653-特定政法转移支付Z</w:t>
            </w:r>
          </w:p>
        </w:tc>
      </w:tr>
      <w:tr w14:paraId="19F25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302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5C32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甘孜州司法局部门</w:t>
            </w:r>
          </w:p>
        </w:tc>
        <w:tc>
          <w:tcPr>
            <w:tcW w:w="846" w:type="dxa"/>
            <w:tcBorders>
              <w:top w:val="nil"/>
              <w:left w:val="nil"/>
              <w:bottom w:val="nil"/>
              <w:right w:val="nil"/>
            </w:tcBorders>
            <w:shd w:val="clear" w:color="auto" w:fill="auto"/>
            <w:vAlign w:val="center"/>
          </w:tcPr>
          <w:p w14:paraId="25E85F1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97A4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州司法局机关</w:t>
            </w:r>
          </w:p>
        </w:tc>
      </w:tr>
      <w:tr w14:paraId="532BD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EAD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C1C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DC8E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13998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D115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A04E5">
            <w:pP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988E6">
            <w:pPr>
              <w:rPr>
                <w:rFonts w:hint="eastAsia" w:ascii="宋体" w:hAnsi="宋体" w:eastAsia="宋体" w:cs="宋体"/>
                <w:i w:val="0"/>
                <w:iCs w:val="0"/>
                <w:color w:val="000000"/>
                <w:sz w:val="18"/>
                <w:szCs w:val="18"/>
                <w:u w:val="none"/>
              </w:rPr>
            </w:pP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16C7D1">
            <w:pPr>
              <w:rPr>
                <w:rFonts w:hint="eastAsia" w:ascii="宋体" w:hAnsi="宋体" w:eastAsia="宋体" w:cs="宋体"/>
                <w:i w:val="0"/>
                <w:iCs w:val="0"/>
                <w:color w:val="000000"/>
                <w:sz w:val="18"/>
                <w:szCs w:val="18"/>
                <w:u w:val="none"/>
              </w:rPr>
            </w:pP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67FAB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1E53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010FC">
            <w:pP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DF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B9FCF3A">
            <w:pPr>
              <w:rPr>
                <w:rFonts w:hint="eastAsia" w:ascii="宋体" w:hAnsi="宋体" w:eastAsia="宋体" w:cs="宋体"/>
                <w:i w:val="0"/>
                <w:iCs w:val="0"/>
                <w:color w:val="000000"/>
                <w:sz w:val="18"/>
                <w:szCs w:val="18"/>
                <w:u w:val="none"/>
              </w:rPr>
            </w:pPr>
          </w:p>
        </w:tc>
      </w:tr>
      <w:tr w14:paraId="41634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973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4C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4A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B1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AC8A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1C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8F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19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25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E946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EB3F2">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D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C1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4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C471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9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57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ABFD">
            <w:pPr>
              <w:jc w:val="center"/>
              <w:rPr>
                <w:rFonts w:hint="eastAsia" w:ascii="宋体" w:hAnsi="宋体" w:eastAsia="宋体" w:cs="宋体"/>
                <w:i w:val="0"/>
                <w:iCs w:val="0"/>
                <w:color w:val="000000"/>
                <w:sz w:val="18"/>
                <w:szCs w:val="18"/>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DA8F9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878E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D17DD">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33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E5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F5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F27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53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43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86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3796A">
            <w:pPr>
              <w:rPr>
                <w:rFonts w:hint="eastAsia" w:ascii="黑体" w:hAnsi="黑体" w:eastAsia="黑体" w:cs="黑体"/>
                <w:i/>
                <w:iCs/>
                <w:color w:val="000000"/>
                <w:sz w:val="18"/>
                <w:szCs w:val="18"/>
                <w:u w:val="none"/>
              </w:rPr>
            </w:pPr>
          </w:p>
        </w:tc>
      </w:tr>
      <w:tr w14:paraId="3483B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F2826">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71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ED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99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A1E5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36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1B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46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2CB2D">
            <w:pPr>
              <w:rPr>
                <w:rFonts w:hint="eastAsia" w:ascii="黑体" w:hAnsi="黑体" w:eastAsia="黑体" w:cs="黑体"/>
                <w:i/>
                <w:iCs/>
                <w:color w:val="000000"/>
                <w:sz w:val="18"/>
                <w:szCs w:val="18"/>
                <w:u w:val="none"/>
              </w:rPr>
            </w:pPr>
          </w:p>
        </w:tc>
      </w:tr>
      <w:tr w14:paraId="5EF78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F6069">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4D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9C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5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C023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B4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D0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DA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FF5BE">
            <w:pPr>
              <w:rPr>
                <w:rFonts w:hint="eastAsia" w:ascii="黑体" w:hAnsi="黑体" w:eastAsia="黑体" w:cs="黑体"/>
                <w:i/>
                <w:iCs/>
                <w:color w:val="000000"/>
                <w:sz w:val="18"/>
                <w:szCs w:val="18"/>
                <w:u w:val="none"/>
              </w:rPr>
            </w:pPr>
          </w:p>
        </w:tc>
      </w:tr>
      <w:tr w14:paraId="6DE61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CEC0D">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09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2FB4">
            <w:pPr>
              <w:jc w:val="center"/>
              <w:rPr>
                <w:rFonts w:hint="eastAsia" w:ascii="微软雅黑" w:hAnsi="微软雅黑" w:eastAsia="微软雅黑" w:cs="微软雅黑"/>
                <w:i/>
                <w:iCs/>
                <w:color w:val="000000"/>
                <w:sz w:val="16"/>
                <w:szCs w:val="16"/>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96C9">
            <w:pPr>
              <w:jc w:val="center"/>
              <w:rPr>
                <w:rFonts w:hint="eastAsia" w:ascii="微软雅黑" w:hAnsi="微软雅黑" w:eastAsia="微软雅黑" w:cs="微软雅黑"/>
                <w:i/>
                <w:iCs/>
                <w:color w:val="000000"/>
                <w:sz w:val="16"/>
                <w:szCs w:val="16"/>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3A87A6">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A11E">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88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F3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BB6B6">
            <w:pPr>
              <w:rPr>
                <w:rFonts w:hint="eastAsia" w:ascii="黑体" w:hAnsi="黑体" w:eastAsia="黑体" w:cs="黑体"/>
                <w:i/>
                <w:iCs/>
                <w:color w:val="000000"/>
                <w:sz w:val="18"/>
                <w:szCs w:val="18"/>
                <w:u w:val="none"/>
              </w:rPr>
            </w:pPr>
          </w:p>
        </w:tc>
      </w:tr>
      <w:tr w14:paraId="3C5AF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5FE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B8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64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9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4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1E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C1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3C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8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59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EC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9615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2101A">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D85F">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B89B">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00D0">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8710">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3603">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81AE">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A249">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8B82">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61F9">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C9A8">
            <w:pPr>
              <w:jc w:val="center"/>
              <w:rPr>
                <w:rFonts w:hint="eastAsia" w:ascii="微软雅黑" w:hAnsi="微软雅黑" w:eastAsia="微软雅黑" w:cs="微软雅黑"/>
                <w:i/>
                <w:iCs/>
                <w:color w:val="000000"/>
                <w:sz w:val="16"/>
                <w:szCs w:val="16"/>
                <w:u w:val="none"/>
              </w:rPr>
            </w:pPr>
          </w:p>
        </w:tc>
      </w:tr>
      <w:tr w14:paraId="02D2D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0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D07F2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43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2959">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9E03">
            <w:pPr>
              <w:rPr>
                <w:rFonts w:hint="eastAsia" w:ascii="宋体" w:hAnsi="宋体" w:eastAsia="宋体" w:cs="宋体"/>
                <w:i w:val="0"/>
                <w:iCs w:val="0"/>
                <w:color w:val="000000"/>
                <w:sz w:val="18"/>
                <w:szCs w:val="18"/>
                <w:u w:val="none"/>
              </w:rPr>
            </w:pPr>
          </w:p>
        </w:tc>
      </w:tr>
      <w:tr w14:paraId="2E4D4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7B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38C844">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夯实了机关政法基础，整体提升司法系统能力素质。</w:t>
            </w:r>
          </w:p>
        </w:tc>
      </w:tr>
      <w:tr w14:paraId="65985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6F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A66B908">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14:paraId="2B525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53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9572766">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14:paraId="21FD5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44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0C41C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74401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0782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76" w:type="dxa"/>
            <w:tcBorders>
              <w:top w:val="nil"/>
              <w:left w:val="nil"/>
              <w:bottom w:val="nil"/>
              <w:right w:val="nil"/>
            </w:tcBorders>
            <w:shd w:val="clear" w:color="auto" w:fill="auto"/>
            <w:vAlign w:val="center"/>
          </w:tcPr>
          <w:p w14:paraId="345EFFA0">
            <w:pPr>
              <w:rPr>
                <w:rFonts w:hint="eastAsia" w:ascii="宋体" w:hAnsi="宋体" w:eastAsia="宋体" w:cs="宋体"/>
                <w:i w:val="0"/>
                <w:iCs w:val="0"/>
                <w:color w:val="000000"/>
                <w:sz w:val="18"/>
                <w:szCs w:val="18"/>
                <w:u w:val="none"/>
              </w:rPr>
            </w:pPr>
          </w:p>
        </w:tc>
        <w:tc>
          <w:tcPr>
            <w:tcW w:w="1052" w:type="dxa"/>
            <w:tcBorders>
              <w:top w:val="nil"/>
              <w:left w:val="nil"/>
              <w:bottom w:val="nil"/>
              <w:right w:val="nil"/>
            </w:tcBorders>
            <w:shd w:val="clear" w:color="auto" w:fill="auto"/>
            <w:vAlign w:val="center"/>
          </w:tcPr>
          <w:p w14:paraId="550C9B20">
            <w:pPr>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auto"/>
            <w:vAlign w:val="center"/>
          </w:tcPr>
          <w:p w14:paraId="51E30714">
            <w:pPr>
              <w:rPr>
                <w:rFonts w:hint="eastAsia" w:ascii="宋体" w:hAnsi="宋体" w:eastAsia="宋体" w:cs="宋体"/>
                <w:i w:val="0"/>
                <w:iCs w:val="0"/>
                <w:color w:val="000000"/>
                <w:sz w:val="18"/>
                <w:szCs w:val="18"/>
                <w:u w:val="none"/>
              </w:rPr>
            </w:pPr>
          </w:p>
        </w:tc>
        <w:tc>
          <w:tcPr>
            <w:tcW w:w="1408" w:type="dxa"/>
            <w:tcBorders>
              <w:top w:val="nil"/>
              <w:left w:val="nil"/>
              <w:bottom w:val="nil"/>
              <w:right w:val="nil"/>
            </w:tcBorders>
            <w:shd w:val="clear" w:color="auto" w:fill="auto"/>
            <w:vAlign w:val="center"/>
          </w:tcPr>
          <w:p w14:paraId="3F24F7AE">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6782B3C1">
            <w:pPr>
              <w:rPr>
                <w:rFonts w:hint="eastAsia" w:ascii="宋体" w:hAnsi="宋体" w:eastAsia="宋体" w:cs="宋体"/>
                <w:i w:val="0"/>
                <w:iCs w:val="0"/>
                <w:color w:val="000000"/>
                <w:sz w:val="18"/>
                <w:szCs w:val="18"/>
                <w:u w:val="none"/>
              </w:rPr>
            </w:pPr>
          </w:p>
        </w:tc>
        <w:tc>
          <w:tcPr>
            <w:tcW w:w="967" w:type="dxa"/>
            <w:tcBorders>
              <w:top w:val="nil"/>
              <w:left w:val="nil"/>
              <w:bottom w:val="nil"/>
              <w:right w:val="nil"/>
            </w:tcBorders>
            <w:shd w:val="clear" w:color="auto" w:fill="auto"/>
            <w:vAlign w:val="center"/>
          </w:tcPr>
          <w:p w14:paraId="0A375B54">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14:paraId="3F602A97">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26107EF0">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3635A662">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126CB7F6">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14:paraId="7B3C1426">
            <w:pPr>
              <w:rPr>
                <w:rFonts w:hint="eastAsia" w:ascii="宋体" w:hAnsi="宋体" w:eastAsia="宋体" w:cs="宋体"/>
                <w:i w:val="0"/>
                <w:iCs w:val="0"/>
                <w:color w:val="000000"/>
                <w:sz w:val="18"/>
                <w:szCs w:val="18"/>
                <w:u w:val="none"/>
              </w:rPr>
            </w:pPr>
          </w:p>
        </w:tc>
      </w:tr>
      <w:tr w14:paraId="173C8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9" w:hRule="atLeast"/>
        </w:trPr>
        <w:tc>
          <w:tcPr>
            <w:tcW w:w="9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2DDFA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0C82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5CA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FF3EB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51330023T000008706831-远程探监系统</w:t>
            </w:r>
          </w:p>
        </w:tc>
      </w:tr>
      <w:tr w14:paraId="57005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D0F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C0B1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甘孜州司法局部门</w:t>
            </w:r>
          </w:p>
        </w:tc>
        <w:tc>
          <w:tcPr>
            <w:tcW w:w="846" w:type="dxa"/>
            <w:tcBorders>
              <w:top w:val="nil"/>
              <w:left w:val="nil"/>
              <w:bottom w:val="nil"/>
              <w:right w:val="nil"/>
            </w:tcBorders>
            <w:shd w:val="clear" w:color="auto" w:fill="auto"/>
            <w:vAlign w:val="center"/>
          </w:tcPr>
          <w:p w14:paraId="59A27E1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702F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州司法局机关</w:t>
            </w:r>
          </w:p>
        </w:tc>
      </w:tr>
      <w:tr w14:paraId="46121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CB7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736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6529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EAD65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5A9A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1CC77">
            <w:pP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8DEA4">
            <w:pPr>
              <w:rPr>
                <w:rFonts w:hint="eastAsia" w:ascii="宋体" w:hAnsi="宋体" w:eastAsia="宋体" w:cs="宋体"/>
                <w:i w:val="0"/>
                <w:iCs w:val="0"/>
                <w:color w:val="000000"/>
                <w:sz w:val="18"/>
                <w:szCs w:val="18"/>
                <w:u w:val="none"/>
              </w:rPr>
            </w:pP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7DB8FA">
            <w:pPr>
              <w:rPr>
                <w:rFonts w:hint="eastAsia" w:ascii="宋体" w:hAnsi="宋体" w:eastAsia="宋体" w:cs="宋体"/>
                <w:i w:val="0"/>
                <w:iCs w:val="0"/>
                <w:color w:val="000000"/>
                <w:sz w:val="18"/>
                <w:szCs w:val="18"/>
                <w:u w:val="none"/>
              </w:rPr>
            </w:pP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B4563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0954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ED7AC">
            <w:pP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7B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04732D1">
            <w:pPr>
              <w:rPr>
                <w:rFonts w:hint="eastAsia" w:ascii="宋体" w:hAnsi="宋体" w:eastAsia="宋体" w:cs="宋体"/>
                <w:i w:val="0"/>
                <w:iCs w:val="0"/>
                <w:color w:val="000000"/>
                <w:sz w:val="18"/>
                <w:szCs w:val="18"/>
                <w:u w:val="none"/>
              </w:rPr>
            </w:pPr>
          </w:p>
        </w:tc>
      </w:tr>
      <w:tr w14:paraId="05052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EDE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2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D8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A6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1E3D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FF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E2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DA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87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C3B7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E4539">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C3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39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A6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B191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D6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15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A3FE">
            <w:pPr>
              <w:jc w:val="center"/>
              <w:rPr>
                <w:rFonts w:hint="eastAsia" w:ascii="宋体" w:hAnsi="宋体" w:eastAsia="宋体" w:cs="宋体"/>
                <w:i w:val="0"/>
                <w:iCs w:val="0"/>
                <w:color w:val="000000"/>
                <w:sz w:val="18"/>
                <w:szCs w:val="18"/>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1957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5FDA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03610">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26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7F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46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1D0A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74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41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84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2104F">
            <w:pPr>
              <w:rPr>
                <w:rFonts w:hint="eastAsia" w:ascii="黑体" w:hAnsi="黑体" w:eastAsia="黑体" w:cs="黑体"/>
                <w:i/>
                <w:iCs/>
                <w:color w:val="000000"/>
                <w:sz w:val="18"/>
                <w:szCs w:val="18"/>
                <w:u w:val="none"/>
              </w:rPr>
            </w:pPr>
          </w:p>
        </w:tc>
      </w:tr>
      <w:tr w14:paraId="5FB6C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6C7D1">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76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A9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4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11D9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FB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EE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3B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CDC35">
            <w:pPr>
              <w:rPr>
                <w:rFonts w:hint="eastAsia" w:ascii="黑体" w:hAnsi="黑体" w:eastAsia="黑体" w:cs="黑体"/>
                <w:i/>
                <w:iCs/>
                <w:color w:val="000000"/>
                <w:sz w:val="18"/>
                <w:szCs w:val="18"/>
                <w:u w:val="none"/>
              </w:rPr>
            </w:pPr>
          </w:p>
        </w:tc>
      </w:tr>
      <w:tr w14:paraId="5F5BF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25614">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C7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E8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5D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51FB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E6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08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11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E87CA">
            <w:pPr>
              <w:rPr>
                <w:rFonts w:hint="eastAsia" w:ascii="黑体" w:hAnsi="黑体" w:eastAsia="黑体" w:cs="黑体"/>
                <w:i/>
                <w:iCs/>
                <w:color w:val="000000"/>
                <w:sz w:val="18"/>
                <w:szCs w:val="18"/>
                <w:u w:val="none"/>
              </w:rPr>
            </w:pPr>
          </w:p>
        </w:tc>
      </w:tr>
      <w:tr w14:paraId="79171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F1920">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FC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04FD">
            <w:pPr>
              <w:jc w:val="center"/>
              <w:rPr>
                <w:rFonts w:hint="eastAsia" w:ascii="微软雅黑" w:hAnsi="微软雅黑" w:eastAsia="微软雅黑" w:cs="微软雅黑"/>
                <w:i/>
                <w:iCs/>
                <w:color w:val="000000"/>
                <w:sz w:val="16"/>
                <w:szCs w:val="16"/>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DD0D">
            <w:pPr>
              <w:jc w:val="center"/>
              <w:rPr>
                <w:rFonts w:hint="eastAsia" w:ascii="微软雅黑" w:hAnsi="微软雅黑" w:eastAsia="微软雅黑" w:cs="微软雅黑"/>
                <w:i/>
                <w:iCs/>
                <w:color w:val="000000"/>
                <w:sz w:val="16"/>
                <w:szCs w:val="16"/>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2A3131">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FDC3">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90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A2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E336E">
            <w:pPr>
              <w:rPr>
                <w:rFonts w:hint="eastAsia" w:ascii="黑体" w:hAnsi="黑体" w:eastAsia="黑体" w:cs="黑体"/>
                <w:i/>
                <w:iCs/>
                <w:color w:val="000000"/>
                <w:sz w:val="18"/>
                <w:szCs w:val="18"/>
                <w:u w:val="none"/>
              </w:rPr>
            </w:pPr>
          </w:p>
        </w:tc>
      </w:tr>
      <w:tr w14:paraId="12CDB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CEF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BD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10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E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AA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D8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C0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8C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36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BC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77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6138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C8D7D">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3903">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CB48">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02AB">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4647">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7458">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BBB6">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5223">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DECF">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E217">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39BF">
            <w:pPr>
              <w:jc w:val="center"/>
              <w:rPr>
                <w:rFonts w:hint="eastAsia" w:ascii="微软雅黑" w:hAnsi="微软雅黑" w:eastAsia="微软雅黑" w:cs="微软雅黑"/>
                <w:i/>
                <w:iCs/>
                <w:color w:val="000000"/>
                <w:sz w:val="16"/>
                <w:szCs w:val="16"/>
                <w:u w:val="none"/>
              </w:rPr>
            </w:pPr>
          </w:p>
        </w:tc>
      </w:tr>
      <w:tr w14:paraId="31442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989D0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1F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E0C7">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759C">
            <w:pPr>
              <w:rPr>
                <w:rFonts w:hint="eastAsia" w:ascii="宋体" w:hAnsi="宋体" w:eastAsia="宋体" w:cs="宋体"/>
                <w:i w:val="0"/>
                <w:iCs w:val="0"/>
                <w:color w:val="000000"/>
                <w:sz w:val="18"/>
                <w:szCs w:val="18"/>
                <w:u w:val="none"/>
              </w:rPr>
            </w:pPr>
          </w:p>
        </w:tc>
      </w:tr>
      <w:tr w14:paraId="045E9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9D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61EBF2">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kern w:val="0"/>
                <w:sz w:val="16"/>
                <w:szCs w:val="16"/>
                <w:u w:val="none"/>
                <w:lang w:val="en-US" w:eastAsia="zh-CN" w:bidi="ar"/>
              </w:rPr>
              <w:t>上级财政收回相关资金，2023年无项目支出。</w:t>
            </w:r>
          </w:p>
        </w:tc>
      </w:tr>
      <w:tr w14:paraId="561BD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CE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C20B4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2540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0C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C5D5B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91FC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44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D9488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992EC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0FEA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76" w:type="dxa"/>
            <w:tcBorders>
              <w:top w:val="nil"/>
              <w:left w:val="nil"/>
              <w:bottom w:val="nil"/>
              <w:right w:val="nil"/>
            </w:tcBorders>
            <w:shd w:val="clear" w:color="auto" w:fill="auto"/>
            <w:vAlign w:val="center"/>
          </w:tcPr>
          <w:p w14:paraId="0A0149FC">
            <w:pPr>
              <w:rPr>
                <w:rFonts w:hint="eastAsia" w:ascii="宋体" w:hAnsi="宋体" w:eastAsia="宋体" w:cs="宋体"/>
                <w:i w:val="0"/>
                <w:iCs w:val="0"/>
                <w:color w:val="000000"/>
                <w:sz w:val="18"/>
                <w:szCs w:val="18"/>
                <w:u w:val="none"/>
              </w:rPr>
            </w:pPr>
          </w:p>
        </w:tc>
        <w:tc>
          <w:tcPr>
            <w:tcW w:w="1052" w:type="dxa"/>
            <w:tcBorders>
              <w:top w:val="nil"/>
              <w:left w:val="nil"/>
              <w:bottom w:val="nil"/>
              <w:right w:val="nil"/>
            </w:tcBorders>
            <w:shd w:val="clear" w:color="auto" w:fill="auto"/>
            <w:vAlign w:val="center"/>
          </w:tcPr>
          <w:p w14:paraId="606A3321">
            <w:pPr>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auto"/>
            <w:vAlign w:val="center"/>
          </w:tcPr>
          <w:p w14:paraId="2504F7E5">
            <w:pPr>
              <w:rPr>
                <w:rFonts w:hint="eastAsia" w:ascii="宋体" w:hAnsi="宋体" w:eastAsia="宋体" w:cs="宋体"/>
                <w:i w:val="0"/>
                <w:iCs w:val="0"/>
                <w:color w:val="000000"/>
                <w:sz w:val="18"/>
                <w:szCs w:val="18"/>
                <w:u w:val="none"/>
              </w:rPr>
            </w:pPr>
          </w:p>
        </w:tc>
        <w:tc>
          <w:tcPr>
            <w:tcW w:w="1408" w:type="dxa"/>
            <w:tcBorders>
              <w:top w:val="nil"/>
              <w:left w:val="nil"/>
              <w:bottom w:val="nil"/>
              <w:right w:val="nil"/>
            </w:tcBorders>
            <w:shd w:val="clear" w:color="auto" w:fill="auto"/>
            <w:vAlign w:val="center"/>
          </w:tcPr>
          <w:p w14:paraId="5C67643D">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60A61C5E">
            <w:pPr>
              <w:rPr>
                <w:rFonts w:hint="eastAsia" w:ascii="宋体" w:hAnsi="宋体" w:eastAsia="宋体" w:cs="宋体"/>
                <w:i w:val="0"/>
                <w:iCs w:val="0"/>
                <w:color w:val="000000"/>
                <w:sz w:val="18"/>
                <w:szCs w:val="18"/>
                <w:u w:val="none"/>
              </w:rPr>
            </w:pPr>
          </w:p>
        </w:tc>
        <w:tc>
          <w:tcPr>
            <w:tcW w:w="967" w:type="dxa"/>
            <w:tcBorders>
              <w:top w:val="nil"/>
              <w:left w:val="nil"/>
              <w:bottom w:val="nil"/>
              <w:right w:val="nil"/>
            </w:tcBorders>
            <w:shd w:val="clear" w:color="auto" w:fill="auto"/>
            <w:vAlign w:val="center"/>
          </w:tcPr>
          <w:p w14:paraId="12D175FD">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14:paraId="42084CF6">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6AD3C93D">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701E59B0">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214F62E7">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14:paraId="155CCC9D">
            <w:pPr>
              <w:rPr>
                <w:rFonts w:hint="eastAsia" w:ascii="宋体" w:hAnsi="宋体" w:eastAsia="宋体" w:cs="宋体"/>
                <w:i w:val="0"/>
                <w:iCs w:val="0"/>
                <w:color w:val="000000"/>
                <w:sz w:val="18"/>
                <w:szCs w:val="18"/>
                <w:u w:val="none"/>
              </w:rPr>
            </w:pPr>
          </w:p>
        </w:tc>
      </w:tr>
      <w:tr w14:paraId="5F96D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9" w:hRule="atLeast"/>
        </w:trPr>
        <w:tc>
          <w:tcPr>
            <w:tcW w:w="9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C72030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50F9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2E9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93E8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51330023T000009670715-中央和省级政法转移支付资金</w:t>
            </w:r>
          </w:p>
        </w:tc>
      </w:tr>
      <w:tr w14:paraId="2F751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1FD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BC24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甘孜州司法局部门</w:t>
            </w:r>
          </w:p>
        </w:tc>
        <w:tc>
          <w:tcPr>
            <w:tcW w:w="846" w:type="dxa"/>
            <w:tcBorders>
              <w:top w:val="nil"/>
              <w:left w:val="nil"/>
              <w:bottom w:val="nil"/>
              <w:right w:val="nil"/>
            </w:tcBorders>
            <w:shd w:val="clear" w:color="auto" w:fill="auto"/>
            <w:vAlign w:val="center"/>
          </w:tcPr>
          <w:p w14:paraId="41FE703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24AB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州司法局机关</w:t>
            </w:r>
          </w:p>
        </w:tc>
      </w:tr>
      <w:tr w14:paraId="2631F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6DB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6A4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F7C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C6161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EC19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6BE1D">
            <w:pP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8148E">
            <w:pPr>
              <w:rPr>
                <w:rFonts w:hint="eastAsia" w:ascii="宋体" w:hAnsi="宋体" w:eastAsia="宋体" w:cs="宋体"/>
                <w:i w:val="0"/>
                <w:iCs w:val="0"/>
                <w:color w:val="000000"/>
                <w:sz w:val="18"/>
                <w:szCs w:val="18"/>
                <w:u w:val="none"/>
              </w:rPr>
            </w:pP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A92767">
            <w:pPr>
              <w:rPr>
                <w:rFonts w:hint="eastAsia" w:ascii="宋体" w:hAnsi="宋体" w:eastAsia="宋体" w:cs="宋体"/>
                <w:i w:val="0"/>
                <w:iCs w:val="0"/>
                <w:color w:val="000000"/>
                <w:sz w:val="18"/>
                <w:szCs w:val="18"/>
                <w:u w:val="none"/>
              </w:rPr>
            </w:pP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1B1CC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12CE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D68F7">
            <w:pP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A7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0760E81">
            <w:pPr>
              <w:rPr>
                <w:rFonts w:hint="eastAsia" w:ascii="宋体" w:hAnsi="宋体" w:eastAsia="宋体" w:cs="宋体"/>
                <w:i w:val="0"/>
                <w:iCs w:val="0"/>
                <w:color w:val="000000"/>
                <w:sz w:val="18"/>
                <w:szCs w:val="18"/>
                <w:u w:val="none"/>
              </w:rPr>
            </w:pPr>
          </w:p>
        </w:tc>
      </w:tr>
      <w:tr w14:paraId="63CD5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E83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D2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A8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73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D70A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D1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27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E7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8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CB65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13064">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DB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CB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03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98.20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B848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65.25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E8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66.45%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9A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99D8">
            <w:pPr>
              <w:jc w:val="center"/>
              <w:rPr>
                <w:rFonts w:hint="eastAsia" w:ascii="宋体" w:hAnsi="宋体" w:eastAsia="宋体" w:cs="宋体"/>
                <w:i w:val="0"/>
                <w:iCs w:val="0"/>
                <w:color w:val="000000"/>
                <w:sz w:val="18"/>
                <w:szCs w:val="18"/>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5B67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0CDB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60A8E">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26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1F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49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98.20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2F44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65.25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83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66.45%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71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8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11160">
            <w:pPr>
              <w:rPr>
                <w:rFonts w:hint="eastAsia" w:ascii="黑体" w:hAnsi="黑体" w:eastAsia="黑体" w:cs="黑体"/>
                <w:i/>
                <w:iCs/>
                <w:color w:val="000000"/>
                <w:sz w:val="18"/>
                <w:szCs w:val="18"/>
                <w:u w:val="none"/>
              </w:rPr>
            </w:pPr>
          </w:p>
        </w:tc>
      </w:tr>
      <w:tr w14:paraId="1A04B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82D05">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03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47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1F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CDE7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AF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8D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D5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61847">
            <w:pPr>
              <w:rPr>
                <w:rFonts w:hint="eastAsia" w:ascii="黑体" w:hAnsi="黑体" w:eastAsia="黑体" w:cs="黑体"/>
                <w:i/>
                <w:iCs/>
                <w:color w:val="000000"/>
                <w:sz w:val="18"/>
                <w:szCs w:val="18"/>
                <w:u w:val="none"/>
              </w:rPr>
            </w:pPr>
          </w:p>
        </w:tc>
      </w:tr>
      <w:tr w14:paraId="54D56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CC8B0">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7D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75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2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6D1C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E6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B4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00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97AF7">
            <w:pPr>
              <w:rPr>
                <w:rFonts w:hint="eastAsia" w:ascii="黑体" w:hAnsi="黑体" w:eastAsia="黑体" w:cs="黑体"/>
                <w:i/>
                <w:iCs/>
                <w:color w:val="000000"/>
                <w:sz w:val="18"/>
                <w:szCs w:val="18"/>
                <w:u w:val="none"/>
              </w:rPr>
            </w:pPr>
          </w:p>
        </w:tc>
      </w:tr>
      <w:tr w14:paraId="14773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261BF">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7C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652B">
            <w:pPr>
              <w:jc w:val="center"/>
              <w:rPr>
                <w:rFonts w:hint="eastAsia" w:ascii="微软雅黑" w:hAnsi="微软雅黑" w:eastAsia="微软雅黑" w:cs="微软雅黑"/>
                <w:i/>
                <w:iCs/>
                <w:color w:val="000000"/>
                <w:sz w:val="16"/>
                <w:szCs w:val="16"/>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2B5F">
            <w:pPr>
              <w:jc w:val="center"/>
              <w:rPr>
                <w:rFonts w:hint="eastAsia" w:ascii="微软雅黑" w:hAnsi="微软雅黑" w:eastAsia="微软雅黑" w:cs="微软雅黑"/>
                <w:i/>
                <w:iCs/>
                <w:color w:val="000000"/>
                <w:sz w:val="16"/>
                <w:szCs w:val="16"/>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7D5E87">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6210">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C8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E9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AF707">
            <w:pPr>
              <w:rPr>
                <w:rFonts w:hint="eastAsia" w:ascii="黑体" w:hAnsi="黑体" w:eastAsia="黑体" w:cs="黑体"/>
                <w:i/>
                <w:iCs/>
                <w:color w:val="000000"/>
                <w:sz w:val="18"/>
                <w:szCs w:val="18"/>
                <w:u w:val="none"/>
              </w:rPr>
            </w:pPr>
          </w:p>
        </w:tc>
      </w:tr>
      <w:tr w14:paraId="73FA1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578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93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26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93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2E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18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56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3A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A8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72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A0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F9B0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D076B">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4163">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24D1">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2168">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4F15">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FAF0">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0B89">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5B21">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57DA">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9078">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2E81">
            <w:pPr>
              <w:jc w:val="center"/>
              <w:rPr>
                <w:rFonts w:hint="eastAsia" w:ascii="微软雅黑" w:hAnsi="微软雅黑" w:eastAsia="微软雅黑" w:cs="微软雅黑"/>
                <w:i/>
                <w:iCs/>
                <w:color w:val="000000"/>
                <w:sz w:val="16"/>
                <w:szCs w:val="16"/>
                <w:u w:val="none"/>
              </w:rPr>
            </w:pPr>
          </w:p>
        </w:tc>
      </w:tr>
      <w:tr w14:paraId="3ECE4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0AE90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09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65E2">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8BB6">
            <w:pPr>
              <w:rPr>
                <w:rFonts w:hint="eastAsia" w:ascii="宋体" w:hAnsi="宋体" w:eastAsia="宋体" w:cs="宋体"/>
                <w:i w:val="0"/>
                <w:iCs w:val="0"/>
                <w:color w:val="000000"/>
                <w:sz w:val="18"/>
                <w:szCs w:val="18"/>
                <w:u w:val="none"/>
              </w:rPr>
            </w:pPr>
          </w:p>
        </w:tc>
      </w:tr>
      <w:tr w14:paraId="3B8BE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FC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EB8E2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夯实了机关政法基础，整体提升司法系统能力素质。</w:t>
            </w:r>
          </w:p>
        </w:tc>
      </w:tr>
      <w:tr w14:paraId="7EEA6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8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A441A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8CCF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8C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CC2C5A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1A6F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44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77925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5A97A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1A4C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76" w:type="dxa"/>
            <w:tcBorders>
              <w:top w:val="nil"/>
              <w:left w:val="nil"/>
              <w:bottom w:val="nil"/>
              <w:right w:val="nil"/>
            </w:tcBorders>
            <w:shd w:val="clear" w:color="auto" w:fill="auto"/>
            <w:vAlign w:val="center"/>
          </w:tcPr>
          <w:p w14:paraId="171A28F1">
            <w:pPr>
              <w:rPr>
                <w:rFonts w:hint="eastAsia" w:ascii="宋体" w:hAnsi="宋体" w:eastAsia="宋体" w:cs="宋体"/>
                <w:i w:val="0"/>
                <w:iCs w:val="0"/>
                <w:color w:val="000000"/>
                <w:sz w:val="18"/>
                <w:szCs w:val="18"/>
                <w:u w:val="none"/>
              </w:rPr>
            </w:pPr>
          </w:p>
        </w:tc>
        <w:tc>
          <w:tcPr>
            <w:tcW w:w="1052" w:type="dxa"/>
            <w:tcBorders>
              <w:top w:val="nil"/>
              <w:left w:val="nil"/>
              <w:bottom w:val="nil"/>
              <w:right w:val="nil"/>
            </w:tcBorders>
            <w:shd w:val="clear" w:color="auto" w:fill="auto"/>
            <w:vAlign w:val="center"/>
          </w:tcPr>
          <w:p w14:paraId="5B70C078">
            <w:pPr>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auto"/>
            <w:vAlign w:val="center"/>
          </w:tcPr>
          <w:p w14:paraId="1C55AF02">
            <w:pPr>
              <w:rPr>
                <w:rFonts w:hint="eastAsia" w:ascii="宋体" w:hAnsi="宋体" w:eastAsia="宋体" w:cs="宋体"/>
                <w:i w:val="0"/>
                <w:iCs w:val="0"/>
                <w:color w:val="000000"/>
                <w:sz w:val="18"/>
                <w:szCs w:val="18"/>
                <w:u w:val="none"/>
              </w:rPr>
            </w:pPr>
          </w:p>
        </w:tc>
        <w:tc>
          <w:tcPr>
            <w:tcW w:w="1408" w:type="dxa"/>
            <w:tcBorders>
              <w:top w:val="nil"/>
              <w:left w:val="nil"/>
              <w:bottom w:val="nil"/>
              <w:right w:val="nil"/>
            </w:tcBorders>
            <w:shd w:val="clear" w:color="auto" w:fill="auto"/>
            <w:vAlign w:val="center"/>
          </w:tcPr>
          <w:p w14:paraId="019B1E10">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409D284A">
            <w:pPr>
              <w:rPr>
                <w:rFonts w:hint="eastAsia" w:ascii="宋体" w:hAnsi="宋体" w:eastAsia="宋体" w:cs="宋体"/>
                <w:i w:val="0"/>
                <w:iCs w:val="0"/>
                <w:color w:val="000000"/>
                <w:sz w:val="18"/>
                <w:szCs w:val="18"/>
                <w:u w:val="none"/>
              </w:rPr>
            </w:pPr>
          </w:p>
        </w:tc>
        <w:tc>
          <w:tcPr>
            <w:tcW w:w="967" w:type="dxa"/>
            <w:tcBorders>
              <w:top w:val="nil"/>
              <w:left w:val="nil"/>
              <w:bottom w:val="nil"/>
              <w:right w:val="nil"/>
            </w:tcBorders>
            <w:shd w:val="clear" w:color="auto" w:fill="auto"/>
            <w:vAlign w:val="center"/>
          </w:tcPr>
          <w:p w14:paraId="6D801BC5">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14:paraId="1B8879EC">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41B7D7DC">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74740B19">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48BF1CD8">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14:paraId="0810EC80">
            <w:pPr>
              <w:rPr>
                <w:rFonts w:hint="eastAsia" w:ascii="宋体" w:hAnsi="宋体" w:eastAsia="宋体" w:cs="宋体"/>
                <w:i w:val="0"/>
                <w:iCs w:val="0"/>
                <w:color w:val="000000"/>
                <w:sz w:val="18"/>
                <w:szCs w:val="18"/>
                <w:u w:val="none"/>
              </w:rPr>
            </w:pPr>
          </w:p>
        </w:tc>
      </w:tr>
      <w:tr w14:paraId="29B57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9" w:hRule="atLeast"/>
        </w:trPr>
        <w:tc>
          <w:tcPr>
            <w:tcW w:w="9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05E238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C41A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99F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B87AC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51330024T000010936649-2023年州级部门学历提升奖金资金</w:t>
            </w:r>
          </w:p>
        </w:tc>
      </w:tr>
      <w:tr w14:paraId="37D76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319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7BD0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甘孜州司法局部门</w:t>
            </w:r>
          </w:p>
        </w:tc>
        <w:tc>
          <w:tcPr>
            <w:tcW w:w="846" w:type="dxa"/>
            <w:tcBorders>
              <w:top w:val="nil"/>
              <w:left w:val="nil"/>
              <w:bottom w:val="nil"/>
              <w:right w:val="nil"/>
            </w:tcBorders>
            <w:shd w:val="clear" w:color="auto" w:fill="auto"/>
            <w:vAlign w:val="center"/>
          </w:tcPr>
          <w:p w14:paraId="34A7BB3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CD6F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州司法局机关</w:t>
            </w:r>
          </w:p>
        </w:tc>
      </w:tr>
      <w:tr w14:paraId="43CB0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3B7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7603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48DF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7E434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9267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8CD63">
            <w:pP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115A7">
            <w:pPr>
              <w:rPr>
                <w:rFonts w:hint="eastAsia" w:ascii="宋体" w:hAnsi="宋体" w:eastAsia="宋体" w:cs="宋体"/>
                <w:i w:val="0"/>
                <w:iCs w:val="0"/>
                <w:color w:val="000000"/>
                <w:sz w:val="18"/>
                <w:szCs w:val="18"/>
                <w:u w:val="none"/>
              </w:rPr>
            </w:pP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63753F">
            <w:pPr>
              <w:rPr>
                <w:rFonts w:hint="eastAsia" w:ascii="宋体" w:hAnsi="宋体" w:eastAsia="宋体" w:cs="宋体"/>
                <w:i w:val="0"/>
                <w:iCs w:val="0"/>
                <w:color w:val="000000"/>
                <w:sz w:val="18"/>
                <w:szCs w:val="18"/>
                <w:u w:val="none"/>
              </w:rPr>
            </w:pP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DF33D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7DA8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36738">
            <w:pP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84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EA2C556">
            <w:pPr>
              <w:rPr>
                <w:rFonts w:hint="eastAsia" w:ascii="宋体" w:hAnsi="宋体" w:eastAsia="宋体" w:cs="宋体"/>
                <w:i w:val="0"/>
                <w:iCs w:val="0"/>
                <w:color w:val="000000"/>
                <w:sz w:val="18"/>
                <w:szCs w:val="18"/>
                <w:u w:val="none"/>
              </w:rPr>
            </w:pPr>
          </w:p>
        </w:tc>
      </w:tr>
      <w:tr w14:paraId="1CB41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78A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4D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33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1D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F583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39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18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0B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F3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7AFD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2685E">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C3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B3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EB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86F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7F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8B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055B">
            <w:pPr>
              <w:jc w:val="center"/>
              <w:rPr>
                <w:rFonts w:hint="eastAsia" w:ascii="宋体" w:hAnsi="宋体" w:eastAsia="宋体" w:cs="宋体"/>
                <w:i w:val="0"/>
                <w:iCs w:val="0"/>
                <w:color w:val="000000"/>
                <w:sz w:val="18"/>
                <w:szCs w:val="18"/>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6064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C15D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479C2">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83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18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4B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CB08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09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7C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86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D2130">
            <w:pPr>
              <w:rPr>
                <w:rFonts w:hint="eastAsia" w:ascii="黑体" w:hAnsi="黑体" w:eastAsia="黑体" w:cs="黑体"/>
                <w:i/>
                <w:iCs/>
                <w:color w:val="000000"/>
                <w:sz w:val="18"/>
                <w:szCs w:val="18"/>
                <w:u w:val="none"/>
              </w:rPr>
            </w:pPr>
          </w:p>
        </w:tc>
      </w:tr>
      <w:tr w14:paraId="323ED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5D9B4">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86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E3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15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E726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6B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C1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4B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BCB39">
            <w:pPr>
              <w:rPr>
                <w:rFonts w:hint="eastAsia" w:ascii="黑体" w:hAnsi="黑体" w:eastAsia="黑体" w:cs="黑体"/>
                <w:i/>
                <w:iCs/>
                <w:color w:val="000000"/>
                <w:sz w:val="18"/>
                <w:szCs w:val="18"/>
                <w:u w:val="none"/>
              </w:rPr>
            </w:pPr>
          </w:p>
        </w:tc>
      </w:tr>
      <w:tr w14:paraId="05DB3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67E33">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F4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FA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B9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0517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E9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5B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30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8F121">
            <w:pPr>
              <w:rPr>
                <w:rFonts w:hint="eastAsia" w:ascii="黑体" w:hAnsi="黑体" w:eastAsia="黑体" w:cs="黑体"/>
                <w:i/>
                <w:iCs/>
                <w:color w:val="000000"/>
                <w:sz w:val="18"/>
                <w:szCs w:val="18"/>
                <w:u w:val="none"/>
              </w:rPr>
            </w:pPr>
          </w:p>
        </w:tc>
      </w:tr>
      <w:tr w14:paraId="206D8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52B79">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1F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3D1D">
            <w:pPr>
              <w:jc w:val="center"/>
              <w:rPr>
                <w:rFonts w:hint="eastAsia" w:ascii="微软雅黑" w:hAnsi="微软雅黑" w:eastAsia="微软雅黑" w:cs="微软雅黑"/>
                <w:i/>
                <w:iCs/>
                <w:color w:val="000000"/>
                <w:sz w:val="16"/>
                <w:szCs w:val="16"/>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710A">
            <w:pPr>
              <w:jc w:val="center"/>
              <w:rPr>
                <w:rFonts w:hint="eastAsia" w:ascii="微软雅黑" w:hAnsi="微软雅黑" w:eastAsia="微软雅黑" w:cs="微软雅黑"/>
                <w:i/>
                <w:iCs/>
                <w:color w:val="000000"/>
                <w:sz w:val="16"/>
                <w:szCs w:val="16"/>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5195B7">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C81E">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9B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0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FA039">
            <w:pPr>
              <w:rPr>
                <w:rFonts w:hint="eastAsia" w:ascii="黑体" w:hAnsi="黑体" w:eastAsia="黑体" w:cs="黑体"/>
                <w:i/>
                <w:iCs/>
                <w:color w:val="000000"/>
                <w:sz w:val="18"/>
                <w:szCs w:val="18"/>
                <w:u w:val="none"/>
              </w:rPr>
            </w:pPr>
          </w:p>
        </w:tc>
      </w:tr>
      <w:tr w14:paraId="1DC4A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13E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64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4B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D2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CC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14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80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90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64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3C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49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FB0B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65876">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BAE6">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A089">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5204">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7F42">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B9D1">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D92C">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7418">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F40C">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380E">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F4A2">
            <w:pPr>
              <w:jc w:val="center"/>
              <w:rPr>
                <w:rFonts w:hint="eastAsia" w:ascii="微软雅黑" w:hAnsi="微软雅黑" w:eastAsia="微软雅黑" w:cs="微软雅黑"/>
                <w:i/>
                <w:iCs/>
                <w:color w:val="000000"/>
                <w:sz w:val="16"/>
                <w:szCs w:val="16"/>
                <w:u w:val="none"/>
              </w:rPr>
            </w:pPr>
          </w:p>
        </w:tc>
      </w:tr>
      <w:tr w14:paraId="04BAD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01547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2E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C4C1">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EB77">
            <w:pPr>
              <w:rPr>
                <w:rFonts w:hint="eastAsia" w:ascii="宋体" w:hAnsi="宋体" w:eastAsia="宋体" w:cs="宋体"/>
                <w:i w:val="0"/>
                <w:iCs w:val="0"/>
                <w:color w:val="000000"/>
                <w:sz w:val="18"/>
                <w:szCs w:val="18"/>
                <w:u w:val="none"/>
              </w:rPr>
            </w:pPr>
          </w:p>
        </w:tc>
      </w:tr>
      <w:tr w14:paraId="7D37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93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7F70466">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zh-TW" w:eastAsia="zh-CN" w:bidi="ar"/>
              </w:rPr>
            </w:pPr>
            <w:r>
              <w:rPr>
                <w:rFonts w:hint="eastAsia" w:ascii="宋体" w:hAnsi="宋体" w:eastAsia="宋体" w:cs="宋体"/>
                <w:i w:val="0"/>
                <w:iCs w:val="0"/>
                <w:color w:val="000000"/>
                <w:kern w:val="0"/>
                <w:sz w:val="18"/>
                <w:szCs w:val="18"/>
                <w:u w:val="none"/>
                <w:lang w:val="en-US" w:eastAsia="zh-CN" w:bidi="ar"/>
              </w:rPr>
              <w:t>为柴自慧同志申报</w:t>
            </w:r>
            <w:r>
              <w:rPr>
                <w:rFonts w:hint="eastAsia" w:ascii="宋体" w:hAnsi="宋体" w:eastAsia="宋体" w:cs="宋体"/>
                <w:i w:val="0"/>
                <w:iCs w:val="0"/>
                <w:color w:val="000000"/>
                <w:kern w:val="0"/>
                <w:sz w:val="18"/>
                <w:szCs w:val="18"/>
                <w:u w:val="none"/>
                <w:lang w:val="zh-TW" w:eastAsia="zh-CN" w:bidi="ar"/>
              </w:rPr>
              <w:t>取得高学历学位奖励资金</w:t>
            </w:r>
            <w:r>
              <w:rPr>
                <w:rFonts w:hint="eastAsia" w:ascii="宋体" w:hAnsi="宋体" w:eastAsia="宋体" w:cs="宋体"/>
                <w:i w:val="0"/>
                <w:iCs w:val="0"/>
                <w:color w:val="000000"/>
                <w:kern w:val="0"/>
                <w:sz w:val="18"/>
                <w:szCs w:val="18"/>
                <w:u w:val="none"/>
                <w:lang w:val="en-US" w:eastAsia="zh-CN" w:bidi="ar"/>
              </w:rPr>
              <w:t>2万元。</w:t>
            </w:r>
          </w:p>
          <w:p w14:paraId="510CF27C">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tc>
      </w:tr>
      <w:tr w14:paraId="4B182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C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02A227">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通过对州级部门在职攻读本科以上学历并取得相应学位的人员申报一次性奖励政策，提升自身素质和能力，同时也有助于提高整个部门的综合素质和业务水平。</w:t>
            </w:r>
          </w:p>
          <w:p w14:paraId="42BF789A">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tc>
      </w:tr>
      <w:tr w14:paraId="46118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75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7F6333">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14:paraId="6317A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44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D22A9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32AF1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F86A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576" w:type="dxa"/>
            <w:tcBorders>
              <w:top w:val="nil"/>
              <w:left w:val="nil"/>
              <w:bottom w:val="nil"/>
              <w:right w:val="nil"/>
            </w:tcBorders>
            <w:shd w:val="clear" w:color="auto" w:fill="auto"/>
            <w:vAlign w:val="center"/>
          </w:tcPr>
          <w:p w14:paraId="235DBC62">
            <w:pPr>
              <w:rPr>
                <w:rFonts w:hint="eastAsia" w:ascii="宋体" w:hAnsi="宋体" w:eastAsia="宋体" w:cs="宋体"/>
                <w:i w:val="0"/>
                <w:iCs w:val="0"/>
                <w:color w:val="000000"/>
                <w:sz w:val="18"/>
                <w:szCs w:val="18"/>
                <w:u w:val="none"/>
              </w:rPr>
            </w:pPr>
          </w:p>
        </w:tc>
        <w:tc>
          <w:tcPr>
            <w:tcW w:w="1052" w:type="dxa"/>
            <w:tcBorders>
              <w:top w:val="nil"/>
              <w:left w:val="nil"/>
              <w:bottom w:val="nil"/>
              <w:right w:val="nil"/>
            </w:tcBorders>
            <w:shd w:val="clear" w:color="auto" w:fill="auto"/>
            <w:vAlign w:val="center"/>
          </w:tcPr>
          <w:p w14:paraId="6E692123">
            <w:pPr>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auto"/>
            <w:vAlign w:val="center"/>
          </w:tcPr>
          <w:p w14:paraId="6F678932">
            <w:pPr>
              <w:rPr>
                <w:rFonts w:hint="eastAsia" w:ascii="宋体" w:hAnsi="宋体" w:eastAsia="宋体" w:cs="宋体"/>
                <w:i w:val="0"/>
                <w:iCs w:val="0"/>
                <w:color w:val="000000"/>
                <w:sz w:val="18"/>
                <w:szCs w:val="18"/>
                <w:u w:val="none"/>
              </w:rPr>
            </w:pPr>
          </w:p>
        </w:tc>
        <w:tc>
          <w:tcPr>
            <w:tcW w:w="1408" w:type="dxa"/>
            <w:tcBorders>
              <w:top w:val="nil"/>
              <w:left w:val="nil"/>
              <w:bottom w:val="nil"/>
              <w:right w:val="nil"/>
            </w:tcBorders>
            <w:shd w:val="clear" w:color="auto" w:fill="auto"/>
            <w:vAlign w:val="center"/>
          </w:tcPr>
          <w:p w14:paraId="5450AE55">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0A5AAC2D">
            <w:pPr>
              <w:rPr>
                <w:rFonts w:hint="eastAsia" w:ascii="宋体" w:hAnsi="宋体" w:eastAsia="宋体" w:cs="宋体"/>
                <w:i w:val="0"/>
                <w:iCs w:val="0"/>
                <w:color w:val="000000"/>
                <w:sz w:val="18"/>
                <w:szCs w:val="18"/>
                <w:u w:val="none"/>
              </w:rPr>
            </w:pPr>
          </w:p>
        </w:tc>
        <w:tc>
          <w:tcPr>
            <w:tcW w:w="967" w:type="dxa"/>
            <w:tcBorders>
              <w:top w:val="nil"/>
              <w:left w:val="nil"/>
              <w:bottom w:val="nil"/>
              <w:right w:val="nil"/>
            </w:tcBorders>
            <w:shd w:val="clear" w:color="auto" w:fill="auto"/>
            <w:vAlign w:val="center"/>
          </w:tcPr>
          <w:p w14:paraId="29A38473">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14:paraId="681A8F86">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3CE3426E">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6421240F">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56D36861">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14:paraId="37853C55">
            <w:pPr>
              <w:rPr>
                <w:rFonts w:hint="eastAsia" w:ascii="宋体" w:hAnsi="宋体" w:eastAsia="宋体" w:cs="宋体"/>
                <w:i w:val="0"/>
                <w:iCs w:val="0"/>
                <w:color w:val="000000"/>
                <w:sz w:val="18"/>
                <w:szCs w:val="18"/>
                <w:u w:val="none"/>
              </w:rPr>
            </w:pPr>
          </w:p>
        </w:tc>
      </w:tr>
      <w:tr w14:paraId="7074A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9" w:hRule="atLeast"/>
        </w:trPr>
        <w:tc>
          <w:tcPr>
            <w:tcW w:w="9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D776D6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2133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940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4EBBF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51330024T000011037612-全覆盖法宣补助</w:t>
            </w:r>
          </w:p>
        </w:tc>
      </w:tr>
      <w:tr w14:paraId="78808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A59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F287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甘孜州司法局部门</w:t>
            </w:r>
          </w:p>
        </w:tc>
        <w:tc>
          <w:tcPr>
            <w:tcW w:w="846" w:type="dxa"/>
            <w:tcBorders>
              <w:top w:val="nil"/>
              <w:left w:val="nil"/>
              <w:bottom w:val="nil"/>
              <w:right w:val="nil"/>
            </w:tcBorders>
            <w:shd w:val="clear" w:color="auto" w:fill="auto"/>
            <w:vAlign w:val="center"/>
          </w:tcPr>
          <w:p w14:paraId="659BF99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68C8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州司法局机关</w:t>
            </w:r>
          </w:p>
        </w:tc>
      </w:tr>
      <w:tr w14:paraId="44BF1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E3E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3A2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609E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42FD1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040F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6D14A">
            <w:pP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4238B">
            <w:pPr>
              <w:rPr>
                <w:rFonts w:hint="eastAsia" w:ascii="宋体" w:hAnsi="宋体" w:eastAsia="宋体" w:cs="宋体"/>
                <w:i w:val="0"/>
                <w:iCs w:val="0"/>
                <w:color w:val="000000"/>
                <w:sz w:val="18"/>
                <w:szCs w:val="18"/>
                <w:u w:val="none"/>
              </w:rPr>
            </w:pPr>
          </w:p>
        </w:tc>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ED43E4">
            <w:pPr>
              <w:rPr>
                <w:rFonts w:hint="eastAsia" w:ascii="宋体" w:hAnsi="宋体" w:eastAsia="宋体" w:cs="宋体"/>
                <w:i w:val="0"/>
                <w:iCs w:val="0"/>
                <w:color w:val="000000"/>
                <w:sz w:val="18"/>
                <w:szCs w:val="18"/>
                <w:u w:val="none"/>
              </w:rPr>
            </w:pP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10AAB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92C1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48E74">
            <w:pP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96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7BEB4AE">
            <w:pPr>
              <w:rPr>
                <w:rFonts w:hint="eastAsia" w:ascii="宋体" w:hAnsi="宋体" w:eastAsia="宋体" w:cs="宋体"/>
                <w:i w:val="0"/>
                <w:iCs w:val="0"/>
                <w:color w:val="000000"/>
                <w:sz w:val="18"/>
                <w:szCs w:val="18"/>
                <w:u w:val="none"/>
              </w:rPr>
            </w:pPr>
          </w:p>
        </w:tc>
      </w:tr>
      <w:tr w14:paraId="5BC0F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820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04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9D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0C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C45B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A9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D1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B6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B2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771F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A1D46">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5E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BF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2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11C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C4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A3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5E56">
            <w:pPr>
              <w:jc w:val="center"/>
              <w:rPr>
                <w:rFonts w:hint="eastAsia" w:ascii="宋体" w:hAnsi="宋体" w:eastAsia="宋体" w:cs="宋体"/>
                <w:i w:val="0"/>
                <w:iCs w:val="0"/>
                <w:color w:val="000000"/>
                <w:sz w:val="18"/>
                <w:szCs w:val="18"/>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BBCB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634F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A75B4">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9E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0E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F3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9FF6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1B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9D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AA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318D4">
            <w:pPr>
              <w:rPr>
                <w:rFonts w:hint="eastAsia" w:ascii="黑体" w:hAnsi="黑体" w:eastAsia="黑体" w:cs="黑体"/>
                <w:i/>
                <w:iCs/>
                <w:color w:val="000000"/>
                <w:sz w:val="18"/>
                <w:szCs w:val="18"/>
                <w:u w:val="none"/>
              </w:rPr>
            </w:pPr>
          </w:p>
        </w:tc>
      </w:tr>
      <w:tr w14:paraId="5EF58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2ACA9">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92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C5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A0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3AA2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CC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D0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AA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A81BF">
            <w:pPr>
              <w:rPr>
                <w:rFonts w:hint="eastAsia" w:ascii="黑体" w:hAnsi="黑体" w:eastAsia="黑体" w:cs="黑体"/>
                <w:i/>
                <w:iCs/>
                <w:color w:val="000000"/>
                <w:sz w:val="18"/>
                <w:szCs w:val="18"/>
                <w:u w:val="none"/>
              </w:rPr>
            </w:pPr>
          </w:p>
        </w:tc>
      </w:tr>
      <w:tr w14:paraId="73DE1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8388C">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9A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CC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9A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7711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8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E9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15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B6897">
            <w:pPr>
              <w:rPr>
                <w:rFonts w:hint="eastAsia" w:ascii="黑体" w:hAnsi="黑体" w:eastAsia="黑体" w:cs="黑体"/>
                <w:i/>
                <w:iCs/>
                <w:color w:val="000000"/>
                <w:sz w:val="18"/>
                <w:szCs w:val="18"/>
                <w:u w:val="none"/>
              </w:rPr>
            </w:pPr>
          </w:p>
        </w:tc>
      </w:tr>
      <w:tr w14:paraId="0F9A8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05554">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48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B02F">
            <w:pPr>
              <w:jc w:val="center"/>
              <w:rPr>
                <w:rFonts w:hint="eastAsia" w:ascii="微软雅黑" w:hAnsi="微软雅黑" w:eastAsia="微软雅黑" w:cs="微软雅黑"/>
                <w:i/>
                <w:iCs/>
                <w:color w:val="000000"/>
                <w:sz w:val="16"/>
                <w:szCs w:val="16"/>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0C9C">
            <w:pPr>
              <w:jc w:val="center"/>
              <w:rPr>
                <w:rFonts w:hint="eastAsia" w:ascii="微软雅黑" w:hAnsi="微软雅黑" w:eastAsia="微软雅黑" w:cs="微软雅黑"/>
                <w:i/>
                <w:iCs/>
                <w:color w:val="000000"/>
                <w:sz w:val="16"/>
                <w:szCs w:val="16"/>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5C3D29">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7EB6">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8C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90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C4F9E">
            <w:pPr>
              <w:rPr>
                <w:rFonts w:hint="eastAsia" w:ascii="黑体" w:hAnsi="黑体" w:eastAsia="黑体" w:cs="黑体"/>
                <w:i/>
                <w:iCs/>
                <w:color w:val="000000"/>
                <w:sz w:val="18"/>
                <w:szCs w:val="18"/>
                <w:u w:val="none"/>
              </w:rPr>
            </w:pPr>
          </w:p>
        </w:tc>
      </w:tr>
      <w:tr w14:paraId="35488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445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8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37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A2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F0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1F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B7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88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0E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B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7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C2CF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38C8A">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782B">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F0ED">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FFDE">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2892">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20F9">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887A">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3E57">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0C50">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9BE8">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52A3">
            <w:pPr>
              <w:jc w:val="center"/>
              <w:rPr>
                <w:rFonts w:hint="eastAsia" w:ascii="微软雅黑" w:hAnsi="微软雅黑" w:eastAsia="微软雅黑" w:cs="微软雅黑"/>
                <w:i/>
                <w:iCs/>
                <w:color w:val="000000"/>
                <w:sz w:val="16"/>
                <w:szCs w:val="16"/>
                <w:u w:val="none"/>
              </w:rPr>
            </w:pPr>
          </w:p>
        </w:tc>
      </w:tr>
      <w:tr w14:paraId="117E5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0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61035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2C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1F00">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6E55">
            <w:pPr>
              <w:rPr>
                <w:rFonts w:hint="eastAsia" w:ascii="宋体" w:hAnsi="宋体" w:eastAsia="宋体" w:cs="宋体"/>
                <w:i w:val="0"/>
                <w:iCs w:val="0"/>
                <w:color w:val="000000"/>
                <w:sz w:val="18"/>
                <w:szCs w:val="18"/>
                <w:u w:val="none"/>
              </w:rPr>
            </w:pPr>
          </w:p>
        </w:tc>
      </w:tr>
      <w:tr w14:paraId="08983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6F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CC986D4">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kern w:val="0"/>
                <w:sz w:val="16"/>
                <w:szCs w:val="16"/>
                <w:u w:val="none"/>
                <w:lang w:val="en-US" w:eastAsia="zh-CN" w:bidi="ar"/>
              </w:rPr>
              <w:t>完成法宣补助相关支出。</w:t>
            </w:r>
          </w:p>
        </w:tc>
      </w:tr>
      <w:tr w14:paraId="2A64C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73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D8B03B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BB00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09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99792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9E73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44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7A010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AA4E4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3726C3B2">
      <w:pPr>
        <w:pStyle w:val="9"/>
        <w:spacing w:before="143" w:line="222" w:lineRule="auto"/>
        <w:jc w:val="both"/>
        <w:rPr>
          <w:b/>
          <w:bCs/>
          <w:spacing w:val="4"/>
          <w:sz w:val="43"/>
          <w:szCs w:val="43"/>
        </w:rPr>
      </w:pPr>
    </w:p>
    <w:bookmarkEnd w:id="121"/>
    <w:bookmarkEnd w:id="122"/>
    <w:bookmarkEnd w:id="123"/>
    <w:p w14:paraId="50107EDD">
      <w:pPr>
        <w:pStyle w:val="9"/>
        <w:rPr>
          <w:rFonts w:hint="eastAsia" w:ascii="黑体" w:hAnsi="黑体" w:eastAsia="黑体" w:cs="黑体"/>
          <w:color w:val="auto"/>
          <w:kern w:val="0"/>
          <w:sz w:val="32"/>
          <w:szCs w:val="32"/>
          <w:highlight w:val="none"/>
          <w:shd w:val="clear" w:color="auto" w:fill="FFFFFF"/>
          <w:lang w:val="zh-CN"/>
        </w:rPr>
      </w:pPr>
    </w:p>
    <w:p w14:paraId="6184637E">
      <w:pPr>
        <w:pStyle w:val="9"/>
        <w:rPr>
          <w:rFonts w:hint="eastAsia" w:ascii="黑体" w:hAnsi="黑体" w:eastAsia="黑体" w:cs="黑体"/>
          <w:color w:val="auto"/>
          <w:kern w:val="0"/>
          <w:sz w:val="32"/>
          <w:szCs w:val="32"/>
          <w:highlight w:val="none"/>
          <w:shd w:val="clear" w:color="auto" w:fill="FFFFFF"/>
          <w:lang w:val="zh-CN"/>
        </w:rPr>
      </w:pPr>
    </w:p>
    <w:p w14:paraId="6160A1C7">
      <w:pPr>
        <w:pStyle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kern w:val="0"/>
          <w:sz w:val="32"/>
          <w:szCs w:val="32"/>
          <w:highlight w:val="none"/>
          <w:shd w:val="clear" w:color="auto" w:fill="FFFFFF"/>
          <w:lang w:val="zh-CN"/>
        </w:rPr>
        <w:t>附件</w:t>
      </w:r>
      <w:r>
        <w:rPr>
          <w:rFonts w:hint="eastAsia" w:ascii="黑体" w:hAnsi="黑体" w:eastAsia="黑体" w:cs="黑体"/>
          <w:color w:val="auto"/>
          <w:kern w:val="0"/>
          <w:sz w:val="32"/>
          <w:szCs w:val="32"/>
          <w:highlight w:val="none"/>
          <w:shd w:val="clear" w:color="auto" w:fill="FFFFFF"/>
          <w:lang w:val="en-US" w:eastAsia="zh-CN"/>
        </w:rPr>
        <w:t>2</w:t>
      </w:r>
    </w:p>
    <w:p w14:paraId="76F0B3A4">
      <w:pPr>
        <w:pStyle w:val="51"/>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专项预算项目绩效评价报告</w:t>
      </w:r>
    </w:p>
    <w:p w14:paraId="76DDB879">
      <w:pPr>
        <w:pStyle w:val="38"/>
        <w:keepNext w:val="0"/>
        <w:keepLines w:val="0"/>
        <w:widowControl w:val="0"/>
        <w:shd w:val="clear" w:color="auto" w:fill="auto"/>
        <w:bidi w:val="0"/>
        <w:spacing w:before="0" w:beforeLines="0" w:after="580" w:afterLines="0" w:line="626" w:lineRule="exact"/>
        <w:ind w:left="0" w:right="0" w:firstLine="0"/>
        <w:jc w:val="center"/>
      </w:pPr>
      <w:r>
        <w:rPr>
          <w:color w:val="000000"/>
          <w:spacing w:val="0"/>
          <w:w w:val="100"/>
          <w:position w:val="0"/>
          <w:sz w:val="32"/>
          <w:szCs w:val="32"/>
        </w:rPr>
        <w:t>（</w:t>
      </w:r>
      <w:r>
        <w:rPr>
          <w:rFonts w:hint="eastAsia"/>
          <w:color w:val="000000"/>
          <w:spacing w:val="0"/>
          <w:w w:val="100"/>
          <w:position w:val="0"/>
          <w:sz w:val="32"/>
          <w:szCs w:val="32"/>
          <w:lang w:eastAsia="zh-CN"/>
        </w:rPr>
        <w:t>基层党组织建设</w:t>
      </w:r>
      <w:r>
        <w:rPr>
          <w:color w:val="000000"/>
          <w:spacing w:val="0"/>
          <w:w w:val="100"/>
          <w:position w:val="0"/>
          <w:sz w:val="32"/>
          <w:szCs w:val="32"/>
        </w:rPr>
        <w:t>项目）</w:t>
      </w:r>
    </w:p>
    <w:p w14:paraId="661FC2D8">
      <w:pPr>
        <w:pStyle w:val="47"/>
        <w:keepNext/>
        <w:keepLines/>
        <w:widowControl w:val="0"/>
        <w:shd w:val="clear" w:color="auto" w:fill="auto"/>
        <w:bidi w:val="0"/>
        <w:spacing w:before="0" w:beforeLines="0" w:after="0" w:afterLines="0" w:line="626" w:lineRule="exact"/>
        <w:ind w:left="0" w:right="0" w:firstLine="620"/>
        <w:jc w:val="both"/>
        <w:rPr>
          <w:rFonts w:hint="eastAsia" w:ascii="黑体" w:hAnsi="黑体" w:eastAsia="黑体" w:cs="黑体"/>
          <w:color w:val="000000"/>
          <w:spacing w:val="0"/>
          <w:w w:val="100"/>
          <w:position w:val="0"/>
        </w:rPr>
      </w:pPr>
      <w:bookmarkStart w:id="124" w:name="bookmark108"/>
      <w:bookmarkStart w:id="125" w:name="bookmark110"/>
      <w:bookmarkStart w:id="126" w:name="bookmark109"/>
      <w:r>
        <w:rPr>
          <w:rFonts w:hint="eastAsia" w:ascii="黑体" w:hAnsi="黑体" w:eastAsia="黑体" w:cs="黑体"/>
          <w:color w:val="000000"/>
          <w:spacing w:val="0"/>
          <w:w w:val="100"/>
          <w:position w:val="0"/>
        </w:rPr>
        <w:t>—、项目概况</w:t>
      </w:r>
      <w:bookmarkEnd w:id="124"/>
      <w:bookmarkEnd w:id="125"/>
      <w:bookmarkEnd w:id="126"/>
    </w:p>
    <w:p w14:paraId="6FE42FA8">
      <w:pPr>
        <w:pStyle w:val="38"/>
        <w:keepNext w:val="0"/>
        <w:keepLines w:val="0"/>
        <w:widowControl w:val="0"/>
        <w:numPr>
          <w:ilvl w:val="0"/>
          <w:numId w:val="0"/>
        </w:numPr>
        <w:shd w:val="clear" w:color="auto" w:fill="auto"/>
        <w:tabs>
          <w:tab w:val="left" w:pos="1626"/>
        </w:tabs>
        <w:bidi w:val="0"/>
        <w:spacing w:before="0" w:beforeLines="0" w:after="0" w:afterLines="0" w:line="626" w:lineRule="exact"/>
        <w:ind w:right="0" w:rightChars="0" w:firstLine="640" w:firstLineChars="200"/>
        <w:jc w:val="both"/>
        <w:rPr>
          <w:rFonts w:hint="eastAsia" w:ascii="华文楷体" w:hAnsi="华文楷体" w:eastAsia="华文楷体" w:cs="华文楷体"/>
          <w:b/>
          <w:bCs/>
          <w:color w:val="000000"/>
          <w:spacing w:val="0"/>
          <w:w w:val="100"/>
          <w:position w:val="0"/>
        </w:rPr>
      </w:pP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紧紧围绕省州十一次党代会和州委“123456”总体工作格局，全面落实新时代党的建设总要求，以党的政治建设为统领，以“不忘初心，牢记使命”主题教育为主线，以提升基层党组织组织力为重点，深入实施基层党建质量提升工程，以党建统揽机关各项工作，切实把党员干部队伍建设成为政治强、业务精、作风优的过硬队伍，把机关党组织建成讲政治、有活力、能战斗的坚强堡垒。</w:t>
      </w:r>
    </w:p>
    <w:p w14:paraId="14CDCDBD">
      <w:pPr>
        <w:pStyle w:val="38"/>
        <w:keepNext w:val="0"/>
        <w:keepLines w:val="0"/>
        <w:widowControl w:val="0"/>
        <w:numPr>
          <w:ilvl w:val="0"/>
          <w:numId w:val="9"/>
        </w:numPr>
        <w:shd w:val="clear" w:color="auto" w:fill="auto"/>
        <w:tabs>
          <w:tab w:val="left" w:pos="1626"/>
        </w:tabs>
        <w:bidi w:val="0"/>
        <w:spacing w:before="0" w:beforeLines="0" w:after="0" w:afterLines="0" w:line="626" w:lineRule="exact"/>
        <w:ind w:left="200" w:leftChars="0" w:right="0" w:firstLine="760" w:firstLineChars="0"/>
        <w:jc w:val="both"/>
        <w:rPr>
          <w:rFonts w:hint="eastAsia" w:ascii="华文楷体" w:hAnsi="华文楷体" w:eastAsia="华文楷体" w:cs="华文楷体"/>
          <w:b/>
          <w:bCs/>
          <w:color w:val="000000"/>
          <w:spacing w:val="0"/>
          <w:w w:val="100"/>
          <w:position w:val="0"/>
        </w:rPr>
      </w:pPr>
      <w:r>
        <w:rPr>
          <w:rFonts w:hint="eastAsia" w:ascii="华文楷体" w:hAnsi="华文楷体" w:eastAsia="华文楷体" w:cs="华文楷体"/>
          <w:b/>
          <w:bCs/>
          <w:color w:val="000000"/>
          <w:spacing w:val="0"/>
          <w:w w:val="100"/>
          <w:position w:val="0"/>
        </w:rPr>
        <w:t>项目资金申报及批复情况。</w:t>
      </w:r>
    </w:p>
    <w:p w14:paraId="34FFE3C8">
      <w:pPr>
        <w:pStyle w:val="38"/>
        <w:keepNext w:val="0"/>
        <w:keepLines w:val="0"/>
        <w:widowControl w:val="0"/>
        <w:numPr>
          <w:ilvl w:val="0"/>
          <w:numId w:val="0"/>
        </w:numPr>
        <w:shd w:val="clear" w:color="auto" w:fill="auto"/>
        <w:tabs>
          <w:tab w:val="left" w:pos="1626"/>
        </w:tabs>
        <w:bidi w:val="0"/>
        <w:spacing w:before="0" w:beforeLines="0" w:after="0" w:afterLines="0" w:line="626" w:lineRule="exact"/>
        <w:ind w:right="0" w:rightChars="0" w:firstLine="640" w:firstLineChars="200"/>
        <w:jc w:val="both"/>
        <w:rPr>
          <w:rFonts w:hint="eastAsia" w:ascii="仿宋" w:hAnsi="仿宋" w:eastAsia="仿宋" w:cs="仿宋"/>
          <w:b w:val="0"/>
          <w:bCs/>
          <w:i w:val="0"/>
          <w:caps w:val="0"/>
          <w:color w:val="000000" w:themeColor="text1"/>
          <w:spacing w:val="0"/>
          <w:w w:val="100"/>
          <w:position w:val="0"/>
          <w:sz w:val="32"/>
          <w:szCs w:val="32"/>
          <w:u w:val="none"/>
          <w:shd w:val="clear" w:color="auto" w:fill="auto"/>
          <w:lang w:val="zh-TW" w:eastAsia="zh-CN"/>
          <w14:textFill>
            <w14:solidFill>
              <w14:schemeClr w14:val="tx1"/>
            </w14:solidFill>
          </w14:textFill>
        </w:rPr>
      </w:pPr>
      <w:r>
        <w:rPr>
          <w:rFonts w:hint="eastAsia" w:ascii="仿宋" w:hAnsi="仿宋" w:eastAsia="仿宋" w:cs="仿宋"/>
          <w:b w:val="0"/>
          <w:bCs/>
          <w:i w:val="0"/>
          <w:caps w:val="0"/>
          <w:color w:val="000000" w:themeColor="text1"/>
          <w:spacing w:val="0"/>
          <w:w w:val="100"/>
          <w:position w:val="0"/>
          <w:sz w:val="32"/>
          <w:szCs w:val="32"/>
          <w:u w:val="none"/>
          <w:shd w:val="clear" w:color="auto" w:fill="auto"/>
          <w:lang w:val="zh-TW" w:eastAsia="zh-CN"/>
          <w14:textFill>
            <w14:solidFill>
              <w14:schemeClr w14:val="tx1"/>
            </w14:solidFill>
          </w14:textFill>
        </w:rPr>
        <w:t>年初申报项目预算资金</w:t>
      </w:r>
      <w:r>
        <w:rPr>
          <w:rFonts w:hint="eastAsia" w:ascii="仿宋" w:hAnsi="仿宋" w:eastAsia="仿宋" w:cs="仿宋"/>
          <w:b w:val="0"/>
          <w:bCs/>
          <w:i w:val="0"/>
          <w:caps w:val="0"/>
          <w:color w:val="000000" w:themeColor="text1"/>
          <w:spacing w:val="0"/>
          <w:w w:val="100"/>
          <w:position w:val="0"/>
          <w:sz w:val="32"/>
          <w:szCs w:val="32"/>
          <w:u w:val="none"/>
          <w:shd w:val="clear" w:color="auto" w:fill="auto"/>
          <w:lang w:val="en-US" w:eastAsia="zh-CN"/>
          <w14:textFill>
            <w14:solidFill>
              <w14:schemeClr w14:val="tx1"/>
            </w14:solidFill>
          </w14:textFill>
        </w:rPr>
        <w:t>20万元，财政批复预算资金20万元。</w:t>
      </w:r>
    </w:p>
    <w:p w14:paraId="1045C93E">
      <w:pPr>
        <w:pStyle w:val="38"/>
        <w:keepNext w:val="0"/>
        <w:keepLines w:val="0"/>
        <w:widowControl w:val="0"/>
        <w:numPr>
          <w:ilvl w:val="0"/>
          <w:numId w:val="9"/>
        </w:numPr>
        <w:shd w:val="clear" w:color="auto" w:fill="auto"/>
        <w:tabs>
          <w:tab w:val="left" w:pos="1626"/>
        </w:tabs>
        <w:bidi w:val="0"/>
        <w:spacing w:before="0" w:beforeLines="0" w:after="0" w:afterLines="0" w:line="626" w:lineRule="exact"/>
        <w:ind w:left="200" w:leftChars="0" w:right="0" w:firstLine="760" w:firstLineChars="0"/>
        <w:jc w:val="both"/>
        <w:rPr>
          <w:rFonts w:hint="eastAsia" w:ascii="华文楷体" w:hAnsi="华文楷体" w:eastAsia="华文楷体" w:cs="华文楷体"/>
          <w:b/>
          <w:bCs/>
          <w:color w:val="000000"/>
          <w:spacing w:val="0"/>
          <w:w w:val="100"/>
          <w:position w:val="0"/>
        </w:rPr>
      </w:pPr>
      <w:r>
        <w:rPr>
          <w:rFonts w:hint="eastAsia" w:ascii="华文楷体" w:hAnsi="华文楷体" w:eastAsia="华文楷体" w:cs="华文楷体"/>
          <w:b/>
          <w:bCs/>
          <w:color w:val="000000"/>
          <w:spacing w:val="0"/>
          <w:w w:val="100"/>
          <w:position w:val="0"/>
        </w:rPr>
        <w:t>项目绩效目标。</w:t>
      </w:r>
    </w:p>
    <w:p w14:paraId="6DD52DDF">
      <w:pPr>
        <w:pStyle w:val="38"/>
        <w:keepNext w:val="0"/>
        <w:keepLines w:val="0"/>
        <w:widowControl w:val="0"/>
        <w:numPr>
          <w:ilvl w:val="0"/>
          <w:numId w:val="0"/>
        </w:numPr>
        <w:shd w:val="clear" w:color="auto" w:fill="auto"/>
        <w:tabs>
          <w:tab w:val="left" w:pos="1626"/>
        </w:tabs>
        <w:bidi w:val="0"/>
        <w:spacing w:before="0" w:beforeLines="0" w:after="0" w:afterLines="0" w:line="626" w:lineRule="exact"/>
        <w:ind w:right="0" w:rightChars="0" w:firstLine="640" w:firstLineChars="200"/>
        <w:jc w:val="both"/>
        <w:rPr>
          <w:rFonts w:hint="eastAsia" w:ascii="仿宋" w:hAnsi="仿宋" w:eastAsia="仿宋" w:cs="仿宋"/>
          <w:b w:val="0"/>
          <w:bCs/>
          <w:i w:val="0"/>
          <w:caps w:val="0"/>
          <w:color w:val="000000" w:themeColor="text1"/>
          <w:spacing w:val="0"/>
          <w:w w:val="100"/>
          <w:position w:val="0"/>
          <w:sz w:val="32"/>
          <w:szCs w:val="32"/>
          <w:u w:val="none"/>
          <w:shd w:val="clear" w:color="auto" w:fill="auto"/>
          <w:lang w:val="zh-TW" w:eastAsia="zh-CN"/>
          <w14:textFill>
            <w14:solidFill>
              <w14:schemeClr w14:val="tx1"/>
            </w14:solidFill>
          </w14:textFill>
        </w:rPr>
      </w:pPr>
      <w:r>
        <w:rPr>
          <w:rFonts w:hint="eastAsia" w:ascii="仿宋" w:hAnsi="仿宋" w:eastAsia="仿宋" w:cs="仿宋"/>
          <w:b w:val="0"/>
          <w:bCs/>
          <w:i w:val="0"/>
          <w:caps w:val="0"/>
          <w:color w:val="000000" w:themeColor="text1"/>
          <w:spacing w:val="0"/>
          <w:w w:val="100"/>
          <w:position w:val="0"/>
          <w:sz w:val="32"/>
          <w:szCs w:val="32"/>
          <w:u w:val="none"/>
          <w:shd w:val="clear" w:color="auto" w:fill="auto"/>
          <w:lang w:val="en-US" w:eastAsia="zh-CN"/>
          <w14:textFill>
            <w14:solidFill>
              <w14:schemeClr w14:val="tx1"/>
            </w14:solidFill>
          </w14:textFill>
        </w:rPr>
        <w:t>1.党务干部培训；2.机关开展党建及群众工作、对口精准扶贫工作；3.党建课程调研。4.开展党史教育、政法队伍教育整顿主题教育活动及庆祝</w:t>
      </w:r>
      <w:r>
        <w:rPr>
          <w:rFonts w:hint="eastAsia" w:ascii="仿宋" w:hAnsi="仿宋" w:eastAsia="仿宋" w:cs="仿宋"/>
          <w:b w:val="0"/>
          <w:bCs/>
          <w:i w:val="0"/>
          <w:caps w:val="0"/>
          <w:color w:val="000000" w:themeColor="text1"/>
          <w:spacing w:val="0"/>
          <w:w w:val="100"/>
          <w:position w:val="0"/>
          <w:sz w:val="32"/>
          <w:szCs w:val="32"/>
          <w:u w:val="none"/>
          <w:shd w:val="clear" w:color="auto" w:fill="auto"/>
          <w:lang w:val="zh-TW" w:eastAsia="zh-CN"/>
          <w14:textFill>
            <w14:solidFill>
              <w14:schemeClr w14:val="tx1"/>
            </w14:solidFill>
          </w14:textFill>
        </w:rPr>
        <w:t>建党100周年—我为群众办实事等系列活动。</w:t>
      </w:r>
    </w:p>
    <w:p w14:paraId="03F8698C">
      <w:pPr>
        <w:pStyle w:val="38"/>
        <w:keepNext w:val="0"/>
        <w:keepLines w:val="0"/>
        <w:widowControl w:val="0"/>
        <w:shd w:val="clear" w:color="auto" w:fill="auto"/>
        <w:tabs>
          <w:tab w:val="left" w:pos="1621"/>
        </w:tabs>
        <w:bidi w:val="0"/>
        <w:spacing w:before="0" w:beforeLines="0" w:after="0" w:afterLines="0" w:line="626" w:lineRule="exact"/>
        <w:ind w:left="0" w:leftChars="0" w:right="0" w:firstLine="600" w:firstLineChars="200"/>
        <w:jc w:val="both"/>
        <w:rPr>
          <w:color w:val="000000"/>
          <w:spacing w:val="0"/>
          <w:w w:val="100"/>
          <w:position w:val="0"/>
        </w:rPr>
      </w:pPr>
      <w:bookmarkStart w:id="127" w:name="bookmark113"/>
      <w:r>
        <w:rPr>
          <w:color w:val="000000"/>
          <w:spacing w:val="0"/>
          <w:w w:val="100"/>
          <w:position w:val="0"/>
        </w:rPr>
        <w:t>（</w:t>
      </w:r>
      <w:bookmarkEnd w:id="127"/>
      <w:r>
        <w:rPr>
          <w:color w:val="000000"/>
          <w:spacing w:val="0"/>
          <w:w w:val="100"/>
          <w:position w:val="0"/>
        </w:rPr>
        <w:t>三）</w:t>
      </w:r>
      <w:r>
        <w:rPr>
          <w:color w:val="000000"/>
          <w:spacing w:val="0"/>
          <w:w w:val="100"/>
          <w:position w:val="0"/>
        </w:rPr>
        <w:tab/>
      </w:r>
      <w:r>
        <w:rPr>
          <w:rFonts w:hint="eastAsia" w:ascii="华文楷体" w:hAnsi="华文楷体" w:eastAsia="华文楷体" w:cs="华文楷体"/>
          <w:b/>
          <w:bCs/>
          <w:color w:val="000000"/>
          <w:spacing w:val="0"/>
          <w:w w:val="100"/>
          <w:position w:val="0"/>
        </w:rPr>
        <w:t>项目资金申报相符性。</w:t>
      </w:r>
    </w:p>
    <w:p w14:paraId="649AC280">
      <w:pPr>
        <w:pStyle w:val="38"/>
        <w:keepNext w:val="0"/>
        <w:keepLines w:val="0"/>
        <w:widowControl w:val="0"/>
        <w:shd w:val="clear" w:color="auto" w:fill="auto"/>
        <w:tabs>
          <w:tab w:val="left" w:pos="1621"/>
        </w:tabs>
        <w:bidi w:val="0"/>
        <w:spacing w:before="0" w:beforeLines="0" w:after="0" w:afterLines="0" w:line="626" w:lineRule="exact"/>
        <w:ind w:left="0" w:leftChars="0" w:right="0" w:firstLine="640" w:firstLineChars="200"/>
        <w:jc w:val="both"/>
        <w:rPr>
          <w:rFonts w:hint="eastAsia"/>
          <w:color w:val="000000"/>
          <w:spacing w:val="0"/>
          <w:w w:val="100"/>
          <w:position w:val="0"/>
          <w:lang w:val="en-US" w:eastAsia="zh-CN"/>
        </w:rPr>
      </w:pPr>
      <w:r>
        <w:rPr>
          <w:rFonts w:hint="eastAsia" w:ascii="仿宋" w:hAnsi="仿宋" w:eastAsia="仿宋" w:cs="仿宋"/>
          <w:b w:val="0"/>
          <w:bCs/>
          <w:i w:val="0"/>
          <w:caps w:val="0"/>
          <w:color w:val="000000" w:themeColor="text1"/>
          <w:spacing w:val="0"/>
          <w:w w:val="100"/>
          <w:position w:val="0"/>
          <w:sz w:val="32"/>
          <w:szCs w:val="32"/>
          <w:u w:val="none"/>
          <w:shd w:val="clear" w:color="auto" w:fill="auto"/>
          <w:lang w:val="en-US" w:eastAsia="zh-CN"/>
          <w14:textFill>
            <w14:solidFill>
              <w14:schemeClr w14:val="tx1"/>
            </w14:solidFill>
          </w14:textFill>
        </w:rPr>
        <w:t>申报开展的党建群众工作，对口精准扶贫工作、主题教育活动等内容与基层党组织建设工作总要求相符合</w:t>
      </w:r>
      <w:r>
        <w:rPr>
          <w:rFonts w:hint="eastAsia"/>
          <w:color w:val="000000"/>
          <w:spacing w:val="0"/>
          <w:w w:val="100"/>
          <w:position w:val="0"/>
          <w:lang w:val="en-US" w:eastAsia="zh-CN"/>
        </w:rPr>
        <w:t>。</w:t>
      </w:r>
      <w:bookmarkStart w:id="128" w:name="bookmark114"/>
      <w:bookmarkStart w:id="129" w:name="bookmark116"/>
      <w:bookmarkStart w:id="130" w:name="bookmark115"/>
      <w:bookmarkStart w:id="131" w:name="bookmark117"/>
    </w:p>
    <w:bookmarkEnd w:id="128"/>
    <w:bookmarkEnd w:id="129"/>
    <w:bookmarkEnd w:id="130"/>
    <w:bookmarkEnd w:id="131"/>
    <w:p w14:paraId="54E46EB1">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黑体" w:eastAsia="黑体" w:cs="黑体"/>
          <w:color w:val="000000"/>
          <w:spacing w:val="0"/>
          <w:w w:val="100"/>
          <w:position w:val="0"/>
        </w:rPr>
      </w:pPr>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p>
    <w:p w14:paraId="46109E03">
      <w:pPr>
        <w:pStyle w:val="38"/>
        <w:keepNext w:val="0"/>
        <w:keepLines w:val="0"/>
        <w:widowControl w:val="0"/>
        <w:shd w:val="clear" w:color="auto" w:fill="auto"/>
        <w:tabs>
          <w:tab w:val="left" w:pos="1621"/>
        </w:tabs>
        <w:bidi w:val="0"/>
        <w:spacing w:before="0" w:beforeLines="0" w:after="0" w:afterLines="0" w:line="626" w:lineRule="exact"/>
        <w:ind w:left="0" w:leftChars="0" w:right="0" w:firstLine="640" w:firstLineChars="200"/>
        <w:jc w:val="both"/>
        <w:rPr>
          <w:rFonts w:hint="eastAsia" w:ascii="仿宋" w:hAnsi="仿宋" w:eastAsia="仿宋" w:cs="仿宋"/>
          <w:b w:val="0"/>
          <w:bCs/>
          <w:i w:val="0"/>
          <w:caps w:val="0"/>
          <w:color w:val="000000" w:themeColor="text1"/>
          <w:spacing w:val="0"/>
          <w:w w:val="100"/>
          <w:position w:val="0"/>
          <w:sz w:val="32"/>
          <w:szCs w:val="32"/>
          <w:u w:val="none"/>
          <w:shd w:val="clear" w:color="auto" w:fill="auto"/>
          <w:lang w:val="en-US" w:eastAsia="zh-CN"/>
          <w14:textFill>
            <w14:solidFill>
              <w14:schemeClr w14:val="tx1"/>
            </w14:solidFill>
          </w14:textFill>
        </w:rPr>
      </w:pPr>
      <w:bookmarkStart w:id="132" w:name="bookmark118"/>
      <w:bookmarkEnd w:id="132"/>
      <w:r>
        <w:rPr>
          <w:rFonts w:hint="eastAsia" w:ascii="仿宋" w:hAnsi="仿宋" w:eastAsia="仿宋" w:cs="仿宋"/>
          <w:b w:val="0"/>
          <w:bCs/>
          <w:i w:val="0"/>
          <w:caps w:val="0"/>
          <w:color w:val="000000" w:themeColor="text1"/>
          <w:spacing w:val="0"/>
          <w:w w:val="100"/>
          <w:position w:val="0"/>
          <w:sz w:val="32"/>
          <w:szCs w:val="32"/>
          <w:u w:val="none"/>
          <w:shd w:val="clear" w:color="auto" w:fill="auto"/>
          <w:lang w:val="en-US" w:eastAsia="zh-CN"/>
          <w14:textFill>
            <w14:solidFill>
              <w14:schemeClr w14:val="tx1"/>
            </w14:solidFill>
          </w14:textFill>
        </w:rPr>
        <w:t>该项目资金预算于2023年3月及时到位（全部为本级财政资金）20万元，资金到位率100%。</w:t>
      </w:r>
      <w:bookmarkStart w:id="133" w:name="bookmark119"/>
      <w:bookmarkEnd w:id="133"/>
      <w:r>
        <w:rPr>
          <w:rFonts w:hint="eastAsia" w:ascii="仿宋" w:hAnsi="仿宋" w:eastAsia="仿宋" w:cs="仿宋"/>
          <w:b w:val="0"/>
          <w:bCs/>
          <w:i w:val="0"/>
          <w:caps w:val="0"/>
          <w:color w:val="000000" w:themeColor="text1"/>
          <w:spacing w:val="0"/>
          <w:w w:val="100"/>
          <w:position w:val="0"/>
          <w:sz w:val="32"/>
          <w:szCs w:val="32"/>
          <w:u w:val="none"/>
          <w:shd w:val="clear" w:color="auto" w:fill="auto"/>
          <w:lang w:val="en-US" w:eastAsia="zh-CN"/>
          <w14:textFill>
            <w14:solidFill>
              <w14:schemeClr w14:val="tx1"/>
            </w14:solidFill>
          </w14:textFill>
        </w:rPr>
        <w:t>截止2023年12月实际支出23.48万元，州级转移支付金额3.48万元，支付依据均合规合法，且按年初预算指标支出，支出占比117.4%。</w:t>
      </w:r>
    </w:p>
    <w:p w14:paraId="4EEA0312">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right="0" w:rightChars="0"/>
        <w:textAlignment w:val="auto"/>
        <w:rPr>
          <w:rFonts w:hint="eastAsia" w:ascii="仿宋" w:hAnsi="仿宋" w:eastAsia="仿宋" w:cs="仿宋"/>
          <w:b w:val="0"/>
          <w:bCs/>
          <w:i w:val="0"/>
          <w:caps w:val="0"/>
          <w:color w:val="000000" w:themeColor="text1"/>
          <w:spacing w:val="0"/>
          <w:w w:val="100"/>
          <w:position w:val="0"/>
          <w:sz w:val="32"/>
          <w:szCs w:val="32"/>
          <w:u w:val="none"/>
          <w:shd w:val="clear" w:color="auto" w:fill="auto"/>
          <w:lang w:val="en-US" w:eastAsia="zh-CN"/>
          <w14:textFill>
            <w14:solidFill>
              <w14:schemeClr w14:val="tx1"/>
            </w14:solidFill>
          </w14:textFill>
        </w:rPr>
      </w:pPr>
      <w:r>
        <w:rPr>
          <w:rFonts w:hint="eastAsia" w:ascii="仿宋" w:hAnsi="仿宋" w:eastAsia="仿宋" w:cs="仿宋"/>
          <w:b w:val="0"/>
          <w:bCs/>
          <w:i w:val="0"/>
          <w:caps w:val="0"/>
          <w:color w:val="000000" w:themeColor="text1"/>
          <w:spacing w:val="0"/>
          <w:w w:val="100"/>
          <w:position w:val="0"/>
          <w:sz w:val="32"/>
          <w:szCs w:val="32"/>
          <w:u w:val="none"/>
          <w:shd w:val="clear" w:color="auto" w:fill="auto"/>
          <w:lang w:val="en-US" w:eastAsia="zh-CN"/>
          <w14:textFill>
            <w14:solidFill>
              <w14:schemeClr w14:val="tx1"/>
            </w14:solidFill>
          </w14:textFill>
        </w:rPr>
        <w:t>按照经费管理制度，加强对单位预算执行管理，完善项目资金使用审批手续，坚持先审批，后使用，确保专项资金专款专用，单设会计科目进行核算，以便准确掌握资金使用及管理情况，规范账务管理。</w:t>
      </w:r>
      <w:bookmarkStart w:id="134" w:name="bookmark124"/>
      <w:bookmarkStart w:id="135" w:name="bookmark122"/>
      <w:bookmarkStart w:id="136" w:name="bookmark123"/>
      <w:bookmarkStart w:id="137" w:name="bookmark125"/>
      <w:r>
        <w:rPr>
          <w:rFonts w:hint="eastAsia" w:ascii="仿宋" w:hAnsi="仿宋" w:eastAsia="仿宋" w:cs="仿宋"/>
          <w:b w:val="0"/>
          <w:bCs/>
          <w:i w:val="0"/>
          <w:caps w:val="0"/>
          <w:color w:val="000000" w:themeColor="text1"/>
          <w:spacing w:val="0"/>
          <w:w w:val="100"/>
          <w:position w:val="0"/>
          <w:sz w:val="32"/>
          <w:szCs w:val="32"/>
          <w:u w:val="none"/>
          <w:shd w:val="clear" w:color="auto" w:fill="auto"/>
          <w:lang w:val="en-US" w:eastAsia="zh-CN"/>
          <w14:textFill>
            <w14:solidFill>
              <w14:schemeClr w14:val="tx1"/>
            </w14:solidFill>
          </w14:textFill>
        </w:rPr>
        <w:t>该项经费主要由单位政治部和党办为主要的实施部门。根据年初工作安排及省、州相关工作要求，并有针对性的开展对口精准扶贫工作、主题教育等相关党建工作，所产生的的经费严格按照经费管理制度使用，本年度未发生招标、政府采购等，主要用于以上相关业务工作产生的经费开支。</w:t>
      </w:r>
    </w:p>
    <w:bookmarkEnd w:id="134"/>
    <w:p w14:paraId="42F527B6">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ab/>
      </w:r>
      <w:bookmarkEnd w:id="135"/>
      <w:bookmarkEnd w:id="136"/>
      <w:bookmarkEnd w:id="137"/>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14:paraId="5DADA43D">
      <w:pPr>
        <w:pStyle w:val="48"/>
        <w:keepNext w:val="0"/>
        <w:keepLines w:val="0"/>
        <w:pageBreakBefore w:val="0"/>
        <w:widowControl w:val="0"/>
        <w:numPr>
          <w:ilvl w:val="0"/>
          <w:numId w:val="0"/>
        </w:numPr>
        <w:kinsoku/>
        <w:wordWrap/>
        <w:overflowPunct/>
        <w:topLinePunct w:val="0"/>
        <w:autoSpaceDE/>
        <w:autoSpaceDN/>
        <w:bidi w:val="0"/>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color w:val="000000" w:themeColor="text1"/>
          <w:spacing w:val="0"/>
          <w:w w:val="100"/>
          <w:kern w:val="0"/>
          <w:position w:val="0"/>
          <w:sz w:val="32"/>
          <w:szCs w:val="32"/>
          <w:u w:val="none"/>
          <w:shd w:val="clear" w:color="auto" w:fill="auto"/>
          <w:lang w:val="en-US" w:eastAsia="zh-CN"/>
          <w14:textFill>
            <w14:solidFill>
              <w14:schemeClr w14:val="tx1"/>
            </w14:solidFill>
          </w14:textFill>
        </w:rPr>
      </w:pPr>
      <w:r>
        <w:rPr>
          <w:rFonts w:hint="eastAsia" w:ascii="仿宋" w:hAnsi="仿宋" w:eastAsia="仿宋" w:cs="仿宋"/>
          <w:b w:val="0"/>
          <w:bCs/>
          <w:i w:val="0"/>
          <w:caps w:val="0"/>
          <w:color w:val="000000" w:themeColor="text1"/>
          <w:spacing w:val="0"/>
          <w:w w:val="100"/>
          <w:kern w:val="0"/>
          <w:position w:val="0"/>
          <w:sz w:val="32"/>
          <w:szCs w:val="32"/>
          <w:u w:val="none"/>
          <w:shd w:val="clear" w:color="auto" w:fill="auto"/>
          <w:lang w:val="en-US" w:eastAsia="zh-CN"/>
          <w14:textFill>
            <w14:solidFill>
              <w14:schemeClr w14:val="tx1"/>
            </w14:solidFill>
          </w14:textFill>
        </w:rPr>
        <w:t xml:space="preserve"> 截止2023年12月已全部完成年初预定任务及省州安排相关工作，全面完成4个专题的党史学习任务，州县两级司法行政机关共开展红色现场沉浸式教学80余场次，抓实为民办事，制定28个重点项目清单，围绕“凝聚奋进力量共庆建党百年”主题，开展“党旗飘扬青春闪光”青年党员培树行动、“巾帼心向党逐梦正当时”主题摄影展暨党史学习交流谈心会、“磨炼意志强党性凝心聚力砥砺前行”主题团队拓展训练等活动，组织召开局党委理论学习中心组（扩大）会议13次。</w:t>
      </w:r>
    </w:p>
    <w:p w14:paraId="5818F5B8">
      <w:pPr>
        <w:pStyle w:val="9"/>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14:paraId="05CA46A5">
      <w:pPr>
        <w:pStyle w:val="38"/>
        <w:keepNext w:val="0"/>
        <w:keepLines w:val="0"/>
        <w:widowControl w:val="0"/>
        <w:shd w:val="clear" w:color="auto" w:fill="auto"/>
        <w:tabs>
          <w:tab w:val="left" w:pos="1598"/>
        </w:tabs>
        <w:bidi w:val="0"/>
        <w:spacing w:before="0" w:beforeLines="0" w:after="0" w:afterLines="0" w:line="630" w:lineRule="exact"/>
        <w:ind w:left="0" w:leftChars="0" w:right="0" w:firstLine="640" w:firstLineChars="200"/>
        <w:jc w:val="left"/>
        <w:rPr>
          <w:rFonts w:hint="default" w:ascii="仿宋" w:hAnsi="仿宋" w:eastAsia="仿宋" w:cs="仿宋"/>
          <w:b w:val="0"/>
          <w:bCs w:val="0"/>
          <w:i w:val="0"/>
          <w:caps w:val="0"/>
          <w:color w:val="000000" w:themeColor="text1"/>
          <w:spacing w:val="0"/>
          <w:w w:val="100"/>
          <w:kern w:val="2"/>
          <w:sz w:val="32"/>
          <w:szCs w:val="32"/>
          <w:u w:val="none"/>
          <w:shd w:val="clear"/>
          <w:lang w:val="en-US" w:eastAsia="zh-CN" w:bidi="ar-SA"/>
          <w14:textFill>
            <w14:solidFill>
              <w14:schemeClr w14:val="tx1"/>
            </w14:solidFill>
          </w14:textFill>
        </w:rPr>
      </w:pPr>
      <w:r>
        <w:rPr>
          <w:rFonts w:hint="eastAsia" w:ascii="仿宋" w:hAnsi="仿宋" w:eastAsia="仿宋" w:cs="仿宋"/>
          <w:b w:val="0"/>
          <w:bCs w:val="0"/>
          <w:i w:val="0"/>
          <w:caps w:val="0"/>
          <w:color w:val="000000" w:themeColor="text1"/>
          <w:spacing w:val="0"/>
          <w:w w:val="100"/>
          <w:kern w:val="2"/>
          <w:sz w:val="32"/>
          <w:szCs w:val="32"/>
          <w:u w:val="none"/>
          <w:shd w:val="clear"/>
          <w:lang w:val="en-US" w:eastAsia="zh-CN" w:bidi="ar-SA"/>
          <w14:textFill>
            <w14:solidFill>
              <w14:schemeClr w14:val="tx1"/>
            </w14:solidFill>
          </w14:textFill>
        </w:rPr>
        <w:t>夯实了机关党建及系统党建工作，整体提升党务干部队伍政治理论水平和能力素质，为下一步开展业务工作等提供坚实的基础。项目自评得分95分，为优秀。</w:t>
      </w:r>
    </w:p>
    <w:p w14:paraId="48A81069">
      <w:pPr>
        <w:pStyle w:val="9"/>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color w:val="000000"/>
          <w:spacing w:val="0"/>
          <w:w w:val="100"/>
          <w:position w:val="0"/>
        </w:rPr>
      </w:pPr>
      <w:r>
        <w:rPr>
          <w:rFonts w:hint="eastAsia" w:ascii="黑体" w:hAnsi="宋体" w:eastAsia="黑体" w:cs="Times New Roman"/>
          <w:color w:val="auto"/>
          <w:sz w:val="32"/>
          <w:szCs w:val="32"/>
          <w:highlight w:val="none"/>
          <w:u w:val="none"/>
          <w:lang w:val="en-US" w:eastAsia="zh-CN"/>
        </w:rPr>
        <w:t>五</w:t>
      </w:r>
      <w:r>
        <w:rPr>
          <w:rFonts w:hint="eastAsia" w:ascii="黑体" w:hAnsi="宋体" w:eastAsia="黑体" w:cs="Times New Roman"/>
          <w:color w:val="auto"/>
          <w:sz w:val="32"/>
          <w:szCs w:val="32"/>
          <w:highlight w:val="none"/>
          <w:u w:val="none"/>
          <w:lang w:eastAsia="zh-CN"/>
        </w:rPr>
        <w:t>、存在主要问题</w:t>
      </w:r>
    </w:p>
    <w:p w14:paraId="16684475">
      <w:pPr>
        <w:pStyle w:val="38"/>
        <w:keepNext w:val="0"/>
        <w:keepLines w:val="0"/>
        <w:widowControl w:val="0"/>
        <w:shd w:val="clear" w:color="auto" w:fill="auto"/>
        <w:tabs>
          <w:tab w:val="left" w:pos="1598"/>
        </w:tabs>
        <w:bidi w:val="0"/>
        <w:spacing w:before="0" w:beforeLines="0" w:after="0" w:afterLines="0" w:line="630" w:lineRule="exact"/>
        <w:ind w:right="0" w:firstLine="928" w:firstLineChars="290"/>
        <w:jc w:val="left"/>
        <w:rPr>
          <w:rFonts w:hint="eastAsia" w:ascii="仿宋" w:hAnsi="仿宋" w:eastAsia="仿宋" w:cs="仿宋"/>
          <w:b w:val="0"/>
          <w:bCs w:val="0"/>
          <w:i w:val="0"/>
          <w:caps w:val="0"/>
          <w:color w:val="000000" w:themeColor="text1"/>
          <w:spacing w:val="0"/>
          <w:w w:val="100"/>
          <w:kern w:val="2"/>
          <w:sz w:val="32"/>
          <w:szCs w:val="32"/>
          <w:u w:val="none"/>
          <w:shd w:val="clear"/>
          <w:lang w:val="en-US" w:eastAsia="zh-CN" w:bidi="ar-SA"/>
          <w14:textFill>
            <w14:solidFill>
              <w14:schemeClr w14:val="tx1"/>
            </w14:solidFill>
          </w14:textFill>
        </w:rPr>
      </w:pPr>
      <w:bookmarkStart w:id="138" w:name="bookmark133"/>
      <w:r>
        <w:rPr>
          <w:rFonts w:hint="eastAsia" w:ascii="仿宋" w:hAnsi="仿宋" w:eastAsia="仿宋" w:cs="仿宋"/>
          <w:b w:val="0"/>
          <w:bCs w:val="0"/>
          <w:i w:val="0"/>
          <w:caps w:val="0"/>
          <w:color w:val="000000" w:themeColor="text1"/>
          <w:spacing w:val="0"/>
          <w:w w:val="100"/>
          <w:kern w:val="2"/>
          <w:sz w:val="32"/>
          <w:szCs w:val="32"/>
          <w:u w:val="none"/>
          <w:shd w:val="clear"/>
          <w:lang w:val="en-US" w:eastAsia="zh-CN" w:bidi="ar-SA"/>
          <w14:textFill>
            <w14:solidFill>
              <w14:schemeClr w14:val="tx1"/>
            </w14:solidFill>
          </w14:textFill>
        </w:rPr>
        <w:t>个别党员任然存在重业务轻党建思想。</w:t>
      </w:r>
    </w:p>
    <w:bookmarkEnd w:id="138"/>
    <w:p w14:paraId="290497FC">
      <w:pPr>
        <w:pStyle w:val="9"/>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14:paraId="57DF199A">
      <w:pPr>
        <w:pStyle w:val="38"/>
        <w:keepNext w:val="0"/>
        <w:keepLines w:val="0"/>
        <w:widowControl w:val="0"/>
        <w:shd w:val="clear" w:color="auto" w:fill="auto"/>
        <w:tabs>
          <w:tab w:val="left" w:pos="1598"/>
        </w:tabs>
        <w:bidi w:val="0"/>
        <w:spacing w:before="0" w:beforeLines="0" w:after="0" w:afterLines="0" w:line="630" w:lineRule="exact"/>
        <w:ind w:left="0" w:leftChars="0" w:right="0" w:firstLine="640" w:firstLineChars="200"/>
        <w:jc w:val="left"/>
        <w:rPr>
          <w:rFonts w:hint="eastAsia" w:ascii="仿宋" w:hAnsi="仿宋" w:eastAsia="仿宋" w:cs="仿宋"/>
          <w:b w:val="0"/>
          <w:bCs w:val="0"/>
          <w:i w:val="0"/>
          <w:caps w:val="0"/>
          <w:color w:val="000000" w:themeColor="text1"/>
          <w:spacing w:val="0"/>
          <w:w w:val="100"/>
          <w:kern w:val="2"/>
          <w:sz w:val="32"/>
          <w:szCs w:val="32"/>
          <w:u w:val="none"/>
          <w:shd w:val="clear"/>
          <w:lang w:val="en-US" w:eastAsia="zh-CN" w:bidi="ar-SA"/>
          <w14:textFill>
            <w14:solidFill>
              <w14:schemeClr w14:val="tx1"/>
            </w14:solidFill>
          </w14:textFill>
        </w:rPr>
      </w:pPr>
      <w:r>
        <w:rPr>
          <w:rFonts w:hint="eastAsia" w:ascii="仿宋" w:hAnsi="仿宋" w:eastAsia="仿宋" w:cs="仿宋"/>
          <w:b w:val="0"/>
          <w:bCs w:val="0"/>
          <w:i w:val="0"/>
          <w:caps w:val="0"/>
          <w:color w:val="000000" w:themeColor="text1"/>
          <w:spacing w:val="0"/>
          <w:w w:val="100"/>
          <w:kern w:val="2"/>
          <w:sz w:val="32"/>
          <w:szCs w:val="32"/>
          <w:u w:val="none"/>
          <w:shd w:val="clear"/>
          <w:lang w:val="en-US" w:eastAsia="zh-CN" w:bidi="ar-SA"/>
          <w14:textFill>
            <w14:solidFill>
              <w14:schemeClr w14:val="tx1"/>
            </w14:solidFill>
          </w14:textFill>
        </w:rPr>
        <w:t>根据绩效评价结果适当增加党建经费，有效增加专项党建活动，有利提升党组织战斗堡垒作用。</w:t>
      </w:r>
    </w:p>
    <w:p w14:paraId="753F45BC">
      <w:pPr>
        <w:pStyle w:val="3"/>
        <w:ind w:left="0" w:leftChars="0" w:firstLine="0" w:firstLineChars="0"/>
      </w:pPr>
    </w:p>
    <w:p w14:paraId="2FA6E9A1">
      <w:pPr>
        <w:pStyle w:val="3"/>
      </w:pPr>
    </w:p>
    <w:p w14:paraId="0F8EE706">
      <w:pPr>
        <w:pStyle w:val="3"/>
      </w:pPr>
    </w:p>
    <w:p w14:paraId="72DC999F">
      <w:pPr>
        <w:pStyle w:val="3"/>
      </w:pPr>
    </w:p>
    <w:p w14:paraId="17F503E4">
      <w:pPr>
        <w:pStyle w:val="3"/>
      </w:pPr>
    </w:p>
    <w:p w14:paraId="07920653">
      <w:pPr>
        <w:pStyle w:val="3"/>
      </w:pPr>
    </w:p>
    <w:p w14:paraId="7B4CFEFF">
      <w:pPr>
        <w:pStyle w:val="3"/>
      </w:pPr>
    </w:p>
    <w:p w14:paraId="11E84ED1">
      <w:pPr>
        <w:pStyle w:val="3"/>
      </w:pPr>
    </w:p>
    <w:p w14:paraId="41E66C22">
      <w:pPr>
        <w:pStyle w:val="3"/>
      </w:pPr>
    </w:p>
    <w:p w14:paraId="19D5B850">
      <w:pPr>
        <w:pStyle w:val="3"/>
      </w:pPr>
    </w:p>
    <w:p w14:paraId="7A222419">
      <w:pPr>
        <w:pStyle w:val="3"/>
      </w:pPr>
    </w:p>
    <w:p w14:paraId="72FB4FE3">
      <w:pPr>
        <w:pStyle w:val="3"/>
      </w:pPr>
    </w:p>
    <w:p w14:paraId="15D7C5D8">
      <w:pPr>
        <w:pStyle w:val="3"/>
      </w:pPr>
    </w:p>
    <w:p w14:paraId="6C62343B">
      <w:pPr>
        <w:pStyle w:val="3"/>
      </w:pPr>
    </w:p>
    <w:p w14:paraId="67C96FBF">
      <w:pPr>
        <w:pStyle w:val="3"/>
      </w:pPr>
    </w:p>
    <w:p w14:paraId="34CEA753">
      <w:pPr>
        <w:pStyle w:val="3"/>
      </w:pPr>
    </w:p>
    <w:p w14:paraId="0D8AF03B">
      <w:pPr>
        <w:pStyle w:val="3"/>
      </w:pPr>
    </w:p>
    <w:p w14:paraId="4F88EE78">
      <w:pPr>
        <w:pStyle w:val="3"/>
      </w:pPr>
    </w:p>
    <w:p w14:paraId="57110E1A">
      <w:pPr>
        <w:pStyle w:val="38"/>
        <w:keepNext w:val="0"/>
        <w:keepLines w:val="0"/>
        <w:widowControl w:val="0"/>
        <w:shd w:val="clear" w:color="auto" w:fill="auto"/>
        <w:bidi w:val="0"/>
        <w:spacing w:before="0" w:beforeLines="0" w:after="580" w:afterLines="0" w:line="626" w:lineRule="exact"/>
        <w:ind w:left="0" w:right="0" w:firstLine="0"/>
        <w:jc w:val="center"/>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专项预算项目绩效评价报告</w:t>
      </w:r>
    </w:p>
    <w:p w14:paraId="0B17502A">
      <w:pPr>
        <w:pStyle w:val="38"/>
        <w:keepNext w:val="0"/>
        <w:keepLines w:val="0"/>
        <w:widowControl w:val="0"/>
        <w:shd w:val="clear" w:color="auto" w:fill="auto"/>
        <w:bidi w:val="0"/>
        <w:spacing w:before="0" w:beforeLines="0" w:after="580" w:afterLines="0" w:line="626" w:lineRule="exact"/>
        <w:ind w:left="0" w:right="0" w:firstLine="0"/>
        <w:jc w:val="center"/>
      </w:pPr>
      <w:r>
        <w:rPr>
          <w:color w:val="000000"/>
          <w:spacing w:val="0"/>
          <w:w w:val="100"/>
          <w:position w:val="0"/>
          <w:sz w:val="32"/>
          <w:szCs w:val="32"/>
        </w:rPr>
        <w:t>（</w:t>
      </w:r>
      <w:r>
        <w:rPr>
          <w:rFonts w:hint="eastAsia"/>
          <w:color w:val="000000"/>
          <w:spacing w:val="0"/>
          <w:w w:val="100"/>
          <w:position w:val="0"/>
          <w:sz w:val="32"/>
          <w:szCs w:val="32"/>
          <w:lang w:val="en-US" w:eastAsia="zh-CN"/>
        </w:rPr>
        <w:t>公共法律服务</w:t>
      </w:r>
      <w:r>
        <w:rPr>
          <w:color w:val="000000"/>
          <w:spacing w:val="0"/>
          <w:w w:val="100"/>
          <w:position w:val="0"/>
          <w:sz w:val="32"/>
          <w:szCs w:val="32"/>
        </w:rPr>
        <w:t>项目）</w:t>
      </w:r>
    </w:p>
    <w:p w14:paraId="6B6ACF92">
      <w:pPr>
        <w:pStyle w:val="47"/>
        <w:keepNext/>
        <w:keepLines/>
        <w:widowControl w:val="0"/>
        <w:shd w:val="clear" w:color="auto" w:fill="auto"/>
        <w:bidi w:val="0"/>
        <w:spacing w:before="0" w:beforeLines="0" w:after="0" w:afterLines="0" w:line="626" w:lineRule="exact"/>
        <w:ind w:left="0" w:right="0" w:firstLine="620"/>
        <w:jc w:val="both"/>
        <w:rPr>
          <w:rFonts w:hint="eastAsia" w:ascii="黑体" w:hAnsi="黑体" w:eastAsia="黑体" w:cs="黑体"/>
          <w:color w:val="000000"/>
          <w:spacing w:val="0"/>
          <w:w w:val="100"/>
          <w:position w:val="0"/>
          <w:highlight w:val="none"/>
        </w:rPr>
      </w:pPr>
      <w:r>
        <w:rPr>
          <w:rFonts w:hint="eastAsia" w:ascii="黑体" w:hAnsi="黑体" w:eastAsia="黑体" w:cs="黑体"/>
          <w:color w:val="000000"/>
          <w:spacing w:val="0"/>
          <w:w w:val="100"/>
          <w:position w:val="0"/>
          <w:highlight w:val="none"/>
        </w:rPr>
        <w:t>—、项目概况</w:t>
      </w:r>
    </w:p>
    <w:p w14:paraId="0B96307B">
      <w:pPr>
        <w:pStyle w:val="47"/>
        <w:keepNext/>
        <w:keepLines/>
        <w:widowControl w:val="0"/>
        <w:shd w:val="clear" w:color="auto" w:fill="auto"/>
        <w:bidi w:val="0"/>
        <w:spacing w:before="0" w:beforeLines="0" w:after="0" w:afterLines="0" w:line="626" w:lineRule="exact"/>
        <w:ind w:left="0" w:right="0" w:firstLine="620"/>
        <w:jc w:val="both"/>
        <w:rPr>
          <w:rFonts w:hint="eastAsia"/>
          <w:color w:val="000000"/>
          <w:spacing w:val="0"/>
          <w:w w:val="100"/>
          <w:position w:val="0"/>
          <w:lang w:val="en-US" w:eastAsia="zh-CN"/>
        </w:rPr>
      </w:pPr>
      <w:r>
        <w:rPr>
          <w:rFonts w:hint="eastAsia" w:ascii="仿宋" w:hAnsi="仿宋" w:eastAsia="仿宋" w:cs="仿宋"/>
          <w:b w:val="0"/>
          <w:i w:val="0"/>
          <w:caps w:val="0"/>
          <w:color w:val="auto"/>
          <w:spacing w:val="0"/>
          <w:w w:val="100"/>
          <w:sz w:val="32"/>
          <w:szCs w:val="32"/>
          <w:highlight w:val="none"/>
          <w:lang w:val="en-US" w:eastAsia="zh-CN"/>
        </w:rPr>
        <w:t xml:space="preserve"> 该项目以</w:t>
      </w:r>
      <w:r>
        <w:rPr>
          <w:rFonts w:hint="eastAsia" w:ascii="仿宋" w:hAnsi="仿宋" w:eastAsia="仿宋" w:cs="仿宋"/>
          <w:b w:val="0"/>
          <w:i w:val="0"/>
          <w:caps w:val="0"/>
          <w:color w:val="auto"/>
          <w:spacing w:val="0"/>
          <w:w w:val="100"/>
          <w:kern w:val="0"/>
          <w:sz w:val="32"/>
          <w:szCs w:val="32"/>
          <w:highlight w:val="none"/>
          <w:lang w:val="en-US" w:eastAsia="zh-CN" w:bidi="ar"/>
        </w:rPr>
        <w:t>习近平新时代中国特色社会主义思想作为首要政治任务，坚定践行习近平法治思想，贯彻落实习近平总书记关于政法队伍建设重要指示批示精神和中央、省委、州委安排部署，</w:t>
      </w:r>
      <w:r>
        <w:rPr>
          <w:rFonts w:hint="eastAsia" w:ascii="仿宋" w:hAnsi="仿宋" w:eastAsia="仿宋" w:cs="仿宋"/>
          <w:b w:val="0"/>
          <w:i w:val="0"/>
          <w:caps w:val="0"/>
          <w:color w:val="auto"/>
          <w:spacing w:val="0"/>
          <w:w w:val="100"/>
          <w:sz w:val="32"/>
          <w:szCs w:val="32"/>
          <w:highlight w:val="none"/>
          <w:lang w:val="en-US" w:eastAsia="zh-CN"/>
        </w:rPr>
        <w:t>从立法、执法、司法、守法各个环节靶向发力，</w:t>
      </w:r>
      <w:r>
        <w:rPr>
          <w:rFonts w:hint="eastAsia" w:ascii="仿宋" w:hAnsi="仿宋" w:eastAsia="仿宋" w:cs="仿宋"/>
          <w:b w:val="0"/>
          <w:i w:val="0"/>
          <w:caps w:val="0"/>
          <w:color w:val="auto"/>
          <w:spacing w:val="0"/>
          <w:w w:val="100"/>
          <w:sz w:val="32"/>
          <w:szCs w:val="32"/>
          <w:highlight w:val="none"/>
          <w:lang w:val="zh-TW" w:eastAsia="zh-CN"/>
        </w:rPr>
        <w:t>以</w:t>
      </w:r>
      <w:r>
        <w:rPr>
          <w:rFonts w:hint="eastAsia" w:ascii="仿宋" w:hAnsi="仿宋" w:eastAsia="仿宋" w:cs="仿宋"/>
          <w:b w:val="0"/>
          <w:i w:val="0"/>
          <w:caps w:val="0"/>
          <w:color w:val="auto"/>
          <w:spacing w:val="0"/>
          <w:w w:val="100"/>
          <w:sz w:val="32"/>
          <w:szCs w:val="32"/>
          <w:highlight w:val="none"/>
          <w:lang w:val="en-US" w:eastAsia="zh-CN"/>
        </w:rPr>
        <w:t>增强法律服务</w:t>
      </w:r>
      <w:r>
        <w:rPr>
          <w:rFonts w:hint="eastAsia" w:ascii="仿宋" w:hAnsi="仿宋" w:eastAsia="仿宋" w:cs="仿宋"/>
          <w:b w:val="0"/>
          <w:i w:val="0"/>
          <w:caps w:val="0"/>
          <w:color w:val="auto"/>
          <w:spacing w:val="0"/>
          <w:w w:val="100"/>
          <w:sz w:val="32"/>
          <w:szCs w:val="32"/>
          <w:highlight w:val="none"/>
          <w:lang w:val="zh-TW" w:eastAsia="zh-CN"/>
        </w:rPr>
        <w:t>建设工作为抓手，</w:t>
      </w:r>
      <w:r>
        <w:rPr>
          <w:rFonts w:hint="eastAsia" w:ascii="仿宋" w:hAnsi="仿宋" w:eastAsia="仿宋" w:cs="仿宋"/>
          <w:b w:val="0"/>
          <w:i w:val="0"/>
          <w:caps w:val="0"/>
          <w:color w:val="auto"/>
          <w:spacing w:val="0"/>
          <w:w w:val="100"/>
          <w:sz w:val="32"/>
          <w:szCs w:val="32"/>
          <w:highlight w:val="none"/>
          <w:lang w:val="en-US" w:eastAsia="zh-CN"/>
        </w:rPr>
        <w:t>提高法律服务质量</w:t>
      </w:r>
      <w:r>
        <w:rPr>
          <w:rFonts w:hint="eastAsia" w:ascii="仿宋" w:hAnsi="仿宋" w:eastAsia="仿宋" w:cs="仿宋"/>
          <w:b w:val="0"/>
          <w:i w:val="0"/>
          <w:caps w:val="0"/>
          <w:color w:val="auto"/>
          <w:spacing w:val="0"/>
          <w:w w:val="100"/>
          <w:sz w:val="32"/>
          <w:szCs w:val="32"/>
          <w:highlight w:val="none"/>
          <w:lang w:val="zh-TW" w:eastAsia="zh-CN"/>
        </w:rPr>
        <w:t>，</w:t>
      </w:r>
      <w:r>
        <w:rPr>
          <w:rFonts w:hint="eastAsia" w:ascii="仿宋" w:hAnsi="仿宋" w:eastAsia="仿宋" w:cs="仿宋"/>
          <w:b w:val="0"/>
          <w:i w:val="0"/>
          <w:caps w:val="0"/>
          <w:color w:val="auto"/>
          <w:spacing w:val="0"/>
          <w:w w:val="100"/>
          <w:sz w:val="32"/>
          <w:szCs w:val="32"/>
          <w:highlight w:val="none"/>
          <w:lang w:val="en-US" w:eastAsia="zh-CN"/>
        </w:rPr>
        <w:t>为建设美丽生态和谐社会主义现代化新甘孜提供坚强法治保障</w:t>
      </w:r>
      <w:r>
        <w:rPr>
          <w:rFonts w:hint="eastAsia" w:ascii="仿宋" w:hAnsi="仿宋" w:eastAsia="仿宋" w:cs="仿宋"/>
          <w:b w:val="0"/>
          <w:i w:val="0"/>
          <w:caps w:val="0"/>
          <w:color w:val="auto"/>
          <w:spacing w:val="0"/>
          <w:w w:val="100"/>
          <w:sz w:val="32"/>
          <w:szCs w:val="32"/>
          <w:highlight w:val="none"/>
          <w:lang w:val="zh-TW" w:eastAsia="zh-CN"/>
        </w:rPr>
        <w:t>。</w:t>
      </w:r>
      <w:r>
        <w:rPr>
          <w:rFonts w:hint="eastAsia" w:ascii="仿宋" w:hAnsi="仿宋" w:eastAsia="仿宋" w:cs="仿宋"/>
          <w:b w:val="0"/>
          <w:bCs/>
          <w:i w:val="0"/>
          <w:caps w:val="0"/>
          <w:color w:val="000000" w:themeColor="text1"/>
          <w:spacing w:val="0"/>
          <w:w w:val="100"/>
          <w:position w:val="0"/>
          <w:sz w:val="32"/>
          <w:szCs w:val="32"/>
          <w:u w:val="none"/>
          <w:shd w:val="clear" w:color="auto" w:fill="auto"/>
          <w:lang w:val="zh-TW" w:eastAsia="zh-CN"/>
          <w14:textFill>
            <w14:solidFill>
              <w14:schemeClr w14:val="tx1"/>
            </w14:solidFill>
          </w14:textFill>
        </w:rPr>
        <w:t>年初申报项目预算资金</w:t>
      </w:r>
      <w:r>
        <w:rPr>
          <w:rFonts w:hint="eastAsia" w:ascii="仿宋" w:hAnsi="仿宋" w:eastAsia="仿宋" w:cs="仿宋"/>
          <w:b w:val="0"/>
          <w:bCs/>
          <w:i w:val="0"/>
          <w:caps w:val="0"/>
          <w:color w:val="000000" w:themeColor="text1"/>
          <w:spacing w:val="0"/>
          <w:w w:val="100"/>
          <w:position w:val="0"/>
          <w:sz w:val="32"/>
          <w:szCs w:val="32"/>
          <w:u w:val="none"/>
          <w:shd w:val="clear" w:color="auto" w:fill="auto"/>
          <w:lang w:val="en-US" w:eastAsia="zh-CN"/>
          <w14:textFill>
            <w14:solidFill>
              <w14:schemeClr w14:val="tx1"/>
            </w14:solidFill>
          </w14:textFill>
        </w:rPr>
        <w:t>56万元，财政批复预算资金56万元。</w:t>
      </w:r>
      <w:r>
        <w:rPr>
          <w:rFonts w:hint="eastAsia" w:ascii="仿宋" w:hAnsi="仿宋" w:eastAsia="仿宋" w:cs="仿宋"/>
          <w:b w:val="0"/>
          <w:i w:val="0"/>
          <w:caps w:val="0"/>
          <w:color w:val="000000" w:themeColor="text1"/>
          <w:spacing w:val="0"/>
          <w:w w:val="100"/>
          <w:kern w:val="0"/>
          <w:sz w:val="32"/>
          <w:szCs w:val="32"/>
          <w:highlight w:val="none"/>
          <w:lang w:val="en-US" w:eastAsia="zh-CN" w:bidi="ar"/>
          <w14:textFill>
            <w14:solidFill>
              <w14:schemeClr w14:val="tx1"/>
            </w14:solidFill>
          </w14:textFill>
        </w:rPr>
        <w:t>通过开展法律服务工作，夯实我州的法治基础，提升法律服务质量、促进社会公平正义，不断提高干部群众法律意识，推进法治建设进程，为社会发展营造良好的法治氛围，维护社会稳定和谐。</w:t>
      </w:r>
      <w:r>
        <w:rPr>
          <w:rFonts w:hint="eastAsia" w:ascii="仿宋" w:hAnsi="仿宋" w:eastAsia="仿宋" w:cs="仿宋"/>
          <w:b w:val="0"/>
          <w:bCs/>
          <w:i w:val="0"/>
          <w:caps w:val="0"/>
          <w:color w:val="000000" w:themeColor="text1"/>
          <w:spacing w:val="0"/>
          <w:w w:val="100"/>
          <w:position w:val="0"/>
          <w:sz w:val="32"/>
          <w:szCs w:val="32"/>
          <w:u w:val="none"/>
          <w:shd w:val="clear" w:color="auto" w:fill="auto"/>
          <w:lang w:val="en-US" w:eastAsia="zh-CN"/>
          <w14:textFill>
            <w14:solidFill>
              <w14:schemeClr w14:val="tx1"/>
            </w14:solidFill>
          </w14:textFill>
        </w:rPr>
        <w:t>申报开展的法律援助、普法宣传、人民调解、公证、律师、司法鉴定管理、人民陪审监督、法律执业资格考试工作等内容与法律服务工作总要求相符合</w:t>
      </w:r>
      <w:r>
        <w:rPr>
          <w:rFonts w:hint="eastAsia"/>
          <w:color w:val="000000"/>
          <w:spacing w:val="0"/>
          <w:w w:val="100"/>
          <w:position w:val="0"/>
          <w:lang w:val="en-US" w:eastAsia="zh-CN"/>
        </w:rPr>
        <w:t>。</w:t>
      </w:r>
    </w:p>
    <w:p w14:paraId="0A0A828C">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sz w:val="32"/>
          <w:szCs w:val="32"/>
          <w:highlight w:val="none"/>
          <w:lang w:eastAsia="zh-CN"/>
        </w:rPr>
      </w:pPr>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p>
    <w:p w14:paraId="3A440CDE">
      <w:pPr>
        <w:pStyle w:val="38"/>
        <w:keepNext w:val="0"/>
        <w:keepLines w:val="0"/>
        <w:widowControl w:val="0"/>
        <w:shd w:val="clear" w:color="auto" w:fill="auto"/>
        <w:tabs>
          <w:tab w:val="left" w:pos="1621"/>
        </w:tabs>
        <w:bidi w:val="0"/>
        <w:spacing w:before="0" w:beforeLines="0" w:after="0" w:afterLines="0" w:line="626" w:lineRule="exact"/>
        <w:ind w:left="0" w:leftChars="0" w:right="0" w:firstLine="640" w:firstLineChars="200"/>
        <w:jc w:val="both"/>
        <w:rPr>
          <w:rFonts w:hint="eastAsia" w:ascii="仿宋" w:hAnsi="仿宋" w:eastAsia="仿宋" w:cs="仿宋"/>
          <w:b w:val="0"/>
          <w:bCs/>
          <w:i w:val="0"/>
          <w:caps w:val="0"/>
          <w:color w:val="000000" w:themeColor="text1"/>
          <w:spacing w:val="0"/>
          <w:w w:val="100"/>
          <w:position w:val="0"/>
          <w:sz w:val="32"/>
          <w:szCs w:val="32"/>
          <w:u w:val="none"/>
          <w:shd w:val="clear" w:color="auto" w:fill="auto"/>
          <w:lang w:val="en-US" w:eastAsia="zh-CN"/>
          <w14:textFill>
            <w14:solidFill>
              <w14:schemeClr w14:val="tx1"/>
            </w14:solidFill>
          </w14:textFill>
        </w:rPr>
      </w:pPr>
      <w:r>
        <w:rPr>
          <w:rFonts w:hint="eastAsia" w:ascii="仿宋" w:hAnsi="仿宋" w:eastAsia="仿宋" w:cs="仿宋"/>
          <w:b w:val="0"/>
          <w:bCs/>
          <w:i w:val="0"/>
          <w:caps w:val="0"/>
          <w:color w:val="000000" w:themeColor="text1"/>
          <w:spacing w:val="0"/>
          <w:w w:val="100"/>
          <w:position w:val="0"/>
          <w:sz w:val="32"/>
          <w:szCs w:val="32"/>
          <w:u w:val="none"/>
          <w:shd w:val="clear" w:color="auto" w:fill="auto"/>
          <w:lang w:val="en-US" w:eastAsia="zh-CN"/>
          <w14:textFill>
            <w14:solidFill>
              <w14:schemeClr w14:val="tx1"/>
            </w14:solidFill>
          </w14:textFill>
        </w:rPr>
        <w:t>该项目资金预算于2023年3月及时到位（全部为本级财政资金）56万元，资金到位率100%。截止2023年12月实际支出56万元，支付依据均合规合法，且按年初预算指标支出，支出占比100%。按照经费管理制度，加强对单位预算执行管理，完善项目资金使用审批手续，坚持先审批，后使用，确保专项资金专款专用，单设会计科目进行核算，以便准确掌握资金使用及管理情况，规范账务管理。该项经费主要由单位法律公共服务科、律师管理科、人民参与和促进法治科、法治宣传科、法考科为主要的实施部门。根据年初工作安排及省、州相关工作要求，并有针对性的开展法律服务工作，所产生的的经费严格按照经费管理制度使用，本年度未发生招标、政府采购等，主要用于以上相关业务工作产生的经费开支。</w:t>
      </w:r>
    </w:p>
    <w:p w14:paraId="26FFD7F7">
      <w:pPr>
        <w:pStyle w:val="47"/>
        <w:keepNext/>
        <w:keepLines/>
        <w:widowControl w:val="0"/>
        <w:shd w:val="clear" w:color="auto" w:fill="auto"/>
        <w:tabs>
          <w:tab w:val="left" w:pos="1261"/>
        </w:tabs>
        <w:bidi w:val="0"/>
        <w:spacing w:before="0" w:beforeLines="0" w:after="0" w:afterLines="0" w:line="630" w:lineRule="exact"/>
        <w:ind w:left="0" w:right="0" w:firstLine="640"/>
        <w:jc w:val="both"/>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三、</w:t>
      </w:r>
      <w:r>
        <w:rPr>
          <w:rFonts w:hint="eastAsia" w:ascii="黑体" w:hAnsi="黑体" w:eastAsia="黑体" w:cs="黑体"/>
          <w:color w:val="000000"/>
          <w:spacing w:val="0"/>
          <w:w w:val="100"/>
          <w:position w:val="0"/>
          <w:sz w:val="32"/>
          <w:szCs w:val="32"/>
        </w:rPr>
        <w:tab/>
      </w:r>
      <w:r>
        <w:rPr>
          <w:rFonts w:hint="eastAsia" w:ascii="黑体" w:hAnsi="宋体" w:eastAsia="黑体"/>
          <w:color w:val="auto"/>
          <w:sz w:val="32"/>
          <w:szCs w:val="32"/>
          <w:highlight w:val="none"/>
          <w:u w:val="none"/>
          <w:lang w:eastAsia="zh-CN"/>
        </w:rPr>
        <w:t>绩效分析</w:t>
      </w:r>
    </w:p>
    <w:p w14:paraId="4FB8AEDC">
      <w:pPr>
        <w:spacing w:before="199" w:line="333" w:lineRule="auto"/>
        <w:ind w:left="6" w:firstLine="631"/>
        <w:rPr>
          <w:rFonts w:hint="eastAsia" w:ascii="华文楷体" w:hAnsi="华文楷体" w:eastAsia="华文楷体" w:cs="华文楷体"/>
          <w:b/>
          <w:bCs/>
          <w:color w:val="000000"/>
          <w:spacing w:val="0"/>
          <w:w w:val="100"/>
          <w:position w:val="0"/>
          <w:highlight w:val="none"/>
          <w:lang w:val="en-US" w:eastAsia="zh-CN"/>
        </w:rPr>
      </w:pPr>
      <w:r>
        <w:rPr>
          <w:rFonts w:ascii="仿宋" w:hAnsi="仿宋" w:eastAsia="仿宋" w:cs="仿宋"/>
          <w:spacing w:val="6"/>
          <w:sz w:val="31"/>
          <w:szCs w:val="31"/>
        </w:rPr>
        <w:t>提升法律服务传导力，推</w:t>
      </w:r>
      <w:r>
        <w:rPr>
          <w:rFonts w:ascii="仿宋" w:hAnsi="仿宋" w:eastAsia="仿宋" w:cs="仿宋"/>
          <w:spacing w:val="11"/>
          <w:sz w:val="31"/>
          <w:szCs w:val="31"/>
        </w:rPr>
        <w:t>动全州公共法律服务中心（平台）</w:t>
      </w:r>
      <w:r>
        <w:rPr>
          <w:rFonts w:ascii="仿宋" w:hAnsi="仿宋" w:eastAsia="仿宋" w:cs="仿宋"/>
          <w:spacing w:val="9"/>
          <w:sz w:val="31"/>
          <w:szCs w:val="31"/>
        </w:rPr>
        <w:t xml:space="preserve"> </w:t>
      </w:r>
      <w:r>
        <w:rPr>
          <w:rFonts w:ascii="仿宋" w:hAnsi="仿宋" w:eastAsia="仿宋" w:cs="仿宋"/>
          <w:spacing w:val="17"/>
          <w:sz w:val="31"/>
          <w:szCs w:val="31"/>
        </w:rPr>
        <w:t>提档升级，建设</w:t>
      </w:r>
      <w:r>
        <w:rPr>
          <w:rFonts w:ascii="仿宋" w:hAnsi="仿宋" w:eastAsia="仿宋" w:cs="仿宋"/>
          <w:spacing w:val="-91"/>
          <w:sz w:val="31"/>
          <w:szCs w:val="31"/>
        </w:rPr>
        <w:t xml:space="preserve"> </w:t>
      </w:r>
      <w:r>
        <w:rPr>
          <w:rFonts w:ascii="仿宋" w:hAnsi="仿宋" w:eastAsia="仿宋" w:cs="仿宋"/>
          <w:spacing w:val="17"/>
          <w:sz w:val="31"/>
          <w:szCs w:val="31"/>
        </w:rPr>
        <w:t>“</w:t>
      </w:r>
      <w:r>
        <w:rPr>
          <w:rFonts w:ascii="仿宋" w:hAnsi="仿宋" w:eastAsia="仿宋" w:cs="仿宋"/>
          <w:spacing w:val="-109"/>
          <w:sz w:val="31"/>
          <w:szCs w:val="31"/>
        </w:rPr>
        <w:t xml:space="preserve"> </w:t>
      </w:r>
      <w:r>
        <w:rPr>
          <w:rFonts w:ascii="仿宋" w:hAnsi="仿宋" w:eastAsia="仿宋" w:cs="仿宋"/>
          <w:spacing w:val="17"/>
          <w:sz w:val="31"/>
          <w:szCs w:val="31"/>
        </w:rPr>
        <w:t>线上线下法律咨询</w:t>
      </w:r>
      <w:r>
        <w:rPr>
          <w:rFonts w:ascii="宋体" w:hAnsi="宋体" w:eastAsia="宋体" w:cs="宋体"/>
          <w:spacing w:val="17"/>
          <w:sz w:val="31"/>
          <w:szCs w:val="31"/>
        </w:rPr>
        <w:t>+</w:t>
      </w:r>
      <w:r>
        <w:rPr>
          <w:rFonts w:ascii="仿宋" w:hAnsi="仿宋" w:eastAsia="仿宋" w:cs="仿宋"/>
          <w:spacing w:val="17"/>
          <w:sz w:val="31"/>
          <w:szCs w:val="31"/>
        </w:rPr>
        <w:t>办事”</w:t>
      </w:r>
      <w:r>
        <w:rPr>
          <w:rFonts w:ascii="仿宋" w:hAnsi="仿宋" w:eastAsia="仿宋" w:cs="仿宋"/>
          <w:spacing w:val="-112"/>
          <w:sz w:val="31"/>
          <w:szCs w:val="31"/>
        </w:rPr>
        <w:t xml:space="preserve"> </w:t>
      </w:r>
      <w:r>
        <w:rPr>
          <w:rFonts w:ascii="仿宋" w:hAnsi="仿宋" w:eastAsia="仿宋" w:cs="仿宋"/>
          <w:spacing w:val="17"/>
          <w:sz w:val="31"/>
          <w:szCs w:val="31"/>
        </w:rPr>
        <w:t>的州县</w:t>
      </w:r>
      <w:r>
        <w:rPr>
          <w:rFonts w:ascii="仿宋" w:hAnsi="仿宋" w:eastAsia="仿宋" w:cs="仿宋"/>
          <w:spacing w:val="16"/>
          <w:sz w:val="31"/>
          <w:szCs w:val="31"/>
        </w:rPr>
        <w:t>两级公共</w:t>
      </w:r>
      <w:r>
        <w:rPr>
          <w:rFonts w:ascii="仿宋" w:hAnsi="仿宋" w:eastAsia="仿宋" w:cs="仿宋"/>
          <w:spacing w:val="6"/>
          <w:sz w:val="31"/>
          <w:szCs w:val="31"/>
        </w:rPr>
        <w:t>法律服务中心（平台）。统筹整合</w:t>
      </w:r>
      <w:r>
        <w:rPr>
          <w:rFonts w:ascii="仿宋" w:hAnsi="仿宋" w:eastAsia="仿宋" w:cs="仿宋"/>
          <w:spacing w:val="-81"/>
          <w:sz w:val="31"/>
          <w:szCs w:val="31"/>
        </w:rPr>
        <w:t xml:space="preserve"> </w:t>
      </w:r>
      <w:r>
        <w:rPr>
          <w:rFonts w:ascii="仿宋" w:hAnsi="仿宋" w:eastAsia="仿宋" w:cs="仿宋"/>
          <w:spacing w:val="6"/>
          <w:sz w:val="31"/>
          <w:szCs w:val="31"/>
        </w:rPr>
        <w:t>“</w:t>
      </w:r>
      <w:r>
        <w:rPr>
          <w:rFonts w:ascii="仿宋" w:hAnsi="仿宋" w:eastAsia="仿宋" w:cs="仿宋"/>
          <w:spacing w:val="-111"/>
          <w:sz w:val="31"/>
          <w:szCs w:val="31"/>
        </w:rPr>
        <w:t xml:space="preserve"> </w:t>
      </w:r>
      <w:r>
        <w:rPr>
          <w:rFonts w:ascii="宋体" w:hAnsi="宋体" w:eastAsia="宋体" w:cs="宋体"/>
          <w:spacing w:val="6"/>
          <w:sz w:val="31"/>
          <w:szCs w:val="31"/>
        </w:rPr>
        <w:t>12348</w:t>
      </w:r>
      <w:r>
        <w:rPr>
          <w:rFonts w:ascii="仿宋" w:hAnsi="仿宋" w:eastAsia="仿宋" w:cs="仿宋"/>
          <w:spacing w:val="6"/>
          <w:sz w:val="31"/>
          <w:szCs w:val="31"/>
        </w:rPr>
        <w:t>”公共法律服务热线</w:t>
      </w:r>
      <w:r>
        <w:rPr>
          <w:rFonts w:ascii="仿宋" w:hAnsi="仿宋" w:eastAsia="仿宋" w:cs="仿宋"/>
          <w:spacing w:val="12"/>
          <w:sz w:val="31"/>
          <w:szCs w:val="31"/>
        </w:rPr>
        <w:t>融入</w:t>
      </w:r>
      <w:r>
        <w:rPr>
          <w:rFonts w:ascii="仿宋" w:hAnsi="仿宋" w:eastAsia="仿宋" w:cs="仿宋"/>
          <w:spacing w:val="-100"/>
          <w:sz w:val="31"/>
          <w:szCs w:val="31"/>
        </w:rPr>
        <w:t xml:space="preserve"> </w:t>
      </w:r>
      <w:r>
        <w:rPr>
          <w:rFonts w:ascii="仿宋" w:hAnsi="仿宋" w:eastAsia="仿宋" w:cs="仿宋"/>
          <w:spacing w:val="12"/>
          <w:sz w:val="31"/>
          <w:szCs w:val="31"/>
        </w:rPr>
        <w:t>“</w:t>
      </w:r>
      <w:r>
        <w:rPr>
          <w:rFonts w:ascii="仿宋" w:hAnsi="仿宋" w:eastAsia="仿宋" w:cs="仿宋"/>
          <w:spacing w:val="-111"/>
          <w:sz w:val="31"/>
          <w:szCs w:val="31"/>
        </w:rPr>
        <w:t xml:space="preserve"> </w:t>
      </w:r>
      <w:r>
        <w:rPr>
          <w:rFonts w:ascii="宋体" w:hAnsi="宋体" w:eastAsia="宋体" w:cs="宋体"/>
          <w:spacing w:val="12"/>
          <w:sz w:val="31"/>
          <w:szCs w:val="31"/>
        </w:rPr>
        <w:t>12345</w:t>
      </w:r>
      <w:r>
        <w:rPr>
          <w:rFonts w:ascii="仿宋" w:hAnsi="仿宋" w:eastAsia="仿宋" w:cs="仿宋"/>
          <w:spacing w:val="12"/>
          <w:sz w:val="31"/>
          <w:szCs w:val="31"/>
        </w:rPr>
        <w:t>”政务服务便民热线</w:t>
      </w:r>
      <w:r>
        <w:rPr>
          <w:rFonts w:ascii="宋体" w:hAnsi="宋体" w:eastAsia="宋体" w:cs="宋体"/>
          <w:spacing w:val="12"/>
          <w:sz w:val="31"/>
          <w:szCs w:val="31"/>
        </w:rPr>
        <w:t>,</w:t>
      </w:r>
      <w:r>
        <w:rPr>
          <w:rFonts w:ascii="仿宋" w:hAnsi="仿宋" w:eastAsia="仿宋" w:cs="仿宋"/>
          <w:spacing w:val="12"/>
          <w:sz w:val="31"/>
          <w:szCs w:val="31"/>
        </w:rPr>
        <w:t>设立法律服务</w:t>
      </w:r>
      <w:r>
        <w:rPr>
          <w:rFonts w:ascii="仿宋" w:hAnsi="仿宋" w:eastAsia="仿宋" w:cs="仿宋"/>
          <w:spacing w:val="11"/>
          <w:sz w:val="31"/>
          <w:szCs w:val="31"/>
        </w:rPr>
        <w:t>专家坐席，接</w:t>
      </w:r>
      <w:r>
        <w:rPr>
          <w:rFonts w:ascii="仿宋" w:hAnsi="仿宋" w:eastAsia="仿宋" w:cs="仿宋"/>
          <w:spacing w:val="6"/>
          <w:sz w:val="31"/>
          <w:szCs w:val="31"/>
        </w:rPr>
        <w:t>听</w:t>
      </w:r>
      <w:r>
        <w:rPr>
          <w:rFonts w:ascii="宋体" w:hAnsi="宋体" w:eastAsia="宋体" w:cs="宋体"/>
          <w:spacing w:val="6"/>
          <w:sz w:val="31"/>
          <w:szCs w:val="31"/>
        </w:rPr>
        <w:t>1200</w:t>
      </w:r>
      <w:r>
        <w:rPr>
          <w:rFonts w:ascii="仿宋" w:hAnsi="仿宋" w:eastAsia="仿宋" w:cs="仿宋"/>
          <w:spacing w:val="6"/>
          <w:sz w:val="31"/>
          <w:szCs w:val="31"/>
        </w:rPr>
        <w:t>多人次法律咨询。截至目前，</w:t>
      </w:r>
      <w:r>
        <w:rPr>
          <w:rFonts w:hint="eastAsia" w:ascii="仿宋" w:hAnsi="仿宋" w:eastAsia="仿宋" w:cs="仿宋"/>
          <w:spacing w:val="6"/>
          <w:sz w:val="31"/>
          <w:szCs w:val="31"/>
          <w:lang w:val="en-US" w:eastAsia="zh-CN"/>
        </w:rPr>
        <w:t>建立</w:t>
      </w:r>
      <w:r>
        <w:rPr>
          <w:rFonts w:ascii="仿宋" w:hAnsi="仿宋" w:eastAsia="仿宋" w:cs="仿宋"/>
          <w:spacing w:val="-57"/>
          <w:sz w:val="31"/>
          <w:szCs w:val="31"/>
        </w:rPr>
        <w:t xml:space="preserve"> </w:t>
      </w:r>
      <w:r>
        <w:rPr>
          <w:rFonts w:ascii="宋体" w:hAnsi="宋体" w:eastAsia="宋体" w:cs="宋体"/>
          <w:spacing w:val="5"/>
          <w:sz w:val="31"/>
          <w:szCs w:val="31"/>
        </w:rPr>
        <w:t>289</w:t>
      </w:r>
      <w:r>
        <w:rPr>
          <w:rFonts w:ascii="宋体" w:hAnsi="宋体" w:eastAsia="宋体" w:cs="宋体"/>
          <w:spacing w:val="-52"/>
          <w:sz w:val="31"/>
          <w:szCs w:val="31"/>
        </w:rPr>
        <w:t xml:space="preserve"> </w:t>
      </w:r>
      <w:r>
        <w:rPr>
          <w:rFonts w:ascii="仿宋" w:hAnsi="仿宋" w:eastAsia="仿宋" w:cs="仿宋"/>
          <w:spacing w:val="5"/>
          <w:sz w:val="31"/>
          <w:szCs w:val="31"/>
        </w:rPr>
        <w:t>个乡镇公共法律</w:t>
      </w:r>
      <w:r>
        <w:rPr>
          <w:rFonts w:ascii="仿宋" w:hAnsi="仿宋" w:eastAsia="仿宋" w:cs="仿宋"/>
          <w:spacing w:val="8"/>
          <w:sz w:val="31"/>
          <w:szCs w:val="31"/>
        </w:rPr>
        <w:t>服务工作站，延伸建设村、社区</w:t>
      </w:r>
      <w:r>
        <w:rPr>
          <w:rFonts w:ascii="仿宋" w:hAnsi="仿宋" w:eastAsia="仿宋" w:cs="仿宋"/>
          <w:spacing w:val="-54"/>
          <w:sz w:val="31"/>
          <w:szCs w:val="31"/>
        </w:rPr>
        <w:t xml:space="preserve"> </w:t>
      </w:r>
      <w:r>
        <w:rPr>
          <w:rFonts w:ascii="宋体" w:hAnsi="宋体" w:eastAsia="宋体" w:cs="宋体"/>
          <w:spacing w:val="8"/>
          <w:sz w:val="31"/>
          <w:szCs w:val="31"/>
        </w:rPr>
        <w:t>2252</w:t>
      </w:r>
      <w:r>
        <w:rPr>
          <w:rFonts w:ascii="宋体" w:hAnsi="宋体" w:eastAsia="宋体" w:cs="宋体"/>
          <w:spacing w:val="-50"/>
          <w:sz w:val="31"/>
          <w:szCs w:val="31"/>
        </w:rPr>
        <w:t xml:space="preserve"> </w:t>
      </w:r>
      <w:r>
        <w:rPr>
          <w:rFonts w:ascii="仿宋" w:hAnsi="仿宋" w:eastAsia="仿宋" w:cs="仿宋"/>
          <w:spacing w:val="8"/>
          <w:sz w:val="31"/>
          <w:szCs w:val="31"/>
        </w:rPr>
        <w:t>个公共法律服务工作室。</w:t>
      </w:r>
      <w:r>
        <w:rPr>
          <w:rFonts w:ascii="仿宋" w:hAnsi="仿宋" w:eastAsia="仿宋" w:cs="仿宋"/>
          <w:spacing w:val="6"/>
          <w:sz w:val="31"/>
          <w:szCs w:val="31"/>
        </w:rPr>
        <w:t>提升企业发展竞争力，整合法律志愿者、法律工作者、律师等专业力量开展全覆盖法治宣讲“浸润”“个体工商户服务月”等活动，围绕“持续优化法治供给”，深入个体工商户，开展涉民营企业矛盾纠纷专项排查活动156次，协调解决困难问题41个，调解涉民营企业个体工商户纠纷81件，调解成功80件，成功率达98.7％。开展专题宣传、政策法律宣讲活动共90场次，发放宣传资料2万余份。提升法律服务延伸力，全力抓好四川省30件民生实事，截止目前为困难群众和符合法定条件的当事人提供法律咨询4306人次，受理案件401件，已完成目标任务82%以上。贯彻落实《军人军属法律援助实施办法》，在武警四川总队机动第二支队设立军人军属法律援助工作站点，有序与甘孜军分区、甘孜武警支队推进工作站建设。全力组织开展“根治欠薪”夏季行动，组建农民工法律服务团18个，开展法律咨询等活动73场次，接受法律咨询2360人次，受理农民工讨薪维权案件8件，为农民工讨回欠薪、挽回经济损失10.2万元。实施公证助力乡村振兴，将37名注册公证员纳入公证法律顾问工作群。截止目前公证共办理713件，司法鉴定53件。</w:t>
      </w:r>
    </w:p>
    <w:p w14:paraId="2368274D">
      <w:pPr>
        <w:pStyle w:val="9"/>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14:paraId="418801AA">
      <w:pPr>
        <w:pStyle w:val="38"/>
        <w:keepNext w:val="0"/>
        <w:keepLines w:val="0"/>
        <w:widowControl w:val="0"/>
        <w:shd w:val="clear" w:color="auto" w:fill="auto"/>
        <w:tabs>
          <w:tab w:val="left" w:pos="1621"/>
        </w:tabs>
        <w:bidi w:val="0"/>
        <w:spacing w:before="0" w:beforeLines="0" w:after="0" w:afterLines="0" w:line="626" w:lineRule="exact"/>
        <w:ind w:left="0" w:leftChars="0" w:right="0" w:firstLine="640" w:firstLineChars="200"/>
        <w:jc w:val="both"/>
        <w:rPr>
          <w:rFonts w:hint="eastAsia" w:ascii="仿宋" w:hAnsi="仿宋" w:eastAsia="仿宋" w:cs="仿宋"/>
          <w:b w:val="0"/>
          <w:i w:val="0"/>
          <w:caps w:val="0"/>
          <w:color w:val="000000" w:themeColor="text1"/>
          <w:spacing w:val="0"/>
          <w:w w:val="100"/>
          <w:kern w:val="0"/>
          <w:sz w:val="32"/>
          <w:szCs w:val="32"/>
          <w:lang w:val="en-US" w:eastAsia="zh-CN" w:bidi="ar"/>
          <w14:textFill>
            <w14:solidFill>
              <w14:schemeClr w14:val="tx1"/>
            </w14:solidFill>
          </w14:textFill>
        </w:rPr>
      </w:pPr>
      <w:r>
        <w:rPr>
          <w:rFonts w:hint="eastAsia" w:ascii="仿宋" w:hAnsi="仿宋" w:eastAsia="仿宋" w:cs="仿宋"/>
          <w:b w:val="0"/>
          <w:i w:val="0"/>
          <w:caps w:val="0"/>
          <w:color w:val="000000" w:themeColor="text1"/>
          <w:spacing w:val="0"/>
          <w:w w:val="100"/>
          <w:kern w:val="0"/>
          <w:sz w:val="32"/>
          <w:szCs w:val="32"/>
          <w:lang w:val="en-US" w:eastAsia="zh-CN" w:bidi="ar"/>
          <w14:textFill>
            <w14:solidFill>
              <w14:schemeClr w14:val="tx1"/>
            </w14:solidFill>
          </w14:textFill>
        </w:rPr>
        <w:t>通过开展法律服务工作，有效为群众解决法律问题，增强群众法律意识，促进了社会公平正义、夯实了法治甘孜的基层基础，推进法治社会建设，提高了干部群众法律意识，营造了良好的法治氛围，维护社会稳定和谐。</w:t>
      </w:r>
    </w:p>
    <w:p w14:paraId="5F5BEFB1">
      <w:pPr>
        <w:pStyle w:val="9"/>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eastAsia="黑体" w:cs="Times New Roman"/>
          <w:color w:val="auto"/>
          <w:sz w:val="32"/>
          <w:szCs w:val="32"/>
          <w:highlight w:val="none"/>
          <w:u w:val="none"/>
          <w:lang w:eastAsia="zh-CN"/>
        </w:rPr>
        <w:t>五、存在主要问题</w:t>
      </w:r>
    </w:p>
    <w:p w14:paraId="628A4936">
      <w:pPr>
        <w:pStyle w:val="38"/>
        <w:keepNext w:val="0"/>
        <w:keepLines w:val="0"/>
        <w:widowControl w:val="0"/>
        <w:shd w:val="clear" w:color="auto" w:fill="auto"/>
        <w:tabs>
          <w:tab w:val="left" w:pos="1598"/>
        </w:tabs>
        <w:bidi w:val="0"/>
        <w:spacing w:before="0" w:beforeLines="0" w:after="0" w:afterLines="0" w:line="630" w:lineRule="exact"/>
        <w:ind w:left="0" w:right="0" w:firstLine="760"/>
        <w:jc w:val="left"/>
        <w:rPr>
          <w:rFonts w:hint="default" w:ascii="华文楷体" w:hAnsi="华文楷体" w:eastAsia="华文楷体" w:cs="华文楷体"/>
          <w:color w:val="000000"/>
          <w:spacing w:val="0"/>
          <w:w w:val="100"/>
          <w:kern w:val="2"/>
          <w:position w:val="0"/>
          <w:sz w:val="32"/>
          <w:szCs w:val="32"/>
          <w:highlight w:val="none"/>
          <w:u w:val="none"/>
          <w:shd w:val="clear" w:color="auto" w:fill="auto"/>
          <w:lang w:val="en-US" w:eastAsia="zh-CN" w:bidi="ar-SA"/>
        </w:rPr>
      </w:pPr>
      <w:r>
        <w:rPr>
          <w:rFonts w:hint="eastAsia" w:ascii="仿宋" w:hAnsi="仿宋" w:eastAsia="仿宋" w:cs="仿宋"/>
          <w:b w:val="0"/>
          <w:i w:val="0"/>
          <w:caps w:val="0"/>
          <w:color w:val="000000" w:themeColor="text1"/>
          <w:spacing w:val="0"/>
          <w:w w:val="100"/>
          <w:kern w:val="0"/>
          <w:sz w:val="32"/>
          <w:szCs w:val="32"/>
          <w:highlight w:val="none"/>
          <w:lang w:val="en-US" w:eastAsia="zh-CN" w:bidi="ar"/>
          <w14:textFill>
            <w14:solidFill>
              <w14:schemeClr w14:val="tx1"/>
            </w14:solidFill>
          </w14:textFill>
        </w:rPr>
        <w:t>由于地缘和基础条件限制，群众法律意识普遍偏低，法律服务工作还需大力加强；由于从业条件要求较高，各地普遍存在专业从业人员紧缺问题。</w:t>
      </w:r>
    </w:p>
    <w:p w14:paraId="6A3578F2">
      <w:pPr>
        <w:pStyle w:val="9"/>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14:paraId="22959409">
      <w:pPr>
        <w:pStyle w:val="38"/>
        <w:keepNext w:val="0"/>
        <w:keepLines w:val="0"/>
        <w:widowControl w:val="0"/>
        <w:shd w:val="clear" w:color="auto" w:fill="auto"/>
        <w:tabs>
          <w:tab w:val="left" w:pos="1598"/>
        </w:tabs>
        <w:bidi w:val="0"/>
        <w:spacing w:before="0" w:beforeLines="0" w:after="0" w:afterLines="0" w:line="630" w:lineRule="exact"/>
        <w:ind w:left="0" w:leftChars="0" w:right="0" w:firstLine="640" w:firstLineChars="200"/>
        <w:jc w:val="left"/>
        <w:rPr>
          <w:rFonts w:hint="eastAsia" w:ascii="仿宋" w:hAnsi="仿宋" w:eastAsia="仿宋" w:cs="仿宋"/>
          <w:b w:val="0"/>
          <w:bCs w:val="0"/>
          <w:i w:val="0"/>
          <w:caps w:val="0"/>
          <w:color w:val="000000" w:themeColor="text1"/>
          <w:spacing w:val="0"/>
          <w:w w:val="100"/>
          <w:kern w:val="2"/>
          <w:sz w:val="32"/>
          <w:szCs w:val="32"/>
          <w:highlight w:val="none"/>
          <w:u w:val="none"/>
          <w:shd w:val="clear"/>
          <w:lang w:val="en-US" w:eastAsia="zh-CN" w:bidi="ar-SA"/>
          <w14:textFill>
            <w14:solidFill>
              <w14:schemeClr w14:val="tx1"/>
            </w14:solidFill>
          </w14:textFill>
        </w:rPr>
      </w:pPr>
      <w:r>
        <w:rPr>
          <w:rFonts w:hint="eastAsia" w:ascii="仿宋" w:hAnsi="仿宋" w:eastAsia="仿宋" w:cs="仿宋"/>
          <w:b w:val="0"/>
          <w:bCs w:val="0"/>
          <w:i w:val="0"/>
          <w:caps w:val="0"/>
          <w:color w:val="000000" w:themeColor="text1"/>
          <w:spacing w:val="0"/>
          <w:w w:val="100"/>
          <w:kern w:val="2"/>
          <w:sz w:val="32"/>
          <w:szCs w:val="32"/>
          <w:highlight w:val="none"/>
          <w:u w:val="none"/>
          <w:shd w:val="clear"/>
          <w:lang w:val="en-US" w:eastAsia="zh-CN" w:bidi="ar-SA"/>
          <w14:textFill>
            <w14:solidFill>
              <w14:schemeClr w14:val="tx1"/>
            </w14:solidFill>
          </w14:textFill>
        </w:rPr>
        <w:t>根据绩效评价结果，适当增加专业从业人员及相关工作经费，扩大法律服务宽度和深度，充分发挥法律服务建设促社会发展的助推作用。</w:t>
      </w:r>
    </w:p>
    <w:p w14:paraId="0EC732F3">
      <w:pPr>
        <w:rPr>
          <w:highlight w:val="none"/>
        </w:rPr>
      </w:pPr>
    </w:p>
    <w:p w14:paraId="34C5EE6E">
      <w:pPr>
        <w:pStyle w:val="3"/>
        <w:rPr>
          <w:highlight w:val="none"/>
        </w:rPr>
      </w:pPr>
    </w:p>
    <w:p w14:paraId="7C7ED77C">
      <w:pPr>
        <w:pStyle w:val="3"/>
        <w:rPr>
          <w:highlight w:val="none"/>
        </w:rPr>
      </w:pPr>
    </w:p>
    <w:p w14:paraId="098DB1B1">
      <w:pPr>
        <w:pStyle w:val="3"/>
        <w:rPr>
          <w:highlight w:val="none"/>
        </w:rPr>
      </w:pPr>
    </w:p>
    <w:p w14:paraId="58BA91DC">
      <w:pPr>
        <w:pStyle w:val="3"/>
        <w:rPr>
          <w:highlight w:val="none"/>
        </w:rPr>
      </w:pPr>
    </w:p>
    <w:p w14:paraId="1B2A4DA6">
      <w:pPr>
        <w:pStyle w:val="3"/>
        <w:ind w:left="0" w:leftChars="0" w:firstLine="0" w:firstLineChars="0"/>
        <w:rPr>
          <w:highlight w:val="none"/>
        </w:rPr>
      </w:pPr>
    </w:p>
    <w:p w14:paraId="5D543AFA"/>
    <w:p w14:paraId="0FD82D55">
      <w:pPr>
        <w:pStyle w:val="3"/>
      </w:pPr>
    </w:p>
    <w:p w14:paraId="2A006258">
      <w:pPr>
        <w:pStyle w:val="3"/>
      </w:pPr>
    </w:p>
    <w:p w14:paraId="16916810">
      <w:pPr>
        <w:pStyle w:val="3"/>
      </w:pPr>
    </w:p>
    <w:p w14:paraId="0385684D">
      <w:pPr>
        <w:pStyle w:val="3"/>
      </w:pPr>
    </w:p>
    <w:p w14:paraId="5C9D8B42">
      <w:pPr>
        <w:pStyle w:val="3"/>
      </w:pPr>
    </w:p>
    <w:p w14:paraId="03584E32">
      <w:pPr>
        <w:pStyle w:val="3"/>
      </w:pPr>
    </w:p>
    <w:p w14:paraId="044260B4">
      <w:pPr>
        <w:pStyle w:val="3"/>
      </w:pPr>
    </w:p>
    <w:p w14:paraId="2DD8EAB4">
      <w:pPr>
        <w:pStyle w:val="3"/>
      </w:pPr>
    </w:p>
    <w:p w14:paraId="35F068FA">
      <w:pPr>
        <w:pStyle w:val="3"/>
      </w:pPr>
    </w:p>
    <w:p w14:paraId="0AF21803">
      <w:pPr>
        <w:pStyle w:val="3"/>
      </w:pPr>
    </w:p>
    <w:p w14:paraId="5256C995">
      <w:pPr>
        <w:pStyle w:val="3"/>
      </w:pPr>
    </w:p>
    <w:p w14:paraId="23B95562">
      <w:pPr>
        <w:pStyle w:val="3"/>
      </w:pPr>
    </w:p>
    <w:p w14:paraId="7D2F54F1">
      <w:pPr>
        <w:pStyle w:val="3"/>
      </w:pPr>
    </w:p>
    <w:p w14:paraId="00AA551D">
      <w:pPr>
        <w:pStyle w:val="3"/>
      </w:pPr>
    </w:p>
    <w:p w14:paraId="347D36FB">
      <w:pPr>
        <w:pStyle w:val="3"/>
      </w:pPr>
    </w:p>
    <w:p w14:paraId="6195B7C1">
      <w:pPr>
        <w:pStyle w:val="3"/>
      </w:pPr>
    </w:p>
    <w:p w14:paraId="4BE68691">
      <w:pPr>
        <w:pStyle w:val="3"/>
      </w:pPr>
    </w:p>
    <w:p w14:paraId="20B51470">
      <w:pPr>
        <w:pStyle w:val="3"/>
      </w:pPr>
    </w:p>
    <w:p w14:paraId="01966DFA">
      <w:pPr>
        <w:pStyle w:val="3"/>
      </w:pPr>
    </w:p>
    <w:p w14:paraId="111D9BA4">
      <w:pPr>
        <w:pStyle w:val="3"/>
      </w:pPr>
    </w:p>
    <w:p w14:paraId="19084652">
      <w:pPr>
        <w:pStyle w:val="38"/>
        <w:keepNext w:val="0"/>
        <w:keepLines w:val="0"/>
        <w:widowControl w:val="0"/>
        <w:shd w:val="clear" w:color="auto" w:fill="auto"/>
        <w:bidi w:val="0"/>
        <w:spacing w:before="0" w:beforeLines="0" w:after="580" w:afterLines="0" w:line="626" w:lineRule="exact"/>
        <w:ind w:left="0" w:right="0" w:firstLine="0"/>
        <w:jc w:val="center"/>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专项预算项目绩效评价报告</w:t>
      </w:r>
    </w:p>
    <w:p w14:paraId="59721C9D">
      <w:pPr>
        <w:pStyle w:val="38"/>
        <w:keepNext w:val="0"/>
        <w:keepLines w:val="0"/>
        <w:widowControl w:val="0"/>
        <w:shd w:val="clear" w:color="auto" w:fill="auto"/>
        <w:bidi w:val="0"/>
        <w:spacing w:before="0" w:beforeLines="0" w:after="580" w:afterLines="0" w:line="626" w:lineRule="exact"/>
        <w:ind w:left="0" w:right="0" w:firstLine="0"/>
        <w:jc w:val="center"/>
      </w:pPr>
      <w:r>
        <w:rPr>
          <w:color w:val="000000"/>
          <w:spacing w:val="0"/>
          <w:w w:val="100"/>
          <w:position w:val="0"/>
          <w:sz w:val="32"/>
          <w:szCs w:val="32"/>
        </w:rPr>
        <w:t>（</w:t>
      </w:r>
      <w:r>
        <w:rPr>
          <w:rFonts w:hint="eastAsia"/>
          <w:color w:val="000000"/>
          <w:spacing w:val="0"/>
          <w:w w:val="100"/>
          <w:position w:val="0"/>
          <w:sz w:val="32"/>
          <w:szCs w:val="32"/>
          <w:lang w:eastAsia="zh-CN"/>
        </w:rPr>
        <w:t>法治建</w:t>
      </w:r>
      <w:r>
        <w:rPr>
          <w:rFonts w:hint="eastAsia"/>
          <w:color w:val="000000"/>
          <w:spacing w:val="0"/>
          <w:w w:val="100"/>
          <w:position w:val="0"/>
          <w:sz w:val="32"/>
          <w:szCs w:val="32"/>
          <w:lang w:val="en-US" w:eastAsia="zh-CN"/>
        </w:rPr>
        <w:t>设</w:t>
      </w:r>
      <w:r>
        <w:rPr>
          <w:color w:val="000000"/>
          <w:spacing w:val="0"/>
          <w:w w:val="100"/>
          <w:position w:val="0"/>
          <w:sz w:val="32"/>
          <w:szCs w:val="32"/>
        </w:rPr>
        <w:t>项目）</w:t>
      </w:r>
    </w:p>
    <w:p w14:paraId="24516DFE">
      <w:pPr>
        <w:pStyle w:val="47"/>
        <w:keepNext/>
        <w:keepLines/>
        <w:widowControl w:val="0"/>
        <w:shd w:val="clear" w:color="auto" w:fill="auto"/>
        <w:bidi w:val="0"/>
        <w:spacing w:before="0" w:beforeLines="0" w:after="0" w:afterLines="0" w:line="626" w:lineRule="exact"/>
        <w:ind w:left="0" w:right="0" w:firstLine="620"/>
        <w:jc w:val="both"/>
        <w:rPr>
          <w:rFonts w:hint="eastAsia" w:ascii="黑体" w:hAnsi="黑体" w:eastAsia="黑体" w:cs="黑体"/>
          <w:color w:val="000000"/>
          <w:spacing w:val="0"/>
          <w:w w:val="100"/>
          <w:position w:val="0"/>
          <w:highlight w:val="none"/>
        </w:rPr>
      </w:pPr>
      <w:r>
        <w:rPr>
          <w:rFonts w:hint="eastAsia" w:ascii="黑体" w:hAnsi="黑体" w:eastAsia="黑体" w:cs="黑体"/>
          <w:color w:val="000000"/>
          <w:spacing w:val="0"/>
          <w:w w:val="100"/>
          <w:position w:val="0"/>
          <w:highlight w:val="none"/>
        </w:rPr>
        <w:t>—、项目概况</w:t>
      </w:r>
    </w:p>
    <w:p w14:paraId="0809DE2D">
      <w:pPr>
        <w:pStyle w:val="47"/>
        <w:keepNext/>
        <w:keepLines/>
        <w:widowControl w:val="0"/>
        <w:shd w:val="clear" w:color="auto" w:fill="auto"/>
        <w:bidi w:val="0"/>
        <w:spacing w:before="0" w:beforeLines="0" w:after="0" w:afterLines="0" w:line="626" w:lineRule="exact"/>
        <w:ind w:left="0" w:right="0" w:firstLine="620"/>
        <w:jc w:val="both"/>
        <w:rPr>
          <w:rFonts w:hint="eastAsia"/>
          <w:color w:val="000000"/>
          <w:spacing w:val="0"/>
          <w:w w:val="100"/>
          <w:position w:val="0"/>
          <w:highlight w:val="none"/>
          <w:lang w:val="en-US" w:eastAsia="zh-CN"/>
        </w:rPr>
      </w:pPr>
      <w:r>
        <w:rPr>
          <w:rFonts w:hint="eastAsia" w:ascii="仿宋" w:hAnsi="仿宋" w:eastAsia="仿宋" w:cs="仿宋"/>
          <w:b w:val="0"/>
          <w:i w:val="0"/>
          <w:caps w:val="0"/>
          <w:color w:val="auto"/>
          <w:spacing w:val="0"/>
          <w:w w:val="100"/>
          <w:sz w:val="32"/>
          <w:szCs w:val="32"/>
          <w:highlight w:val="none"/>
          <w:lang w:val="en-US" w:eastAsia="zh-CN"/>
        </w:rPr>
        <w:t xml:space="preserve"> 该项目以</w:t>
      </w:r>
      <w:r>
        <w:rPr>
          <w:rFonts w:hint="eastAsia" w:ascii="仿宋" w:hAnsi="仿宋" w:eastAsia="仿宋" w:cs="仿宋"/>
          <w:b w:val="0"/>
          <w:i w:val="0"/>
          <w:caps w:val="0"/>
          <w:color w:val="auto"/>
          <w:spacing w:val="0"/>
          <w:w w:val="100"/>
          <w:kern w:val="0"/>
          <w:sz w:val="32"/>
          <w:szCs w:val="32"/>
          <w:highlight w:val="none"/>
          <w:lang w:val="en-US" w:eastAsia="zh-CN" w:bidi="ar"/>
        </w:rPr>
        <w:t>习近平新时代中国特色社会主义思想作为首要政治任务，坚定践行习近平法治思想，贯彻落实习近平总书记关于政法队伍建设重要指示批示精神和中央、省委、州委安排部署，</w:t>
      </w:r>
      <w:r>
        <w:rPr>
          <w:rFonts w:hint="eastAsia" w:ascii="仿宋" w:hAnsi="仿宋" w:eastAsia="仿宋" w:cs="仿宋"/>
          <w:b w:val="0"/>
          <w:i w:val="0"/>
          <w:caps w:val="0"/>
          <w:color w:val="auto"/>
          <w:spacing w:val="0"/>
          <w:w w:val="100"/>
          <w:sz w:val="32"/>
          <w:szCs w:val="32"/>
          <w:highlight w:val="none"/>
          <w:lang w:val="en-US" w:eastAsia="zh-CN"/>
        </w:rPr>
        <w:t>从立法、执法、司法、守法各个环节靶向发力，</w:t>
      </w:r>
      <w:r>
        <w:rPr>
          <w:rFonts w:hint="eastAsia" w:ascii="仿宋" w:hAnsi="仿宋" w:eastAsia="仿宋" w:cs="仿宋"/>
          <w:b w:val="0"/>
          <w:i w:val="0"/>
          <w:caps w:val="0"/>
          <w:color w:val="auto"/>
          <w:spacing w:val="0"/>
          <w:w w:val="100"/>
          <w:sz w:val="32"/>
          <w:szCs w:val="32"/>
          <w:highlight w:val="none"/>
          <w:lang w:val="zh-TW" w:eastAsia="zh-CN"/>
        </w:rPr>
        <w:t>以强化政府法治建设工作为抓手，</w:t>
      </w:r>
      <w:r>
        <w:rPr>
          <w:rFonts w:hint="eastAsia" w:ascii="仿宋" w:hAnsi="仿宋" w:eastAsia="仿宋" w:cs="仿宋"/>
          <w:b w:val="0"/>
          <w:i w:val="0"/>
          <w:caps w:val="0"/>
          <w:color w:val="auto"/>
          <w:spacing w:val="0"/>
          <w:w w:val="100"/>
          <w:sz w:val="32"/>
          <w:szCs w:val="32"/>
          <w:highlight w:val="none"/>
          <w:lang w:val="en-US" w:eastAsia="zh-CN"/>
        </w:rPr>
        <w:t>为建设美丽生态和谐社会主义现代化新甘孜提供坚强法治保障</w:t>
      </w:r>
      <w:r>
        <w:rPr>
          <w:rFonts w:hint="eastAsia" w:ascii="仿宋" w:hAnsi="仿宋" w:eastAsia="仿宋" w:cs="仿宋"/>
          <w:b w:val="0"/>
          <w:i w:val="0"/>
          <w:caps w:val="0"/>
          <w:color w:val="auto"/>
          <w:spacing w:val="0"/>
          <w:w w:val="100"/>
          <w:sz w:val="32"/>
          <w:szCs w:val="32"/>
          <w:highlight w:val="none"/>
          <w:lang w:val="zh-TW" w:eastAsia="zh-CN"/>
        </w:rPr>
        <w:t>。</w:t>
      </w:r>
      <w:r>
        <w:rPr>
          <w:rFonts w:hint="eastAsia" w:ascii="仿宋" w:hAnsi="仿宋" w:eastAsia="仿宋" w:cs="仿宋"/>
          <w:b w:val="0"/>
          <w:bCs/>
          <w:i w:val="0"/>
          <w:caps w:val="0"/>
          <w:color w:val="000000" w:themeColor="text1"/>
          <w:spacing w:val="0"/>
          <w:w w:val="100"/>
          <w:position w:val="0"/>
          <w:sz w:val="32"/>
          <w:szCs w:val="32"/>
          <w:highlight w:val="none"/>
          <w:u w:val="none"/>
          <w:shd w:val="clear" w:color="auto" w:fill="auto"/>
          <w:lang w:val="zh-TW" w:eastAsia="zh-CN"/>
          <w14:textFill>
            <w14:solidFill>
              <w14:schemeClr w14:val="tx1"/>
            </w14:solidFill>
          </w14:textFill>
        </w:rPr>
        <w:t>年初申报项目预算资金</w:t>
      </w:r>
      <w:r>
        <w:rPr>
          <w:rFonts w:hint="eastAsia" w:ascii="仿宋" w:hAnsi="仿宋" w:eastAsia="仿宋" w:cs="仿宋"/>
          <w:b w:val="0"/>
          <w:bCs/>
          <w:i w:val="0"/>
          <w:caps w:val="0"/>
          <w:color w:val="000000" w:themeColor="text1"/>
          <w:spacing w:val="0"/>
          <w:w w:val="100"/>
          <w:position w:val="0"/>
          <w:sz w:val="32"/>
          <w:szCs w:val="32"/>
          <w:highlight w:val="none"/>
          <w:u w:val="none"/>
          <w:shd w:val="clear" w:color="auto" w:fill="auto"/>
          <w:lang w:val="en-US" w:eastAsia="zh-CN"/>
          <w14:textFill>
            <w14:solidFill>
              <w14:schemeClr w14:val="tx1"/>
            </w14:solidFill>
          </w14:textFill>
        </w:rPr>
        <w:t>19万元，财政批复预算资金19万元。</w:t>
      </w:r>
      <w:r>
        <w:rPr>
          <w:rFonts w:hint="eastAsia" w:ascii="仿宋" w:hAnsi="仿宋" w:eastAsia="仿宋" w:cs="仿宋"/>
          <w:b w:val="0"/>
          <w:i w:val="0"/>
          <w:caps w:val="0"/>
          <w:color w:val="000000" w:themeColor="text1"/>
          <w:spacing w:val="0"/>
          <w:w w:val="100"/>
          <w:kern w:val="0"/>
          <w:sz w:val="32"/>
          <w:szCs w:val="32"/>
          <w:highlight w:val="none"/>
          <w:lang w:val="en-US" w:eastAsia="zh-CN" w:bidi="ar"/>
          <w14:textFill>
            <w14:solidFill>
              <w14:schemeClr w14:val="tx1"/>
            </w14:solidFill>
          </w14:textFill>
        </w:rPr>
        <w:t>通过开展法治建设工作，夯实我州的法治基础，提升行政立法、行政执法水平，推进科学立法，加强法治政府建设，推进法治社会建设，全面开展市域治理工作，不断提高干部群众法律意识，全方位营造良好的法治氛围，维护社会稳定和谐。</w:t>
      </w:r>
      <w:r>
        <w:rPr>
          <w:rFonts w:hint="eastAsia" w:ascii="仿宋" w:hAnsi="仿宋" w:eastAsia="仿宋" w:cs="仿宋"/>
          <w:b w:val="0"/>
          <w:bCs/>
          <w:i w:val="0"/>
          <w:caps w:val="0"/>
          <w:color w:val="000000" w:themeColor="text1"/>
          <w:spacing w:val="0"/>
          <w:w w:val="100"/>
          <w:position w:val="0"/>
          <w:sz w:val="32"/>
          <w:szCs w:val="32"/>
          <w:highlight w:val="none"/>
          <w:u w:val="none"/>
          <w:shd w:val="clear" w:color="auto" w:fill="auto"/>
          <w:lang w:val="en-US" w:eastAsia="zh-CN"/>
          <w14:textFill>
            <w14:solidFill>
              <w14:schemeClr w14:val="tx1"/>
            </w14:solidFill>
          </w14:textFill>
        </w:rPr>
        <w:t>申报开展的制定《甘孜州法治政府建设实施方案（2021—2025年）》；组织召开甘孜州法治政府建设工作领导小组会等内容与法治建设工作总要求相符合</w:t>
      </w:r>
      <w:r>
        <w:rPr>
          <w:rFonts w:hint="eastAsia"/>
          <w:color w:val="000000"/>
          <w:spacing w:val="0"/>
          <w:w w:val="100"/>
          <w:position w:val="0"/>
          <w:highlight w:val="none"/>
          <w:lang w:val="en-US" w:eastAsia="zh-CN"/>
        </w:rPr>
        <w:t>。</w:t>
      </w:r>
    </w:p>
    <w:p w14:paraId="1635DEC1">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黑体" w:eastAsia="黑体" w:cs="黑体"/>
          <w:color w:val="000000"/>
          <w:spacing w:val="0"/>
          <w:w w:val="100"/>
          <w:position w:val="0"/>
          <w:highlight w:val="none"/>
        </w:rPr>
      </w:pPr>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p>
    <w:p w14:paraId="74340847">
      <w:pPr>
        <w:pStyle w:val="38"/>
        <w:keepNext w:val="0"/>
        <w:keepLines w:val="0"/>
        <w:widowControl w:val="0"/>
        <w:shd w:val="clear" w:color="auto" w:fill="auto"/>
        <w:tabs>
          <w:tab w:val="left" w:pos="1621"/>
        </w:tabs>
        <w:bidi w:val="0"/>
        <w:spacing w:before="0" w:beforeLines="0" w:after="0" w:afterLines="0" w:line="626" w:lineRule="exact"/>
        <w:ind w:left="0" w:leftChars="0" w:right="0" w:firstLine="640" w:firstLineChars="200"/>
        <w:jc w:val="both"/>
        <w:rPr>
          <w:rFonts w:hint="eastAsia" w:ascii="仿宋" w:hAnsi="仿宋" w:eastAsia="仿宋" w:cs="仿宋"/>
          <w:b w:val="0"/>
          <w:bCs/>
          <w:i w:val="0"/>
          <w:caps w:val="0"/>
          <w:color w:val="000000" w:themeColor="text1"/>
          <w:spacing w:val="0"/>
          <w:w w:val="100"/>
          <w:position w:val="0"/>
          <w:sz w:val="32"/>
          <w:szCs w:val="32"/>
          <w:highlight w:val="none"/>
          <w:u w:val="none"/>
          <w:shd w:val="clear" w:color="auto" w:fill="auto"/>
          <w:lang w:val="en-US" w:eastAsia="zh-CN"/>
          <w14:textFill>
            <w14:solidFill>
              <w14:schemeClr w14:val="tx1"/>
            </w14:solidFill>
          </w14:textFill>
        </w:rPr>
      </w:pPr>
      <w:r>
        <w:rPr>
          <w:rFonts w:hint="eastAsia" w:ascii="仿宋" w:hAnsi="仿宋" w:eastAsia="仿宋" w:cs="仿宋"/>
          <w:b w:val="0"/>
          <w:bCs/>
          <w:i w:val="0"/>
          <w:caps w:val="0"/>
          <w:color w:val="000000" w:themeColor="text1"/>
          <w:spacing w:val="0"/>
          <w:w w:val="100"/>
          <w:position w:val="0"/>
          <w:sz w:val="32"/>
          <w:szCs w:val="32"/>
          <w:highlight w:val="none"/>
          <w:u w:val="none"/>
          <w:shd w:val="clear" w:color="auto" w:fill="auto"/>
          <w:lang w:val="en-US" w:eastAsia="zh-CN"/>
          <w14:textFill>
            <w14:solidFill>
              <w14:schemeClr w14:val="tx1"/>
            </w14:solidFill>
          </w14:textFill>
        </w:rPr>
        <w:t>该项目资金预算于2023年22月及时到位（全部为本级财政资金）22万元，资金到位率100%。截止2023年12月实际支出22万元，支付依据均合规合法，且按年初预算指标支出，支出占比100%。</w:t>
      </w:r>
    </w:p>
    <w:p w14:paraId="6996AC73">
      <w:pPr>
        <w:pStyle w:val="38"/>
        <w:keepNext w:val="0"/>
        <w:keepLines w:val="0"/>
        <w:widowControl w:val="0"/>
        <w:numPr>
          <w:ilvl w:val="0"/>
          <w:numId w:val="0"/>
        </w:numPr>
        <w:shd w:val="clear" w:color="auto" w:fill="auto"/>
        <w:bidi w:val="0"/>
        <w:spacing w:before="0" w:beforeLines="0" w:after="0" w:afterLines="0" w:line="626" w:lineRule="exact"/>
        <w:ind w:right="0" w:rightChars="0" w:firstLine="640" w:firstLineChars="200"/>
        <w:jc w:val="both"/>
        <w:rPr>
          <w:highlight w:val="none"/>
        </w:rPr>
      </w:pPr>
      <w:r>
        <w:rPr>
          <w:rFonts w:hint="eastAsia" w:ascii="仿宋" w:hAnsi="仿宋" w:eastAsia="仿宋" w:cs="仿宋"/>
          <w:b w:val="0"/>
          <w:bCs/>
          <w:i w:val="0"/>
          <w:caps w:val="0"/>
          <w:color w:val="000000" w:themeColor="text1"/>
          <w:spacing w:val="0"/>
          <w:w w:val="100"/>
          <w:position w:val="0"/>
          <w:sz w:val="32"/>
          <w:szCs w:val="32"/>
          <w:highlight w:val="none"/>
          <w:u w:val="none"/>
          <w:shd w:val="clear" w:color="auto" w:fill="auto"/>
          <w:lang w:val="en-US" w:eastAsia="zh-CN"/>
          <w14:textFill>
            <w14:solidFill>
              <w14:schemeClr w14:val="tx1"/>
            </w14:solidFill>
          </w14:textFill>
        </w:rPr>
        <w:t>按照经费管理制度，加强对单位预算执行管理，完善项目资金使用审批手续，坚持先审批，后使用，确保专项资金专款专用，单设会计科目进行核算，以便准确掌握资金使用及管理情况，规范账务管理。</w:t>
      </w:r>
    </w:p>
    <w:p w14:paraId="69DCD7C2">
      <w:pPr>
        <w:pStyle w:val="38"/>
        <w:keepNext w:val="0"/>
        <w:keepLines w:val="0"/>
        <w:widowControl w:val="0"/>
        <w:numPr>
          <w:ilvl w:val="0"/>
          <w:numId w:val="0"/>
        </w:numPr>
        <w:shd w:val="clear" w:color="auto" w:fill="auto"/>
        <w:bidi w:val="0"/>
        <w:spacing w:before="0" w:beforeLines="0" w:after="0" w:afterLines="0" w:line="626" w:lineRule="exact"/>
        <w:ind w:right="0" w:rightChars="0" w:firstLine="640" w:firstLineChars="200"/>
        <w:jc w:val="both"/>
        <w:rPr>
          <w:rFonts w:hint="eastAsia" w:ascii="仿宋" w:hAnsi="仿宋" w:eastAsia="仿宋" w:cs="仿宋"/>
          <w:b w:val="0"/>
          <w:bCs/>
          <w:i w:val="0"/>
          <w:caps w:val="0"/>
          <w:color w:val="000000" w:themeColor="text1"/>
          <w:spacing w:val="0"/>
          <w:w w:val="100"/>
          <w:position w:val="0"/>
          <w:sz w:val="32"/>
          <w:szCs w:val="32"/>
          <w:highlight w:val="none"/>
          <w:u w:val="none"/>
          <w:shd w:val="clear" w:color="auto" w:fill="auto"/>
          <w:lang w:val="en-US" w:eastAsia="zh-CN"/>
          <w14:textFill>
            <w14:solidFill>
              <w14:schemeClr w14:val="tx1"/>
            </w14:solidFill>
          </w14:textFill>
        </w:rPr>
      </w:pPr>
      <w:r>
        <w:rPr>
          <w:rFonts w:hint="eastAsia" w:ascii="仿宋" w:hAnsi="仿宋" w:eastAsia="仿宋" w:cs="仿宋"/>
          <w:b w:val="0"/>
          <w:bCs/>
          <w:i w:val="0"/>
          <w:caps w:val="0"/>
          <w:color w:val="000000" w:themeColor="text1"/>
          <w:spacing w:val="0"/>
          <w:w w:val="100"/>
          <w:position w:val="0"/>
          <w:sz w:val="32"/>
          <w:szCs w:val="32"/>
          <w:highlight w:val="none"/>
          <w:u w:val="none"/>
          <w:shd w:val="clear" w:color="auto" w:fill="auto"/>
          <w:lang w:val="en-US" w:eastAsia="zh-CN"/>
          <w14:textFill>
            <w14:solidFill>
              <w14:schemeClr w14:val="tx1"/>
            </w14:solidFill>
          </w14:textFill>
        </w:rPr>
        <w:t>该项经费主要由单位法建科、执法监督科、立法审查备案科、监督科、行政复议科为主要的实施部门。根据年初工作安排及省、州相关工作要求，并有针对性的开展政府立法、执法、监督等工作，所产生的的经费严格按照经费管理制度使用，本年度未发生招标、政府采购等，主要用于以上相关业务工作产生的经费开支。</w:t>
      </w:r>
    </w:p>
    <w:p w14:paraId="2E51E081">
      <w:pPr>
        <w:pStyle w:val="47"/>
        <w:keepNext/>
        <w:keepLines/>
        <w:widowControl w:val="0"/>
        <w:shd w:val="clear" w:color="auto" w:fill="auto"/>
        <w:tabs>
          <w:tab w:val="left" w:pos="1261"/>
        </w:tabs>
        <w:bidi w:val="0"/>
        <w:spacing w:before="0" w:beforeLines="0" w:after="0" w:afterLines="0" w:line="630" w:lineRule="exact"/>
        <w:ind w:left="0" w:right="0" w:firstLine="640"/>
        <w:jc w:val="both"/>
        <w:rPr>
          <w:rFonts w:hint="eastAsia" w:ascii="黑体" w:hAnsi="黑体" w:eastAsia="黑体" w:cs="黑体"/>
          <w:sz w:val="32"/>
          <w:szCs w:val="32"/>
          <w:highlight w:val="none"/>
        </w:rPr>
      </w:pPr>
      <w:r>
        <w:rPr>
          <w:rFonts w:hint="eastAsia" w:ascii="黑体" w:hAnsi="黑体" w:eastAsia="黑体" w:cs="黑体"/>
          <w:color w:val="000000"/>
          <w:spacing w:val="0"/>
          <w:w w:val="100"/>
          <w:position w:val="0"/>
          <w:sz w:val="32"/>
          <w:szCs w:val="32"/>
          <w:highlight w:val="none"/>
        </w:rPr>
        <w:t>三、</w:t>
      </w:r>
      <w:r>
        <w:rPr>
          <w:rFonts w:hint="eastAsia" w:ascii="黑体" w:hAnsi="黑体" w:eastAsia="黑体" w:cs="黑体"/>
          <w:color w:val="000000"/>
          <w:spacing w:val="0"/>
          <w:w w:val="100"/>
          <w:position w:val="0"/>
          <w:sz w:val="32"/>
          <w:szCs w:val="32"/>
          <w:highlight w:val="none"/>
        </w:rPr>
        <w:tab/>
      </w:r>
      <w:r>
        <w:rPr>
          <w:rFonts w:hint="eastAsia" w:ascii="黑体" w:hAnsi="黑体" w:eastAsia="黑体" w:cs="黑体"/>
          <w:color w:val="000000"/>
          <w:spacing w:val="0"/>
          <w:w w:val="100"/>
          <w:position w:val="0"/>
          <w:sz w:val="32"/>
          <w:szCs w:val="32"/>
          <w:highlight w:val="none"/>
        </w:rPr>
        <w:t>项目绩效情况</w:t>
      </w:r>
    </w:p>
    <w:p w14:paraId="51071702">
      <w:pPr>
        <w:spacing w:before="101" w:line="372" w:lineRule="auto"/>
        <w:ind w:firstLine="636" w:firstLineChars="200"/>
        <w:rPr>
          <w:rFonts w:ascii="仿宋" w:hAnsi="仿宋" w:eastAsia="仿宋" w:cs="仿宋"/>
          <w:sz w:val="31"/>
          <w:szCs w:val="31"/>
        </w:rPr>
      </w:pPr>
      <w:r>
        <w:rPr>
          <w:rFonts w:ascii="仿宋" w:hAnsi="仿宋" w:eastAsia="仿宋" w:cs="仿宋"/>
          <w:spacing w:val="4"/>
          <w:sz w:val="31"/>
          <w:szCs w:val="31"/>
        </w:rPr>
        <w:t>加强法治建设目标、任务和工作载</w:t>
      </w:r>
      <w:r>
        <w:rPr>
          <w:rFonts w:ascii="仿宋" w:hAnsi="仿宋" w:eastAsia="仿宋" w:cs="仿宋"/>
          <w:spacing w:val="9"/>
          <w:sz w:val="31"/>
          <w:szCs w:val="31"/>
        </w:rPr>
        <w:t>体的统筹，制发《中共甘孜州委全面依法治州委员会</w:t>
      </w:r>
      <w:r>
        <w:rPr>
          <w:rFonts w:ascii="宋体" w:hAnsi="宋体" w:eastAsia="宋体" w:cs="宋体"/>
          <w:spacing w:val="9"/>
          <w:sz w:val="31"/>
          <w:szCs w:val="31"/>
        </w:rPr>
        <w:t>2023</w:t>
      </w:r>
      <w:r>
        <w:rPr>
          <w:rFonts w:ascii="宋体" w:hAnsi="宋体" w:eastAsia="宋体" w:cs="宋体"/>
          <w:spacing w:val="-53"/>
          <w:sz w:val="31"/>
          <w:szCs w:val="31"/>
        </w:rPr>
        <w:t xml:space="preserve"> </w:t>
      </w:r>
      <w:r>
        <w:rPr>
          <w:rFonts w:ascii="仿宋" w:hAnsi="仿宋" w:eastAsia="仿宋" w:cs="仿宋"/>
          <w:spacing w:val="9"/>
          <w:sz w:val="31"/>
          <w:szCs w:val="31"/>
        </w:rPr>
        <w:t>年工</w:t>
      </w:r>
      <w:r>
        <w:rPr>
          <w:rFonts w:ascii="仿宋" w:hAnsi="仿宋" w:eastAsia="仿宋" w:cs="仿宋"/>
          <w:spacing w:val="-2"/>
          <w:sz w:val="31"/>
          <w:szCs w:val="31"/>
        </w:rPr>
        <w:t>作要点》《甘孜州</w:t>
      </w:r>
      <w:r>
        <w:rPr>
          <w:rFonts w:ascii="仿宋" w:hAnsi="仿宋" w:eastAsia="仿宋" w:cs="仿宋"/>
          <w:spacing w:val="-42"/>
          <w:sz w:val="31"/>
          <w:szCs w:val="31"/>
        </w:rPr>
        <w:t xml:space="preserve"> </w:t>
      </w:r>
      <w:r>
        <w:rPr>
          <w:rFonts w:ascii="宋体" w:hAnsi="宋体" w:eastAsia="宋体" w:cs="宋体"/>
          <w:spacing w:val="-2"/>
          <w:sz w:val="31"/>
          <w:szCs w:val="31"/>
        </w:rPr>
        <w:t>2023</w:t>
      </w:r>
      <w:r>
        <w:rPr>
          <w:rFonts w:ascii="宋体" w:hAnsi="宋体" w:eastAsia="宋体" w:cs="宋体"/>
          <w:spacing w:val="-53"/>
          <w:sz w:val="31"/>
          <w:szCs w:val="31"/>
        </w:rPr>
        <w:t xml:space="preserve"> </w:t>
      </w:r>
      <w:r>
        <w:rPr>
          <w:rFonts w:ascii="仿宋" w:hAnsi="仿宋" w:eastAsia="仿宋" w:cs="仿宋"/>
          <w:spacing w:val="-2"/>
          <w:sz w:val="31"/>
          <w:szCs w:val="31"/>
        </w:rPr>
        <w:t>年法治政府建设重点工作安排》《甘孜州</w:t>
      </w:r>
      <w:r>
        <w:rPr>
          <w:rFonts w:ascii="仿宋" w:hAnsi="仿宋" w:eastAsia="仿宋" w:cs="仿宋"/>
          <w:spacing w:val="-1"/>
          <w:sz w:val="31"/>
          <w:szCs w:val="31"/>
        </w:rPr>
        <w:t>法治政府建设示范创建系列宣传实践活动方案</w:t>
      </w:r>
      <w:r>
        <w:rPr>
          <w:rFonts w:ascii="仿宋" w:hAnsi="仿宋" w:eastAsia="仿宋" w:cs="仿宋"/>
          <w:spacing w:val="-2"/>
          <w:sz w:val="31"/>
          <w:szCs w:val="31"/>
        </w:rPr>
        <w:t>》《甘孜州</w:t>
      </w:r>
      <w:r>
        <w:rPr>
          <w:rFonts w:ascii="仿宋" w:hAnsi="仿宋" w:eastAsia="仿宋" w:cs="仿宋"/>
          <w:spacing w:val="-59"/>
          <w:sz w:val="31"/>
          <w:szCs w:val="31"/>
        </w:rPr>
        <w:t xml:space="preserve"> </w:t>
      </w:r>
      <w:r>
        <w:rPr>
          <w:rFonts w:ascii="宋体" w:hAnsi="宋体" w:eastAsia="宋体" w:cs="宋体"/>
          <w:spacing w:val="-2"/>
          <w:sz w:val="31"/>
          <w:szCs w:val="31"/>
        </w:rPr>
        <w:t>2023</w:t>
      </w:r>
      <w:r>
        <w:rPr>
          <w:rFonts w:ascii="宋体" w:hAnsi="宋体" w:eastAsia="宋体" w:cs="宋体"/>
          <w:spacing w:val="-56"/>
          <w:sz w:val="31"/>
          <w:szCs w:val="31"/>
        </w:rPr>
        <w:t xml:space="preserve"> </w:t>
      </w:r>
      <w:r>
        <w:rPr>
          <w:rFonts w:ascii="仿宋" w:hAnsi="仿宋" w:eastAsia="仿宋" w:cs="仿宋"/>
          <w:spacing w:val="-2"/>
          <w:sz w:val="31"/>
          <w:szCs w:val="31"/>
        </w:rPr>
        <w:t>年全覆盖法治宣讲</w:t>
      </w:r>
      <w:r>
        <w:rPr>
          <w:rFonts w:ascii="仿宋" w:hAnsi="仿宋" w:eastAsia="仿宋" w:cs="仿宋"/>
          <w:spacing w:val="-97"/>
          <w:sz w:val="31"/>
          <w:szCs w:val="31"/>
        </w:rPr>
        <w:t xml:space="preserve"> </w:t>
      </w:r>
      <w:r>
        <w:rPr>
          <w:rFonts w:ascii="仿宋" w:hAnsi="仿宋" w:eastAsia="仿宋" w:cs="仿宋"/>
          <w:spacing w:val="-2"/>
          <w:sz w:val="31"/>
          <w:szCs w:val="31"/>
        </w:rPr>
        <w:t>“浸润”行动方案》《“动漫说法 甘孜行”专项</w:t>
      </w:r>
      <w:r>
        <w:rPr>
          <w:rFonts w:ascii="仿宋" w:hAnsi="仿宋" w:eastAsia="仿宋" w:cs="仿宋"/>
          <w:spacing w:val="3"/>
          <w:sz w:val="31"/>
          <w:szCs w:val="31"/>
        </w:rPr>
        <w:t>普法活动方案》，为甘孜法治建设工作提供制度保障。</w:t>
      </w:r>
      <w:r>
        <w:rPr>
          <w:rFonts w:hint="eastAsia" w:ascii="仿宋" w:hAnsi="仿宋" w:eastAsia="仿宋" w:cs="仿宋"/>
          <w:b w:val="0"/>
          <w:bCs/>
          <w:i w:val="0"/>
          <w:caps w:val="0"/>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坚持在示范创建上用力，分解落实8个方面17 项工作任务，成立州委、州政府主要领导为组长的法治政府示范州创建工作领导小组。组织开展省级示范创建项目培育工作，征集综合创建项目8 个、单项示范创建项目17个。初步确定选树九龙、丹巴县综合类创建项目，州发改委、丹巴县人民法院 2个单项创建项目并作为创评第三批全国法治政府建设示范创建单项项目进行重点培育。组织开展31个州级部门、18个县（市）参加的“甘孜州法治政府建设示范创建知识竞赛”。坚持在关键少数上给力，坚持扭住领导干部这个“关键少数”，将学习党的</w:t>
      </w:r>
      <w:r>
        <w:rPr>
          <w:rFonts w:ascii="仿宋" w:hAnsi="仿宋" w:eastAsia="仿宋" w:cs="仿宋"/>
          <w:spacing w:val="1"/>
          <w:sz w:val="30"/>
          <w:szCs w:val="30"/>
        </w:rPr>
        <w:t>二十大精神和习近平法治思想</w:t>
      </w:r>
      <w:r>
        <w:rPr>
          <w:rFonts w:ascii="仿宋" w:hAnsi="仿宋" w:eastAsia="仿宋" w:cs="仿宋"/>
          <w:spacing w:val="11"/>
          <w:sz w:val="30"/>
          <w:szCs w:val="30"/>
        </w:rPr>
        <w:t>作为党委理论中心组重点学习内容，制定《州委中心学习组</w:t>
      </w:r>
      <w:r>
        <w:rPr>
          <w:rFonts w:ascii="宋体" w:hAnsi="宋体" w:eastAsia="宋体" w:cs="宋体"/>
          <w:spacing w:val="11"/>
          <w:sz w:val="30"/>
          <w:szCs w:val="30"/>
        </w:rPr>
        <w:t>2023</w:t>
      </w:r>
      <w:r>
        <w:rPr>
          <w:rFonts w:ascii="仿宋" w:hAnsi="仿宋" w:eastAsia="仿宋" w:cs="仿宋"/>
          <w:spacing w:val="14"/>
          <w:sz w:val="30"/>
          <w:szCs w:val="30"/>
        </w:rPr>
        <w:t>年度理论学习安排意见》《州政府常务会会前学法年度计划》，</w:t>
      </w:r>
      <w:r>
        <w:rPr>
          <w:rFonts w:ascii="仿宋" w:hAnsi="仿宋" w:eastAsia="仿宋" w:cs="仿宋"/>
          <w:spacing w:val="8"/>
          <w:sz w:val="31"/>
          <w:szCs w:val="31"/>
        </w:rPr>
        <w:t>协调开展州政府会前学法</w:t>
      </w:r>
      <w:r>
        <w:rPr>
          <w:rFonts w:ascii="宋体" w:hAnsi="宋体" w:eastAsia="宋体" w:cs="宋体"/>
          <w:spacing w:val="8"/>
          <w:sz w:val="31"/>
          <w:szCs w:val="31"/>
        </w:rPr>
        <w:t>1</w:t>
      </w:r>
      <w:r>
        <w:rPr>
          <w:rFonts w:hint="eastAsia" w:ascii="宋体" w:hAnsi="宋体" w:cs="宋体"/>
          <w:spacing w:val="8"/>
          <w:sz w:val="31"/>
          <w:szCs w:val="31"/>
          <w:lang w:val="en-US" w:eastAsia="zh-CN"/>
        </w:rPr>
        <w:t>7</w:t>
      </w:r>
      <w:r>
        <w:rPr>
          <w:rFonts w:ascii="宋体" w:hAnsi="宋体" w:eastAsia="宋体" w:cs="宋体"/>
          <w:spacing w:val="-47"/>
          <w:sz w:val="31"/>
          <w:szCs w:val="31"/>
        </w:rPr>
        <w:t xml:space="preserve"> </w:t>
      </w:r>
      <w:r>
        <w:rPr>
          <w:rFonts w:ascii="仿宋" w:hAnsi="仿宋" w:eastAsia="仿宋" w:cs="仿宋"/>
          <w:spacing w:val="8"/>
          <w:sz w:val="31"/>
          <w:szCs w:val="31"/>
        </w:rPr>
        <w:t>次。全面组织开展国家工作人员学</w:t>
      </w:r>
      <w:r>
        <w:rPr>
          <w:rFonts w:ascii="仿宋" w:hAnsi="仿宋" w:eastAsia="仿宋" w:cs="仿宋"/>
          <w:spacing w:val="-3"/>
          <w:sz w:val="31"/>
          <w:szCs w:val="31"/>
        </w:rPr>
        <w:t>法考法。</w:t>
      </w:r>
    </w:p>
    <w:p w14:paraId="28D683CD">
      <w:pPr>
        <w:pStyle w:val="9"/>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14:paraId="6856180C">
      <w:pPr>
        <w:pStyle w:val="38"/>
        <w:keepNext w:val="0"/>
        <w:keepLines w:val="0"/>
        <w:widowControl w:val="0"/>
        <w:shd w:val="clear" w:color="auto" w:fill="auto"/>
        <w:tabs>
          <w:tab w:val="left" w:pos="1621"/>
        </w:tabs>
        <w:bidi w:val="0"/>
        <w:spacing w:before="0" w:beforeLines="0" w:after="0" w:afterLines="0" w:line="626" w:lineRule="exact"/>
        <w:ind w:left="0" w:leftChars="0" w:right="0" w:firstLine="320" w:firstLineChars="100"/>
        <w:jc w:val="both"/>
        <w:rPr>
          <w:rFonts w:hint="eastAsia" w:ascii="仿宋" w:hAnsi="仿宋" w:eastAsia="仿宋" w:cs="仿宋"/>
          <w:b w:val="0"/>
          <w:i w:val="0"/>
          <w:caps w:val="0"/>
          <w:color w:val="000000" w:themeColor="text1"/>
          <w:spacing w:val="0"/>
          <w:w w:val="100"/>
          <w:kern w:val="0"/>
          <w:sz w:val="32"/>
          <w:szCs w:val="32"/>
          <w:highlight w:val="none"/>
          <w:lang w:val="en-US" w:eastAsia="zh-CN" w:bidi="ar"/>
          <w14:textFill>
            <w14:solidFill>
              <w14:schemeClr w14:val="tx1"/>
            </w14:solidFill>
          </w14:textFill>
        </w:rPr>
      </w:pPr>
      <w:r>
        <w:rPr>
          <w:rFonts w:hint="eastAsia" w:ascii="仿宋" w:hAnsi="仿宋" w:eastAsia="仿宋" w:cs="仿宋"/>
          <w:b w:val="0"/>
          <w:i w:val="0"/>
          <w:caps w:val="0"/>
          <w:color w:val="000000" w:themeColor="text1"/>
          <w:spacing w:val="0"/>
          <w:w w:val="100"/>
          <w:kern w:val="0"/>
          <w:sz w:val="32"/>
          <w:szCs w:val="32"/>
          <w:highlight w:val="none"/>
          <w:lang w:val="en-US" w:eastAsia="zh-CN" w:bidi="ar"/>
          <w14:textFill>
            <w14:solidFill>
              <w14:schemeClr w14:val="tx1"/>
            </w14:solidFill>
          </w14:textFill>
        </w:rPr>
        <w:t>通过开展法治建设工作，夯实了法治甘孜的基层基础，提升了行政立法、行政执法、行政监督水平，有力促进了科学立法，规范执法建设，推进法治社会建设，提高了干部群众法律意识，营造了良好的法治氛围，维护社会稳定和谐。</w:t>
      </w:r>
    </w:p>
    <w:p w14:paraId="6121BE14">
      <w:pPr>
        <w:pStyle w:val="9"/>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eastAsia="黑体" w:cs="Times New Roman"/>
          <w:color w:val="auto"/>
          <w:sz w:val="32"/>
          <w:szCs w:val="32"/>
          <w:highlight w:val="none"/>
          <w:u w:val="none"/>
          <w:lang w:eastAsia="zh-CN"/>
        </w:rPr>
        <w:t>五、存在主要问题</w:t>
      </w:r>
    </w:p>
    <w:p w14:paraId="46A60A12">
      <w:pPr>
        <w:pStyle w:val="38"/>
        <w:keepNext w:val="0"/>
        <w:keepLines w:val="0"/>
        <w:widowControl w:val="0"/>
        <w:shd w:val="clear" w:color="auto" w:fill="auto"/>
        <w:tabs>
          <w:tab w:val="left" w:pos="1598"/>
        </w:tabs>
        <w:bidi w:val="0"/>
        <w:spacing w:before="0" w:beforeLines="0" w:after="0" w:afterLines="0" w:line="630" w:lineRule="exact"/>
        <w:ind w:left="0" w:leftChars="0" w:right="0" w:firstLine="640" w:firstLineChars="200"/>
        <w:jc w:val="left"/>
        <w:rPr>
          <w:rFonts w:hint="eastAsia" w:ascii="仿宋" w:hAnsi="仿宋" w:eastAsia="仿宋" w:cs="仿宋"/>
          <w:b w:val="0"/>
          <w:bCs w:val="0"/>
          <w:i w:val="0"/>
          <w:caps w:val="0"/>
          <w:color w:val="000000" w:themeColor="text1"/>
          <w:spacing w:val="0"/>
          <w:w w:val="100"/>
          <w:kern w:val="2"/>
          <w:sz w:val="32"/>
          <w:szCs w:val="32"/>
          <w:highlight w:val="none"/>
          <w:u w:val="none"/>
          <w:shd w:val="clear"/>
          <w:lang w:val="en-US" w:eastAsia="zh-CN" w:bidi="ar-SA"/>
          <w14:textFill>
            <w14:solidFill>
              <w14:schemeClr w14:val="tx1"/>
            </w14:solidFill>
          </w14:textFill>
        </w:rPr>
      </w:pPr>
      <w:r>
        <w:rPr>
          <w:rFonts w:hint="eastAsia" w:ascii="仿宋" w:hAnsi="仿宋" w:eastAsia="仿宋" w:cs="仿宋"/>
          <w:b w:val="0"/>
          <w:bCs w:val="0"/>
          <w:i w:val="0"/>
          <w:caps w:val="0"/>
          <w:color w:val="000000" w:themeColor="text1"/>
          <w:spacing w:val="0"/>
          <w:w w:val="100"/>
          <w:kern w:val="2"/>
          <w:sz w:val="32"/>
          <w:szCs w:val="32"/>
          <w:highlight w:val="none"/>
          <w:u w:val="none"/>
          <w:shd w:val="clear"/>
          <w:lang w:val="en-US" w:eastAsia="zh-CN" w:bidi="ar-SA"/>
          <w14:textFill>
            <w14:solidFill>
              <w14:schemeClr w14:val="tx1"/>
            </w14:solidFill>
          </w14:textFill>
        </w:rPr>
        <w:t>基层政务服务流程不够优化、重大行政决策法定程序落实不够精准、行政执法程序和方式不够规范、行政权力制约监督机制不够完善等。</w:t>
      </w:r>
    </w:p>
    <w:p w14:paraId="62A88E96">
      <w:pPr>
        <w:pStyle w:val="9"/>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14:paraId="42132D2F">
      <w:pPr>
        <w:pStyle w:val="38"/>
        <w:keepNext w:val="0"/>
        <w:keepLines w:val="0"/>
        <w:widowControl w:val="0"/>
        <w:shd w:val="clear" w:color="auto" w:fill="auto"/>
        <w:tabs>
          <w:tab w:val="left" w:pos="1598"/>
        </w:tabs>
        <w:bidi w:val="0"/>
        <w:spacing w:before="0" w:beforeLines="0" w:after="0" w:afterLines="0" w:line="630" w:lineRule="exact"/>
        <w:ind w:left="0" w:leftChars="0" w:right="0" w:firstLine="640" w:firstLineChars="200"/>
        <w:jc w:val="left"/>
        <w:rPr>
          <w:highlight w:val="none"/>
        </w:rPr>
      </w:pPr>
      <w:r>
        <w:rPr>
          <w:rFonts w:hint="eastAsia" w:ascii="仿宋" w:hAnsi="仿宋" w:eastAsia="仿宋" w:cs="仿宋"/>
          <w:b w:val="0"/>
          <w:bCs w:val="0"/>
          <w:i w:val="0"/>
          <w:caps w:val="0"/>
          <w:color w:val="000000" w:themeColor="text1"/>
          <w:spacing w:val="0"/>
          <w:w w:val="100"/>
          <w:kern w:val="2"/>
          <w:sz w:val="32"/>
          <w:szCs w:val="32"/>
          <w:highlight w:val="none"/>
          <w:u w:val="none"/>
          <w:shd w:val="clear"/>
          <w:lang w:val="en-US" w:eastAsia="zh-CN" w:bidi="ar-SA"/>
          <w14:textFill>
            <w14:solidFill>
              <w14:schemeClr w14:val="tx1"/>
            </w14:solidFill>
          </w14:textFill>
        </w:rPr>
        <w:t>根据绩效评价结果，适当增加相关人员及经费，强有效推动工作，充分发挥政府法治建设促发展的助推作用。</w:t>
      </w:r>
    </w:p>
    <w:p w14:paraId="49E03902">
      <w:pPr>
        <w:pStyle w:val="3"/>
        <w:rPr>
          <w:highlight w:val="none"/>
        </w:rPr>
      </w:pPr>
    </w:p>
    <w:p w14:paraId="3735F2AD">
      <w:pPr>
        <w:rPr>
          <w:highlight w:val="none"/>
        </w:rPr>
      </w:pPr>
    </w:p>
    <w:p w14:paraId="661315F4">
      <w:pPr>
        <w:pStyle w:val="3"/>
        <w:rPr>
          <w:highlight w:val="none"/>
        </w:rPr>
      </w:pPr>
    </w:p>
    <w:p w14:paraId="5770A442"/>
    <w:p w14:paraId="21CAB6DF">
      <w:pPr>
        <w:pStyle w:val="3"/>
        <w:ind w:left="0" w:leftChars="0" w:firstLine="0" w:firstLineChars="0"/>
      </w:pPr>
    </w:p>
    <w:p w14:paraId="6B6D16D1">
      <w:pPr>
        <w:pStyle w:val="3"/>
        <w:ind w:left="0" w:leftChars="0" w:firstLine="0" w:firstLineChars="0"/>
      </w:pPr>
    </w:p>
    <w:p w14:paraId="2004B73E">
      <w:pPr>
        <w:pStyle w:val="3"/>
        <w:ind w:left="0" w:leftChars="0" w:firstLine="0" w:firstLineChars="0"/>
      </w:pPr>
    </w:p>
    <w:p w14:paraId="155262E7">
      <w:pPr>
        <w:pStyle w:val="3"/>
        <w:ind w:left="0" w:leftChars="0" w:firstLine="0" w:firstLineChars="0"/>
      </w:pPr>
    </w:p>
    <w:p w14:paraId="6E6E84F0">
      <w:pPr>
        <w:pStyle w:val="38"/>
        <w:keepNext w:val="0"/>
        <w:keepLines w:val="0"/>
        <w:widowControl w:val="0"/>
        <w:shd w:val="clear" w:color="auto" w:fill="auto"/>
        <w:bidi w:val="0"/>
        <w:spacing w:before="0" w:beforeLines="0" w:after="580" w:afterLines="0" w:line="626" w:lineRule="exact"/>
        <w:ind w:left="0" w:right="0" w:firstLine="0"/>
        <w:jc w:val="center"/>
        <w:rPr>
          <w:rFonts w:hint="eastAsia" w:ascii="方正小标宋简体" w:hAnsi="方正小标宋简体" w:eastAsia="方正小标宋简体" w:cs="方正小标宋简体"/>
          <w:color w:val="auto"/>
          <w:kern w:val="2"/>
          <w:sz w:val="44"/>
          <w:szCs w:val="44"/>
          <w:highlight w:val="none"/>
          <w:lang w:val="en-US" w:eastAsia="zh-CN"/>
        </w:rPr>
      </w:pPr>
    </w:p>
    <w:p w14:paraId="7DAD66E5">
      <w:pPr>
        <w:pStyle w:val="38"/>
        <w:keepNext w:val="0"/>
        <w:keepLines w:val="0"/>
        <w:widowControl w:val="0"/>
        <w:shd w:val="clear" w:color="auto" w:fill="auto"/>
        <w:bidi w:val="0"/>
        <w:spacing w:before="0" w:beforeLines="0" w:after="580" w:afterLines="0" w:line="626" w:lineRule="exact"/>
        <w:ind w:left="0" w:right="0" w:firstLine="0"/>
        <w:jc w:val="center"/>
        <w:rPr>
          <w:rFonts w:hint="eastAsia" w:ascii="方正小标宋简体" w:hAnsi="方正小标宋简体" w:eastAsia="方正小标宋简体" w:cs="方正小标宋简体"/>
          <w:color w:val="auto"/>
          <w:kern w:val="2"/>
          <w:sz w:val="44"/>
          <w:szCs w:val="44"/>
          <w:highlight w:val="none"/>
          <w:lang w:val="en-US" w:eastAsia="zh-CN"/>
        </w:rPr>
      </w:pPr>
    </w:p>
    <w:p w14:paraId="52B3DD1A">
      <w:pPr>
        <w:pStyle w:val="38"/>
        <w:keepNext w:val="0"/>
        <w:keepLines w:val="0"/>
        <w:widowControl w:val="0"/>
        <w:shd w:val="clear" w:color="auto" w:fill="auto"/>
        <w:bidi w:val="0"/>
        <w:spacing w:before="0" w:beforeLines="0" w:after="580" w:afterLines="0" w:line="626" w:lineRule="exact"/>
        <w:ind w:left="0" w:right="0" w:firstLine="0"/>
        <w:jc w:val="center"/>
        <w:rPr>
          <w:rFonts w:hint="eastAsia" w:ascii="方正小标宋简体" w:hAnsi="方正小标宋简体" w:eastAsia="方正小标宋简体" w:cs="方正小标宋简体"/>
          <w:color w:val="auto"/>
          <w:kern w:val="2"/>
          <w:sz w:val="44"/>
          <w:szCs w:val="44"/>
          <w:highlight w:val="none"/>
          <w:lang w:val="en-US" w:eastAsia="zh-CN"/>
        </w:rPr>
      </w:pPr>
    </w:p>
    <w:p w14:paraId="367DCCDA">
      <w:pPr>
        <w:pStyle w:val="38"/>
        <w:keepNext w:val="0"/>
        <w:keepLines w:val="0"/>
        <w:widowControl w:val="0"/>
        <w:shd w:val="clear" w:color="auto" w:fill="auto"/>
        <w:bidi w:val="0"/>
        <w:spacing w:before="0" w:beforeLines="0" w:after="580" w:afterLines="0" w:line="626" w:lineRule="exact"/>
        <w:ind w:left="0" w:right="0" w:firstLine="0"/>
        <w:jc w:val="center"/>
        <w:rPr>
          <w:rFonts w:hint="eastAsia" w:ascii="方正小标宋简体" w:hAnsi="方正小标宋简体" w:eastAsia="方正小标宋简体" w:cs="方正小标宋简体"/>
          <w:color w:val="auto"/>
          <w:kern w:val="2"/>
          <w:sz w:val="44"/>
          <w:szCs w:val="44"/>
          <w:highlight w:val="none"/>
          <w:lang w:val="en-US" w:eastAsia="zh-CN"/>
        </w:rPr>
      </w:pPr>
    </w:p>
    <w:p w14:paraId="580D49FB">
      <w:pPr>
        <w:pStyle w:val="38"/>
        <w:keepNext w:val="0"/>
        <w:keepLines w:val="0"/>
        <w:widowControl w:val="0"/>
        <w:shd w:val="clear" w:color="auto" w:fill="auto"/>
        <w:bidi w:val="0"/>
        <w:spacing w:before="0" w:beforeLines="0" w:after="580" w:afterLines="0" w:line="626" w:lineRule="exact"/>
        <w:ind w:left="0" w:right="0" w:firstLine="0"/>
        <w:jc w:val="center"/>
        <w:rPr>
          <w:rFonts w:hint="eastAsia" w:ascii="方正小标宋简体" w:hAnsi="方正小标宋简体" w:eastAsia="方正小标宋简体" w:cs="方正小标宋简体"/>
          <w:color w:val="auto"/>
          <w:kern w:val="2"/>
          <w:sz w:val="44"/>
          <w:szCs w:val="44"/>
          <w:highlight w:val="none"/>
          <w:lang w:val="en-US" w:eastAsia="zh-CN"/>
        </w:rPr>
      </w:pPr>
    </w:p>
    <w:p w14:paraId="3731534A">
      <w:pPr>
        <w:pStyle w:val="38"/>
        <w:keepNext w:val="0"/>
        <w:keepLines w:val="0"/>
        <w:widowControl w:val="0"/>
        <w:shd w:val="clear" w:color="auto" w:fill="auto"/>
        <w:bidi w:val="0"/>
        <w:spacing w:before="0" w:beforeLines="0" w:after="580" w:afterLines="0" w:line="626" w:lineRule="exact"/>
        <w:ind w:left="0" w:right="0" w:firstLine="0"/>
        <w:jc w:val="center"/>
        <w:rPr>
          <w:rFonts w:hint="eastAsia" w:ascii="方正小标宋简体" w:hAnsi="方正小标宋简体" w:eastAsia="方正小标宋简体" w:cs="方正小标宋简体"/>
          <w:color w:val="auto"/>
          <w:kern w:val="2"/>
          <w:sz w:val="44"/>
          <w:szCs w:val="44"/>
          <w:highlight w:val="none"/>
          <w:lang w:val="en-US" w:eastAsia="zh-CN"/>
        </w:rPr>
      </w:pPr>
    </w:p>
    <w:p w14:paraId="2AC5A14A">
      <w:pPr>
        <w:pStyle w:val="38"/>
        <w:keepNext w:val="0"/>
        <w:keepLines w:val="0"/>
        <w:widowControl w:val="0"/>
        <w:shd w:val="clear" w:color="auto" w:fill="auto"/>
        <w:bidi w:val="0"/>
        <w:spacing w:before="0" w:beforeLines="0" w:after="580" w:afterLines="0" w:line="626" w:lineRule="exact"/>
        <w:ind w:left="0" w:right="0" w:firstLine="0"/>
        <w:jc w:val="center"/>
        <w:rPr>
          <w:rFonts w:hint="eastAsia" w:ascii="方正小标宋简体" w:hAnsi="方正小标宋简体" w:eastAsia="方正小标宋简体" w:cs="方正小标宋简体"/>
          <w:color w:val="auto"/>
          <w:kern w:val="2"/>
          <w:sz w:val="44"/>
          <w:szCs w:val="44"/>
          <w:highlight w:val="none"/>
          <w:lang w:val="en-US" w:eastAsia="zh-CN"/>
        </w:rPr>
      </w:pPr>
    </w:p>
    <w:p w14:paraId="773F9C3D">
      <w:pPr>
        <w:pStyle w:val="38"/>
        <w:keepNext w:val="0"/>
        <w:keepLines w:val="0"/>
        <w:widowControl w:val="0"/>
        <w:shd w:val="clear" w:color="auto" w:fill="auto"/>
        <w:bidi w:val="0"/>
        <w:spacing w:before="0" w:beforeLines="0" w:after="580" w:afterLines="0" w:line="626" w:lineRule="exact"/>
        <w:ind w:left="0" w:right="0" w:firstLine="0"/>
        <w:jc w:val="center"/>
        <w:rPr>
          <w:rFonts w:hint="eastAsia" w:ascii="方正小标宋简体" w:hAnsi="方正小标宋简体" w:eastAsia="方正小标宋简体" w:cs="方正小标宋简体"/>
          <w:color w:val="auto"/>
          <w:kern w:val="2"/>
          <w:sz w:val="44"/>
          <w:szCs w:val="44"/>
          <w:highlight w:val="none"/>
          <w:lang w:val="en-US" w:eastAsia="zh-CN"/>
        </w:rPr>
      </w:pPr>
    </w:p>
    <w:p w14:paraId="15BEF715">
      <w:pPr>
        <w:pStyle w:val="38"/>
        <w:keepNext w:val="0"/>
        <w:keepLines w:val="0"/>
        <w:widowControl w:val="0"/>
        <w:shd w:val="clear" w:color="auto" w:fill="auto"/>
        <w:bidi w:val="0"/>
        <w:spacing w:before="0" w:beforeLines="0" w:after="580" w:afterLines="0" w:line="626" w:lineRule="exact"/>
        <w:ind w:left="0" w:right="0" w:firstLine="1760" w:firstLineChars="400"/>
        <w:jc w:val="both"/>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专项预算项目绩效评价报告</w:t>
      </w:r>
    </w:p>
    <w:p w14:paraId="4D01DCB7">
      <w:pPr>
        <w:pStyle w:val="38"/>
        <w:keepNext w:val="0"/>
        <w:keepLines w:val="0"/>
        <w:widowControl w:val="0"/>
        <w:shd w:val="clear" w:color="auto" w:fill="auto"/>
        <w:bidi w:val="0"/>
        <w:spacing w:before="0" w:beforeLines="0" w:after="580" w:afterLines="0" w:line="626" w:lineRule="exact"/>
        <w:ind w:left="0" w:right="0" w:firstLine="0"/>
        <w:jc w:val="center"/>
      </w:pPr>
      <w:r>
        <w:rPr>
          <w:color w:val="000000"/>
          <w:spacing w:val="0"/>
          <w:w w:val="100"/>
          <w:position w:val="0"/>
          <w:sz w:val="32"/>
          <w:szCs w:val="32"/>
        </w:rPr>
        <w:t>（</w:t>
      </w:r>
      <w:r>
        <w:rPr>
          <w:rFonts w:hint="eastAsia"/>
          <w:color w:val="000000"/>
          <w:spacing w:val="0"/>
          <w:w w:val="100"/>
          <w:position w:val="0"/>
          <w:sz w:val="32"/>
          <w:szCs w:val="32"/>
          <w:lang w:val="en-US" w:eastAsia="zh-CN"/>
        </w:rPr>
        <w:t>信息化建设</w:t>
      </w:r>
      <w:r>
        <w:rPr>
          <w:color w:val="000000"/>
          <w:spacing w:val="0"/>
          <w:w w:val="100"/>
          <w:position w:val="0"/>
          <w:sz w:val="32"/>
          <w:szCs w:val="32"/>
        </w:rPr>
        <w:t>项目）</w:t>
      </w:r>
    </w:p>
    <w:p w14:paraId="1F174C2F">
      <w:pPr>
        <w:pStyle w:val="47"/>
        <w:keepNext/>
        <w:keepLines/>
        <w:widowControl w:val="0"/>
        <w:shd w:val="clear" w:color="auto" w:fill="auto"/>
        <w:bidi w:val="0"/>
        <w:spacing w:before="0" w:beforeLines="0" w:after="0" w:afterLines="0" w:line="626" w:lineRule="exact"/>
        <w:ind w:left="0" w:right="0" w:firstLine="620"/>
        <w:jc w:val="both"/>
        <w:rPr>
          <w:rFonts w:hint="eastAsia" w:ascii="黑体" w:hAnsi="黑体" w:eastAsia="黑体" w:cs="黑体"/>
          <w:color w:val="000000"/>
          <w:spacing w:val="0"/>
          <w:w w:val="100"/>
          <w:position w:val="0"/>
          <w:highlight w:val="none"/>
        </w:rPr>
      </w:pPr>
      <w:r>
        <w:rPr>
          <w:rFonts w:hint="eastAsia" w:ascii="黑体" w:hAnsi="黑体" w:eastAsia="黑体" w:cs="黑体"/>
          <w:color w:val="000000"/>
          <w:spacing w:val="0"/>
          <w:w w:val="100"/>
          <w:position w:val="0"/>
          <w:highlight w:val="none"/>
        </w:rPr>
        <w:t>—、项目概况</w:t>
      </w:r>
    </w:p>
    <w:p w14:paraId="5A92AFC0">
      <w:pPr>
        <w:pStyle w:val="47"/>
        <w:keepNext/>
        <w:keepLines/>
        <w:widowControl w:val="0"/>
        <w:shd w:val="clear" w:color="auto" w:fill="auto"/>
        <w:bidi w:val="0"/>
        <w:spacing w:before="0" w:beforeLines="0" w:after="0" w:afterLines="0" w:line="626" w:lineRule="exact"/>
        <w:ind w:left="0" w:right="0" w:firstLine="620"/>
        <w:jc w:val="both"/>
        <w:rPr>
          <w:rFonts w:hint="eastAsia"/>
          <w:color w:val="000000"/>
          <w:spacing w:val="0"/>
          <w:w w:val="100"/>
          <w:position w:val="0"/>
          <w:lang w:val="en-US" w:eastAsia="zh-CN"/>
        </w:rPr>
      </w:pPr>
      <w:r>
        <w:rPr>
          <w:rFonts w:hint="eastAsia" w:ascii="仿宋" w:hAnsi="仿宋" w:eastAsia="仿宋" w:cs="仿宋"/>
          <w:b w:val="0"/>
          <w:i w:val="0"/>
          <w:caps w:val="0"/>
          <w:color w:val="auto"/>
          <w:spacing w:val="0"/>
          <w:w w:val="100"/>
          <w:sz w:val="32"/>
          <w:szCs w:val="32"/>
          <w:highlight w:val="none"/>
          <w:lang w:val="en-US" w:eastAsia="zh-CN"/>
        </w:rPr>
        <w:t xml:space="preserve"> 该项目以</w:t>
      </w:r>
      <w:r>
        <w:rPr>
          <w:rFonts w:hint="eastAsia" w:ascii="仿宋" w:hAnsi="仿宋" w:eastAsia="仿宋" w:cs="仿宋"/>
          <w:b w:val="0"/>
          <w:i w:val="0"/>
          <w:caps w:val="0"/>
          <w:color w:val="auto"/>
          <w:spacing w:val="0"/>
          <w:w w:val="100"/>
          <w:kern w:val="0"/>
          <w:sz w:val="32"/>
          <w:szCs w:val="32"/>
          <w:highlight w:val="none"/>
          <w:lang w:val="en-US" w:eastAsia="zh-CN" w:bidi="ar"/>
        </w:rPr>
        <w:t>习近平新时代中国特色社会主义思想作为首要政治任务，坚定践行习近平法治思想，贯彻落实习近平总书记关于政法队伍建设重要指示批示精神和中央、省委、州委安排部署，以</w:t>
      </w:r>
      <w:r>
        <w:rPr>
          <w:rFonts w:hint="eastAsia" w:ascii="仿宋" w:hAnsi="仿宋" w:eastAsia="仿宋" w:cs="仿宋"/>
          <w:b w:val="0"/>
          <w:i w:val="0"/>
          <w:caps w:val="0"/>
          <w:color w:val="auto"/>
          <w:spacing w:val="0"/>
          <w:w w:val="100"/>
          <w:sz w:val="32"/>
          <w:szCs w:val="32"/>
          <w:highlight w:val="none"/>
          <w:lang w:val="en-US" w:eastAsia="zh-CN"/>
        </w:rPr>
        <w:t>提高信息化水平，促进业务高效运转为出发点；</w:t>
      </w:r>
      <w:r>
        <w:rPr>
          <w:rFonts w:hint="eastAsia" w:ascii="仿宋" w:hAnsi="仿宋" w:eastAsia="仿宋" w:cs="仿宋"/>
          <w:b w:val="0"/>
          <w:i w:val="0"/>
          <w:caps w:val="0"/>
          <w:color w:val="auto"/>
          <w:spacing w:val="0"/>
          <w:w w:val="100"/>
          <w:sz w:val="32"/>
          <w:szCs w:val="32"/>
          <w:highlight w:val="none"/>
          <w:lang w:val="zh-TW" w:eastAsia="zh-CN"/>
        </w:rPr>
        <w:t>以</w:t>
      </w:r>
      <w:r>
        <w:rPr>
          <w:rFonts w:hint="eastAsia" w:ascii="仿宋" w:hAnsi="仿宋" w:eastAsia="仿宋" w:cs="仿宋"/>
          <w:b w:val="0"/>
          <w:i w:val="0"/>
          <w:caps w:val="0"/>
          <w:color w:val="auto"/>
          <w:spacing w:val="0"/>
          <w:w w:val="100"/>
          <w:sz w:val="32"/>
          <w:szCs w:val="32"/>
          <w:highlight w:val="none"/>
          <w:lang w:val="en-US" w:eastAsia="zh-CN"/>
        </w:rPr>
        <w:t>基础建设，提高管理质量为抓手，为各业务工作提高信息化服务保障。</w:t>
      </w:r>
      <w:r>
        <w:rPr>
          <w:rFonts w:hint="eastAsia" w:ascii="仿宋" w:hAnsi="仿宋" w:eastAsia="仿宋" w:cs="仿宋"/>
          <w:b w:val="0"/>
          <w:bCs/>
          <w:i w:val="0"/>
          <w:caps w:val="0"/>
          <w:color w:val="000000" w:themeColor="text1"/>
          <w:spacing w:val="0"/>
          <w:w w:val="100"/>
          <w:position w:val="0"/>
          <w:sz w:val="32"/>
          <w:szCs w:val="32"/>
          <w:highlight w:val="none"/>
          <w:u w:val="none"/>
          <w:shd w:val="clear" w:color="auto" w:fill="auto"/>
          <w:lang w:val="zh-TW" w:eastAsia="zh-CN"/>
          <w14:textFill>
            <w14:solidFill>
              <w14:schemeClr w14:val="tx1"/>
            </w14:solidFill>
          </w14:textFill>
        </w:rPr>
        <w:t>年初申报项目预算资金</w:t>
      </w:r>
      <w:r>
        <w:rPr>
          <w:rFonts w:hint="eastAsia" w:ascii="仿宋" w:hAnsi="仿宋" w:eastAsia="仿宋" w:cs="仿宋"/>
          <w:b w:val="0"/>
          <w:bCs/>
          <w:i w:val="0"/>
          <w:caps w:val="0"/>
          <w:color w:val="000000" w:themeColor="text1"/>
          <w:spacing w:val="0"/>
          <w:w w:val="100"/>
          <w:position w:val="0"/>
          <w:sz w:val="32"/>
          <w:szCs w:val="32"/>
          <w:highlight w:val="none"/>
          <w:u w:val="none"/>
          <w:shd w:val="clear" w:color="auto" w:fill="auto"/>
          <w:lang w:val="en-US" w:eastAsia="zh-CN"/>
          <w14:textFill>
            <w14:solidFill>
              <w14:schemeClr w14:val="tx1"/>
            </w14:solidFill>
          </w14:textFill>
        </w:rPr>
        <w:t>10万元，财政批复预算资金10万元。</w:t>
      </w:r>
      <w:r>
        <w:rPr>
          <w:rFonts w:hint="eastAsia" w:ascii="仿宋" w:hAnsi="仿宋" w:eastAsia="仿宋" w:cs="仿宋"/>
          <w:b w:val="0"/>
          <w:i w:val="0"/>
          <w:caps w:val="0"/>
          <w:color w:val="000000" w:themeColor="text1"/>
          <w:spacing w:val="0"/>
          <w:w w:val="100"/>
          <w:kern w:val="0"/>
          <w:sz w:val="32"/>
          <w:szCs w:val="32"/>
          <w:highlight w:val="none"/>
          <w:lang w:val="en-US" w:eastAsia="zh-CN" w:bidi="ar"/>
          <w14:textFill>
            <w14:solidFill>
              <w14:schemeClr w14:val="tx1"/>
            </w14:solidFill>
          </w14:textFill>
        </w:rPr>
        <w:t>通过信息化建设工作，</w:t>
      </w:r>
      <w:r>
        <w:rPr>
          <w:rFonts w:hint="eastAsia" w:ascii="仿宋_GB2312" w:hAnsi="仿宋_GB2312" w:eastAsia="仿宋_GB2312" w:cs="仿宋_GB2312"/>
          <w:b w:val="0"/>
          <w:bCs w:val="0"/>
          <w:sz w:val="32"/>
          <w:szCs w:val="32"/>
          <w:lang w:val="en-US" w:eastAsia="zh-CN"/>
        </w:rPr>
        <w:t>统筹部署“数字法治智慧司法”信息化体系建设，</w:t>
      </w:r>
      <w:r>
        <w:rPr>
          <w:rFonts w:hint="eastAsia" w:ascii="仿宋" w:hAnsi="仿宋" w:eastAsia="仿宋" w:cs="仿宋"/>
          <w:b w:val="0"/>
          <w:i w:val="0"/>
          <w:caps w:val="0"/>
          <w:color w:val="000000" w:themeColor="text1"/>
          <w:spacing w:val="0"/>
          <w:w w:val="100"/>
          <w:kern w:val="0"/>
          <w:sz w:val="32"/>
          <w:szCs w:val="32"/>
          <w:highlight w:val="none"/>
          <w:lang w:val="en-US" w:eastAsia="zh-CN" w:bidi="ar"/>
          <w14:textFill>
            <w14:solidFill>
              <w14:schemeClr w14:val="tx1"/>
            </w14:solidFill>
          </w14:textFill>
        </w:rPr>
        <w:t>解决各处理业务信息化流程，</w:t>
      </w:r>
      <w:r>
        <w:rPr>
          <w:rFonts w:hint="eastAsia" w:ascii="仿宋_GB2312" w:hAnsi="仿宋_GB2312" w:eastAsia="仿宋_GB2312" w:cs="仿宋_GB2312"/>
          <w:b w:val="0"/>
          <w:bCs w:val="0"/>
          <w:sz w:val="32"/>
          <w:szCs w:val="32"/>
          <w:lang w:val="en-US" w:eastAsia="zh-CN"/>
        </w:rPr>
        <w:t>为推进我州司法行政“五年三步走”发展战略提供有力的信息化支撑和保障，强力推动司法部、厅信息化建设部署落地落实。</w:t>
      </w:r>
      <w:r>
        <w:rPr>
          <w:rFonts w:hint="eastAsia" w:ascii="仿宋" w:hAnsi="仿宋" w:eastAsia="仿宋" w:cs="仿宋"/>
          <w:b w:val="0"/>
          <w:bCs/>
          <w:i w:val="0"/>
          <w:caps w:val="0"/>
          <w:color w:val="000000" w:themeColor="text1"/>
          <w:spacing w:val="0"/>
          <w:w w:val="100"/>
          <w:position w:val="0"/>
          <w:sz w:val="32"/>
          <w:szCs w:val="32"/>
          <w:u w:val="none"/>
          <w:shd w:val="clear" w:color="auto" w:fill="auto"/>
          <w:lang w:val="en-US" w:eastAsia="zh-CN"/>
          <w14:textFill>
            <w14:solidFill>
              <w14:schemeClr w14:val="tx1"/>
            </w14:solidFill>
          </w14:textFill>
        </w:rPr>
        <w:t>申报开展信息化建设和运维等内容与省厅、州级信息建设工作总要求相符合</w:t>
      </w:r>
      <w:r>
        <w:rPr>
          <w:rFonts w:hint="eastAsia"/>
          <w:color w:val="000000"/>
          <w:spacing w:val="0"/>
          <w:w w:val="100"/>
          <w:position w:val="0"/>
          <w:lang w:val="en-US" w:eastAsia="zh-CN"/>
        </w:rPr>
        <w:t>。</w:t>
      </w:r>
    </w:p>
    <w:p w14:paraId="5C372ABF">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sz w:val="32"/>
          <w:szCs w:val="32"/>
          <w:highlight w:val="none"/>
          <w:lang w:eastAsia="zh-CN"/>
        </w:rPr>
      </w:pPr>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p>
    <w:p w14:paraId="534A72FC">
      <w:pPr>
        <w:pStyle w:val="38"/>
        <w:keepNext w:val="0"/>
        <w:keepLines w:val="0"/>
        <w:widowControl w:val="0"/>
        <w:shd w:val="clear" w:color="auto" w:fill="auto"/>
        <w:tabs>
          <w:tab w:val="left" w:pos="1621"/>
        </w:tabs>
        <w:bidi w:val="0"/>
        <w:spacing w:before="0" w:beforeLines="0" w:after="0" w:afterLines="0" w:line="626" w:lineRule="exact"/>
        <w:ind w:left="0" w:leftChars="0" w:right="0" w:firstLine="640" w:firstLineChars="200"/>
        <w:jc w:val="both"/>
        <w:rPr>
          <w:rFonts w:hint="eastAsia" w:ascii="仿宋" w:hAnsi="仿宋" w:eastAsia="仿宋" w:cs="仿宋"/>
          <w:b w:val="0"/>
          <w:bCs/>
          <w:i w:val="0"/>
          <w:caps w:val="0"/>
          <w:color w:val="000000" w:themeColor="text1"/>
          <w:spacing w:val="0"/>
          <w:w w:val="100"/>
          <w:position w:val="0"/>
          <w:sz w:val="32"/>
          <w:szCs w:val="32"/>
          <w:u w:val="none"/>
          <w:shd w:val="clear" w:color="auto" w:fill="auto"/>
          <w:lang w:val="en-US" w:eastAsia="zh-CN"/>
          <w14:textFill>
            <w14:solidFill>
              <w14:schemeClr w14:val="tx1"/>
            </w14:solidFill>
          </w14:textFill>
        </w:rPr>
      </w:pPr>
      <w:r>
        <w:rPr>
          <w:rFonts w:hint="eastAsia" w:ascii="仿宋" w:hAnsi="仿宋" w:eastAsia="仿宋" w:cs="仿宋"/>
          <w:b w:val="0"/>
          <w:bCs/>
          <w:i w:val="0"/>
          <w:caps w:val="0"/>
          <w:color w:val="000000" w:themeColor="text1"/>
          <w:spacing w:val="0"/>
          <w:w w:val="100"/>
          <w:position w:val="0"/>
          <w:sz w:val="32"/>
          <w:szCs w:val="32"/>
          <w:u w:val="none"/>
          <w:shd w:val="clear" w:color="auto" w:fill="auto"/>
          <w:lang w:val="en-US" w:eastAsia="zh-CN"/>
          <w14:textFill>
            <w14:solidFill>
              <w14:schemeClr w14:val="tx1"/>
            </w14:solidFill>
          </w14:textFill>
        </w:rPr>
        <w:t>该项目资金预算于2023年3月及时到位（全部为本级财政资金）10万元，资金到位率100%。截止2023年12月实际支出10万元，支付依据均合规合法，且按年初预算指标支出，支出占比100%。</w:t>
      </w:r>
    </w:p>
    <w:p w14:paraId="32F63174">
      <w:pPr>
        <w:pStyle w:val="38"/>
        <w:keepNext w:val="0"/>
        <w:keepLines w:val="0"/>
        <w:widowControl w:val="0"/>
        <w:numPr>
          <w:ilvl w:val="0"/>
          <w:numId w:val="0"/>
        </w:numPr>
        <w:shd w:val="clear" w:color="auto" w:fill="auto"/>
        <w:bidi w:val="0"/>
        <w:spacing w:before="0" w:beforeLines="0" w:after="0" w:afterLines="0" w:line="626" w:lineRule="exact"/>
        <w:ind w:right="0" w:rightChars="0" w:firstLine="640" w:firstLineChars="200"/>
        <w:jc w:val="both"/>
      </w:pPr>
      <w:r>
        <w:rPr>
          <w:rFonts w:hint="eastAsia" w:ascii="仿宋" w:hAnsi="仿宋" w:eastAsia="仿宋" w:cs="仿宋"/>
          <w:b w:val="0"/>
          <w:bCs/>
          <w:i w:val="0"/>
          <w:caps w:val="0"/>
          <w:color w:val="000000" w:themeColor="text1"/>
          <w:spacing w:val="0"/>
          <w:w w:val="100"/>
          <w:position w:val="0"/>
          <w:sz w:val="32"/>
          <w:szCs w:val="32"/>
          <w:u w:val="none"/>
          <w:shd w:val="clear" w:color="auto" w:fill="auto"/>
          <w:lang w:val="en-US" w:eastAsia="zh-CN"/>
          <w14:textFill>
            <w14:solidFill>
              <w14:schemeClr w14:val="tx1"/>
            </w14:solidFill>
          </w14:textFill>
        </w:rPr>
        <w:t>按照经费管理制度，加强对单位预算执行管理，完善项目资金使用审批手续，坚持先审批，后使用，确保专项资金专款专用，单设会计科目进行核算，以便准确掌握资金使用及管理情况，规范账务管理。</w:t>
      </w:r>
    </w:p>
    <w:p w14:paraId="7D5D915C">
      <w:pPr>
        <w:pStyle w:val="38"/>
        <w:keepNext w:val="0"/>
        <w:keepLines w:val="0"/>
        <w:widowControl w:val="0"/>
        <w:numPr>
          <w:ilvl w:val="0"/>
          <w:numId w:val="0"/>
        </w:numPr>
        <w:shd w:val="clear" w:color="auto" w:fill="auto"/>
        <w:bidi w:val="0"/>
        <w:spacing w:before="0" w:beforeLines="0" w:after="0" w:afterLines="0" w:line="626" w:lineRule="exact"/>
        <w:ind w:right="0" w:rightChars="0" w:firstLine="640" w:firstLineChars="200"/>
        <w:jc w:val="both"/>
        <w:rPr>
          <w:rFonts w:hint="eastAsia" w:ascii="仿宋" w:hAnsi="仿宋" w:eastAsia="仿宋" w:cs="仿宋"/>
          <w:b w:val="0"/>
          <w:bCs/>
          <w:i w:val="0"/>
          <w:caps w:val="0"/>
          <w:color w:val="000000" w:themeColor="text1"/>
          <w:spacing w:val="0"/>
          <w:w w:val="100"/>
          <w:position w:val="0"/>
          <w:sz w:val="32"/>
          <w:szCs w:val="32"/>
          <w:u w:val="none"/>
          <w:shd w:val="clear" w:color="auto" w:fill="auto"/>
          <w:lang w:val="en-US" w:eastAsia="zh-CN"/>
          <w14:textFill>
            <w14:solidFill>
              <w14:schemeClr w14:val="tx1"/>
            </w14:solidFill>
          </w14:textFill>
        </w:rPr>
      </w:pPr>
      <w:r>
        <w:rPr>
          <w:rFonts w:hint="eastAsia" w:ascii="仿宋" w:hAnsi="仿宋" w:eastAsia="仿宋" w:cs="仿宋"/>
          <w:b w:val="0"/>
          <w:bCs/>
          <w:i w:val="0"/>
          <w:caps w:val="0"/>
          <w:color w:val="000000" w:themeColor="text1"/>
          <w:spacing w:val="0"/>
          <w:w w:val="100"/>
          <w:position w:val="0"/>
          <w:sz w:val="32"/>
          <w:szCs w:val="32"/>
          <w:u w:val="none"/>
          <w:shd w:val="clear" w:color="auto" w:fill="auto"/>
          <w:lang w:val="en-US" w:eastAsia="zh-CN"/>
          <w14:textFill>
            <w14:solidFill>
              <w14:schemeClr w14:val="tx1"/>
            </w14:solidFill>
          </w14:textFill>
        </w:rPr>
        <w:t>该项经费主要由信息建设科为主要的实施部门。根据年初工作安排及省、州相关工作要求，并有针对性的开展信息建设维护等工作，所产生的的经费严格按照经费管理制度使用，本年度未发生招标、政府采购等，主要用于以上相关业务工作产生的经费开支。</w:t>
      </w:r>
    </w:p>
    <w:p w14:paraId="6EA3D03F">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14:paraId="1F68E2DF">
      <w:pPr>
        <w:pStyle w:val="38"/>
        <w:keepNext w:val="0"/>
        <w:keepLines w:val="0"/>
        <w:widowControl w:val="0"/>
        <w:numPr>
          <w:ilvl w:val="0"/>
          <w:numId w:val="0"/>
        </w:numPr>
        <w:shd w:val="clear" w:color="auto" w:fill="auto"/>
        <w:bidi w:val="0"/>
        <w:spacing w:before="0" w:beforeLines="0" w:after="0" w:afterLines="0" w:line="626" w:lineRule="exact"/>
        <w:ind w:right="0" w:rightChars="0" w:firstLine="640" w:firstLineChars="200"/>
        <w:jc w:val="both"/>
        <w:rPr>
          <w:rFonts w:hint="default" w:ascii="仿宋" w:hAnsi="仿宋" w:eastAsia="仿宋" w:cs="仿宋"/>
          <w:b w:val="0"/>
          <w:i w:val="0"/>
          <w:caps w:val="0"/>
          <w:color w:val="000000" w:themeColor="text1"/>
          <w:spacing w:val="0"/>
          <w:w w:val="100"/>
          <w:kern w:val="0"/>
          <w:sz w:val="32"/>
          <w:szCs w:val="32"/>
          <w:highlight w:val="none"/>
          <w:lang w:val="en-US" w:eastAsia="zh-CN" w:bidi="ar"/>
          <w14:textFill>
            <w14:solidFill>
              <w14:schemeClr w14:val="tx1"/>
            </w14:solidFill>
          </w14:textFill>
        </w:rPr>
      </w:pPr>
      <w:r>
        <w:rPr>
          <w:rFonts w:hint="eastAsia" w:ascii="仿宋" w:hAnsi="仿宋" w:eastAsia="仿宋" w:cs="仿宋"/>
          <w:b w:val="0"/>
          <w:i w:val="0"/>
          <w:caps w:val="0"/>
          <w:color w:val="000000" w:themeColor="text1"/>
          <w:spacing w:val="0"/>
          <w:w w:val="100"/>
          <w:kern w:val="0"/>
          <w:sz w:val="32"/>
          <w:szCs w:val="32"/>
          <w:highlight w:val="none"/>
          <w:lang w:val="en-US" w:eastAsia="zh-CN" w:bidi="ar"/>
          <w14:textFill>
            <w14:solidFill>
              <w14:schemeClr w14:val="tx1"/>
            </w14:solidFill>
          </w14:textFill>
        </w:rPr>
        <w:t>督导县局建设中心司法所远程视频会见（探视）系统。完成指挥中心（公共法律服务、社区矫正指挥中心）视讯系统升级改造；完成门户网站管理维护和内容板块更新；政务信息公开工作，全国法律执业资格考试甘孜考区视频巡查系统和远程巡查指挥系统的部署；维护单位日常网络正常使用和安全。</w:t>
      </w:r>
      <w:r>
        <w:rPr>
          <w:rFonts w:hint="eastAsia" w:ascii="仿宋_GB2312" w:hAnsi="仿宋_GB2312" w:eastAsia="仿宋_GB2312" w:cs="仿宋_GB2312"/>
          <w:sz w:val="32"/>
          <w:szCs w:val="32"/>
          <w:lang w:val="en-US" w:eastAsia="zh-CN"/>
        </w:rPr>
        <w:t>视频会议系统设备维修及其他信息化设备维修</w:t>
      </w:r>
    </w:p>
    <w:p w14:paraId="360D9B42">
      <w:pPr>
        <w:pStyle w:val="9"/>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14:paraId="404FFACD">
      <w:pPr>
        <w:pStyle w:val="38"/>
        <w:keepNext w:val="0"/>
        <w:keepLines w:val="0"/>
        <w:widowControl w:val="0"/>
        <w:shd w:val="clear" w:color="auto" w:fill="auto"/>
        <w:tabs>
          <w:tab w:val="left" w:pos="1621"/>
        </w:tabs>
        <w:bidi w:val="0"/>
        <w:spacing w:before="0" w:beforeLines="0" w:after="0" w:afterLines="0" w:line="626" w:lineRule="exact"/>
        <w:ind w:left="0" w:leftChars="0" w:right="0" w:firstLine="640" w:firstLineChars="200"/>
        <w:jc w:val="both"/>
        <w:rPr>
          <w:rFonts w:hint="eastAsia" w:ascii="仿宋" w:hAnsi="仿宋" w:eastAsia="仿宋" w:cs="仿宋"/>
          <w:b w:val="0"/>
          <w:i w:val="0"/>
          <w:caps w:val="0"/>
          <w:color w:val="000000" w:themeColor="text1"/>
          <w:spacing w:val="0"/>
          <w:w w:val="100"/>
          <w:kern w:val="0"/>
          <w:sz w:val="32"/>
          <w:szCs w:val="32"/>
          <w:lang w:val="en-US" w:eastAsia="zh-CN" w:bidi="ar"/>
          <w14:textFill>
            <w14:solidFill>
              <w14:schemeClr w14:val="tx1"/>
            </w14:solidFill>
          </w14:textFill>
        </w:rPr>
      </w:pPr>
      <w:r>
        <w:rPr>
          <w:rFonts w:hint="eastAsia" w:ascii="仿宋" w:hAnsi="仿宋" w:eastAsia="仿宋" w:cs="仿宋"/>
          <w:b w:val="0"/>
          <w:i w:val="0"/>
          <w:caps w:val="0"/>
          <w:color w:val="000000" w:themeColor="text1"/>
          <w:spacing w:val="0"/>
          <w:w w:val="100"/>
          <w:kern w:val="0"/>
          <w:sz w:val="32"/>
          <w:szCs w:val="32"/>
          <w:lang w:val="en-US" w:eastAsia="zh-CN" w:bidi="ar"/>
          <w14:textFill>
            <w14:solidFill>
              <w14:schemeClr w14:val="tx1"/>
            </w14:solidFill>
          </w14:textFill>
        </w:rPr>
        <w:t>通过开展信息化建设工作，为各业务工作开展创造了良好信息安全环境和便捷，有效提高了工作质量、逐步提升了工作效能、缩短了工作流程、节约了工作成本，畅通了信息互联互通渠道，</w:t>
      </w:r>
      <w:r>
        <w:rPr>
          <w:rFonts w:hint="eastAsia" w:ascii="仿宋_GB2312" w:hAnsi="仿宋_GB2312" w:eastAsia="仿宋_GB2312" w:cs="仿宋_GB2312"/>
          <w:sz w:val="32"/>
          <w:szCs w:val="32"/>
          <w:lang w:val="en-US" w:eastAsia="zh-CN"/>
        </w:rPr>
        <w:t>初步形成“大平台共享、大系统共治、大数据慧治”的信息化新格局，推进信息化建设向数字化、智能化提升</w:t>
      </w:r>
      <w:r>
        <w:rPr>
          <w:rFonts w:hint="eastAsia" w:ascii="仿宋" w:hAnsi="仿宋" w:eastAsia="仿宋" w:cs="仿宋"/>
          <w:b w:val="0"/>
          <w:i w:val="0"/>
          <w:caps w:val="0"/>
          <w:color w:val="000000" w:themeColor="text1"/>
          <w:spacing w:val="0"/>
          <w:w w:val="100"/>
          <w:kern w:val="0"/>
          <w:sz w:val="32"/>
          <w:szCs w:val="32"/>
          <w:lang w:val="en-US" w:eastAsia="zh-CN" w:bidi="ar"/>
          <w14:textFill>
            <w14:solidFill>
              <w14:schemeClr w14:val="tx1"/>
            </w14:solidFill>
          </w14:textFill>
        </w:rPr>
        <w:t>。</w:t>
      </w:r>
    </w:p>
    <w:p w14:paraId="3D1623D4">
      <w:pPr>
        <w:pStyle w:val="9"/>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eastAsia="黑体" w:cs="Times New Roman"/>
          <w:color w:val="auto"/>
          <w:sz w:val="32"/>
          <w:szCs w:val="32"/>
          <w:highlight w:val="none"/>
          <w:u w:val="none"/>
          <w:lang w:eastAsia="zh-CN"/>
        </w:rPr>
        <w:t>五、存在主要问题</w:t>
      </w:r>
    </w:p>
    <w:p w14:paraId="75A7399E">
      <w:pPr>
        <w:pStyle w:val="38"/>
        <w:keepNext w:val="0"/>
        <w:keepLines w:val="0"/>
        <w:widowControl w:val="0"/>
        <w:shd w:val="clear" w:color="auto" w:fill="auto"/>
        <w:tabs>
          <w:tab w:val="left" w:pos="1598"/>
        </w:tabs>
        <w:bidi w:val="0"/>
        <w:spacing w:before="0" w:beforeLines="0" w:after="0" w:afterLines="0" w:line="630" w:lineRule="exact"/>
        <w:ind w:left="0" w:right="0" w:firstLine="760"/>
        <w:jc w:val="both"/>
        <w:rPr>
          <w:rFonts w:ascii="仿宋_GB2312" w:eastAsia="仿宋_GB2312"/>
          <w:sz w:val="32"/>
          <w:szCs w:val="32"/>
        </w:rPr>
      </w:pPr>
      <w:r>
        <w:rPr>
          <w:rFonts w:hint="eastAsia" w:ascii="仿宋_GB2312" w:eastAsia="仿宋_GB2312"/>
          <w:sz w:val="32"/>
          <w:szCs w:val="32"/>
        </w:rPr>
        <w:t>由于信息化建设</w:t>
      </w:r>
      <w:r>
        <w:rPr>
          <w:rFonts w:hint="eastAsia" w:ascii="仿宋_GB2312" w:eastAsia="仿宋_GB2312"/>
          <w:sz w:val="32"/>
          <w:szCs w:val="32"/>
          <w:lang w:val="en-US" w:eastAsia="zh-CN"/>
        </w:rPr>
        <w:t>要求相对专业，</w:t>
      </w:r>
      <w:r>
        <w:rPr>
          <w:rFonts w:hint="eastAsia" w:ascii="仿宋_GB2312" w:eastAsia="仿宋_GB2312"/>
          <w:sz w:val="32"/>
          <w:szCs w:val="32"/>
        </w:rPr>
        <w:t>专业技术人员缺乏，较省</w:t>
      </w:r>
      <w:r>
        <w:rPr>
          <w:rFonts w:hint="eastAsia" w:ascii="仿宋_GB2312" w:eastAsia="仿宋_GB2312"/>
          <w:sz w:val="32"/>
          <w:szCs w:val="32"/>
          <w:lang w:val="en-US" w:eastAsia="zh-CN"/>
        </w:rPr>
        <w:t>上级要求存在</w:t>
      </w:r>
      <w:r>
        <w:rPr>
          <w:rFonts w:hint="eastAsia" w:ascii="仿宋_GB2312" w:eastAsia="仿宋_GB2312"/>
          <w:sz w:val="32"/>
          <w:szCs w:val="32"/>
        </w:rPr>
        <w:t>一定差距</w:t>
      </w:r>
      <w:r>
        <w:rPr>
          <w:rFonts w:hint="eastAsia" w:ascii="仿宋_GB2312" w:eastAsia="仿宋_GB2312"/>
          <w:sz w:val="32"/>
          <w:szCs w:val="32"/>
          <w:lang w:eastAsia="zh-CN"/>
        </w:rPr>
        <w:t>；</w:t>
      </w:r>
      <w:r>
        <w:rPr>
          <w:rFonts w:hint="eastAsia" w:ascii="仿宋_GB2312" w:eastAsia="仿宋_GB2312"/>
          <w:sz w:val="32"/>
          <w:szCs w:val="32"/>
        </w:rPr>
        <w:t>在系统开发、维护、网络安全等方面还有待进一步加强。</w:t>
      </w:r>
    </w:p>
    <w:p w14:paraId="5C6C287A">
      <w:pPr>
        <w:pStyle w:val="9"/>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14:paraId="3BE1E5BF">
      <w:pPr>
        <w:pStyle w:val="38"/>
        <w:keepNext w:val="0"/>
        <w:keepLines w:val="0"/>
        <w:widowControl w:val="0"/>
        <w:shd w:val="clear" w:color="auto" w:fill="auto"/>
        <w:tabs>
          <w:tab w:val="left" w:pos="1598"/>
        </w:tabs>
        <w:bidi w:val="0"/>
        <w:spacing w:before="0" w:beforeLines="0" w:after="0" w:afterLines="0" w:line="630" w:lineRule="exact"/>
        <w:ind w:left="0" w:right="0" w:firstLine="760"/>
        <w:jc w:val="left"/>
        <w:rPr>
          <w:rFonts w:hint="eastAsia" w:ascii="华文楷体" w:hAnsi="华文楷体" w:eastAsia="华文楷体" w:cs="华文楷体"/>
          <w:color w:val="000000"/>
          <w:spacing w:val="0"/>
          <w:w w:val="100"/>
          <w:kern w:val="2"/>
          <w:position w:val="0"/>
          <w:sz w:val="32"/>
          <w:szCs w:val="32"/>
          <w:highlight w:val="none"/>
          <w:u w:val="none"/>
          <w:shd w:val="clear" w:color="auto" w:fill="auto"/>
          <w:lang w:val="en-US" w:eastAsia="zh-CN" w:bidi="ar-SA"/>
        </w:rPr>
      </w:pPr>
      <w:r>
        <w:rPr>
          <w:rFonts w:hint="eastAsia" w:ascii="仿宋" w:hAnsi="仿宋" w:eastAsia="仿宋" w:cs="仿宋"/>
          <w:b w:val="0"/>
          <w:bCs w:val="0"/>
          <w:i w:val="0"/>
          <w:caps w:val="0"/>
          <w:color w:val="000000" w:themeColor="text1"/>
          <w:spacing w:val="0"/>
          <w:w w:val="100"/>
          <w:kern w:val="2"/>
          <w:sz w:val="32"/>
          <w:szCs w:val="32"/>
          <w:highlight w:val="none"/>
          <w:u w:val="none"/>
          <w:shd w:val="clear"/>
          <w:lang w:val="en-US" w:eastAsia="zh-CN" w:bidi="ar-SA"/>
          <w14:textFill>
            <w14:solidFill>
              <w14:schemeClr w14:val="tx1"/>
            </w14:solidFill>
          </w14:textFill>
        </w:rPr>
        <w:t>根据绩效评价结果，加强资金投入；</w:t>
      </w:r>
      <w:r>
        <w:rPr>
          <w:rFonts w:hint="eastAsia" w:ascii="仿宋_GB2312" w:eastAsia="仿宋_GB2312"/>
          <w:sz w:val="32"/>
          <w:szCs w:val="32"/>
          <w:highlight w:val="none"/>
        </w:rPr>
        <w:t>进一步</w:t>
      </w:r>
      <w:r>
        <w:rPr>
          <w:rFonts w:hint="eastAsia" w:ascii="仿宋_GB2312" w:eastAsia="仿宋_GB2312"/>
          <w:sz w:val="32"/>
          <w:szCs w:val="32"/>
          <w:highlight w:val="none"/>
          <w:lang w:val="en-US" w:eastAsia="zh-CN"/>
        </w:rPr>
        <w:t>加强</w:t>
      </w:r>
      <w:r>
        <w:rPr>
          <w:rFonts w:hint="eastAsia" w:ascii="仿宋_GB2312" w:eastAsia="仿宋_GB2312"/>
          <w:sz w:val="32"/>
          <w:szCs w:val="32"/>
          <w:highlight w:val="none"/>
        </w:rPr>
        <w:t>人员培训及管理，夯实信息化建设</w:t>
      </w:r>
      <w:r>
        <w:rPr>
          <w:rFonts w:hint="eastAsia" w:ascii="仿宋_GB2312" w:eastAsia="仿宋_GB2312"/>
          <w:sz w:val="32"/>
          <w:szCs w:val="32"/>
          <w:highlight w:val="none"/>
          <w:lang w:val="en-US" w:eastAsia="zh-CN"/>
        </w:rPr>
        <w:t>工作</w:t>
      </w:r>
      <w:r>
        <w:rPr>
          <w:rFonts w:hint="eastAsia" w:ascii="仿宋_GB2312" w:eastAsia="仿宋_GB2312"/>
          <w:sz w:val="32"/>
          <w:szCs w:val="32"/>
          <w:highlight w:val="none"/>
        </w:rPr>
        <w:t>。</w:t>
      </w:r>
    </w:p>
    <w:p w14:paraId="696C54DA"/>
    <w:p w14:paraId="721076CA">
      <w:pPr>
        <w:pStyle w:val="3"/>
      </w:pPr>
    </w:p>
    <w:p w14:paraId="15BB4924"/>
    <w:p w14:paraId="7681C58F">
      <w:pPr>
        <w:pStyle w:val="3"/>
      </w:pPr>
    </w:p>
    <w:p w14:paraId="2A3B25A5"/>
    <w:p w14:paraId="77F19C46">
      <w:pPr>
        <w:pStyle w:val="3"/>
      </w:pPr>
    </w:p>
    <w:p w14:paraId="3EDFCD4D"/>
    <w:p w14:paraId="19B72912">
      <w:pPr>
        <w:pStyle w:val="3"/>
      </w:pPr>
    </w:p>
    <w:p w14:paraId="2C6A5E18">
      <w:pPr>
        <w:pStyle w:val="3"/>
        <w:ind w:left="0" w:leftChars="0" w:firstLine="0" w:firstLineChars="0"/>
      </w:pPr>
    </w:p>
    <w:p w14:paraId="3FE71236">
      <w:pPr>
        <w:pStyle w:val="3"/>
      </w:pPr>
    </w:p>
    <w:p w14:paraId="0E4CB216">
      <w:pPr>
        <w:pStyle w:val="3"/>
      </w:pPr>
    </w:p>
    <w:p w14:paraId="3D8F5484">
      <w:pPr>
        <w:pStyle w:val="3"/>
      </w:pPr>
    </w:p>
    <w:p w14:paraId="39D60224">
      <w:pPr>
        <w:pStyle w:val="3"/>
      </w:pPr>
    </w:p>
    <w:p w14:paraId="421D5251">
      <w:pPr>
        <w:pStyle w:val="3"/>
      </w:pPr>
    </w:p>
    <w:p w14:paraId="6A8C3A2A">
      <w:pPr>
        <w:pStyle w:val="3"/>
      </w:pPr>
    </w:p>
    <w:p w14:paraId="6D5F788B">
      <w:pPr>
        <w:pStyle w:val="3"/>
      </w:pPr>
    </w:p>
    <w:p w14:paraId="41036CCB">
      <w:pPr>
        <w:pStyle w:val="3"/>
      </w:pPr>
    </w:p>
    <w:p w14:paraId="4C5DF76C"/>
    <w:p w14:paraId="02239842">
      <w:pPr>
        <w:pStyle w:val="3"/>
      </w:pPr>
    </w:p>
    <w:p w14:paraId="2527D11B"/>
    <w:p w14:paraId="481B7D08">
      <w:pPr>
        <w:pStyle w:val="3"/>
      </w:pPr>
    </w:p>
    <w:p w14:paraId="66A03D0C"/>
    <w:p w14:paraId="1D1C78C2">
      <w:pPr>
        <w:pStyle w:val="3"/>
      </w:pPr>
    </w:p>
    <w:p w14:paraId="51EA3CF6"/>
    <w:p w14:paraId="25426CE3">
      <w:pPr>
        <w:pStyle w:val="3"/>
      </w:pPr>
    </w:p>
    <w:p w14:paraId="1FA182D3">
      <w:pPr>
        <w:pStyle w:val="38"/>
        <w:keepNext w:val="0"/>
        <w:keepLines w:val="0"/>
        <w:widowControl w:val="0"/>
        <w:shd w:val="clear" w:color="auto" w:fill="auto"/>
        <w:bidi w:val="0"/>
        <w:spacing w:before="0" w:beforeLines="0" w:after="580" w:afterLines="0" w:line="626" w:lineRule="exact"/>
        <w:ind w:left="0" w:right="0" w:firstLine="0"/>
        <w:jc w:val="center"/>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专项预算项目绩效评价报告</w:t>
      </w:r>
    </w:p>
    <w:p w14:paraId="6E554889">
      <w:pPr>
        <w:pStyle w:val="38"/>
        <w:keepNext w:val="0"/>
        <w:keepLines w:val="0"/>
        <w:widowControl w:val="0"/>
        <w:shd w:val="clear" w:color="auto" w:fill="auto"/>
        <w:bidi w:val="0"/>
        <w:spacing w:before="0" w:beforeLines="0" w:after="580" w:afterLines="0" w:line="626" w:lineRule="exact"/>
        <w:ind w:left="0" w:right="0" w:firstLine="0"/>
        <w:jc w:val="center"/>
      </w:pPr>
      <w:r>
        <w:rPr>
          <w:color w:val="000000"/>
          <w:spacing w:val="0"/>
          <w:w w:val="100"/>
          <w:position w:val="0"/>
          <w:sz w:val="32"/>
          <w:szCs w:val="32"/>
        </w:rPr>
        <w:t>（</w:t>
      </w:r>
      <w:r>
        <w:rPr>
          <w:rFonts w:hint="eastAsia"/>
          <w:color w:val="000000"/>
          <w:spacing w:val="0"/>
          <w:w w:val="100"/>
          <w:position w:val="0"/>
          <w:sz w:val="32"/>
          <w:szCs w:val="32"/>
          <w:lang w:val="en-US" w:eastAsia="zh-CN"/>
        </w:rPr>
        <w:t>刑事执法</w:t>
      </w:r>
      <w:r>
        <w:rPr>
          <w:color w:val="000000"/>
          <w:spacing w:val="0"/>
          <w:w w:val="100"/>
          <w:position w:val="0"/>
          <w:sz w:val="32"/>
          <w:szCs w:val="32"/>
        </w:rPr>
        <w:t>项目）</w:t>
      </w:r>
    </w:p>
    <w:p w14:paraId="6D108B8A">
      <w:pPr>
        <w:pStyle w:val="47"/>
        <w:keepNext/>
        <w:keepLines/>
        <w:widowControl w:val="0"/>
        <w:shd w:val="clear" w:color="auto" w:fill="auto"/>
        <w:bidi w:val="0"/>
        <w:spacing w:before="0" w:beforeLines="0" w:after="0" w:afterLines="0" w:line="626" w:lineRule="exact"/>
        <w:ind w:left="0" w:right="0" w:firstLine="620"/>
        <w:jc w:val="both"/>
        <w:rPr>
          <w:rFonts w:hint="eastAsia" w:ascii="黑体" w:hAnsi="黑体" w:eastAsia="黑体" w:cs="黑体"/>
          <w:color w:val="000000"/>
          <w:spacing w:val="0"/>
          <w:w w:val="100"/>
          <w:position w:val="0"/>
          <w:highlight w:val="none"/>
        </w:rPr>
      </w:pPr>
      <w:r>
        <w:rPr>
          <w:rFonts w:hint="eastAsia" w:ascii="黑体" w:hAnsi="黑体" w:eastAsia="黑体" w:cs="黑体"/>
          <w:color w:val="000000"/>
          <w:spacing w:val="0"/>
          <w:w w:val="100"/>
          <w:position w:val="0"/>
          <w:highlight w:val="none"/>
        </w:rPr>
        <w:t>—、项目概况</w:t>
      </w:r>
    </w:p>
    <w:p w14:paraId="223AD4A2">
      <w:pPr>
        <w:pStyle w:val="47"/>
        <w:keepNext/>
        <w:keepLines/>
        <w:widowControl w:val="0"/>
        <w:shd w:val="clear" w:color="auto" w:fill="auto"/>
        <w:bidi w:val="0"/>
        <w:spacing w:before="0" w:beforeLines="0" w:after="0" w:afterLines="0" w:line="626" w:lineRule="exact"/>
        <w:ind w:left="0" w:right="0" w:firstLine="620"/>
        <w:jc w:val="both"/>
        <w:rPr>
          <w:rFonts w:hint="eastAsia" w:ascii="仿宋" w:hAnsi="仿宋" w:eastAsia="仿宋" w:cs="仿宋"/>
          <w:b w:val="0"/>
          <w:bCs/>
          <w:i w:val="0"/>
          <w:caps w:val="0"/>
          <w:color w:val="000000" w:themeColor="text1"/>
          <w:spacing w:val="0"/>
          <w:w w:val="100"/>
          <w:position w:val="0"/>
          <w:sz w:val="32"/>
          <w:szCs w:val="32"/>
          <w:u w:val="none"/>
          <w:shd w:val="clear" w:color="auto" w:fill="auto"/>
          <w:lang w:val="en-US" w:eastAsia="zh-CN"/>
          <w14:textFill>
            <w14:solidFill>
              <w14:schemeClr w14:val="tx1"/>
            </w14:solidFill>
          </w14:textFill>
        </w:rPr>
      </w:pPr>
      <w:r>
        <w:rPr>
          <w:rFonts w:hint="eastAsia" w:ascii="仿宋" w:hAnsi="仿宋" w:eastAsia="仿宋" w:cs="仿宋"/>
          <w:b w:val="0"/>
          <w:i w:val="0"/>
          <w:caps w:val="0"/>
          <w:color w:val="auto"/>
          <w:spacing w:val="0"/>
          <w:w w:val="100"/>
          <w:sz w:val="32"/>
          <w:szCs w:val="32"/>
          <w:highlight w:val="none"/>
          <w:lang w:val="en-US" w:eastAsia="zh-CN"/>
        </w:rPr>
        <w:t xml:space="preserve"> 以</w:t>
      </w:r>
      <w:r>
        <w:rPr>
          <w:rFonts w:hint="eastAsia" w:ascii="仿宋" w:hAnsi="仿宋" w:eastAsia="仿宋" w:cs="仿宋"/>
          <w:b w:val="0"/>
          <w:i w:val="0"/>
          <w:caps w:val="0"/>
          <w:color w:val="auto"/>
          <w:spacing w:val="0"/>
          <w:w w:val="100"/>
          <w:kern w:val="0"/>
          <w:sz w:val="32"/>
          <w:szCs w:val="32"/>
          <w:highlight w:val="none"/>
          <w:lang w:val="en-US" w:eastAsia="zh-CN" w:bidi="ar"/>
        </w:rPr>
        <w:t>习近平总书记关于政法队伍建设重要指示批示精神和中央、省委、州委要求，贯彻落实《中华人民共和国社区矫正法》，不断提升社区矫正执法队伍业务素质，强化对社区服刑人员监管力度，落实指挥、定位信息化矫正工作，加强全州社区矫正工作督导检查，提高教育矫正质量，预防和减少犯罪，促进社会和谐稳定。</w:t>
      </w:r>
      <w:r>
        <w:rPr>
          <w:rFonts w:hint="eastAsia" w:ascii="仿宋" w:hAnsi="仿宋" w:eastAsia="仿宋" w:cs="仿宋"/>
          <w:b w:val="0"/>
          <w:bCs/>
          <w:i w:val="0"/>
          <w:caps w:val="0"/>
          <w:color w:val="000000" w:themeColor="text1"/>
          <w:spacing w:val="0"/>
          <w:w w:val="100"/>
          <w:position w:val="0"/>
          <w:sz w:val="32"/>
          <w:szCs w:val="32"/>
          <w:u w:val="none"/>
          <w:shd w:val="clear" w:color="auto" w:fill="auto"/>
          <w:lang w:val="zh-TW" w:eastAsia="zh-CN"/>
          <w14:textFill>
            <w14:solidFill>
              <w14:schemeClr w14:val="tx1"/>
            </w14:solidFill>
          </w14:textFill>
        </w:rPr>
        <w:t>年初申报项目预算资金</w:t>
      </w:r>
      <w:r>
        <w:rPr>
          <w:rFonts w:hint="eastAsia" w:ascii="仿宋" w:hAnsi="仿宋" w:eastAsia="仿宋" w:cs="仿宋"/>
          <w:b w:val="0"/>
          <w:bCs/>
          <w:i w:val="0"/>
          <w:caps w:val="0"/>
          <w:color w:val="000000" w:themeColor="text1"/>
          <w:spacing w:val="0"/>
          <w:w w:val="100"/>
          <w:position w:val="0"/>
          <w:sz w:val="32"/>
          <w:szCs w:val="32"/>
          <w:u w:val="none"/>
          <w:shd w:val="clear" w:color="auto" w:fill="auto"/>
          <w:lang w:val="en-US" w:eastAsia="zh-CN"/>
          <w14:textFill>
            <w14:solidFill>
              <w14:schemeClr w14:val="tx1"/>
            </w14:solidFill>
          </w14:textFill>
        </w:rPr>
        <w:t>4万元，财政批复预算资金4万元。</w:t>
      </w:r>
      <w:r>
        <w:rPr>
          <w:rFonts w:hint="eastAsia" w:ascii="仿宋" w:hAnsi="仿宋" w:eastAsia="仿宋" w:cs="仿宋"/>
          <w:b w:val="0"/>
          <w:i w:val="0"/>
          <w:caps w:val="0"/>
          <w:color w:val="000000" w:themeColor="text1"/>
          <w:spacing w:val="0"/>
          <w:w w:val="100"/>
          <w:kern w:val="0"/>
          <w:sz w:val="32"/>
          <w:szCs w:val="32"/>
          <w:highlight w:val="none"/>
          <w:lang w:val="en-US" w:eastAsia="zh-CN" w:bidi="ar"/>
          <w14:textFill>
            <w14:solidFill>
              <w14:schemeClr w14:val="tx1"/>
            </w14:solidFill>
          </w14:textFill>
        </w:rPr>
        <w:t>通过</w:t>
      </w:r>
      <w:r>
        <w:rPr>
          <w:rFonts w:ascii="仿宋" w:hAnsi="仿宋" w:eastAsia="仿宋" w:cs="仿宋"/>
          <w:b w:val="0"/>
          <w:i w:val="0"/>
          <w:caps w:val="0"/>
          <w:color w:val="333333"/>
          <w:spacing w:val="0"/>
          <w:sz w:val="31"/>
          <w:szCs w:val="31"/>
          <w:highlight w:val="none"/>
          <w:shd w:val="clear" w:fill="FFFFFF"/>
        </w:rPr>
        <w:t>社区矫正工作，提高教育矫正质量，促进社区矫正对象顺利融入社会，预防和减少</w:t>
      </w:r>
      <w:r>
        <w:rPr>
          <w:rFonts w:ascii="仿宋" w:hAnsi="仿宋" w:eastAsia="仿宋" w:cs="仿宋"/>
          <w:b w:val="0"/>
          <w:i w:val="0"/>
          <w:caps w:val="0"/>
          <w:color w:val="333333"/>
          <w:spacing w:val="0"/>
          <w:sz w:val="31"/>
          <w:szCs w:val="31"/>
          <w:shd w:val="clear" w:fill="FFFFFF"/>
        </w:rPr>
        <w:t>犯罪，</w:t>
      </w:r>
      <w:r>
        <w:rPr>
          <w:rFonts w:hint="eastAsia" w:ascii="仿宋" w:hAnsi="仿宋" w:eastAsia="仿宋" w:cs="仿宋"/>
          <w:b w:val="0"/>
          <w:i w:val="0"/>
          <w:caps w:val="0"/>
          <w:color w:val="333333"/>
          <w:spacing w:val="0"/>
          <w:sz w:val="31"/>
          <w:szCs w:val="31"/>
          <w:shd w:val="clear" w:fill="FFFFFF"/>
          <w:lang w:val="en-US" w:eastAsia="zh-CN"/>
        </w:rPr>
        <w:t>维护社会稳定和谐。</w:t>
      </w:r>
      <w:r>
        <w:rPr>
          <w:rFonts w:hint="eastAsia" w:ascii="仿宋" w:hAnsi="仿宋" w:eastAsia="仿宋" w:cs="仿宋"/>
          <w:b w:val="0"/>
          <w:bCs/>
          <w:i w:val="0"/>
          <w:caps w:val="0"/>
          <w:color w:val="000000" w:themeColor="text1"/>
          <w:spacing w:val="0"/>
          <w:w w:val="100"/>
          <w:position w:val="0"/>
          <w:sz w:val="32"/>
          <w:szCs w:val="32"/>
          <w:u w:val="none"/>
          <w:shd w:val="clear" w:color="auto" w:fill="auto"/>
          <w:lang w:val="en-US" w:eastAsia="zh-CN"/>
          <w14:textFill>
            <w14:solidFill>
              <w14:schemeClr w14:val="tx1"/>
            </w14:solidFill>
          </w14:textFill>
        </w:rPr>
        <w:t>申报开展社区矫正、安置帮教工作需要开展的培训、活动等内容与《社区矫正》、《社区矫正法实施办法》相关规定、要求相符合。</w:t>
      </w:r>
    </w:p>
    <w:p w14:paraId="2B41C84A">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sz w:val="32"/>
          <w:szCs w:val="32"/>
          <w:highlight w:val="none"/>
          <w:lang w:eastAsia="zh-CN"/>
        </w:rPr>
      </w:pPr>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p>
    <w:p w14:paraId="6EF072EB">
      <w:pPr>
        <w:pStyle w:val="38"/>
        <w:keepNext w:val="0"/>
        <w:keepLines w:val="0"/>
        <w:widowControl w:val="0"/>
        <w:shd w:val="clear" w:color="auto" w:fill="auto"/>
        <w:tabs>
          <w:tab w:val="left" w:pos="1621"/>
        </w:tabs>
        <w:bidi w:val="0"/>
        <w:spacing w:before="0" w:beforeLines="0" w:after="0" w:afterLines="0" w:line="626" w:lineRule="exact"/>
        <w:ind w:left="0" w:leftChars="0" w:right="0" w:firstLine="640" w:firstLineChars="200"/>
        <w:jc w:val="both"/>
        <w:rPr>
          <w:rFonts w:hint="eastAsia" w:ascii="仿宋" w:hAnsi="仿宋" w:eastAsia="仿宋" w:cs="仿宋"/>
          <w:b w:val="0"/>
          <w:bCs/>
          <w:i w:val="0"/>
          <w:caps w:val="0"/>
          <w:color w:val="000000" w:themeColor="text1"/>
          <w:spacing w:val="0"/>
          <w:w w:val="100"/>
          <w:position w:val="0"/>
          <w:sz w:val="32"/>
          <w:szCs w:val="32"/>
          <w:u w:val="none"/>
          <w:shd w:val="clear" w:color="auto" w:fill="auto"/>
          <w:lang w:val="en-US" w:eastAsia="zh-CN"/>
          <w14:textFill>
            <w14:solidFill>
              <w14:schemeClr w14:val="tx1"/>
            </w14:solidFill>
          </w14:textFill>
        </w:rPr>
      </w:pPr>
      <w:r>
        <w:rPr>
          <w:rFonts w:hint="eastAsia" w:ascii="仿宋" w:hAnsi="仿宋" w:eastAsia="仿宋" w:cs="仿宋"/>
          <w:b w:val="0"/>
          <w:bCs/>
          <w:i w:val="0"/>
          <w:caps w:val="0"/>
          <w:color w:val="000000" w:themeColor="text1"/>
          <w:spacing w:val="0"/>
          <w:w w:val="100"/>
          <w:position w:val="0"/>
          <w:sz w:val="32"/>
          <w:szCs w:val="32"/>
          <w:u w:val="none"/>
          <w:shd w:val="clear" w:color="auto" w:fill="auto"/>
          <w:lang w:val="en-US" w:eastAsia="zh-CN"/>
          <w14:textFill>
            <w14:solidFill>
              <w14:schemeClr w14:val="tx1"/>
            </w14:solidFill>
          </w14:textFill>
        </w:rPr>
        <w:t>该项目资金预算于2023年3月及时到位（全部为本级财政资金）4万元，资金到位率100%。截止2023年12月实际支出4万元，支付依据均合规合法，且按年初预算指标支出，支出占比100%。按照经费管理制度，加强对单位预算执行管理，完善项目资金使用审批手续，坚持先审批，后使用，确保专项资金专款专用，单设会计科目进行核算，以便准确掌握资金使用及管理情况，规范账务管理。该项经费主要由单位社区矫正科为主要的实施部门。根据年初工作安排及省、州相关工作要求，并有针对性的开展社区矫正、安置帮教等工作，所产生的的经费严格按照经费管理制度使用，本年度未发生招标、政府采购等，主要用于以上相关业务工作产生的经费开支。</w:t>
      </w:r>
    </w:p>
    <w:p w14:paraId="19A28E4A">
      <w:pPr>
        <w:pStyle w:val="47"/>
        <w:keepNext/>
        <w:keepLines/>
        <w:widowControl w:val="0"/>
        <w:shd w:val="clear" w:color="auto" w:fill="auto"/>
        <w:tabs>
          <w:tab w:val="left" w:pos="1261"/>
        </w:tabs>
        <w:bidi w:val="0"/>
        <w:spacing w:before="0" w:beforeLines="0" w:after="0" w:afterLines="0" w:line="630" w:lineRule="exact"/>
        <w:ind w:left="0" w:right="0" w:firstLine="1298" w:firstLineChars="404"/>
        <w:jc w:val="both"/>
        <w:rPr>
          <w:rFonts w:hint="eastAsia" w:ascii="黑体" w:hAnsi="黑体" w:eastAsia="黑体" w:cs="黑体"/>
          <w:sz w:val="32"/>
          <w:szCs w:val="32"/>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p>
    <w:p w14:paraId="1EA85829">
      <w:pPr>
        <w:pStyle w:val="38"/>
        <w:keepNext w:val="0"/>
        <w:keepLines w:val="0"/>
        <w:widowControl w:val="0"/>
        <w:numPr>
          <w:ilvl w:val="0"/>
          <w:numId w:val="0"/>
        </w:numPr>
        <w:shd w:val="clear" w:color="auto" w:fill="auto"/>
        <w:bidi w:val="0"/>
        <w:spacing w:before="0" w:beforeLines="0" w:after="0" w:afterLines="0" w:line="626" w:lineRule="exact"/>
        <w:ind w:right="0" w:rightChars="0" w:firstLine="480" w:firstLineChars="200"/>
        <w:jc w:val="both"/>
        <w:rPr>
          <w:rFonts w:hint="eastAsia" w:ascii="华文楷体" w:hAnsi="华文楷体" w:eastAsia="华文楷体" w:cs="华文楷体"/>
          <w:b/>
          <w:bCs/>
          <w:color w:val="000000"/>
          <w:spacing w:val="0"/>
          <w:w w:val="100"/>
          <w:position w:val="0"/>
          <w:highlight w:val="yellow"/>
          <w:lang w:val="en-US" w:eastAsia="zh-CN"/>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highlight w:val="none"/>
          <w:lang w:val="en-US" w:eastAsia="zh-CN"/>
        </w:rPr>
        <w:t xml:space="preserve"> </w:t>
      </w:r>
      <w:r>
        <w:rPr>
          <w:rFonts w:hint="eastAsia" w:ascii="仿宋" w:hAnsi="仿宋" w:eastAsia="仿宋" w:cs="仿宋"/>
          <w:b w:val="0"/>
          <w:bCs/>
          <w:i w:val="0"/>
          <w:caps w:val="0"/>
          <w:color w:val="000000" w:themeColor="text1"/>
          <w:spacing w:val="0"/>
          <w:w w:val="100"/>
          <w:position w:val="0"/>
          <w:sz w:val="32"/>
          <w:szCs w:val="32"/>
          <w:highlight w:val="none"/>
          <w:u w:val="none"/>
          <w:shd w:val="clear" w:color="auto" w:fill="auto"/>
          <w:lang w:val="en-US" w:eastAsia="zh-CN"/>
          <w14:textFill>
            <w14:solidFill>
              <w14:schemeClr w14:val="tx1"/>
            </w14:solidFill>
          </w14:textFill>
        </w:rPr>
        <w:t xml:space="preserve"> </w:t>
      </w:r>
      <w:r>
        <w:rPr>
          <w:rFonts w:hint="eastAsia" w:ascii="华文楷体" w:hAnsi="华文楷体" w:eastAsia="华文楷体" w:cs="华文楷体"/>
          <w:b/>
          <w:bCs/>
          <w:color w:val="000000"/>
          <w:spacing w:val="0"/>
          <w:w w:val="100"/>
          <w:position w:val="0"/>
          <w:highlight w:val="none"/>
          <w:lang w:val="en-US" w:eastAsia="zh-CN"/>
        </w:rPr>
        <w:t>（一）项目完成情况</w:t>
      </w:r>
    </w:p>
    <w:p w14:paraId="6787A356">
      <w:pPr>
        <w:pageBreakBefore w:val="0"/>
        <w:kinsoku/>
        <w:wordWrap/>
        <w:overflowPunct/>
        <w:topLinePunct w:val="0"/>
        <w:autoSpaceDE/>
        <w:autoSpaceDN/>
        <w:bidi w:val="0"/>
        <w:snapToGrid/>
        <w:spacing w:line="560" w:lineRule="exact"/>
        <w:ind w:firstLine="640" w:firstLineChars="200"/>
      </w:pPr>
      <w:r>
        <w:rPr>
          <w:rFonts w:hint="eastAsia" w:ascii="仿宋" w:hAnsi="仿宋" w:eastAsia="仿宋" w:cs="仿宋"/>
          <w:b w:val="0"/>
          <w:bCs w:val="0"/>
          <w:i w:val="0"/>
          <w:caps w:val="0"/>
          <w:color w:val="000000" w:themeColor="text1"/>
          <w:spacing w:val="0"/>
          <w:w w:val="100"/>
          <w:sz w:val="32"/>
          <w:szCs w:val="32"/>
          <w:lang w:val="en-US" w:eastAsia="zh-CN"/>
          <w14:textFill>
            <w14:solidFill>
              <w14:schemeClr w14:val="tx1"/>
            </w14:solidFill>
          </w14:textFill>
        </w:rPr>
        <w:t>坚持创新监管、规范矫正，</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成立“甘孜州益众社会工作服务中心特殊人群服务分中心”，在各县（市）分设服务站</w:t>
      </w:r>
      <w:r>
        <w:rPr>
          <w:rFonts w:hint="eastAsia" w:ascii="仿宋" w:hAnsi="仿宋" w:eastAsia="仿宋" w:cs="仿宋"/>
          <w:b w:val="0"/>
          <w:bCs w:val="0"/>
          <w:i w:val="0"/>
          <w:caps w:val="0"/>
          <w:color w:val="000000" w:themeColor="text1"/>
          <w:spacing w:val="0"/>
          <w:w w:val="100"/>
          <w:sz w:val="32"/>
          <w:szCs w:val="32"/>
          <w:lang w:val="en-US" w:eastAsia="zh-CN"/>
          <w14:textFill>
            <w14:solidFill>
              <w14:schemeClr w14:val="tx1"/>
            </w14:solidFill>
          </w14:textFill>
        </w:rPr>
        <w:t>，</w:t>
      </w:r>
      <w:r>
        <w:rPr>
          <w:rFonts w:hint="eastAsia" w:ascii="仿宋" w:hAnsi="仿宋" w:eastAsia="仿宋" w:cs="仿宋"/>
          <w:b w:val="0"/>
          <w:i w:val="0"/>
          <w:iCs w:val="0"/>
          <w:caps w:val="0"/>
          <w:color w:val="000000" w:themeColor="text1"/>
          <w:spacing w:val="0"/>
          <w:w w:val="100"/>
          <w:sz w:val="32"/>
          <w:szCs w:val="32"/>
          <w14:textFill>
            <w14:solidFill>
              <w14:schemeClr w14:val="tx1"/>
            </w14:solidFill>
          </w14:textFill>
        </w:rPr>
        <w:t>为社区服刑人员安心改造并融入社会创造条件</w:t>
      </w:r>
      <w:r>
        <w:rPr>
          <w:rFonts w:hint="eastAsia" w:ascii="仿宋" w:hAnsi="仿宋" w:eastAsia="仿宋" w:cs="仿宋"/>
          <w:b w:val="0"/>
          <w:i w:val="0"/>
          <w:iCs w:val="0"/>
          <w:caps w:val="0"/>
          <w:color w:val="000000" w:themeColor="text1"/>
          <w:spacing w:val="0"/>
          <w:w w:val="100"/>
          <w:sz w:val="32"/>
          <w:szCs w:val="32"/>
          <w:lang w:eastAsia="zh-CN"/>
          <w14:textFill>
            <w14:solidFill>
              <w14:schemeClr w14:val="tx1"/>
            </w14:solidFill>
          </w14:textFill>
        </w:rPr>
        <w:t>。</w:t>
      </w:r>
      <w:r>
        <w:rPr>
          <w:rFonts w:hint="eastAsia" w:ascii="仿宋" w:hAnsi="仿宋" w:eastAsia="仿宋" w:cs="仿宋"/>
          <w:b w:val="0"/>
          <w:bCs w:val="0"/>
          <w:i w:val="0"/>
          <w:caps w:val="0"/>
          <w:color w:val="000000" w:themeColor="text1"/>
          <w:spacing w:val="0"/>
          <w:w w:val="100"/>
          <w:sz w:val="32"/>
          <w:szCs w:val="32"/>
          <w:lang w:eastAsia="zh-CN"/>
          <w14:textFill>
            <w14:solidFill>
              <w14:schemeClr w14:val="tx1"/>
            </w14:solidFill>
          </w14:textFill>
        </w:rPr>
        <w:t>强化日常风险管控措施，</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全覆盖摸排走访，实现社区矫正对象无脱管、漏管；</w:t>
      </w:r>
      <w:r>
        <w:rPr>
          <w:rFonts w:hint="eastAsia" w:ascii="仿宋_GB2312" w:hAnsi="仿宋_GB2312" w:eastAsia="仿宋_GB2312" w:cs="仿宋_GB2312"/>
          <w:sz w:val="32"/>
          <w:szCs w:val="32"/>
          <w:lang w:eastAsia="zh-CN"/>
        </w:rPr>
        <w:t>安置帮教对象</w:t>
      </w:r>
      <w:r>
        <w:rPr>
          <w:rFonts w:hint="eastAsia" w:ascii="仿宋_GB2312" w:hAnsi="仿宋_GB2312" w:eastAsia="仿宋_GB2312" w:cs="仿宋_GB2312"/>
          <w:sz w:val="32"/>
          <w:szCs w:val="32"/>
          <w:lang w:val="en-US" w:eastAsia="zh-CN"/>
        </w:rPr>
        <w:t>中安置率达34%</w:t>
      </w:r>
      <w:r>
        <w:rPr>
          <w:rFonts w:hint="eastAsia" w:ascii="仿宋_GB2312" w:hAnsi="仿宋_GB2312" w:eastAsia="仿宋_GB2312" w:cs="仿宋_GB2312"/>
          <w:sz w:val="32"/>
          <w:szCs w:val="32"/>
          <w:lang w:eastAsia="zh-CN"/>
        </w:rPr>
        <w:t>。</w:t>
      </w:r>
    </w:p>
    <w:p w14:paraId="134FB880">
      <w:pPr>
        <w:pStyle w:val="9"/>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14:paraId="54BE2A19">
      <w:pPr>
        <w:pStyle w:val="38"/>
        <w:keepNext w:val="0"/>
        <w:keepLines w:val="0"/>
        <w:widowControl w:val="0"/>
        <w:shd w:val="clear" w:color="auto" w:fill="auto"/>
        <w:tabs>
          <w:tab w:val="left" w:pos="1621"/>
        </w:tabs>
        <w:bidi w:val="0"/>
        <w:spacing w:before="0" w:beforeLines="0" w:after="0" w:afterLines="0" w:line="626" w:lineRule="exact"/>
        <w:ind w:left="0" w:leftChars="0" w:right="0" w:firstLine="640" w:firstLineChars="200"/>
        <w:jc w:val="both"/>
        <w:rPr>
          <w:rFonts w:hint="eastAsia" w:ascii="仿宋" w:hAnsi="仿宋" w:eastAsia="仿宋" w:cs="仿宋"/>
          <w:b w:val="0"/>
          <w:i w:val="0"/>
          <w:caps w:val="0"/>
          <w:color w:val="000000" w:themeColor="text1"/>
          <w:spacing w:val="0"/>
          <w:w w:val="100"/>
          <w:kern w:val="0"/>
          <w:sz w:val="32"/>
          <w:szCs w:val="32"/>
          <w:lang w:val="en-US" w:eastAsia="zh-CN" w:bidi="ar"/>
          <w14:textFill>
            <w14:solidFill>
              <w14:schemeClr w14:val="tx1"/>
            </w14:solidFill>
          </w14:textFill>
        </w:rPr>
      </w:pPr>
      <w:r>
        <w:rPr>
          <w:rFonts w:hint="eastAsia" w:ascii="仿宋" w:hAnsi="仿宋" w:eastAsia="仿宋" w:cs="仿宋"/>
          <w:b w:val="0"/>
          <w:i w:val="0"/>
          <w:caps w:val="0"/>
          <w:color w:val="000000" w:themeColor="text1"/>
          <w:spacing w:val="0"/>
          <w:w w:val="100"/>
          <w:kern w:val="0"/>
          <w:sz w:val="32"/>
          <w:szCs w:val="32"/>
          <w:lang w:val="en-US" w:eastAsia="zh-CN" w:bidi="ar"/>
          <w14:textFill>
            <w14:solidFill>
              <w14:schemeClr w14:val="tx1"/>
            </w14:solidFill>
          </w14:textFill>
        </w:rPr>
        <w:t>通过开展社区矫正工作，</w:t>
      </w:r>
      <w:r>
        <w:rPr>
          <w:rFonts w:ascii="仿宋" w:hAnsi="仿宋" w:eastAsia="仿宋" w:cs="仿宋"/>
          <w:b w:val="0"/>
          <w:i w:val="0"/>
          <w:caps w:val="0"/>
          <w:color w:val="333333"/>
          <w:spacing w:val="0"/>
          <w:sz w:val="31"/>
          <w:szCs w:val="31"/>
          <w:highlight w:val="none"/>
          <w:shd w:val="clear" w:fill="FFFFFF"/>
        </w:rPr>
        <w:t>促进社区矫正对象顺利融入社会，预防和减少</w:t>
      </w:r>
      <w:r>
        <w:rPr>
          <w:rFonts w:ascii="仿宋" w:hAnsi="仿宋" w:eastAsia="仿宋" w:cs="仿宋"/>
          <w:b w:val="0"/>
          <w:i w:val="0"/>
          <w:caps w:val="0"/>
          <w:color w:val="333333"/>
          <w:spacing w:val="0"/>
          <w:sz w:val="31"/>
          <w:szCs w:val="31"/>
          <w:shd w:val="clear" w:fill="FFFFFF"/>
        </w:rPr>
        <w:t>犯罪，</w:t>
      </w:r>
      <w:r>
        <w:rPr>
          <w:rFonts w:hint="eastAsia" w:ascii="仿宋" w:hAnsi="仿宋" w:eastAsia="仿宋" w:cs="仿宋"/>
          <w:b w:val="0"/>
          <w:i w:val="0"/>
          <w:caps w:val="0"/>
          <w:color w:val="000000" w:themeColor="text1"/>
          <w:spacing w:val="0"/>
          <w:w w:val="100"/>
          <w:kern w:val="0"/>
          <w:sz w:val="32"/>
          <w:szCs w:val="32"/>
          <w:lang w:val="en-US" w:eastAsia="zh-CN" w:bidi="ar"/>
          <w14:textFill>
            <w14:solidFill>
              <w14:schemeClr w14:val="tx1"/>
            </w14:solidFill>
          </w14:textFill>
        </w:rPr>
        <w:t>维护社会稳定和谐。</w:t>
      </w:r>
    </w:p>
    <w:p w14:paraId="45F9FDFA">
      <w:pPr>
        <w:pStyle w:val="9"/>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eastAsia="黑体" w:cs="Times New Roman"/>
          <w:color w:val="auto"/>
          <w:sz w:val="32"/>
          <w:szCs w:val="32"/>
          <w:highlight w:val="none"/>
          <w:u w:val="none"/>
          <w:lang w:eastAsia="zh-CN"/>
        </w:rPr>
        <w:t>五、存在主要问题</w:t>
      </w:r>
    </w:p>
    <w:p w14:paraId="4DCAB16A">
      <w:pPr>
        <w:pStyle w:val="38"/>
        <w:keepNext w:val="0"/>
        <w:keepLines w:val="0"/>
        <w:widowControl w:val="0"/>
        <w:shd w:val="clear" w:color="auto" w:fill="auto"/>
        <w:tabs>
          <w:tab w:val="left" w:pos="1598"/>
        </w:tabs>
        <w:bidi w:val="0"/>
        <w:spacing w:before="0" w:beforeLines="0" w:after="0" w:afterLines="0" w:line="630" w:lineRule="exact"/>
        <w:ind w:left="0" w:right="0" w:firstLine="760"/>
        <w:jc w:val="left"/>
        <w:rPr>
          <w:rFonts w:hint="eastAsia" w:ascii="仿宋" w:hAnsi="仿宋" w:eastAsia="仿宋" w:cs="仿宋"/>
          <w:b w:val="0"/>
          <w:bCs w:val="0"/>
          <w:i w:val="0"/>
          <w:caps w:val="0"/>
          <w:color w:val="000000" w:themeColor="text1"/>
          <w:spacing w:val="0"/>
          <w:w w:val="100"/>
          <w:kern w:val="2"/>
          <w:sz w:val="32"/>
          <w:szCs w:val="32"/>
          <w:highlight w:val="none"/>
          <w:u w:val="none"/>
          <w:shd w:val="clear"/>
          <w:lang w:val="en-US" w:eastAsia="zh-CN" w:bidi="ar-SA"/>
          <w14:textFill>
            <w14:solidFill>
              <w14:schemeClr w14:val="tx1"/>
            </w14:solidFill>
          </w14:textFill>
        </w:rPr>
      </w:pPr>
      <w:r>
        <w:rPr>
          <w:rFonts w:hint="eastAsia" w:ascii="仿宋" w:hAnsi="仿宋" w:eastAsia="仿宋" w:cs="仿宋"/>
          <w:b w:val="0"/>
          <w:bCs w:val="0"/>
          <w:i w:val="0"/>
          <w:caps w:val="0"/>
          <w:color w:val="000000" w:themeColor="text1"/>
          <w:spacing w:val="0"/>
          <w:w w:val="100"/>
          <w:kern w:val="2"/>
          <w:sz w:val="32"/>
          <w:szCs w:val="32"/>
          <w:highlight w:val="none"/>
          <w:u w:val="none"/>
          <w:shd w:val="clear"/>
          <w:lang w:val="en-US" w:eastAsia="zh-CN" w:bidi="ar-SA"/>
          <w14:textFill>
            <w14:solidFill>
              <w14:schemeClr w14:val="tx1"/>
            </w14:solidFill>
          </w14:textFill>
        </w:rPr>
        <w:t>由于我州幅员辽阔，点多面光，仅有的工作人员和经费很有效提高社区矫正工作，更多地只能开展基础性工作，不利于高质量推动社区矫正工作。</w:t>
      </w:r>
    </w:p>
    <w:p w14:paraId="6BDEC8EE">
      <w:pPr>
        <w:pStyle w:val="9"/>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14:paraId="35B70A82">
      <w:pPr>
        <w:pStyle w:val="38"/>
        <w:keepNext w:val="0"/>
        <w:keepLines w:val="0"/>
        <w:widowControl w:val="0"/>
        <w:shd w:val="clear" w:color="auto" w:fill="auto"/>
        <w:tabs>
          <w:tab w:val="left" w:pos="1598"/>
        </w:tabs>
        <w:bidi w:val="0"/>
        <w:spacing w:before="0" w:beforeLines="0" w:after="0" w:afterLines="0" w:line="630" w:lineRule="exact"/>
        <w:ind w:left="0" w:leftChars="0" w:right="0" w:firstLine="640" w:firstLineChars="200"/>
        <w:jc w:val="left"/>
        <w:rPr>
          <w:rFonts w:hint="eastAsia" w:ascii="仿宋" w:hAnsi="仿宋" w:eastAsia="仿宋" w:cs="仿宋"/>
          <w:b w:val="0"/>
          <w:bCs w:val="0"/>
          <w:i w:val="0"/>
          <w:caps w:val="0"/>
          <w:color w:val="000000" w:themeColor="text1"/>
          <w:spacing w:val="0"/>
          <w:w w:val="100"/>
          <w:kern w:val="2"/>
          <w:sz w:val="32"/>
          <w:szCs w:val="32"/>
          <w:highlight w:val="none"/>
          <w:u w:val="none"/>
          <w:shd w:val="clear"/>
          <w:lang w:val="en-US" w:eastAsia="zh-CN" w:bidi="ar-SA"/>
          <w14:textFill>
            <w14:solidFill>
              <w14:schemeClr w14:val="tx1"/>
            </w14:solidFill>
          </w14:textFill>
        </w:rPr>
      </w:pPr>
      <w:r>
        <w:rPr>
          <w:rFonts w:hint="eastAsia" w:ascii="仿宋" w:hAnsi="仿宋" w:eastAsia="仿宋" w:cs="仿宋"/>
          <w:b w:val="0"/>
          <w:bCs w:val="0"/>
          <w:i w:val="0"/>
          <w:caps w:val="0"/>
          <w:color w:val="000000" w:themeColor="text1"/>
          <w:spacing w:val="0"/>
          <w:w w:val="100"/>
          <w:kern w:val="2"/>
          <w:sz w:val="32"/>
          <w:szCs w:val="32"/>
          <w:highlight w:val="none"/>
          <w:u w:val="none"/>
          <w:shd w:val="clear"/>
          <w:lang w:val="en-US" w:eastAsia="zh-CN" w:bidi="ar-SA"/>
          <w14:textFill>
            <w14:solidFill>
              <w14:schemeClr w14:val="tx1"/>
            </w14:solidFill>
          </w14:textFill>
        </w:rPr>
        <w:t>根据绩效评价结果，适当增加相关人员及经费，强有效推动工作，充分发挥社区矫正工作质量，促进社会稳定和谐。</w:t>
      </w:r>
    </w:p>
    <w:p w14:paraId="728D6B99">
      <w:pPr>
        <w:jc w:val="center"/>
        <w:rPr>
          <w:rFonts w:hint="eastAsia" w:asciiTheme="majorEastAsia" w:hAnsiTheme="majorEastAsia" w:eastAsiaTheme="majorEastAsia" w:cstheme="majorEastAsia"/>
          <w:sz w:val="44"/>
          <w:szCs w:val="44"/>
          <w:lang w:val="en-US" w:eastAsia="zh-CN"/>
        </w:rPr>
      </w:pPr>
    </w:p>
    <w:p w14:paraId="2BC86CE2">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专项预算项目绩效评价报告</w:t>
      </w:r>
    </w:p>
    <w:p w14:paraId="7080D726">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z w:val="44"/>
          <w:szCs w:val="44"/>
          <w:lang w:eastAsia="zh-CN"/>
        </w:rPr>
        <w:t>依法治州</w:t>
      </w:r>
      <w:r>
        <w:rPr>
          <w:rFonts w:hint="eastAsia" w:asciiTheme="majorEastAsia" w:hAnsiTheme="majorEastAsia" w:eastAsiaTheme="majorEastAsia" w:cstheme="majorEastAsia"/>
          <w:sz w:val="44"/>
          <w:szCs w:val="44"/>
        </w:rPr>
        <w:t>项目）</w:t>
      </w:r>
    </w:p>
    <w:p w14:paraId="71D8CCDA">
      <w:pPr>
        <w:pStyle w:val="2"/>
        <w:rPr>
          <w:rFonts w:hint="eastAsia"/>
        </w:rPr>
      </w:pPr>
    </w:p>
    <w:p w14:paraId="088E6931">
      <w:pPr>
        <w:pStyle w:val="47"/>
        <w:keepNext/>
        <w:keepLines/>
        <w:widowControl w:val="0"/>
        <w:shd w:val="clear" w:color="auto" w:fill="auto"/>
        <w:bidi w:val="0"/>
        <w:spacing w:before="0" w:beforeLines="0" w:after="0" w:afterLines="0" w:line="626" w:lineRule="exact"/>
        <w:ind w:left="0" w:right="0" w:firstLine="620"/>
        <w:jc w:val="both"/>
        <w:rPr>
          <w:rFonts w:hint="eastAsia" w:ascii="黑体" w:hAnsi="黑体" w:eastAsia="黑体" w:cs="黑体"/>
          <w:color w:val="000000"/>
          <w:spacing w:val="0"/>
          <w:w w:val="100"/>
          <w:position w:val="0"/>
        </w:rPr>
      </w:pPr>
      <w:r>
        <w:rPr>
          <w:rFonts w:hint="eastAsia" w:ascii="黑体" w:hAnsi="黑体" w:eastAsia="黑体" w:cs="黑体"/>
          <w:color w:val="000000"/>
          <w:spacing w:val="0"/>
          <w:w w:val="100"/>
          <w:position w:val="0"/>
        </w:rPr>
        <w:t>—、项目概况</w:t>
      </w:r>
    </w:p>
    <w:p w14:paraId="3B4BEDF4">
      <w:pPr>
        <w:pStyle w:val="47"/>
        <w:keepNext/>
        <w:keepLines/>
        <w:widowControl w:val="0"/>
        <w:shd w:val="clear" w:color="auto" w:fill="auto"/>
        <w:bidi w:val="0"/>
        <w:spacing w:before="0" w:beforeLines="0" w:after="0" w:afterLines="0" w:line="626" w:lineRule="exact"/>
        <w:ind w:left="0" w:right="0" w:firstLine="620"/>
        <w:jc w:val="both"/>
        <w:rPr>
          <w:rFonts w:hint="eastAsia"/>
          <w:color w:val="000000"/>
          <w:spacing w:val="0"/>
          <w:w w:val="100"/>
          <w:position w:val="0"/>
          <w:lang w:val="en-US" w:eastAsia="zh-CN"/>
        </w:rPr>
      </w:pP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 xml:space="preserve"> 该项目以</w:t>
      </w:r>
      <w:r>
        <w:rPr>
          <w:rFonts w:hint="eastAsia" w:ascii="仿宋" w:hAnsi="仿宋" w:eastAsia="仿宋" w:cs="仿宋"/>
          <w:b w:val="0"/>
          <w:i w:val="0"/>
          <w:caps w:val="0"/>
          <w:color w:val="000000" w:themeColor="text1"/>
          <w:spacing w:val="0"/>
          <w:w w:val="100"/>
          <w:kern w:val="0"/>
          <w:sz w:val="32"/>
          <w:szCs w:val="32"/>
          <w:lang w:val="en-US" w:eastAsia="zh-CN" w:bidi="ar"/>
          <w14:textFill>
            <w14:solidFill>
              <w14:schemeClr w14:val="tx1"/>
            </w14:solidFill>
          </w14:textFill>
        </w:rPr>
        <w:t>习近平新时代中国特色社会主义思想作为首要政治任务，坚定践行习近平法治思想，贯彻落实习近平总书记关于政法队伍建设重要指示批示精神和中央、省委、州委安排部署，</w:t>
      </w:r>
      <w:r>
        <w:rPr>
          <w:rFonts w:hint="eastAsia" w:ascii="仿宋" w:hAnsi="仿宋" w:eastAsia="仿宋" w:cs="仿宋"/>
          <w:b w:val="0"/>
          <w:i w:val="0"/>
          <w:caps w:val="0"/>
          <w:color w:val="000000" w:themeColor="text1"/>
          <w:spacing w:val="0"/>
          <w:w w:val="100"/>
          <w:sz w:val="32"/>
          <w:szCs w:val="32"/>
          <w:highlight w:val="none"/>
          <w:lang w:val="en-US" w:eastAsia="zh-CN"/>
          <w14:textFill>
            <w14:solidFill>
              <w14:schemeClr w14:val="tx1"/>
            </w14:solidFill>
          </w14:textFill>
        </w:rPr>
        <w:t>从立法、执法、司法、守法各个环节靶向发力，</w:t>
      </w:r>
      <w:r>
        <w:rPr>
          <w:rFonts w:hint="eastAsia" w:ascii="仿宋" w:hAnsi="仿宋" w:eastAsia="仿宋" w:cs="仿宋"/>
          <w:b w:val="0"/>
          <w:i w:val="0"/>
          <w:caps w:val="0"/>
          <w:color w:val="000000" w:themeColor="text1"/>
          <w:spacing w:val="0"/>
          <w:w w:val="100"/>
          <w:sz w:val="32"/>
          <w:szCs w:val="32"/>
          <w:highlight w:val="none"/>
          <w:lang w:val="zh-TW" w:eastAsia="zh-CN"/>
          <w14:textFill>
            <w14:solidFill>
              <w14:schemeClr w14:val="tx1"/>
            </w14:solidFill>
          </w14:textFill>
        </w:rPr>
        <w:t>以依法治州、乡村振兴工作为抓手，</w:t>
      </w:r>
      <w:r>
        <w:rPr>
          <w:rFonts w:hint="eastAsia" w:ascii="仿宋" w:hAnsi="仿宋" w:eastAsia="仿宋" w:cs="仿宋"/>
          <w:b w:val="0"/>
          <w:i w:val="0"/>
          <w:caps w:val="0"/>
          <w:color w:val="000000" w:themeColor="text1"/>
          <w:spacing w:val="0"/>
          <w:w w:val="100"/>
          <w:sz w:val="32"/>
          <w:szCs w:val="32"/>
          <w:highlight w:val="none"/>
          <w:lang w:val="en-US" w:eastAsia="zh-CN"/>
          <w14:textFill>
            <w14:solidFill>
              <w14:schemeClr w14:val="tx1"/>
            </w14:solidFill>
          </w14:textFill>
        </w:rPr>
        <w:t>为建设美丽生态和谐社会主义现代化新甘孜提供坚强法治保障</w:t>
      </w:r>
      <w:r>
        <w:rPr>
          <w:rFonts w:hint="eastAsia" w:ascii="仿宋" w:hAnsi="仿宋" w:eastAsia="仿宋" w:cs="仿宋"/>
          <w:b w:val="0"/>
          <w:i w:val="0"/>
          <w:caps w:val="0"/>
          <w:color w:val="000000" w:themeColor="text1"/>
          <w:spacing w:val="0"/>
          <w:w w:val="100"/>
          <w:sz w:val="32"/>
          <w:szCs w:val="32"/>
          <w:highlight w:val="none"/>
          <w:lang w:val="zh-TW" w:eastAsia="zh-CN"/>
          <w14:textFill>
            <w14:solidFill>
              <w14:schemeClr w14:val="tx1"/>
            </w14:solidFill>
          </w14:textFill>
        </w:rPr>
        <w:t>。</w:t>
      </w:r>
      <w:r>
        <w:rPr>
          <w:rFonts w:hint="eastAsia" w:ascii="仿宋" w:hAnsi="仿宋" w:eastAsia="仿宋" w:cs="仿宋"/>
          <w:b w:val="0"/>
          <w:bCs/>
          <w:i w:val="0"/>
          <w:caps w:val="0"/>
          <w:color w:val="000000" w:themeColor="text1"/>
          <w:spacing w:val="0"/>
          <w:w w:val="100"/>
          <w:position w:val="0"/>
          <w:sz w:val="32"/>
          <w:szCs w:val="32"/>
          <w:u w:val="none"/>
          <w:shd w:val="clear" w:color="auto" w:fill="auto"/>
          <w:lang w:val="zh-TW" w:eastAsia="zh-CN"/>
          <w14:textFill>
            <w14:solidFill>
              <w14:schemeClr w14:val="tx1"/>
            </w14:solidFill>
          </w14:textFill>
        </w:rPr>
        <w:t>年初申报项目预算资金</w:t>
      </w:r>
      <w:r>
        <w:rPr>
          <w:rFonts w:hint="eastAsia" w:ascii="仿宋" w:hAnsi="仿宋" w:eastAsia="仿宋" w:cs="仿宋"/>
          <w:b w:val="0"/>
          <w:bCs/>
          <w:i w:val="0"/>
          <w:caps w:val="0"/>
          <w:color w:val="000000" w:themeColor="text1"/>
          <w:spacing w:val="0"/>
          <w:w w:val="100"/>
          <w:position w:val="0"/>
          <w:sz w:val="32"/>
          <w:szCs w:val="32"/>
          <w:u w:val="none"/>
          <w:shd w:val="clear" w:color="auto" w:fill="auto"/>
          <w:lang w:val="en-US" w:eastAsia="zh-CN"/>
          <w14:textFill>
            <w14:solidFill>
              <w14:schemeClr w14:val="tx1"/>
            </w14:solidFill>
          </w14:textFill>
        </w:rPr>
        <w:t>31万元，财政批复预算资金31万元。</w:t>
      </w:r>
      <w:r>
        <w:rPr>
          <w:rFonts w:hint="eastAsia" w:ascii="仿宋" w:hAnsi="仿宋" w:eastAsia="仿宋" w:cs="仿宋"/>
          <w:b w:val="0"/>
          <w:i w:val="0"/>
          <w:caps w:val="0"/>
          <w:color w:val="000000" w:themeColor="text1"/>
          <w:spacing w:val="0"/>
          <w:w w:val="100"/>
          <w:kern w:val="0"/>
          <w:sz w:val="32"/>
          <w:szCs w:val="32"/>
          <w:lang w:val="en-US" w:eastAsia="zh-CN" w:bidi="ar"/>
          <w14:textFill>
            <w14:solidFill>
              <w14:schemeClr w14:val="tx1"/>
            </w14:solidFill>
          </w14:textFill>
        </w:rPr>
        <w:t>通过开展依法治理工作，夯实依法治州的基层基础，提升行政立法、行政执法、刑事执行、公共法律服务水平，推进科学立法，加强法治政府建设，深化司法体制改革，推进法治社会建设，全面开展市域治理工作，不断提高干部群众法律意识，全方位营造良好的法治氛围，维护社会稳定和谐。</w:t>
      </w:r>
      <w:r>
        <w:rPr>
          <w:rFonts w:hint="eastAsia" w:ascii="仿宋" w:hAnsi="仿宋" w:eastAsia="仿宋" w:cs="仿宋"/>
          <w:b w:val="0"/>
          <w:bCs/>
          <w:i w:val="0"/>
          <w:caps w:val="0"/>
          <w:color w:val="000000" w:themeColor="text1"/>
          <w:spacing w:val="0"/>
          <w:w w:val="100"/>
          <w:position w:val="0"/>
          <w:sz w:val="32"/>
          <w:szCs w:val="32"/>
          <w:u w:val="none"/>
          <w:shd w:val="clear" w:color="auto" w:fill="auto"/>
          <w:lang w:val="en-US" w:eastAsia="zh-CN"/>
          <w14:textFill>
            <w14:solidFill>
              <w14:schemeClr w14:val="tx1"/>
            </w14:solidFill>
          </w14:textFill>
        </w:rPr>
        <w:t>申报开展的依法治州工作培训、工作督查、调研活动，举办依法治州工作会议等内容与依法治州工作总要求相符合</w:t>
      </w:r>
      <w:r>
        <w:rPr>
          <w:rFonts w:hint="eastAsia"/>
          <w:color w:val="000000"/>
          <w:spacing w:val="0"/>
          <w:w w:val="100"/>
          <w:position w:val="0"/>
          <w:lang w:val="en-US" w:eastAsia="zh-CN"/>
        </w:rPr>
        <w:t>。</w:t>
      </w:r>
    </w:p>
    <w:p w14:paraId="704BAA13">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sz w:val="32"/>
          <w:szCs w:val="32"/>
          <w:highlight w:val="none"/>
          <w:lang w:eastAsia="zh-CN"/>
        </w:rPr>
      </w:pPr>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p>
    <w:p w14:paraId="59573B0D">
      <w:pPr>
        <w:pStyle w:val="38"/>
        <w:keepNext w:val="0"/>
        <w:keepLines w:val="0"/>
        <w:widowControl w:val="0"/>
        <w:shd w:val="clear" w:color="auto" w:fill="auto"/>
        <w:tabs>
          <w:tab w:val="left" w:pos="1621"/>
        </w:tabs>
        <w:bidi w:val="0"/>
        <w:spacing w:before="0" w:beforeLines="0" w:after="0" w:afterLines="0" w:line="626" w:lineRule="exact"/>
        <w:ind w:left="0" w:leftChars="0" w:right="0" w:firstLine="640" w:firstLineChars="200"/>
        <w:jc w:val="both"/>
        <w:rPr>
          <w:rFonts w:hint="eastAsia" w:ascii="仿宋" w:hAnsi="仿宋" w:eastAsia="仿宋" w:cs="仿宋"/>
          <w:b w:val="0"/>
          <w:bCs/>
          <w:i w:val="0"/>
          <w:caps w:val="0"/>
          <w:color w:val="000000" w:themeColor="text1"/>
          <w:spacing w:val="0"/>
          <w:w w:val="100"/>
          <w:position w:val="0"/>
          <w:sz w:val="32"/>
          <w:szCs w:val="32"/>
          <w:u w:val="none"/>
          <w:shd w:val="clear" w:color="auto" w:fill="auto"/>
          <w:lang w:val="en-US" w:eastAsia="zh-CN"/>
          <w14:textFill>
            <w14:solidFill>
              <w14:schemeClr w14:val="tx1"/>
            </w14:solidFill>
          </w14:textFill>
        </w:rPr>
      </w:pPr>
      <w:r>
        <w:rPr>
          <w:rFonts w:hint="eastAsia" w:ascii="仿宋" w:hAnsi="仿宋" w:eastAsia="仿宋" w:cs="仿宋"/>
          <w:b w:val="0"/>
          <w:bCs/>
          <w:i w:val="0"/>
          <w:caps w:val="0"/>
          <w:color w:val="000000" w:themeColor="text1"/>
          <w:spacing w:val="0"/>
          <w:w w:val="100"/>
          <w:position w:val="0"/>
          <w:sz w:val="32"/>
          <w:szCs w:val="32"/>
          <w:u w:val="none"/>
          <w:shd w:val="clear" w:color="auto" w:fill="auto"/>
          <w:lang w:val="en-US" w:eastAsia="zh-CN"/>
          <w14:textFill>
            <w14:solidFill>
              <w14:schemeClr w14:val="tx1"/>
            </w14:solidFill>
          </w14:textFill>
        </w:rPr>
        <w:t>该项目资金预算于2023年3月及时到位（全部为本级财政资金）31万元，资金到位率100%。截止2023年12月实际支出28.6万元，支付依据均合规合法，且按年初预算指标支出，支出占比95.33%。按照经费管理制度，加强对单位预算执行管理，完善项目资金使用审批手续，坚持先审批，后使用，确保专项资金专款专用，单设会计科目进行核算，以便准确掌握资金使用及管理情况，规范账务管理。该项经费主要由依法治州秘书科为主要的实施部门。根据年初工作安排及省、州相关工作要求，并有针对性的开展培训、指导、督查、调研、法治建设协调等相关工作，所产生的的经费严格按照经费管理制度使用，本年度未发生招标、政府采购等，主要用于以上相关业务工作产生的经费开支。</w:t>
      </w:r>
    </w:p>
    <w:p w14:paraId="4BCEBA2B">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黑体" w:hAnsi="黑体" w:eastAsia="黑体" w:cs="黑体"/>
          <w:sz w:val="32"/>
          <w:szCs w:val="32"/>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14:paraId="7D184B73">
      <w:pPr>
        <w:pStyle w:val="38"/>
        <w:keepNext w:val="0"/>
        <w:keepLines w:val="0"/>
        <w:widowControl w:val="0"/>
        <w:numPr>
          <w:ilvl w:val="0"/>
          <w:numId w:val="0"/>
        </w:numPr>
        <w:shd w:val="clear" w:color="auto" w:fill="auto"/>
        <w:bidi w:val="0"/>
        <w:spacing w:before="0" w:beforeLines="0" w:after="0" w:afterLines="0" w:line="626" w:lineRule="exact"/>
        <w:ind w:right="0" w:rightChars="0" w:firstLine="640" w:firstLineChars="200"/>
        <w:jc w:val="both"/>
        <w:rPr>
          <w:rFonts w:hint="eastAsia" w:ascii="仿宋" w:hAnsi="仿宋" w:eastAsia="仿宋" w:cs="仿宋"/>
          <w:b w:val="0"/>
          <w:bCs/>
          <w:i w:val="0"/>
          <w:caps w:val="0"/>
          <w:color w:val="000000" w:themeColor="text1"/>
          <w:spacing w:val="0"/>
          <w:w w:val="100"/>
          <w:position w:val="0"/>
          <w:sz w:val="32"/>
          <w:szCs w:val="32"/>
          <w:u w:val="none"/>
          <w:shd w:val="clear" w:color="auto" w:fill="auto"/>
          <w:lang w:val="en-US" w:eastAsia="zh-CN"/>
          <w14:textFill>
            <w14:solidFill>
              <w14:schemeClr w14:val="tx1"/>
            </w14:solidFill>
          </w14:textFill>
        </w:rPr>
      </w:pPr>
      <w:r>
        <w:rPr>
          <w:rFonts w:hint="eastAsia" w:ascii="仿宋" w:hAnsi="仿宋" w:eastAsia="仿宋" w:cs="仿宋"/>
          <w:b w:val="0"/>
          <w:bCs/>
          <w:i w:val="0"/>
          <w:caps w:val="0"/>
          <w:color w:val="000000" w:themeColor="text1"/>
          <w:spacing w:val="0"/>
          <w:w w:val="100"/>
          <w:position w:val="0"/>
          <w:sz w:val="32"/>
          <w:szCs w:val="32"/>
          <w:u w:val="none"/>
          <w:shd w:val="clear" w:color="auto" w:fill="auto"/>
          <w:lang w:val="en-US" w:eastAsia="zh-CN"/>
          <w14:textFill>
            <w14:solidFill>
              <w14:schemeClr w14:val="tx1"/>
            </w14:solidFill>
          </w14:textFill>
        </w:rPr>
        <w:t xml:space="preserve">法治建设稳步推进，分解落实甘孜州2023年全面依法治州工作要点和目标任务，组织开展全州依法治州实务能力提升平培训班，推动依法治州工作高质量发展，紧抓“关键少数”法治责任，积极落实会前学法制度，增强提升领导干部法治思维能力和法治水平。加强提升依法治州调研课题评审工作水平，8个州级部门、7个县（市）的调研课题获奖。积极发挥全面依法治州“统、链、督”作用，将依法治州工作和市（州）域社会治理现代化有机结合，共同发力，一体推进，进一步明确细化工作任务，建立工作清单责任制，压紧压实工作责任，以台账销号式推动重点人群和法治保障两项牵头工作，及时召开联席协作会议，深入责任单位开展调研督导，运用好市域社会治理考评信息化系统，深化推动专项组工作。    </w:t>
      </w:r>
    </w:p>
    <w:p w14:paraId="5EDBC831">
      <w:pPr>
        <w:pStyle w:val="9"/>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14:paraId="12391022">
      <w:pPr>
        <w:pStyle w:val="38"/>
        <w:keepNext w:val="0"/>
        <w:keepLines w:val="0"/>
        <w:widowControl w:val="0"/>
        <w:shd w:val="clear" w:color="auto" w:fill="auto"/>
        <w:tabs>
          <w:tab w:val="left" w:pos="1621"/>
        </w:tabs>
        <w:bidi w:val="0"/>
        <w:spacing w:before="0" w:beforeLines="0" w:after="0" w:afterLines="0" w:line="626" w:lineRule="exact"/>
        <w:ind w:left="0" w:leftChars="0" w:right="0" w:firstLine="640" w:firstLineChars="200"/>
        <w:jc w:val="both"/>
        <w:rPr>
          <w:rFonts w:hint="eastAsia" w:ascii="仿宋" w:hAnsi="仿宋" w:eastAsia="仿宋" w:cs="仿宋"/>
          <w:b w:val="0"/>
          <w:i w:val="0"/>
          <w:caps w:val="0"/>
          <w:color w:val="000000" w:themeColor="text1"/>
          <w:spacing w:val="0"/>
          <w:w w:val="100"/>
          <w:kern w:val="0"/>
          <w:sz w:val="32"/>
          <w:szCs w:val="32"/>
          <w:lang w:val="en-US" w:eastAsia="zh-CN" w:bidi="ar"/>
          <w14:textFill>
            <w14:solidFill>
              <w14:schemeClr w14:val="tx1"/>
            </w14:solidFill>
          </w14:textFill>
        </w:rPr>
      </w:pPr>
      <w:r>
        <w:rPr>
          <w:rFonts w:hint="eastAsia" w:ascii="仿宋" w:hAnsi="仿宋" w:eastAsia="仿宋" w:cs="仿宋"/>
          <w:b w:val="0"/>
          <w:i w:val="0"/>
          <w:caps w:val="0"/>
          <w:color w:val="000000" w:themeColor="text1"/>
          <w:spacing w:val="0"/>
          <w:w w:val="100"/>
          <w:kern w:val="0"/>
          <w:sz w:val="32"/>
          <w:szCs w:val="32"/>
          <w:lang w:val="en-US" w:eastAsia="zh-CN" w:bidi="ar"/>
          <w14:textFill>
            <w14:solidFill>
              <w14:schemeClr w14:val="tx1"/>
            </w14:solidFill>
          </w14:textFill>
        </w:rPr>
        <w:t>通过开展依法治理工作，夯实了依法治州的基层基础，提升了行政立法、行政执法、刑事执行、公共法律服务水平，有力推进科学立法，加强法治政府建设，深化司法体制改革，推进法治社会建设，提高了干部群众法律意识，营造了良好的法治氛围，维护社会稳定和谐。</w:t>
      </w:r>
    </w:p>
    <w:p w14:paraId="0C0EC741">
      <w:pPr>
        <w:pStyle w:val="9"/>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eastAsia="黑体" w:cs="Times New Roman"/>
          <w:color w:val="auto"/>
          <w:sz w:val="32"/>
          <w:szCs w:val="32"/>
          <w:highlight w:val="none"/>
          <w:u w:val="none"/>
          <w:lang w:eastAsia="zh-CN"/>
        </w:rPr>
        <w:t>五、存在主要问题</w:t>
      </w:r>
    </w:p>
    <w:p w14:paraId="77B0763F">
      <w:pPr>
        <w:pStyle w:val="38"/>
        <w:keepNext w:val="0"/>
        <w:keepLines w:val="0"/>
        <w:widowControl w:val="0"/>
        <w:shd w:val="clear" w:color="auto" w:fill="auto"/>
        <w:tabs>
          <w:tab w:val="left" w:pos="1598"/>
        </w:tabs>
        <w:bidi w:val="0"/>
        <w:spacing w:before="0" w:beforeLines="0" w:after="0" w:afterLines="0" w:line="630" w:lineRule="exact"/>
        <w:ind w:left="0" w:right="0" w:firstLine="760"/>
        <w:jc w:val="left"/>
        <w:rPr>
          <w:rFonts w:hint="eastAsia" w:ascii="仿宋" w:hAnsi="仿宋" w:eastAsia="仿宋" w:cs="仿宋"/>
          <w:b w:val="0"/>
          <w:bCs w:val="0"/>
          <w:i w:val="0"/>
          <w:caps w:val="0"/>
          <w:color w:val="000000" w:themeColor="text1"/>
          <w:spacing w:val="0"/>
          <w:w w:val="100"/>
          <w:kern w:val="2"/>
          <w:sz w:val="32"/>
          <w:szCs w:val="32"/>
          <w:u w:val="none"/>
          <w:shd w:val="clear"/>
          <w:lang w:val="en-US" w:eastAsia="zh-CN" w:bidi="ar-SA"/>
          <w14:textFill>
            <w14:solidFill>
              <w14:schemeClr w14:val="tx1"/>
            </w14:solidFill>
          </w14:textFill>
        </w:rPr>
      </w:pPr>
      <w:r>
        <w:rPr>
          <w:rFonts w:hint="eastAsia" w:ascii="仿宋" w:hAnsi="仿宋" w:eastAsia="仿宋" w:cs="仿宋"/>
          <w:b w:val="0"/>
          <w:bCs w:val="0"/>
          <w:i w:val="0"/>
          <w:caps w:val="0"/>
          <w:color w:val="000000" w:themeColor="text1"/>
          <w:spacing w:val="0"/>
          <w:w w:val="100"/>
          <w:kern w:val="2"/>
          <w:sz w:val="32"/>
          <w:szCs w:val="32"/>
          <w:u w:val="none"/>
          <w:shd w:val="clear"/>
          <w:lang w:val="en-US" w:eastAsia="zh-CN" w:bidi="ar-SA"/>
          <w14:textFill>
            <w14:solidFill>
              <w14:schemeClr w14:val="tx1"/>
            </w14:solidFill>
          </w14:textFill>
        </w:rPr>
        <w:t>按照州、县（市）委员会工作规则的要求，委员会机构运转经费由财政部门保障，但州、县（市）财政部门均未将运转经费单独预算、拨付，造成工作推进不足；依法治州、县（市）工作仅依靠个别科室、人员落实，工作实效打折扣，整体推进不足，未形成齐抓共管的整体合力。</w:t>
      </w:r>
    </w:p>
    <w:p w14:paraId="5D2B7852">
      <w:pPr>
        <w:pStyle w:val="9"/>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14:paraId="187D9AA2">
      <w:pPr>
        <w:pStyle w:val="38"/>
        <w:keepNext w:val="0"/>
        <w:keepLines w:val="0"/>
        <w:widowControl w:val="0"/>
        <w:shd w:val="clear" w:color="auto" w:fill="auto"/>
        <w:tabs>
          <w:tab w:val="left" w:pos="1598"/>
        </w:tabs>
        <w:bidi w:val="0"/>
        <w:spacing w:before="0" w:beforeLines="0" w:after="0" w:afterLines="0" w:line="630" w:lineRule="exact"/>
        <w:ind w:left="0" w:right="0" w:firstLine="760"/>
        <w:jc w:val="left"/>
        <w:rPr>
          <w:rFonts w:hint="eastAsia" w:ascii="仿宋" w:hAnsi="仿宋" w:eastAsia="仿宋" w:cs="仿宋"/>
          <w:b w:val="0"/>
          <w:bCs w:val="0"/>
          <w:i w:val="0"/>
          <w:caps w:val="0"/>
          <w:color w:val="000000" w:themeColor="text1"/>
          <w:spacing w:val="0"/>
          <w:w w:val="100"/>
          <w:kern w:val="2"/>
          <w:sz w:val="32"/>
          <w:szCs w:val="32"/>
          <w:u w:val="none"/>
          <w:shd w:val="clear"/>
          <w:lang w:val="en-US" w:eastAsia="zh-CN" w:bidi="ar-SA"/>
          <w14:textFill>
            <w14:solidFill>
              <w14:schemeClr w14:val="tx1"/>
            </w14:solidFill>
          </w14:textFill>
        </w:rPr>
      </w:pPr>
      <w:r>
        <w:rPr>
          <w:rFonts w:hint="eastAsia" w:ascii="仿宋" w:hAnsi="仿宋" w:eastAsia="仿宋" w:cs="仿宋"/>
          <w:b w:val="0"/>
          <w:bCs w:val="0"/>
          <w:i w:val="0"/>
          <w:caps w:val="0"/>
          <w:color w:val="000000" w:themeColor="text1"/>
          <w:spacing w:val="0"/>
          <w:w w:val="100"/>
          <w:kern w:val="2"/>
          <w:sz w:val="32"/>
          <w:szCs w:val="32"/>
          <w:u w:val="none"/>
          <w:shd w:val="clear"/>
          <w:lang w:val="en-US" w:eastAsia="zh-CN" w:bidi="ar-SA"/>
          <w14:textFill>
            <w14:solidFill>
              <w14:schemeClr w14:val="tx1"/>
            </w14:solidFill>
          </w14:textFill>
        </w:rPr>
        <w:t xml:space="preserve"> 根据绩效评价结果，适当增加依法治州相关人员及经费，强有效推动工作，充分发挥依法治州统领协调作用。</w:t>
      </w:r>
    </w:p>
    <w:p w14:paraId="4A0BCCA2">
      <w:pPr>
        <w:pStyle w:val="38"/>
        <w:keepNext w:val="0"/>
        <w:keepLines w:val="0"/>
        <w:widowControl w:val="0"/>
        <w:shd w:val="clear" w:color="auto" w:fill="auto"/>
        <w:tabs>
          <w:tab w:val="left" w:pos="1598"/>
        </w:tabs>
        <w:bidi w:val="0"/>
        <w:spacing w:before="0" w:beforeLines="0" w:after="0" w:afterLines="0" w:line="630" w:lineRule="exact"/>
        <w:ind w:left="0" w:right="0" w:firstLine="760"/>
        <w:jc w:val="left"/>
        <w:rPr>
          <w:rFonts w:hint="eastAsia" w:ascii="仿宋" w:hAnsi="仿宋" w:eastAsia="仿宋" w:cs="仿宋"/>
          <w:b w:val="0"/>
          <w:bCs w:val="0"/>
          <w:i w:val="0"/>
          <w:caps w:val="0"/>
          <w:color w:val="000000" w:themeColor="text1"/>
          <w:spacing w:val="0"/>
          <w:w w:val="100"/>
          <w:kern w:val="2"/>
          <w:sz w:val="32"/>
          <w:szCs w:val="32"/>
          <w:u w:val="none"/>
          <w:shd w:val="clear"/>
          <w:lang w:val="en-US" w:eastAsia="zh-CN" w:bidi="ar-SA"/>
          <w14:textFill>
            <w14:solidFill>
              <w14:schemeClr w14:val="tx1"/>
            </w14:solidFill>
          </w14:textFill>
        </w:rPr>
      </w:pPr>
    </w:p>
    <w:p w14:paraId="6781ACFD">
      <w:pPr>
        <w:pStyle w:val="38"/>
        <w:keepNext w:val="0"/>
        <w:keepLines w:val="0"/>
        <w:widowControl w:val="0"/>
        <w:shd w:val="clear" w:color="auto" w:fill="auto"/>
        <w:tabs>
          <w:tab w:val="left" w:pos="1598"/>
        </w:tabs>
        <w:bidi w:val="0"/>
        <w:spacing w:before="0" w:beforeLines="0" w:after="0" w:afterLines="0" w:line="630" w:lineRule="exact"/>
        <w:ind w:left="0" w:right="0" w:firstLine="760"/>
        <w:jc w:val="left"/>
        <w:rPr>
          <w:rFonts w:hint="eastAsia" w:ascii="仿宋" w:hAnsi="仿宋" w:eastAsia="仿宋" w:cs="仿宋"/>
          <w:b w:val="0"/>
          <w:bCs w:val="0"/>
          <w:i w:val="0"/>
          <w:caps w:val="0"/>
          <w:color w:val="000000" w:themeColor="text1"/>
          <w:spacing w:val="0"/>
          <w:w w:val="100"/>
          <w:kern w:val="2"/>
          <w:sz w:val="32"/>
          <w:szCs w:val="32"/>
          <w:u w:val="none"/>
          <w:shd w:val="clear"/>
          <w:lang w:val="en-US" w:eastAsia="zh-CN" w:bidi="ar-SA"/>
          <w14:textFill>
            <w14:solidFill>
              <w14:schemeClr w14:val="tx1"/>
            </w14:solidFill>
          </w14:textFill>
        </w:rPr>
      </w:pPr>
    </w:p>
    <w:p w14:paraId="350507CD">
      <w:pPr>
        <w:pStyle w:val="38"/>
        <w:keepNext w:val="0"/>
        <w:keepLines w:val="0"/>
        <w:widowControl w:val="0"/>
        <w:shd w:val="clear" w:color="auto" w:fill="auto"/>
        <w:tabs>
          <w:tab w:val="left" w:pos="1598"/>
        </w:tabs>
        <w:bidi w:val="0"/>
        <w:spacing w:before="0" w:beforeLines="0" w:after="0" w:afterLines="0" w:line="630" w:lineRule="exact"/>
        <w:ind w:left="0" w:right="0" w:firstLine="760"/>
        <w:jc w:val="left"/>
        <w:rPr>
          <w:rFonts w:hint="eastAsia" w:ascii="仿宋" w:hAnsi="仿宋" w:eastAsia="仿宋" w:cs="仿宋"/>
          <w:b w:val="0"/>
          <w:bCs w:val="0"/>
          <w:i w:val="0"/>
          <w:caps w:val="0"/>
          <w:color w:val="000000" w:themeColor="text1"/>
          <w:spacing w:val="0"/>
          <w:w w:val="100"/>
          <w:kern w:val="2"/>
          <w:sz w:val="32"/>
          <w:szCs w:val="32"/>
          <w:u w:val="none"/>
          <w:shd w:val="clear"/>
          <w:lang w:val="en-US" w:eastAsia="zh-CN" w:bidi="ar-SA"/>
          <w14:textFill>
            <w14:solidFill>
              <w14:schemeClr w14:val="tx1"/>
            </w14:solidFill>
          </w14:textFill>
        </w:rPr>
      </w:pPr>
    </w:p>
    <w:p w14:paraId="6F46294A">
      <w:pPr>
        <w:pStyle w:val="38"/>
        <w:keepNext w:val="0"/>
        <w:keepLines w:val="0"/>
        <w:widowControl w:val="0"/>
        <w:shd w:val="clear" w:color="auto" w:fill="auto"/>
        <w:tabs>
          <w:tab w:val="left" w:pos="1598"/>
        </w:tabs>
        <w:bidi w:val="0"/>
        <w:spacing w:before="0" w:beforeLines="0" w:after="0" w:afterLines="0" w:line="630" w:lineRule="exact"/>
        <w:ind w:left="0" w:right="0" w:firstLine="760"/>
        <w:jc w:val="left"/>
        <w:rPr>
          <w:rFonts w:hint="eastAsia" w:ascii="仿宋" w:hAnsi="仿宋" w:eastAsia="仿宋" w:cs="仿宋"/>
          <w:b w:val="0"/>
          <w:bCs w:val="0"/>
          <w:i w:val="0"/>
          <w:caps w:val="0"/>
          <w:color w:val="000000" w:themeColor="text1"/>
          <w:spacing w:val="0"/>
          <w:w w:val="100"/>
          <w:kern w:val="2"/>
          <w:sz w:val="32"/>
          <w:szCs w:val="32"/>
          <w:u w:val="none"/>
          <w:shd w:val="clear"/>
          <w:lang w:val="en-US" w:eastAsia="zh-CN" w:bidi="ar-SA"/>
          <w14:textFill>
            <w14:solidFill>
              <w14:schemeClr w14:val="tx1"/>
            </w14:solidFill>
          </w14:textFill>
        </w:rPr>
      </w:pPr>
    </w:p>
    <w:p w14:paraId="6A4FD0C3">
      <w:pPr>
        <w:pStyle w:val="38"/>
        <w:keepNext w:val="0"/>
        <w:keepLines w:val="0"/>
        <w:widowControl w:val="0"/>
        <w:shd w:val="clear" w:color="auto" w:fill="auto"/>
        <w:tabs>
          <w:tab w:val="left" w:pos="1598"/>
        </w:tabs>
        <w:bidi w:val="0"/>
        <w:spacing w:before="0" w:beforeLines="0" w:after="0" w:afterLines="0" w:line="630" w:lineRule="exact"/>
        <w:ind w:left="0" w:right="0" w:firstLine="760"/>
        <w:jc w:val="left"/>
        <w:rPr>
          <w:rFonts w:hint="eastAsia" w:ascii="仿宋" w:hAnsi="仿宋" w:eastAsia="仿宋" w:cs="仿宋"/>
          <w:b w:val="0"/>
          <w:bCs w:val="0"/>
          <w:i w:val="0"/>
          <w:caps w:val="0"/>
          <w:color w:val="000000" w:themeColor="text1"/>
          <w:spacing w:val="0"/>
          <w:w w:val="100"/>
          <w:kern w:val="2"/>
          <w:sz w:val="32"/>
          <w:szCs w:val="32"/>
          <w:u w:val="none"/>
          <w:shd w:val="clear"/>
          <w:lang w:val="en-US" w:eastAsia="zh-CN" w:bidi="ar-SA"/>
          <w14:textFill>
            <w14:solidFill>
              <w14:schemeClr w14:val="tx1"/>
            </w14:solidFill>
          </w14:textFill>
        </w:rPr>
      </w:pPr>
    </w:p>
    <w:p w14:paraId="4A0C20E6">
      <w:pPr>
        <w:pStyle w:val="38"/>
        <w:keepNext w:val="0"/>
        <w:keepLines w:val="0"/>
        <w:widowControl w:val="0"/>
        <w:shd w:val="clear" w:color="auto" w:fill="auto"/>
        <w:tabs>
          <w:tab w:val="left" w:pos="1598"/>
        </w:tabs>
        <w:bidi w:val="0"/>
        <w:spacing w:before="0" w:beforeLines="0" w:after="0" w:afterLines="0" w:line="630" w:lineRule="exact"/>
        <w:ind w:left="0" w:right="0" w:firstLine="760"/>
        <w:jc w:val="left"/>
        <w:rPr>
          <w:rFonts w:hint="eastAsia" w:ascii="仿宋" w:hAnsi="仿宋" w:eastAsia="仿宋" w:cs="仿宋"/>
          <w:b w:val="0"/>
          <w:bCs w:val="0"/>
          <w:i w:val="0"/>
          <w:caps w:val="0"/>
          <w:color w:val="000000" w:themeColor="text1"/>
          <w:spacing w:val="0"/>
          <w:w w:val="100"/>
          <w:kern w:val="2"/>
          <w:sz w:val="32"/>
          <w:szCs w:val="32"/>
          <w:u w:val="none"/>
          <w:shd w:val="clear"/>
          <w:lang w:val="en-US" w:eastAsia="zh-CN" w:bidi="ar-SA"/>
          <w14:textFill>
            <w14:solidFill>
              <w14:schemeClr w14:val="tx1"/>
            </w14:solidFill>
          </w14:textFill>
        </w:rPr>
      </w:pPr>
    </w:p>
    <w:p w14:paraId="5DE00C5D">
      <w:pPr>
        <w:pStyle w:val="38"/>
        <w:keepNext w:val="0"/>
        <w:keepLines w:val="0"/>
        <w:widowControl w:val="0"/>
        <w:shd w:val="clear" w:color="auto" w:fill="auto"/>
        <w:tabs>
          <w:tab w:val="left" w:pos="1598"/>
        </w:tabs>
        <w:bidi w:val="0"/>
        <w:spacing w:before="0" w:beforeLines="0" w:after="0" w:afterLines="0" w:line="630" w:lineRule="exact"/>
        <w:ind w:left="0" w:right="0" w:firstLine="760"/>
        <w:jc w:val="left"/>
        <w:rPr>
          <w:rFonts w:hint="eastAsia" w:ascii="仿宋" w:hAnsi="仿宋" w:eastAsia="仿宋" w:cs="仿宋"/>
          <w:b w:val="0"/>
          <w:bCs w:val="0"/>
          <w:i w:val="0"/>
          <w:caps w:val="0"/>
          <w:color w:val="000000" w:themeColor="text1"/>
          <w:spacing w:val="0"/>
          <w:w w:val="100"/>
          <w:kern w:val="2"/>
          <w:sz w:val="32"/>
          <w:szCs w:val="32"/>
          <w:u w:val="none"/>
          <w:shd w:val="clear"/>
          <w:lang w:val="en-US" w:eastAsia="zh-CN" w:bidi="ar-SA"/>
          <w14:textFill>
            <w14:solidFill>
              <w14:schemeClr w14:val="tx1"/>
            </w14:solidFill>
          </w14:textFill>
        </w:rPr>
      </w:pPr>
    </w:p>
    <w:p w14:paraId="4A928C74">
      <w:pPr>
        <w:pStyle w:val="38"/>
        <w:keepNext w:val="0"/>
        <w:keepLines w:val="0"/>
        <w:widowControl w:val="0"/>
        <w:shd w:val="clear" w:color="auto" w:fill="auto"/>
        <w:tabs>
          <w:tab w:val="left" w:pos="1598"/>
        </w:tabs>
        <w:bidi w:val="0"/>
        <w:spacing w:before="0" w:beforeLines="0" w:after="0" w:afterLines="0" w:line="630" w:lineRule="exact"/>
        <w:ind w:left="0" w:right="0" w:firstLine="760"/>
        <w:jc w:val="left"/>
        <w:rPr>
          <w:rFonts w:hint="eastAsia" w:ascii="仿宋" w:hAnsi="仿宋" w:eastAsia="仿宋" w:cs="仿宋"/>
          <w:b w:val="0"/>
          <w:bCs w:val="0"/>
          <w:i w:val="0"/>
          <w:caps w:val="0"/>
          <w:color w:val="000000" w:themeColor="text1"/>
          <w:spacing w:val="0"/>
          <w:w w:val="100"/>
          <w:kern w:val="2"/>
          <w:sz w:val="32"/>
          <w:szCs w:val="32"/>
          <w:u w:val="none"/>
          <w:shd w:val="clear"/>
          <w:lang w:val="en-US" w:eastAsia="zh-CN" w:bidi="ar-SA"/>
          <w14:textFill>
            <w14:solidFill>
              <w14:schemeClr w14:val="tx1"/>
            </w14:solidFill>
          </w14:textFill>
        </w:rPr>
      </w:pPr>
    </w:p>
    <w:p w14:paraId="49DA29DF">
      <w:pPr>
        <w:pStyle w:val="3"/>
        <w:ind w:left="0" w:leftChars="0" w:firstLine="0" w:firstLineChars="0"/>
      </w:pPr>
    </w:p>
    <w:p w14:paraId="6EC9902B">
      <w:pPr>
        <w:pStyle w:val="5"/>
        <w:bidi w:val="0"/>
        <w:jc w:val="center"/>
        <w:rPr>
          <w:rFonts w:hint="eastAsia" w:ascii="黑体" w:hAnsi="黑体" w:eastAsia="黑体" w:cs="黑体"/>
        </w:rPr>
      </w:pPr>
      <w:bookmarkStart w:id="139" w:name="_Toc2162"/>
      <w:bookmarkStart w:id="140" w:name="_Toc31434"/>
      <w:bookmarkStart w:id="141" w:name="_Toc15396618"/>
      <w:bookmarkStart w:id="142" w:name="_Toc29440"/>
      <w:r>
        <w:rPr>
          <w:rFonts w:hint="eastAsia" w:ascii="黑体" w:hAnsi="黑体" w:eastAsia="黑体" w:cs="黑体"/>
        </w:rPr>
        <w:t>第五部分 附表</w:t>
      </w:r>
      <w:bookmarkEnd w:id="116"/>
      <w:bookmarkEnd w:id="139"/>
      <w:bookmarkEnd w:id="140"/>
      <w:bookmarkEnd w:id="141"/>
      <w:bookmarkEnd w:id="142"/>
      <w:bookmarkStart w:id="143" w:name="_Toc15396619"/>
    </w:p>
    <w:p w14:paraId="42000315">
      <w:pPr>
        <w:pStyle w:val="6"/>
        <w:bidi w:val="0"/>
      </w:pPr>
      <w:bookmarkStart w:id="144" w:name="_Toc7427"/>
      <w:bookmarkStart w:id="145" w:name="_Toc26798"/>
      <w:bookmarkStart w:id="146" w:name="_Toc12109"/>
      <w:r>
        <w:rPr>
          <w:rFonts w:hint="eastAsia"/>
        </w:rPr>
        <w:t>一、收入支出决算总表</w:t>
      </w:r>
      <w:bookmarkEnd w:id="143"/>
      <w:bookmarkEnd w:id="144"/>
      <w:bookmarkEnd w:id="145"/>
      <w:bookmarkEnd w:id="146"/>
    </w:p>
    <w:p w14:paraId="5B87607A">
      <w:pPr>
        <w:pStyle w:val="6"/>
        <w:bidi w:val="0"/>
      </w:pPr>
      <w:bookmarkStart w:id="147" w:name="_Toc12104"/>
      <w:bookmarkStart w:id="148" w:name="_Toc3556"/>
      <w:bookmarkStart w:id="149" w:name="_Toc8900"/>
      <w:bookmarkStart w:id="150" w:name="_Toc15396620"/>
      <w:r>
        <w:rPr>
          <w:rFonts w:hint="eastAsia"/>
        </w:rPr>
        <w:t>二、收入决算表</w:t>
      </w:r>
      <w:bookmarkEnd w:id="147"/>
      <w:bookmarkEnd w:id="148"/>
      <w:bookmarkEnd w:id="149"/>
      <w:bookmarkEnd w:id="150"/>
    </w:p>
    <w:p w14:paraId="47B4AAD5">
      <w:pPr>
        <w:pStyle w:val="6"/>
        <w:bidi w:val="0"/>
      </w:pPr>
      <w:bookmarkStart w:id="151" w:name="_Toc32531"/>
      <w:bookmarkStart w:id="152" w:name="_Toc15396621"/>
      <w:bookmarkStart w:id="153" w:name="_Toc31258"/>
      <w:bookmarkStart w:id="154" w:name="_Toc2838"/>
      <w:r>
        <w:rPr>
          <w:rFonts w:hint="eastAsia"/>
        </w:rPr>
        <w:t>三、支出决算表</w:t>
      </w:r>
      <w:bookmarkEnd w:id="151"/>
      <w:bookmarkEnd w:id="152"/>
      <w:bookmarkEnd w:id="153"/>
      <w:bookmarkEnd w:id="154"/>
    </w:p>
    <w:p w14:paraId="34E07CB8">
      <w:pPr>
        <w:pStyle w:val="6"/>
        <w:bidi w:val="0"/>
      </w:pPr>
      <w:bookmarkStart w:id="155" w:name="_Toc3663"/>
      <w:bookmarkStart w:id="156" w:name="_Toc3958"/>
      <w:bookmarkStart w:id="157" w:name="_Toc15396622"/>
      <w:bookmarkStart w:id="158" w:name="_Toc14753"/>
      <w:r>
        <w:rPr>
          <w:rFonts w:hint="eastAsia"/>
        </w:rPr>
        <w:t>四、财政拨款收入支出决算总表</w:t>
      </w:r>
      <w:bookmarkEnd w:id="155"/>
      <w:bookmarkEnd w:id="156"/>
      <w:bookmarkEnd w:id="157"/>
      <w:bookmarkEnd w:id="158"/>
    </w:p>
    <w:p w14:paraId="3B95AAD6">
      <w:pPr>
        <w:pStyle w:val="6"/>
        <w:bidi w:val="0"/>
      </w:pPr>
      <w:bookmarkStart w:id="159" w:name="_Toc808"/>
      <w:bookmarkStart w:id="160" w:name="_Toc15396623"/>
      <w:bookmarkStart w:id="161" w:name="_Toc3576"/>
      <w:bookmarkStart w:id="162" w:name="_Toc15833"/>
      <w:r>
        <w:rPr>
          <w:rFonts w:hint="eastAsia"/>
        </w:rPr>
        <w:t>五、财政拨款支出决算明细表</w:t>
      </w:r>
      <w:bookmarkEnd w:id="159"/>
      <w:bookmarkEnd w:id="160"/>
      <w:bookmarkEnd w:id="161"/>
      <w:bookmarkEnd w:id="162"/>
      <w:bookmarkStart w:id="163" w:name="_Toc15396624"/>
    </w:p>
    <w:p w14:paraId="545C5AAF">
      <w:pPr>
        <w:pStyle w:val="6"/>
        <w:bidi w:val="0"/>
      </w:pPr>
      <w:bookmarkStart w:id="164" w:name="_Toc7236"/>
      <w:bookmarkStart w:id="165" w:name="_Toc14204"/>
      <w:bookmarkStart w:id="166" w:name="_Toc28059"/>
      <w:r>
        <w:rPr>
          <w:rFonts w:hint="eastAsia"/>
        </w:rPr>
        <w:t>六、一般公共预算财政拨款支出决算表</w:t>
      </w:r>
      <w:bookmarkEnd w:id="163"/>
      <w:bookmarkEnd w:id="164"/>
      <w:bookmarkEnd w:id="165"/>
      <w:bookmarkEnd w:id="166"/>
    </w:p>
    <w:p w14:paraId="52E5E616">
      <w:pPr>
        <w:pStyle w:val="6"/>
        <w:bidi w:val="0"/>
      </w:pPr>
      <w:bookmarkStart w:id="167" w:name="_Toc20585"/>
      <w:bookmarkStart w:id="168" w:name="_Toc15396625"/>
      <w:bookmarkStart w:id="169" w:name="_Toc2971"/>
      <w:bookmarkStart w:id="170" w:name="_Toc16040"/>
      <w:r>
        <w:rPr>
          <w:rFonts w:hint="eastAsia"/>
        </w:rPr>
        <w:t>七、一般公共预算财政拨款支出决算明细表</w:t>
      </w:r>
      <w:bookmarkEnd w:id="167"/>
      <w:bookmarkEnd w:id="168"/>
      <w:bookmarkEnd w:id="169"/>
      <w:bookmarkEnd w:id="170"/>
    </w:p>
    <w:p w14:paraId="2E16B1A3">
      <w:pPr>
        <w:pStyle w:val="6"/>
        <w:bidi w:val="0"/>
      </w:pPr>
      <w:bookmarkStart w:id="171" w:name="_Toc10705"/>
      <w:bookmarkStart w:id="172" w:name="_Toc7638"/>
      <w:bookmarkStart w:id="173" w:name="_Toc16953"/>
      <w:bookmarkStart w:id="174" w:name="_Toc15396626"/>
      <w:r>
        <w:rPr>
          <w:rFonts w:hint="eastAsia"/>
        </w:rPr>
        <w:t>八、一般公共预算财政拨款基本支出决算表</w:t>
      </w:r>
      <w:bookmarkEnd w:id="171"/>
      <w:bookmarkEnd w:id="172"/>
      <w:bookmarkEnd w:id="173"/>
      <w:bookmarkEnd w:id="174"/>
    </w:p>
    <w:p w14:paraId="3C459BFA">
      <w:pPr>
        <w:pStyle w:val="6"/>
        <w:bidi w:val="0"/>
      </w:pPr>
      <w:bookmarkStart w:id="175" w:name="_Toc1619"/>
      <w:bookmarkStart w:id="176" w:name="_Toc15396627"/>
      <w:bookmarkStart w:id="177" w:name="_Toc731"/>
      <w:bookmarkStart w:id="178" w:name="_Toc23552"/>
      <w:r>
        <w:rPr>
          <w:rFonts w:hint="eastAsia"/>
        </w:rPr>
        <w:t>九、一般公共预算财政拨款项目支出决算表</w:t>
      </w:r>
      <w:bookmarkEnd w:id="175"/>
      <w:bookmarkEnd w:id="176"/>
      <w:bookmarkEnd w:id="177"/>
      <w:bookmarkEnd w:id="178"/>
    </w:p>
    <w:p w14:paraId="66F99245">
      <w:pPr>
        <w:pStyle w:val="6"/>
        <w:bidi w:val="0"/>
      </w:pPr>
      <w:bookmarkStart w:id="179" w:name="_Toc18399"/>
      <w:bookmarkStart w:id="180" w:name="_Toc15396628"/>
      <w:bookmarkStart w:id="181" w:name="_Toc13110"/>
      <w:bookmarkStart w:id="182" w:name="_Toc20097"/>
      <w:r>
        <w:rPr>
          <w:rFonts w:hint="eastAsia"/>
        </w:rPr>
        <w:t>十、一般公共预算财政拨款“三公”经费支出决算表</w:t>
      </w:r>
      <w:bookmarkEnd w:id="179"/>
      <w:bookmarkEnd w:id="180"/>
      <w:bookmarkEnd w:id="181"/>
      <w:bookmarkEnd w:id="182"/>
    </w:p>
    <w:p w14:paraId="1F326ADE">
      <w:pPr>
        <w:pStyle w:val="6"/>
        <w:bidi w:val="0"/>
      </w:pPr>
      <w:bookmarkStart w:id="183" w:name="_Toc10593"/>
      <w:bookmarkStart w:id="184" w:name="_Toc4980"/>
      <w:bookmarkStart w:id="185" w:name="_Toc26968"/>
      <w:bookmarkStart w:id="186" w:name="_Toc15396629"/>
      <w:r>
        <w:rPr>
          <w:rFonts w:hint="eastAsia"/>
        </w:rPr>
        <w:t>十一、政府性基金预算财政拨款收入支出决算表</w:t>
      </w:r>
      <w:bookmarkEnd w:id="183"/>
      <w:bookmarkEnd w:id="184"/>
      <w:bookmarkEnd w:id="185"/>
      <w:bookmarkEnd w:id="186"/>
    </w:p>
    <w:p w14:paraId="16C62A90">
      <w:pPr>
        <w:pStyle w:val="6"/>
        <w:bidi w:val="0"/>
      </w:pPr>
      <w:bookmarkStart w:id="187" w:name="_Toc15396630"/>
      <w:bookmarkStart w:id="188" w:name="_Toc22315"/>
      <w:bookmarkStart w:id="189" w:name="_Toc17617"/>
      <w:bookmarkStart w:id="190" w:name="_Toc20622"/>
      <w:r>
        <w:rPr>
          <w:rFonts w:hint="eastAsia"/>
        </w:rPr>
        <w:t>十二、政府性基金预算财政拨款“三公”经费支出决算表</w:t>
      </w:r>
      <w:bookmarkEnd w:id="187"/>
      <w:bookmarkEnd w:id="188"/>
      <w:bookmarkEnd w:id="189"/>
      <w:bookmarkEnd w:id="190"/>
    </w:p>
    <w:p w14:paraId="7D288CD0">
      <w:pPr>
        <w:pStyle w:val="6"/>
        <w:bidi w:val="0"/>
      </w:pPr>
      <w:bookmarkStart w:id="191" w:name="_Toc15396631"/>
      <w:bookmarkStart w:id="192" w:name="_Toc20963"/>
      <w:bookmarkStart w:id="193" w:name="_Toc26125"/>
      <w:bookmarkStart w:id="194" w:name="_Toc8317"/>
      <w:r>
        <w:rPr>
          <w:rFonts w:hint="eastAsia"/>
        </w:rPr>
        <w:t>十三、国有资本经营预算财政拨款收入支出决算表</w:t>
      </w:r>
      <w:bookmarkEnd w:id="191"/>
      <w:bookmarkEnd w:id="192"/>
      <w:bookmarkEnd w:id="193"/>
      <w:bookmarkEnd w:id="194"/>
    </w:p>
    <w:p w14:paraId="0F436481">
      <w:pPr>
        <w:pStyle w:val="6"/>
        <w:bidi w:val="0"/>
      </w:pPr>
      <w:bookmarkStart w:id="195" w:name="_Toc148"/>
      <w:bookmarkStart w:id="196" w:name="_Toc30375"/>
      <w:bookmarkStart w:id="197" w:name="_Toc9900"/>
      <w:r>
        <w:rPr>
          <w:rFonts w:hint="eastAsia"/>
        </w:rPr>
        <w:t>十四、国有资本经营预算财政拨款支出决算表</w:t>
      </w:r>
      <w:bookmarkEnd w:id="195"/>
      <w:bookmarkEnd w:id="196"/>
      <w:bookmarkEnd w:id="197"/>
    </w:p>
    <w:sectPr>
      <w:headerReference r:id="rId6" w:type="default"/>
      <w:footerReference r:id="rId7"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Ã¥Â¯Â°Ã®â€ Â¿Ã¨â€™â€¹Ã©â€”â€ Ã¥">
    <w:altName w:val="Segoe Print"/>
    <w:panose1 w:val="00000000000000000000"/>
    <w:charset w:val="00"/>
    <w:family w:val="auto"/>
    <w:pitch w:val="default"/>
    <w:sig w:usb0="00000000" w:usb1="00000000" w:usb2="00000000" w:usb3="00000000" w:csb0="00000000" w:csb1="00000000"/>
  </w:font>
  <w:font w:name="方正仿宋简体">
    <w:altName w:val="微软雅黑"/>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AE121">
    <w:pPr>
      <w:pStyle w:val="9"/>
      <w:spacing w:line="184" w:lineRule="auto"/>
      <w:ind w:left="7307"/>
      <w:rPr>
        <w:rFonts w:ascii="仿宋" w:hAnsi="仿宋" w:eastAsia="仿宋" w:cs="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CC48A">
    <w:pPr>
      <w:pStyle w:val="9"/>
      <w:spacing w:line="184" w:lineRule="auto"/>
      <w:ind w:left="7263"/>
      <w:rPr>
        <w:rFonts w:ascii="仿宋" w:hAnsi="仿宋" w:eastAsia="仿宋" w:cs="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06002">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306002">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24276">
    <w:pPr>
      <w:pStyle w:val="9"/>
      <w:spacing w:line="168" w:lineRule="auto"/>
      <w:ind w:left="4100"/>
      <w:rPr>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52E22">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FD52E22">
                    <w:pPr>
                      <w:pStyle w:val="13"/>
                    </w:pPr>
                    <w:r>
                      <w:fldChar w:fldCharType="begin"/>
                    </w:r>
                    <w:r>
                      <w:instrText xml:space="preserve"> PAGE  \* MERGEFORMAT </w:instrText>
                    </w:r>
                    <w:r>
                      <w:fldChar w:fldCharType="separate"/>
                    </w:r>
                    <w:r>
                      <w:t>4</w:t>
                    </w:r>
                    <w:r>
                      <w:fldChar w:fldCharType="end"/>
                    </w:r>
                  </w:p>
                </w:txbxContent>
              </v:textbox>
            </v:shape>
          </w:pict>
        </mc:Fallback>
      </mc:AlternateContent>
    </w:r>
    <w:r>
      <w:rPr>
        <w:spacing w:val="-3"/>
        <w:sz w:val="15"/>
        <w:szCs w:val="15"/>
      </w:rPr>
      <w:t>34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F6FBE">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B69A5">
                          <w:pPr>
                            <w:pStyle w:val="1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59B69A5">
                    <w:pPr>
                      <w:pStyle w:val="13"/>
                    </w:pPr>
                    <w:r>
                      <w:fldChar w:fldCharType="begin"/>
                    </w:r>
                    <w:r>
                      <w:instrText xml:space="preserve"> PAGE  \* MERGEFORMAT </w:instrText>
                    </w:r>
                    <w:r>
                      <w:fldChar w:fldCharType="separate"/>
                    </w:r>
                    <w:r>
                      <w:t>28</w:t>
                    </w:r>
                    <w:r>
                      <w:fldChar w:fldCharType="end"/>
                    </w:r>
                  </w:p>
                </w:txbxContent>
              </v:textbox>
            </v:shape>
          </w:pict>
        </mc:Fallback>
      </mc:AlternateContent>
    </w:r>
  </w:p>
  <w:p w14:paraId="44D6DA1D">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3BD54">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6648C7A"/>
    <w:multiLevelType w:val="singleLevel"/>
    <w:tmpl w:val="E6648C7A"/>
    <w:lvl w:ilvl="0" w:tentative="0">
      <w:start w:val="1"/>
      <w:numFmt w:val="decimal"/>
      <w:lvlText w:val="%1."/>
      <w:lvlJc w:val="left"/>
      <w:pPr>
        <w:tabs>
          <w:tab w:val="left" w:pos="312"/>
        </w:tabs>
      </w:pPr>
    </w:lvl>
  </w:abstractNum>
  <w:abstractNum w:abstractNumId="3">
    <w:nsid w:val="F5F928AB"/>
    <w:multiLevelType w:val="singleLevel"/>
    <w:tmpl w:val="F5F928AB"/>
    <w:lvl w:ilvl="0" w:tentative="0">
      <w:start w:val="1"/>
      <w:numFmt w:val="chineseCounting"/>
      <w:suff w:val="nothing"/>
      <w:lvlText w:val="（%1）"/>
      <w:lvlJc w:val="left"/>
      <w:rPr>
        <w:rFonts w:hint="eastAsia"/>
      </w:rPr>
    </w:lvl>
  </w:abstractNum>
  <w:abstractNum w:abstractNumId="4">
    <w:nsid w:val="FCD068C8"/>
    <w:multiLevelType w:val="singleLevel"/>
    <w:tmpl w:val="FCD068C8"/>
    <w:lvl w:ilvl="0" w:tentative="0">
      <w:start w:val="1"/>
      <w:numFmt w:val="chineseCounting"/>
      <w:suff w:val="nothing"/>
      <w:lvlText w:val="（%1）"/>
      <w:lvlJc w:val="left"/>
      <w:rPr>
        <w:rFonts w:hint="eastAsia"/>
      </w:rPr>
    </w:lvl>
  </w:abstractNum>
  <w:abstractNum w:abstractNumId="5">
    <w:nsid w:val="00000004"/>
    <w:multiLevelType w:val="singleLevel"/>
    <w:tmpl w:val="00000004"/>
    <w:lvl w:ilvl="0" w:tentative="0">
      <w:start w:val="1"/>
      <w:numFmt w:val="chineseCounting"/>
      <w:lvlText w:val="（%1）"/>
      <w:lvlJc w:val="left"/>
      <w:pPr>
        <w:ind w:left="200"/>
      </w:pPr>
    </w:lvl>
  </w:abstractNum>
  <w:abstractNum w:abstractNumId="6">
    <w:nsid w:val="058A81E6"/>
    <w:multiLevelType w:val="singleLevel"/>
    <w:tmpl w:val="058A81E6"/>
    <w:lvl w:ilvl="0" w:tentative="0">
      <w:start w:val="3"/>
      <w:numFmt w:val="decimal"/>
      <w:lvlText w:val="%1."/>
      <w:lvlJc w:val="left"/>
      <w:pPr>
        <w:tabs>
          <w:tab w:val="left" w:pos="312"/>
        </w:tabs>
      </w:pPr>
    </w:lvl>
  </w:abstractNum>
  <w:abstractNum w:abstractNumId="7">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3D7350F2"/>
    <w:multiLevelType w:val="singleLevel"/>
    <w:tmpl w:val="3D7350F2"/>
    <w:lvl w:ilvl="0" w:tentative="0">
      <w:start w:val="2"/>
      <w:numFmt w:val="chineseCounting"/>
      <w:suff w:val="nothing"/>
      <w:lvlText w:val="%1、"/>
      <w:lvlJc w:val="left"/>
      <w:rPr>
        <w:rFonts w:hint="eastAsia"/>
      </w:rPr>
    </w:lvl>
  </w:abstractNum>
  <w:num w:numId="1">
    <w:abstractNumId w:val="8"/>
  </w:num>
  <w:num w:numId="2">
    <w:abstractNumId w:val="7"/>
  </w:num>
  <w:num w:numId="3">
    <w:abstractNumId w:val="0"/>
  </w:num>
  <w:num w:numId="4">
    <w:abstractNumId w:val="1"/>
  </w:num>
  <w:num w:numId="5">
    <w:abstractNumId w:val="4"/>
  </w:num>
  <w:num w:numId="6">
    <w:abstractNumId w:val="3"/>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0MTE1YjMxNThhYTEzMDQ2ODU3NzdlZDkxOWM5OD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060C"/>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E088E"/>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1170"/>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06D"/>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1ECB"/>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707B4"/>
    <w:rsid w:val="01C7267B"/>
    <w:rsid w:val="01E80F37"/>
    <w:rsid w:val="02842AE8"/>
    <w:rsid w:val="02C52206"/>
    <w:rsid w:val="02CF2609"/>
    <w:rsid w:val="03C64997"/>
    <w:rsid w:val="03F032B3"/>
    <w:rsid w:val="041871BE"/>
    <w:rsid w:val="04533842"/>
    <w:rsid w:val="04FF1CC2"/>
    <w:rsid w:val="050C4565"/>
    <w:rsid w:val="05320F9F"/>
    <w:rsid w:val="053B4F36"/>
    <w:rsid w:val="05852631"/>
    <w:rsid w:val="06070287"/>
    <w:rsid w:val="066E0107"/>
    <w:rsid w:val="06D3561E"/>
    <w:rsid w:val="06F21187"/>
    <w:rsid w:val="070C2530"/>
    <w:rsid w:val="07666493"/>
    <w:rsid w:val="07695C9E"/>
    <w:rsid w:val="07996F6E"/>
    <w:rsid w:val="07F9011D"/>
    <w:rsid w:val="07FA2698"/>
    <w:rsid w:val="09095AE2"/>
    <w:rsid w:val="092F08FD"/>
    <w:rsid w:val="094E3A4E"/>
    <w:rsid w:val="097F0EFE"/>
    <w:rsid w:val="098004B9"/>
    <w:rsid w:val="099C7528"/>
    <w:rsid w:val="09B01E83"/>
    <w:rsid w:val="09C919B3"/>
    <w:rsid w:val="0A2032A3"/>
    <w:rsid w:val="0AE253FC"/>
    <w:rsid w:val="0B2839CB"/>
    <w:rsid w:val="0B520B0D"/>
    <w:rsid w:val="0B6864E1"/>
    <w:rsid w:val="0BE042E4"/>
    <w:rsid w:val="0BE1520D"/>
    <w:rsid w:val="0BF76FCB"/>
    <w:rsid w:val="0C731093"/>
    <w:rsid w:val="0C970E9C"/>
    <w:rsid w:val="0CEB707F"/>
    <w:rsid w:val="0D034501"/>
    <w:rsid w:val="0D8A1D87"/>
    <w:rsid w:val="0DDC6AF8"/>
    <w:rsid w:val="0E196D5C"/>
    <w:rsid w:val="0E3C3D0A"/>
    <w:rsid w:val="0E80608C"/>
    <w:rsid w:val="0F737318"/>
    <w:rsid w:val="0FD50701"/>
    <w:rsid w:val="0FDD0763"/>
    <w:rsid w:val="0FEF35A9"/>
    <w:rsid w:val="101860EC"/>
    <w:rsid w:val="1053332C"/>
    <w:rsid w:val="107F4121"/>
    <w:rsid w:val="10AD0A93"/>
    <w:rsid w:val="10B0409D"/>
    <w:rsid w:val="10B44AC5"/>
    <w:rsid w:val="10C055FF"/>
    <w:rsid w:val="11096B56"/>
    <w:rsid w:val="11353272"/>
    <w:rsid w:val="118107EC"/>
    <w:rsid w:val="118D3328"/>
    <w:rsid w:val="1190468E"/>
    <w:rsid w:val="11CA5BC6"/>
    <w:rsid w:val="11FA20BA"/>
    <w:rsid w:val="1233361E"/>
    <w:rsid w:val="12B15FFF"/>
    <w:rsid w:val="12FC56ED"/>
    <w:rsid w:val="13561AE6"/>
    <w:rsid w:val="135D7460"/>
    <w:rsid w:val="13D50BC4"/>
    <w:rsid w:val="14A00775"/>
    <w:rsid w:val="14A45BFA"/>
    <w:rsid w:val="15515524"/>
    <w:rsid w:val="15FE3F1E"/>
    <w:rsid w:val="1664417C"/>
    <w:rsid w:val="16BB723D"/>
    <w:rsid w:val="17195A8A"/>
    <w:rsid w:val="17325D54"/>
    <w:rsid w:val="17460831"/>
    <w:rsid w:val="1776002C"/>
    <w:rsid w:val="18415935"/>
    <w:rsid w:val="18C626E1"/>
    <w:rsid w:val="1A562CC1"/>
    <w:rsid w:val="1A573B97"/>
    <w:rsid w:val="1BE8440E"/>
    <w:rsid w:val="1D091BFB"/>
    <w:rsid w:val="1D155CEE"/>
    <w:rsid w:val="1D1F2F14"/>
    <w:rsid w:val="1D6938FC"/>
    <w:rsid w:val="1DD86686"/>
    <w:rsid w:val="1E364869"/>
    <w:rsid w:val="1E5E11DA"/>
    <w:rsid w:val="1E631105"/>
    <w:rsid w:val="1EA044C3"/>
    <w:rsid w:val="1EED4C33"/>
    <w:rsid w:val="1F073C5F"/>
    <w:rsid w:val="1F2B68F5"/>
    <w:rsid w:val="1F641F3D"/>
    <w:rsid w:val="1FDB37E9"/>
    <w:rsid w:val="234D651C"/>
    <w:rsid w:val="235B340F"/>
    <w:rsid w:val="237F69AE"/>
    <w:rsid w:val="23860B96"/>
    <w:rsid w:val="240371BF"/>
    <w:rsid w:val="240B41F2"/>
    <w:rsid w:val="24145BE5"/>
    <w:rsid w:val="2445402D"/>
    <w:rsid w:val="2569571E"/>
    <w:rsid w:val="25897AC4"/>
    <w:rsid w:val="25D53703"/>
    <w:rsid w:val="25E56631"/>
    <w:rsid w:val="28543106"/>
    <w:rsid w:val="28A82999"/>
    <w:rsid w:val="28C270EC"/>
    <w:rsid w:val="28C9547F"/>
    <w:rsid w:val="291529E3"/>
    <w:rsid w:val="292F1BA5"/>
    <w:rsid w:val="29FD04D3"/>
    <w:rsid w:val="2A367D9B"/>
    <w:rsid w:val="2A3D2D9C"/>
    <w:rsid w:val="2B1A30BE"/>
    <w:rsid w:val="2C8A61B5"/>
    <w:rsid w:val="2C9D7376"/>
    <w:rsid w:val="2CC508DA"/>
    <w:rsid w:val="2CEE33EA"/>
    <w:rsid w:val="2CF31080"/>
    <w:rsid w:val="2D49682B"/>
    <w:rsid w:val="2DA82AB1"/>
    <w:rsid w:val="2DDD6BFF"/>
    <w:rsid w:val="2DF04E50"/>
    <w:rsid w:val="2F670454"/>
    <w:rsid w:val="2F6F3E5F"/>
    <w:rsid w:val="30961502"/>
    <w:rsid w:val="30EF0B21"/>
    <w:rsid w:val="310271F1"/>
    <w:rsid w:val="3127695B"/>
    <w:rsid w:val="314D5AE3"/>
    <w:rsid w:val="319F7F4E"/>
    <w:rsid w:val="32A752E4"/>
    <w:rsid w:val="32D92DF9"/>
    <w:rsid w:val="331C44FB"/>
    <w:rsid w:val="33342C11"/>
    <w:rsid w:val="335547BA"/>
    <w:rsid w:val="33561E19"/>
    <w:rsid w:val="33AE3B69"/>
    <w:rsid w:val="33B568A6"/>
    <w:rsid w:val="349C0664"/>
    <w:rsid w:val="34EA3D85"/>
    <w:rsid w:val="355D6BAB"/>
    <w:rsid w:val="360120E6"/>
    <w:rsid w:val="3651018A"/>
    <w:rsid w:val="368348AD"/>
    <w:rsid w:val="36AA5135"/>
    <w:rsid w:val="36BE716F"/>
    <w:rsid w:val="36C36A0B"/>
    <w:rsid w:val="3783107C"/>
    <w:rsid w:val="37E16F03"/>
    <w:rsid w:val="37FD4514"/>
    <w:rsid w:val="38401AC9"/>
    <w:rsid w:val="38677884"/>
    <w:rsid w:val="392E6FBF"/>
    <w:rsid w:val="39343BEA"/>
    <w:rsid w:val="394009A1"/>
    <w:rsid w:val="3A0C5344"/>
    <w:rsid w:val="3A922B1F"/>
    <w:rsid w:val="3AF47F4E"/>
    <w:rsid w:val="3B37652E"/>
    <w:rsid w:val="3B9D0D73"/>
    <w:rsid w:val="3C2F1EC3"/>
    <w:rsid w:val="3C5C7653"/>
    <w:rsid w:val="3CEA46D5"/>
    <w:rsid w:val="3CF57D73"/>
    <w:rsid w:val="3D2D3C18"/>
    <w:rsid w:val="3D7E1E8C"/>
    <w:rsid w:val="3D98207C"/>
    <w:rsid w:val="3E38341E"/>
    <w:rsid w:val="3F4345B4"/>
    <w:rsid w:val="3F440581"/>
    <w:rsid w:val="3F772584"/>
    <w:rsid w:val="3F7803A1"/>
    <w:rsid w:val="3F9B4224"/>
    <w:rsid w:val="413D4778"/>
    <w:rsid w:val="41A726C0"/>
    <w:rsid w:val="41B4622E"/>
    <w:rsid w:val="420659DF"/>
    <w:rsid w:val="43072EC8"/>
    <w:rsid w:val="437207C6"/>
    <w:rsid w:val="443C4228"/>
    <w:rsid w:val="44C4328A"/>
    <w:rsid w:val="44E268DA"/>
    <w:rsid w:val="45397A93"/>
    <w:rsid w:val="45F00144"/>
    <w:rsid w:val="46145B76"/>
    <w:rsid w:val="463907B2"/>
    <w:rsid w:val="463D4287"/>
    <w:rsid w:val="46C43AE1"/>
    <w:rsid w:val="46CB3641"/>
    <w:rsid w:val="475E2707"/>
    <w:rsid w:val="482D66CE"/>
    <w:rsid w:val="48477205"/>
    <w:rsid w:val="488245AC"/>
    <w:rsid w:val="488B32CB"/>
    <w:rsid w:val="494B6F20"/>
    <w:rsid w:val="4986534E"/>
    <w:rsid w:val="49F8205B"/>
    <w:rsid w:val="4A627F82"/>
    <w:rsid w:val="4A913D49"/>
    <w:rsid w:val="4ACA7AEC"/>
    <w:rsid w:val="4ACF7121"/>
    <w:rsid w:val="4B4F25DA"/>
    <w:rsid w:val="4B865961"/>
    <w:rsid w:val="4B97427C"/>
    <w:rsid w:val="4BE068DB"/>
    <w:rsid w:val="4C113CC0"/>
    <w:rsid w:val="4C6253B3"/>
    <w:rsid w:val="4C664E0B"/>
    <w:rsid w:val="4C7D7E04"/>
    <w:rsid w:val="4CE55BA8"/>
    <w:rsid w:val="4D357FD1"/>
    <w:rsid w:val="4D3E64BA"/>
    <w:rsid w:val="4D491763"/>
    <w:rsid w:val="4D577224"/>
    <w:rsid w:val="4D6E5234"/>
    <w:rsid w:val="4DAB00A1"/>
    <w:rsid w:val="4DC05C72"/>
    <w:rsid w:val="4E467A51"/>
    <w:rsid w:val="4EAB630A"/>
    <w:rsid w:val="4ECE2238"/>
    <w:rsid w:val="4EDC05D0"/>
    <w:rsid w:val="4F543840"/>
    <w:rsid w:val="4FF55F54"/>
    <w:rsid w:val="4FF803D3"/>
    <w:rsid w:val="508B4C98"/>
    <w:rsid w:val="50BB64D4"/>
    <w:rsid w:val="50D660D7"/>
    <w:rsid w:val="510D2AA8"/>
    <w:rsid w:val="51397773"/>
    <w:rsid w:val="518652B3"/>
    <w:rsid w:val="519E1F56"/>
    <w:rsid w:val="51D35AC9"/>
    <w:rsid w:val="520E2E26"/>
    <w:rsid w:val="523C3961"/>
    <w:rsid w:val="52631787"/>
    <w:rsid w:val="531808BD"/>
    <w:rsid w:val="53464EAC"/>
    <w:rsid w:val="5354273A"/>
    <w:rsid w:val="538C5694"/>
    <w:rsid w:val="540A3A96"/>
    <w:rsid w:val="54376E8C"/>
    <w:rsid w:val="544F22C9"/>
    <w:rsid w:val="54AB647D"/>
    <w:rsid w:val="54DC11A6"/>
    <w:rsid w:val="54E66F90"/>
    <w:rsid w:val="560B75A7"/>
    <w:rsid w:val="572172AD"/>
    <w:rsid w:val="57B335BA"/>
    <w:rsid w:val="58C6343F"/>
    <w:rsid w:val="58D149BD"/>
    <w:rsid w:val="58D425E1"/>
    <w:rsid w:val="59366A51"/>
    <w:rsid w:val="59ED0438"/>
    <w:rsid w:val="5A296BA4"/>
    <w:rsid w:val="5A7D47FA"/>
    <w:rsid w:val="5A7F4DCF"/>
    <w:rsid w:val="5AF92295"/>
    <w:rsid w:val="5B5F5D56"/>
    <w:rsid w:val="5B805DA2"/>
    <w:rsid w:val="5BD40D92"/>
    <w:rsid w:val="5BD72A39"/>
    <w:rsid w:val="5BF25543"/>
    <w:rsid w:val="5C3A4AB9"/>
    <w:rsid w:val="5C994588"/>
    <w:rsid w:val="5CD71FC4"/>
    <w:rsid w:val="5CFB58FE"/>
    <w:rsid w:val="5D6C741F"/>
    <w:rsid w:val="5D8E0A6D"/>
    <w:rsid w:val="5DE54656"/>
    <w:rsid w:val="5E094CCB"/>
    <w:rsid w:val="5E180840"/>
    <w:rsid w:val="5E767EDE"/>
    <w:rsid w:val="5FC55296"/>
    <w:rsid w:val="5FD91B86"/>
    <w:rsid w:val="5FE47241"/>
    <w:rsid w:val="604A1671"/>
    <w:rsid w:val="61E8632C"/>
    <w:rsid w:val="62996E75"/>
    <w:rsid w:val="62EC0125"/>
    <w:rsid w:val="63844D41"/>
    <w:rsid w:val="63993F14"/>
    <w:rsid w:val="63A65755"/>
    <w:rsid w:val="63C96FC1"/>
    <w:rsid w:val="64A85F96"/>
    <w:rsid w:val="64D00DA5"/>
    <w:rsid w:val="650552EA"/>
    <w:rsid w:val="650C142F"/>
    <w:rsid w:val="652800E9"/>
    <w:rsid w:val="6751416B"/>
    <w:rsid w:val="67E40FC3"/>
    <w:rsid w:val="67F07B5B"/>
    <w:rsid w:val="68694610"/>
    <w:rsid w:val="68894ECD"/>
    <w:rsid w:val="68E768C5"/>
    <w:rsid w:val="69312853"/>
    <w:rsid w:val="69840D0C"/>
    <w:rsid w:val="69D343D4"/>
    <w:rsid w:val="6A29110B"/>
    <w:rsid w:val="6A6F17BA"/>
    <w:rsid w:val="6A8F4802"/>
    <w:rsid w:val="6ADA58D6"/>
    <w:rsid w:val="6AEA4CF9"/>
    <w:rsid w:val="6B01414F"/>
    <w:rsid w:val="6B030D4C"/>
    <w:rsid w:val="6B192617"/>
    <w:rsid w:val="6B20545A"/>
    <w:rsid w:val="6B411073"/>
    <w:rsid w:val="6B43383E"/>
    <w:rsid w:val="6B5B6C26"/>
    <w:rsid w:val="6C4A05C8"/>
    <w:rsid w:val="6C4C4C6F"/>
    <w:rsid w:val="6C71592A"/>
    <w:rsid w:val="6D125E92"/>
    <w:rsid w:val="6D311218"/>
    <w:rsid w:val="6D7F6F66"/>
    <w:rsid w:val="6E180AF5"/>
    <w:rsid w:val="6E384D2A"/>
    <w:rsid w:val="6E5A5127"/>
    <w:rsid w:val="6E7E3605"/>
    <w:rsid w:val="6EA152DB"/>
    <w:rsid w:val="6F405310"/>
    <w:rsid w:val="6FF5CC65"/>
    <w:rsid w:val="70456701"/>
    <w:rsid w:val="7100381A"/>
    <w:rsid w:val="715C0E4B"/>
    <w:rsid w:val="71F47A9F"/>
    <w:rsid w:val="72210B00"/>
    <w:rsid w:val="72734D90"/>
    <w:rsid w:val="72864DA4"/>
    <w:rsid w:val="728A0E9C"/>
    <w:rsid w:val="72AE3F05"/>
    <w:rsid w:val="73804B68"/>
    <w:rsid w:val="7394409D"/>
    <w:rsid w:val="73AD73D5"/>
    <w:rsid w:val="73B6EB34"/>
    <w:rsid w:val="74EF0832"/>
    <w:rsid w:val="7519782D"/>
    <w:rsid w:val="75801B1E"/>
    <w:rsid w:val="758134C7"/>
    <w:rsid w:val="75A14658"/>
    <w:rsid w:val="76067942"/>
    <w:rsid w:val="76171B4F"/>
    <w:rsid w:val="76A77A49"/>
    <w:rsid w:val="76EA122D"/>
    <w:rsid w:val="776772CC"/>
    <w:rsid w:val="77B442CB"/>
    <w:rsid w:val="78AC7CCC"/>
    <w:rsid w:val="7984574E"/>
    <w:rsid w:val="799F7E92"/>
    <w:rsid w:val="79EE5BA4"/>
    <w:rsid w:val="7A2E1215"/>
    <w:rsid w:val="7A3F5B54"/>
    <w:rsid w:val="7A520EB7"/>
    <w:rsid w:val="7A894339"/>
    <w:rsid w:val="7ADF4D6A"/>
    <w:rsid w:val="7B0327DA"/>
    <w:rsid w:val="7B176FAA"/>
    <w:rsid w:val="7B1A6202"/>
    <w:rsid w:val="7B84639C"/>
    <w:rsid w:val="7BB00C9D"/>
    <w:rsid w:val="7C05290C"/>
    <w:rsid w:val="7C4C1EBE"/>
    <w:rsid w:val="7CCC14D9"/>
    <w:rsid w:val="7D496E4D"/>
    <w:rsid w:val="7D6609C0"/>
    <w:rsid w:val="7D6A583A"/>
    <w:rsid w:val="7D9A0EF9"/>
    <w:rsid w:val="7E0622D0"/>
    <w:rsid w:val="7E145603"/>
    <w:rsid w:val="7E194381"/>
    <w:rsid w:val="7E643FE1"/>
    <w:rsid w:val="7EAA66A0"/>
    <w:rsid w:val="7EB737AD"/>
    <w:rsid w:val="7EDE320A"/>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qFormat/>
    <w:uiPriority w:val="0"/>
    <w:pPr>
      <w:widowControl/>
      <w:adjustRightInd w:val="0"/>
      <w:snapToGrid w:val="0"/>
      <w:ind w:firstLine="420" w:firstLineChars="200"/>
      <w:jc w:val="left"/>
    </w:pPr>
    <w:rPr>
      <w:rFonts w:ascii="Calibri" w:hAnsi="Calibri" w:eastAsia="微软雅黑" w:cs="Times New Roman"/>
      <w:kern w:val="0"/>
      <w:sz w:val="22"/>
    </w:rPr>
  </w:style>
  <w:style w:type="paragraph" w:styleId="4">
    <w:name w:val="Body Text Indent"/>
    <w:basedOn w:val="1"/>
    <w:next w:val="3"/>
    <w:qFormat/>
    <w:uiPriority w:val="0"/>
    <w:pPr>
      <w:spacing w:after="120"/>
      <w:ind w:left="200" w:leftChars="200"/>
    </w:pPr>
  </w:style>
  <w:style w:type="paragraph" w:styleId="8">
    <w:name w:val="index 5"/>
    <w:basedOn w:val="1"/>
    <w:next w:val="1"/>
    <w:qFormat/>
    <w:uiPriority w:val="0"/>
    <w:pPr>
      <w:ind w:left="1680"/>
    </w:pPr>
  </w:style>
  <w:style w:type="paragraph" w:styleId="9">
    <w:name w:val="Body Text"/>
    <w:basedOn w:val="1"/>
    <w:link w:val="27"/>
    <w:qFormat/>
    <w:uiPriority w:val="99"/>
    <w:pPr>
      <w:spacing w:beforeLines="30"/>
    </w:pPr>
    <w:rPr>
      <w:rFonts w:ascii="仿宋_GB2312" w:eastAsia="仿宋_GB2312"/>
      <w:kern w:val="0"/>
      <w:sz w:val="30"/>
    </w:rPr>
  </w:style>
  <w:style w:type="paragraph" w:styleId="10">
    <w:name w:val="toc 3"/>
    <w:basedOn w:val="1"/>
    <w:next w:val="1"/>
    <w:unhideWhenUsed/>
    <w:qFormat/>
    <w:uiPriority w:val="39"/>
    <w:pPr>
      <w:tabs>
        <w:tab w:val="right" w:leader="dot" w:pos="8296"/>
      </w:tabs>
      <w:ind w:left="840" w:leftChars="400"/>
    </w:pPr>
  </w:style>
  <w:style w:type="paragraph" w:styleId="11">
    <w:name w:val="Body Text Indent 2"/>
    <w:basedOn w:val="1"/>
    <w:next w:val="1"/>
    <w:qFormat/>
    <w:uiPriority w:val="0"/>
    <w:pPr>
      <w:spacing w:line="480" w:lineRule="exact"/>
      <w:ind w:firstLine="556"/>
    </w:pPr>
    <w:rPr>
      <w:rFonts w:ascii="仿宋_GB2312" w:eastAsia="仿宋_GB2312"/>
      <w:sz w:val="28"/>
    </w:rPr>
  </w:style>
  <w:style w:type="paragraph" w:styleId="12">
    <w:name w:val="Balloon Text"/>
    <w:basedOn w:val="1"/>
    <w:link w:val="33"/>
    <w:semiHidden/>
    <w:unhideWhenUsed/>
    <w:qFormat/>
    <w:uiPriority w:val="99"/>
    <w:rPr>
      <w:sz w:val="18"/>
      <w:szCs w:val="18"/>
    </w:rPr>
  </w:style>
  <w:style w:type="paragraph" w:styleId="13">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4">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6">
    <w:name w:val="toc 2"/>
    <w:basedOn w:val="1"/>
    <w:next w:val="1"/>
    <w:unhideWhenUsed/>
    <w:qFormat/>
    <w:uiPriority w:val="39"/>
    <w:pPr>
      <w:tabs>
        <w:tab w:val="right" w:leader="dot" w:pos="8296"/>
      </w:tabs>
      <w:ind w:left="420" w:leftChars="200"/>
    </w:pPr>
  </w:style>
  <w:style w:type="paragraph" w:styleId="17">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customStyle="1" w:styleId="22">
    <w:name w:val="Header Char"/>
    <w:basedOn w:val="19"/>
    <w:semiHidden/>
    <w:qFormat/>
    <w:uiPriority w:val="99"/>
    <w:rPr>
      <w:rFonts w:ascii="Times New Roman" w:hAnsi="Times New Roman"/>
      <w:sz w:val="18"/>
      <w:szCs w:val="18"/>
    </w:rPr>
  </w:style>
  <w:style w:type="character" w:customStyle="1" w:styleId="23">
    <w:name w:val="页眉 字符"/>
    <w:link w:val="14"/>
    <w:semiHidden/>
    <w:qFormat/>
    <w:locked/>
    <w:uiPriority w:val="99"/>
    <w:rPr>
      <w:sz w:val="18"/>
    </w:rPr>
  </w:style>
  <w:style w:type="character" w:customStyle="1" w:styleId="24">
    <w:name w:val="Footer Char"/>
    <w:basedOn w:val="19"/>
    <w:semiHidden/>
    <w:qFormat/>
    <w:uiPriority w:val="99"/>
    <w:rPr>
      <w:rFonts w:ascii="Times New Roman" w:hAnsi="Times New Roman"/>
      <w:sz w:val="18"/>
      <w:szCs w:val="18"/>
    </w:rPr>
  </w:style>
  <w:style w:type="character" w:customStyle="1" w:styleId="25">
    <w:name w:val="页脚 字符"/>
    <w:link w:val="13"/>
    <w:qFormat/>
    <w:locked/>
    <w:uiPriority w:val="99"/>
    <w:rPr>
      <w:sz w:val="18"/>
    </w:rPr>
  </w:style>
  <w:style w:type="character" w:customStyle="1" w:styleId="26">
    <w:name w:val="Body Text Char"/>
    <w:basedOn w:val="19"/>
    <w:semiHidden/>
    <w:qFormat/>
    <w:uiPriority w:val="99"/>
    <w:rPr>
      <w:rFonts w:ascii="Times New Roman" w:hAnsi="Times New Roman"/>
      <w:szCs w:val="24"/>
    </w:rPr>
  </w:style>
  <w:style w:type="character" w:customStyle="1" w:styleId="27">
    <w:name w:val="正文文本 字符"/>
    <w:link w:val="9"/>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字符"/>
    <w:basedOn w:val="19"/>
    <w:link w:val="5"/>
    <w:qFormat/>
    <w:uiPriority w:val="9"/>
    <w:rPr>
      <w:rFonts w:ascii="Times New Roman" w:hAnsi="Times New Roman"/>
      <w:b/>
      <w:bCs/>
      <w:kern w:val="44"/>
      <w:sz w:val="44"/>
      <w:szCs w:val="44"/>
    </w:rPr>
  </w:style>
  <w:style w:type="character" w:customStyle="1" w:styleId="31">
    <w:name w:val="标题 2 字符"/>
    <w:basedOn w:val="19"/>
    <w:link w:val="6"/>
    <w:qFormat/>
    <w:uiPriority w:val="9"/>
    <w:rPr>
      <w:rFonts w:asciiTheme="majorHAnsi" w:hAnsiTheme="majorHAnsi" w:eastAsiaTheme="majorEastAsia" w:cstheme="majorBidi"/>
      <w:b/>
      <w:bCs/>
      <w:kern w:val="2"/>
      <w:sz w:val="32"/>
      <w:szCs w:val="32"/>
    </w:rPr>
  </w:style>
  <w:style w:type="paragraph" w:customStyle="1" w:styleId="32">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字符"/>
    <w:basedOn w:val="19"/>
    <w:link w:val="12"/>
    <w:semiHidden/>
    <w:qFormat/>
    <w:uiPriority w:val="99"/>
    <w:rPr>
      <w:rFonts w:ascii="Times New Roman" w:hAnsi="Times New Roman"/>
      <w:kern w:val="2"/>
      <w:sz w:val="18"/>
      <w:szCs w:val="18"/>
    </w:rPr>
  </w:style>
  <w:style w:type="character" w:customStyle="1" w:styleId="34">
    <w:name w:val="标题 3 字符"/>
    <w:basedOn w:val="19"/>
    <w:link w:val="7"/>
    <w:qFormat/>
    <w:uiPriority w:val="9"/>
    <w:rPr>
      <w:rFonts w:ascii="Times New Roman" w:hAnsi="Times New Roman"/>
      <w:b/>
      <w:bCs/>
      <w:kern w:val="2"/>
      <w:sz w:val="32"/>
      <w:szCs w:val="32"/>
    </w:rPr>
  </w:style>
  <w:style w:type="paragraph" w:customStyle="1" w:styleId="35">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 w:type="paragraph" w:customStyle="1" w:styleId="38">
    <w:name w:val="Body text|1"/>
    <w:basedOn w:val="1"/>
    <w:qFormat/>
    <w:uiPriority w:val="0"/>
    <w:pPr>
      <w:widowControl w:val="0"/>
      <w:shd w:val="clear" w:color="auto" w:fill="auto"/>
      <w:spacing w:line="403" w:lineRule="auto"/>
      <w:ind w:firstLine="400"/>
    </w:pPr>
    <w:rPr>
      <w:rFonts w:ascii="宋体" w:hAnsi="宋体" w:eastAsia="宋体" w:cs="宋体"/>
      <w:sz w:val="30"/>
      <w:szCs w:val="30"/>
      <w:u w:val="none"/>
      <w:shd w:val="clear" w:color="auto" w:fill="auto"/>
      <w:lang w:val="zh-TW" w:eastAsia="zh-TW" w:bidi="zh-TW"/>
    </w:rPr>
  </w:style>
  <w:style w:type="character" w:customStyle="1" w:styleId="39">
    <w:name w:val="font21"/>
    <w:basedOn w:val="19"/>
    <w:qFormat/>
    <w:uiPriority w:val="0"/>
    <w:rPr>
      <w:rFonts w:hint="eastAsia" w:ascii="宋体" w:hAnsi="宋体" w:eastAsia="宋体" w:cs="宋体"/>
      <w:color w:val="000000"/>
      <w:sz w:val="24"/>
      <w:szCs w:val="24"/>
      <w:u w:val="none"/>
    </w:rPr>
  </w:style>
  <w:style w:type="character" w:customStyle="1" w:styleId="40">
    <w:name w:val="font41"/>
    <w:basedOn w:val="19"/>
    <w:qFormat/>
    <w:uiPriority w:val="0"/>
    <w:rPr>
      <w:rFonts w:hint="eastAsia" w:ascii="宋体" w:hAnsi="宋体" w:eastAsia="宋体" w:cs="宋体"/>
      <w:color w:val="000000"/>
      <w:sz w:val="16"/>
      <w:szCs w:val="16"/>
      <w:u w:val="none"/>
    </w:rPr>
  </w:style>
  <w:style w:type="character" w:customStyle="1" w:styleId="41">
    <w:name w:val="font01"/>
    <w:basedOn w:val="19"/>
    <w:qFormat/>
    <w:uiPriority w:val="0"/>
    <w:rPr>
      <w:rFonts w:hint="eastAsia" w:ascii="宋体" w:hAnsi="宋体" w:eastAsia="宋体" w:cs="宋体"/>
      <w:color w:val="000000"/>
      <w:sz w:val="24"/>
      <w:szCs w:val="24"/>
      <w:u w:val="none"/>
    </w:rPr>
  </w:style>
  <w:style w:type="character" w:customStyle="1" w:styleId="42">
    <w:name w:val="font11"/>
    <w:basedOn w:val="19"/>
    <w:qFormat/>
    <w:uiPriority w:val="0"/>
    <w:rPr>
      <w:rFonts w:hint="eastAsia" w:ascii="宋体" w:hAnsi="宋体" w:eastAsia="宋体" w:cs="宋体"/>
      <w:color w:val="000000"/>
      <w:sz w:val="24"/>
      <w:szCs w:val="24"/>
      <w:u w:val="none"/>
    </w:rPr>
  </w:style>
  <w:style w:type="character" w:customStyle="1" w:styleId="43">
    <w:name w:val="NormalCharacter"/>
    <w:autoRedefine/>
    <w:qFormat/>
    <w:uiPriority w:val="0"/>
    <w:rPr>
      <w:rFonts w:ascii="Calibri" w:hAnsi="Calibri" w:eastAsia="宋体" w:cs="宋体"/>
      <w:kern w:val="2"/>
      <w:sz w:val="21"/>
      <w:szCs w:val="24"/>
      <w:lang w:val="en-US" w:eastAsia="zh-CN" w:bidi="ar-SA"/>
    </w:rPr>
  </w:style>
  <w:style w:type="character" w:customStyle="1" w:styleId="44">
    <w:name w:val="font31"/>
    <w:basedOn w:val="19"/>
    <w:qFormat/>
    <w:uiPriority w:val="0"/>
    <w:rPr>
      <w:rFonts w:hint="eastAsia" w:ascii="宋体" w:hAnsi="宋体" w:eastAsia="宋体" w:cs="宋体"/>
      <w:color w:val="000000"/>
      <w:sz w:val="16"/>
      <w:szCs w:val="16"/>
      <w:u w:val="none"/>
    </w:rPr>
  </w:style>
  <w:style w:type="paragraph" w:customStyle="1" w:styleId="45">
    <w:name w:val="Normal (Web)"/>
    <w:basedOn w:val="1"/>
    <w:autoRedefine/>
    <w:qFormat/>
    <w:uiPriority w:val="0"/>
    <w:pPr>
      <w:widowControl/>
      <w:jc w:val="left"/>
    </w:pPr>
    <w:rPr>
      <w:rFonts w:ascii="宋体" w:hAnsi="宋体" w:eastAsia="宋体" w:cs="宋体"/>
      <w:kern w:val="0"/>
      <w:sz w:val="24"/>
      <w:szCs w:val="24"/>
    </w:rPr>
  </w:style>
  <w:style w:type="paragraph" w:customStyle="1" w:styleId="46">
    <w:name w:val="Heading #2|1"/>
    <w:basedOn w:val="1"/>
    <w:autoRedefine/>
    <w:qFormat/>
    <w:uiPriority w:val="0"/>
    <w:pPr>
      <w:widowControl w:val="0"/>
      <w:shd w:val="clear" w:color="auto" w:fill="auto"/>
      <w:spacing w:after="190" w:afterLines="0"/>
      <w:jc w:val="center"/>
      <w:outlineLvl w:val="1"/>
    </w:pPr>
    <w:rPr>
      <w:rFonts w:ascii="宋体" w:hAnsi="宋体" w:eastAsia="宋体" w:cs="宋体"/>
      <w:sz w:val="44"/>
      <w:szCs w:val="44"/>
      <w:u w:val="none"/>
      <w:shd w:val="clear" w:color="auto" w:fill="auto"/>
      <w:lang w:val="zh-TW" w:eastAsia="zh-TW"/>
    </w:rPr>
  </w:style>
  <w:style w:type="paragraph" w:customStyle="1" w:styleId="47">
    <w:name w:val="Heading #3|1"/>
    <w:basedOn w:val="1"/>
    <w:autoRedefine/>
    <w:qFormat/>
    <w:uiPriority w:val="0"/>
    <w:pPr>
      <w:widowControl w:val="0"/>
      <w:shd w:val="clear" w:color="auto" w:fill="auto"/>
      <w:spacing w:line="625" w:lineRule="exact"/>
      <w:ind w:firstLine="710"/>
      <w:outlineLvl w:val="2"/>
    </w:pPr>
    <w:rPr>
      <w:rFonts w:ascii="宋体" w:hAnsi="宋体" w:eastAsia="宋体" w:cs="宋体"/>
      <w:b/>
      <w:bCs/>
      <w:sz w:val="30"/>
      <w:szCs w:val="30"/>
      <w:u w:val="none"/>
      <w:shd w:val="clear" w:color="auto" w:fill="auto"/>
      <w:lang w:val="zh-TW" w:eastAsia="zh-TW"/>
    </w:rPr>
  </w:style>
  <w:style w:type="paragraph" w:customStyle="1" w:styleId="48">
    <w:name w:val="正文1"/>
    <w:next w:val="49"/>
    <w:autoRedefine/>
    <w:qFormat/>
    <w:uiPriority w:val="0"/>
    <w:pPr>
      <w:widowControl w:val="0"/>
      <w:suppressAutoHyphens w:val="0"/>
      <w:bidi w:val="0"/>
      <w:spacing w:before="0" w:after="0"/>
      <w:jc w:val="both"/>
    </w:pPr>
    <w:rPr>
      <w:rFonts w:ascii="Times New Roman" w:hAnsi="Times New Roman" w:eastAsia="宋体" w:cs="Times New Roman"/>
      <w:color w:val="auto"/>
      <w:kern w:val="2"/>
      <w:sz w:val="21"/>
      <w:szCs w:val="22"/>
      <w:lang w:val="en-US" w:eastAsia="zh-CN" w:bidi="ar-SA"/>
    </w:rPr>
  </w:style>
  <w:style w:type="paragraph" w:customStyle="1" w:styleId="49">
    <w:name w:val="Body Text First Indent 2"/>
    <w:basedOn w:val="50"/>
    <w:next w:val="48"/>
    <w:autoRedefine/>
    <w:qFormat/>
    <w:uiPriority w:val="0"/>
    <w:pPr>
      <w:ind w:left="420" w:firstLine="0"/>
    </w:pPr>
    <w:rPr>
      <w:rFonts w:ascii="Calibri" w:hAnsi="Calibri"/>
    </w:rPr>
  </w:style>
  <w:style w:type="paragraph" w:customStyle="1" w:styleId="50">
    <w:name w:val="正文缩进1"/>
    <w:basedOn w:val="48"/>
    <w:autoRedefine/>
    <w:qFormat/>
    <w:uiPriority w:val="0"/>
    <w:pPr>
      <w:spacing w:before="0" w:after="120"/>
      <w:ind w:left="420" w:firstLine="0"/>
    </w:pPr>
  </w:style>
  <w:style w:type="paragraph" w:customStyle="1" w:styleId="51">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52">
    <w:name w:val="Body Text First Indent 21"/>
    <w:basedOn w:val="53"/>
    <w:next w:val="1"/>
    <w:autoRedefine/>
    <w:qFormat/>
    <w:uiPriority w:val="0"/>
    <w:pPr>
      <w:widowControl/>
      <w:adjustRightInd w:val="0"/>
      <w:snapToGrid w:val="0"/>
      <w:ind w:firstLine="420" w:firstLineChars="200"/>
      <w:jc w:val="left"/>
    </w:pPr>
    <w:rPr>
      <w:rFonts w:ascii="Calibri" w:hAnsi="Calibri" w:eastAsia="微软雅黑" w:cs="Times New Roman"/>
      <w:kern w:val="0"/>
      <w:sz w:val="22"/>
    </w:rPr>
  </w:style>
  <w:style w:type="paragraph" w:customStyle="1" w:styleId="53">
    <w:name w:val="Body Text Indent1"/>
    <w:basedOn w:val="1"/>
    <w:autoRedefine/>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[工作簿1]Sheet1!$A$2:$A$6</c:f>
              <c:strCache>
                <c:ptCount val="5"/>
                <c:pt idx="0">
                  <c:v>2022年收入</c:v>
                </c:pt>
                <c:pt idx="1">
                  <c:v>2023年收入</c:v>
                </c:pt>
                <c:pt idx="3">
                  <c:v>2022年支出</c:v>
                </c:pt>
                <c:pt idx="4">
                  <c:v>2023年支出</c:v>
                </c:pt>
              </c:strCache>
            </c:strRef>
          </c:cat>
          <c:val>
            <c:numRef>
              <c:f>[工作簿1]Sheet1!$B$2:$B$6</c:f>
              <c:numCache>
                <c:formatCode>General</c:formatCode>
                <c:ptCount val="5"/>
                <c:pt idx="0">
                  <c:v>1705.02</c:v>
                </c:pt>
                <c:pt idx="1">
                  <c:v>1863.16</c:v>
                </c:pt>
                <c:pt idx="3">
                  <c:v>1874.14</c:v>
                </c:pt>
                <c:pt idx="4">
                  <c:v>1863.16</c:v>
                </c:pt>
              </c:numCache>
            </c:numRef>
          </c:val>
        </c:ser>
        <c:dLbls>
          <c:showLegendKey val="0"/>
          <c:showVal val="1"/>
          <c:showCatName val="0"/>
          <c:showSerName val="0"/>
          <c:showPercent val="0"/>
          <c:showBubbleSize val="0"/>
        </c:dLbls>
        <c:gapWidth val="246"/>
        <c:overlap val="-28"/>
        <c:axId val="733002126"/>
        <c:axId val="215598454"/>
      </c:barChart>
      <c:catAx>
        <c:axId val="73300212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5598454"/>
        <c:crosses val="autoZero"/>
        <c:auto val="1"/>
        <c:lblAlgn val="ctr"/>
        <c:lblOffset val="100"/>
        <c:noMultiLvlLbl val="0"/>
      </c:catAx>
      <c:valAx>
        <c:axId val="21559845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300212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[工作簿1]Sheet1!$A$11:$A$14</c:f>
              <c:strCache>
                <c:ptCount val="4"/>
                <c:pt idx="0">
                  <c:v>一般公共预算财政拨款收入</c:v>
                </c:pt>
                <c:pt idx="1">
                  <c:v>政府性基金预算财政拨款收入</c:v>
                </c:pt>
                <c:pt idx="2">
                  <c:v>国有资本经营预算财政拨款收入</c:v>
                </c:pt>
                <c:pt idx="3">
                  <c:v>上级补助收入</c:v>
                </c:pt>
              </c:strCache>
            </c:strRef>
          </c:cat>
          <c:val>
            <c:numRef>
              <c:f>[工作簿1]Sheet1!$B$11:$B$14</c:f>
              <c:numCache>
                <c:formatCode>General</c:formatCode>
                <c:ptCount val="4"/>
                <c:pt idx="0">
                  <c:v>1705.02</c:v>
                </c:pt>
                <c:pt idx="1">
                  <c:v>0</c:v>
                </c:pt>
                <c:pt idx="2">
                  <c:v>0</c:v>
                </c:pt>
                <c:pt idx="3">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[工作簿1]Sheet1!$A$9:$A$10</c:f>
              <c:strCache>
                <c:ptCount val="2"/>
                <c:pt idx="0">
                  <c:v>基本支出</c:v>
                </c:pt>
                <c:pt idx="1">
                  <c:v>项目支出</c:v>
                </c:pt>
              </c:strCache>
            </c:strRef>
          </c:cat>
          <c:val>
            <c:numRef>
              <c:f>[工作簿1]Sheet1!$B$9:$B$10</c:f>
              <c:numCache>
                <c:formatCode>General</c:formatCode>
                <c:ptCount val="2"/>
                <c:pt idx="0">
                  <c:v>1417.69</c:v>
                </c:pt>
                <c:pt idx="1">
                  <c:v>445.47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[工作簿1]Sheet1!$A$2:$A$6</c:f>
              <c:strCache>
                <c:ptCount val="5"/>
                <c:pt idx="0">
                  <c:v>2022年收入</c:v>
                </c:pt>
                <c:pt idx="1">
                  <c:v>2023年收入</c:v>
                </c:pt>
                <c:pt idx="3">
                  <c:v>2022年支出</c:v>
                </c:pt>
                <c:pt idx="4">
                  <c:v>2023年支出</c:v>
                </c:pt>
              </c:strCache>
            </c:strRef>
          </c:cat>
          <c:val>
            <c:numRef>
              <c:f>[工作簿1]Sheet1!$B$2:$B$6</c:f>
              <c:numCache>
                <c:formatCode>General</c:formatCode>
                <c:ptCount val="5"/>
                <c:pt idx="0">
                  <c:v>1705.02</c:v>
                </c:pt>
                <c:pt idx="1">
                  <c:v>1863.16</c:v>
                </c:pt>
                <c:pt idx="3">
                  <c:v>1874.14</c:v>
                </c:pt>
                <c:pt idx="4">
                  <c:v>1863.16</c:v>
                </c:pt>
              </c:numCache>
            </c:numRef>
          </c:val>
        </c:ser>
        <c:dLbls>
          <c:showLegendKey val="0"/>
          <c:showVal val="1"/>
          <c:showCatName val="0"/>
          <c:showSerName val="0"/>
          <c:showPercent val="0"/>
          <c:showBubbleSize val="0"/>
        </c:dLbls>
        <c:gapWidth val="246"/>
        <c:overlap val="-28"/>
        <c:axId val="733002126"/>
        <c:axId val="215598454"/>
      </c:barChart>
      <c:catAx>
        <c:axId val="73300212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5598454"/>
        <c:crosses val="autoZero"/>
        <c:auto val="1"/>
        <c:lblAlgn val="ctr"/>
        <c:lblOffset val="100"/>
        <c:noMultiLvlLbl val="0"/>
      </c:catAx>
      <c:valAx>
        <c:axId val="21559845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300212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[工作簿1]Sheet1!$A$18:$A$19</c:f>
              <c:strCache>
                <c:ptCount val="2"/>
                <c:pt idx="0">
                  <c:v>2022年支出</c:v>
                </c:pt>
                <c:pt idx="1">
                  <c:v>2023年支出</c:v>
                </c:pt>
              </c:strCache>
            </c:strRef>
          </c:cat>
          <c:val>
            <c:numRef>
              <c:f>[工作簿1]Sheet1!$B$18:$B$19</c:f>
              <c:numCache>
                <c:formatCode>General</c:formatCode>
                <c:ptCount val="2"/>
                <c:pt idx="0">
                  <c:v>1874.14</c:v>
                </c:pt>
                <c:pt idx="1">
                  <c:v>1863.16</c:v>
                </c:pt>
              </c:numCache>
            </c:numRef>
          </c:val>
        </c:ser>
        <c:dLbls>
          <c:showLegendKey val="0"/>
          <c:showVal val="1"/>
          <c:showCatName val="0"/>
          <c:showSerName val="0"/>
          <c:showPercent val="0"/>
          <c:showBubbleSize val="0"/>
        </c:dLbls>
        <c:gapWidth val="246"/>
        <c:overlap val="-28"/>
        <c:axId val="183513464"/>
        <c:axId val="510883626"/>
      </c:barChart>
      <c:catAx>
        <c:axId val="1835134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0883626"/>
        <c:crosses val="autoZero"/>
        <c:auto val="1"/>
        <c:lblAlgn val="ctr"/>
        <c:lblOffset val="100"/>
        <c:noMultiLvlLbl val="0"/>
      </c:catAx>
      <c:valAx>
        <c:axId val="510883626"/>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35134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[工作簿1]Sheet1!$A$51:$A$54</c:f>
              <c:strCache>
                <c:ptCount val="4"/>
                <c:pt idx="0">
                  <c:v>公共安全支出</c:v>
                </c:pt>
                <c:pt idx="1">
                  <c:v>社会保障和就业支出</c:v>
                </c:pt>
                <c:pt idx="2">
                  <c:v>卫生健康支出</c:v>
                </c:pt>
                <c:pt idx="3">
                  <c:v>住房保障支出</c:v>
                </c:pt>
              </c:strCache>
            </c:strRef>
          </c:cat>
          <c:val>
            <c:numRef>
              <c:f>[工作簿1]Sheet1!$B$51:$B$54</c:f>
              <c:numCache>
                <c:formatCode>General</c:formatCode>
                <c:ptCount val="4"/>
                <c:pt idx="0">
                  <c:v>1504.12</c:v>
                </c:pt>
                <c:pt idx="1">
                  <c:v>212.3</c:v>
                </c:pt>
                <c:pt idx="2">
                  <c:v>40.46</c:v>
                </c:pt>
                <c:pt idx="3">
                  <c:v>106.27</c:v>
                </c:pt>
              </c:numCache>
            </c:numRef>
          </c:val>
        </c:ser>
        <c:ser>
          <c:idx val="1"/>
          <c:order val="1"/>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[工作簿1]Sheet1!$A$51:$A$54</c:f>
              <c:strCache>
                <c:ptCount val="4"/>
                <c:pt idx="0">
                  <c:v>公共安全支出</c:v>
                </c:pt>
                <c:pt idx="1">
                  <c:v>社会保障和就业支出</c:v>
                </c:pt>
                <c:pt idx="2">
                  <c:v>卫生健康支出</c:v>
                </c:pt>
                <c:pt idx="3">
                  <c:v>住房保障支出</c:v>
                </c:pt>
              </c:strCache>
            </c:strRef>
          </c:cat>
          <c:val>
            <c:numRef>
              <c:f>[工作簿1]Sheet1!$C$51:$C$54</c:f>
              <c:numCache>
                <c:formatCode>0.00%</c:formatCode>
                <c:ptCount val="4"/>
                <c:pt idx="0">
                  <c:v>0.807299465958189</c:v>
                </c:pt>
                <c:pt idx="1">
                  <c:v>0.113946810509084</c:v>
                </c:pt>
                <c:pt idx="2">
                  <c:v>0.0217159112256125</c:v>
                </c:pt>
                <c:pt idx="3">
                  <c:v>0.0570378123071143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“三公”经费财政拨款支出结构</a:t>
            </a:r>
          </a:p>
        </c:rich>
      </c:tx>
      <c:layout>
        <c:manualLayout>
          <c:xMode val="edge"/>
          <c:yMode val="edge"/>
          <c:x val="0.185526315789474"/>
          <c:y val="0.0208333333333333"/>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[工作簿1]Sheet1!$A$70:$A$71</c:f>
              <c:strCache>
                <c:ptCount val="2"/>
                <c:pt idx="0">
                  <c:v>公务用车购置及运行维护费支出</c:v>
                </c:pt>
                <c:pt idx="1">
                  <c:v>公务接待费支出</c:v>
                </c:pt>
              </c:strCache>
            </c:strRef>
          </c:cat>
          <c:val>
            <c:numRef>
              <c:f>[工作簿1]Sheet1!$B$70:$B$71</c:f>
              <c:numCache>
                <c:formatCode>General</c:formatCode>
                <c:ptCount val="2"/>
                <c:pt idx="0">
                  <c:v>52.91</c:v>
                </c:pt>
                <c:pt idx="1">
                  <c:v>2.78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77</Pages>
  <Words>29513</Words>
  <Characters>32105</Characters>
  <Lines>57</Lines>
  <Paragraphs>16</Paragraphs>
  <TotalTime>0</TotalTime>
  <ScaleCrop>false</ScaleCrop>
  <LinksUpToDate>false</LinksUpToDate>
  <CharactersWithSpaces>32400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2022-08-16T01:02:00Z</dcterms:created>
  <dc:creator>曹颖</dc:creator>
  <cp:lastModifiedBy>邓作强~百强软件</cp:lastModifiedBy>
  <cp:lastPrinted>2022-08-08T09:11:00Z</cp:lastPrinted>
  <dcterms:modified xsi:type="dcterms:W3CDTF">2024-09-12T03:51:43Z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65D1D23711F0402CB6BF185BABAEEA52_13</vt:lpwstr>
  </property>
</Properties>
</file>